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A4223">
      <w:pPr>
        <w:jc w:val="right"/>
        <w:rPr>
          <w:rFonts w:hint="eastAsia" w:ascii="宋体" w:hAnsi="宋体" w:cs="宋体"/>
          <w:color w:val="auto"/>
          <w:sz w:val="24"/>
          <w:szCs w:val="24"/>
          <w:highlight w:val="none"/>
        </w:rPr>
      </w:pPr>
    </w:p>
    <w:p w14:paraId="7127F3FB">
      <w:pPr>
        <w:spacing w:line="360" w:lineRule="auto"/>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drawing>
          <wp:inline distT="0" distB="0" distL="114300" distR="114300">
            <wp:extent cx="452755" cy="443865"/>
            <wp:effectExtent l="0" t="0" r="4445" b="13335"/>
            <wp:docPr id="11" name="图片 1" descr="DSC00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DSC00186"/>
                    <pic:cNvPicPr>
                      <a:picLocks noChangeAspect="1"/>
                    </pic:cNvPicPr>
                  </pic:nvPicPr>
                  <pic:blipFill>
                    <a:blip r:embed="rId13"/>
                    <a:stretch>
                      <a:fillRect/>
                    </a:stretch>
                  </pic:blipFill>
                  <pic:spPr>
                    <a:xfrm>
                      <a:off x="0" y="0"/>
                      <a:ext cx="452755" cy="443865"/>
                    </a:xfrm>
                    <a:prstGeom prst="rect">
                      <a:avLst/>
                    </a:prstGeom>
                    <a:noFill/>
                    <a:ln>
                      <a:noFill/>
                    </a:ln>
                  </pic:spPr>
                </pic:pic>
              </a:graphicData>
            </a:graphic>
          </wp:inline>
        </w:drawing>
      </w:r>
      <w:r>
        <w:rPr>
          <w:rFonts w:hint="eastAsia" w:ascii="宋体" w:hAnsi="宋体" w:cs="宋体"/>
          <w:b/>
          <w:color w:val="auto"/>
          <w:sz w:val="28"/>
          <w:szCs w:val="28"/>
          <w:highlight w:val="none"/>
        </w:rPr>
        <w:t xml:space="preserve"> </w:t>
      </w:r>
      <w:r>
        <w:rPr>
          <w:rFonts w:hint="eastAsia" w:ascii="宋体" w:hAnsi="宋体" w:cs="宋体"/>
          <w:outline/>
          <w:color w:val="auto"/>
          <w:sz w:val="28"/>
          <w:szCs w:val="28"/>
          <w:highlight w:val="no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Pr>
          <w:rFonts w:hint="eastAsia" w:ascii="宋体" w:hAnsi="宋体" w:cs="宋体"/>
          <w:outline/>
          <w:color w:val="auto"/>
          <w:sz w:val="28"/>
          <w:szCs w:val="28"/>
          <w:highlight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云南鼎鑫项目管理咨询有限公司</w:t>
      </w:r>
    </w:p>
    <w:p w14:paraId="24C7D806">
      <w:pPr>
        <w:jc w:val="center"/>
        <w:rPr>
          <w:rFonts w:hint="eastAsia" w:ascii="宋体" w:hAnsi="宋体" w:cs="宋体"/>
          <w:b/>
          <w:color w:val="auto"/>
          <w:sz w:val="24"/>
          <w:szCs w:val="24"/>
          <w:highlight w:val="none"/>
        </w:rPr>
      </w:pPr>
    </w:p>
    <w:p w14:paraId="21B73121">
      <w:pPr>
        <w:jc w:val="center"/>
        <w:rPr>
          <w:rFonts w:hint="eastAsia" w:ascii="宋体" w:hAnsi="宋体" w:cs="宋体"/>
          <w:b/>
          <w:color w:val="auto"/>
          <w:sz w:val="24"/>
          <w:szCs w:val="24"/>
          <w:highlight w:val="none"/>
        </w:rPr>
      </w:pPr>
    </w:p>
    <w:p w14:paraId="0BE47564">
      <w:pPr>
        <w:rPr>
          <w:rFonts w:hint="eastAsia" w:ascii="宋体" w:hAnsi="宋体" w:cs="宋体"/>
          <w:b/>
          <w:color w:val="auto"/>
          <w:sz w:val="24"/>
          <w:szCs w:val="24"/>
          <w:highlight w:val="none"/>
        </w:rPr>
      </w:pPr>
    </w:p>
    <w:p w14:paraId="56782BDC">
      <w:pPr>
        <w:jc w:val="center"/>
        <w:rPr>
          <w:rFonts w:hint="eastAsia" w:ascii="宋体" w:hAnsi="宋体" w:cs="宋体"/>
          <w:bCs/>
          <w:color w:val="auto"/>
          <w:sz w:val="48"/>
          <w:szCs w:val="48"/>
          <w:highlight w:val="none"/>
        </w:rPr>
      </w:pPr>
      <w:bookmarkStart w:id="0" w:name="_Hlk229484728"/>
      <w:r>
        <w:rPr>
          <w:rFonts w:hint="eastAsia" w:ascii="宋体" w:hAnsi="宋体" w:cs="宋体"/>
          <w:bCs/>
          <w:color w:val="auto"/>
          <w:sz w:val="48"/>
          <w:szCs w:val="48"/>
          <w:highlight w:val="none"/>
        </w:rPr>
        <w:t>昆明市旅游职业中学</w:t>
      </w:r>
    </w:p>
    <w:p w14:paraId="5B37690B">
      <w:pPr>
        <w:jc w:val="center"/>
        <w:rPr>
          <w:rFonts w:hint="eastAsia" w:ascii="宋体" w:hAnsi="宋体" w:cs="宋体"/>
          <w:bCs/>
          <w:color w:val="auto"/>
          <w:sz w:val="48"/>
          <w:szCs w:val="48"/>
          <w:highlight w:val="none"/>
        </w:rPr>
      </w:pPr>
      <w:r>
        <w:rPr>
          <w:rFonts w:hint="eastAsia" w:ascii="宋体" w:hAnsi="宋体" w:cs="宋体"/>
          <w:bCs/>
          <w:color w:val="auto"/>
          <w:sz w:val="48"/>
          <w:szCs w:val="48"/>
          <w:highlight w:val="none"/>
        </w:rPr>
        <w:t>导游虚拟仿真实训室项目（设备购置）</w:t>
      </w:r>
    </w:p>
    <w:p w14:paraId="77C5A7D4">
      <w:pPr>
        <w:jc w:val="center"/>
        <w:rPr>
          <w:rFonts w:hint="eastAsia" w:ascii="宋体" w:hAnsi="宋体" w:cs="宋体"/>
          <w:bCs/>
          <w:color w:val="auto"/>
          <w:sz w:val="56"/>
          <w:szCs w:val="56"/>
          <w:highlight w:val="none"/>
        </w:rPr>
      </w:pPr>
      <w:r>
        <w:rPr>
          <w:rFonts w:hint="eastAsia" w:ascii="宋体" w:hAnsi="宋体" w:cs="宋体"/>
          <w:bCs/>
          <w:color w:val="auto"/>
          <w:sz w:val="48"/>
          <w:szCs w:val="48"/>
          <w:highlight w:val="none"/>
        </w:rPr>
        <w:t>-非集采货物</w:t>
      </w:r>
    </w:p>
    <w:bookmarkEnd w:id="0"/>
    <w:p w14:paraId="74C4723D">
      <w:pPr>
        <w:jc w:val="center"/>
        <w:rPr>
          <w:rFonts w:hint="eastAsia" w:ascii="宋体" w:hAnsi="宋体" w:cs="宋体"/>
          <w:bCs/>
          <w:color w:val="auto"/>
          <w:sz w:val="44"/>
          <w:szCs w:val="44"/>
          <w:highlight w:val="none"/>
        </w:rPr>
      </w:pPr>
    </w:p>
    <w:p w14:paraId="2F5F82AD">
      <w:pPr>
        <w:rPr>
          <w:rFonts w:hint="eastAsia" w:ascii="宋体" w:hAnsi="宋体" w:cs="宋体"/>
          <w:bCs/>
          <w:color w:val="auto"/>
          <w:sz w:val="24"/>
          <w:szCs w:val="24"/>
          <w:highlight w:val="none"/>
        </w:rPr>
      </w:pPr>
    </w:p>
    <w:p w14:paraId="7E24EBB4">
      <w:pPr>
        <w:rPr>
          <w:rFonts w:hint="eastAsia" w:ascii="宋体" w:hAnsi="宋体" w:cs="宋体"/>
          <w:bCs/>
          <w:color w:val="auto"/>
          <w:sz w:val="24"/>
          <w:szCs w:val="24"/>
          <w:highlight w:val="none"/>
        </w:rPr>
      </w:pPr>
    </w:p>
    <w:p w14:paraId="697355D2">
      <w:pPr>
        <w:rPr>
          <w:rFonts w:hint="eastAsia" w:ascii="宋体" w:hAnsi="宋体" w:cs="宋体"/>
          <w:bCs/>
          <w:color w:val="auto"/>
          <w:sz w:val="24"/>
          <w:szCs w:val="24"/>
          <w:highlight w:val="none"/>
        </w:rPr>
      </w:pPr>
    </w:p>
    <w:p w14:paraId="08B035D4">
      <w:pPr>
        <w:rPr>
          <w:rFonts w:hint="eastAsia" w:ascii="宋体" w:hAnsi="宋体" w:cs="宋体"/>
          <w:bCs/>
          <w:color w:val="auto"/>
          <w:sz w:val="24"/>
          <w:szCs w:val="24"/>
          <w:highlight w:val="none"/>
        </w:rPr>
      </w:pPr>
    </w:p>
    <w:p w14:paraId="6B0DC601">
      <w:pPr>
        <w:rPr>
          <w:rFonts w:hint="eastAsia" w:ascii="宋体" w:hAnsi="宋体" w:cs="宋体"/>
          <w:bCs/>
          <w:color w:val="auto"/>
          <w:sz w:val="24"/>
          <w:szCs w:val="24"/>
          <w:highlight w:val="none"/>
        </w:rPr>
      </w:pPr>
    </w:p>
    <w:p w14:paraId="0A71F2DA">
      <w:pPr>
        <w:rPr>
          <w:rFonts w:hint="eastAsia" w:ascii="宋体" w:hAnsi="宋体" w:cs="宋体"/>
          <w:bCs/>
          <w:color w:val="auto"/>
          <w:sz w:val="24"/>
          <w:szCs w:val="24"/>
          <w:highlight w:val="none"/>
        </w:rPr>
      </w:pPr>
    </w:p>
    <w:p w14:paraId="507E4A9E">
      <w:pPr>
        <w:rPr>
          <w:rFonts w:hint="eastAsia" w:ascii="宋体" w:hAnsi="宋体" w:cs="宋体"/>
          <w:bCs/>
          <w:color w:val="auto"/>
          <w:sz w:val="24"/>
          <w:szCs w:val="24"/>
          <w:highlight w:val="none"/>
        </w:rPr>
      </w:pPr>
    </w:p>
    <w:p w14:paraId="18017CCC">
      <w:pPr>
        <w:rPr>
          <w:rFonts w:hint="eastAsia" w:ascii="宋体" w:hAnsi="宋体" w:cs="宋体"/>
          <w:bCs/>
          <w:color w:val="auto"/>
          <w:sz w:val="24"/>
          <w:szCs w:val="24"/>
          <w:highlight w:val="none"/>
        </w:rPr>
      </w:pPr>
    </w:p>
    <w:p w14:paraId="0C1D5915">
      <w:pPr>
        <w:spacing w:line="324" w:lineRule="auto"/>
        <w:jc w:val="center"/>
        <w:rPr>
          <w:rFonts w:hint="eastAsia" w:ascii="宋体" w:hAnsi="宋体" w:cs="宋体"/>
          <w:bCs/>
          <w:color w:val="auto"/>
          <w:sz w:val="72"/>
          <w:szCs w:val="72"/>
          <w:highlight w:val="none"/>
        </w:rPr>
      </w:pPr>
      <w:r>
        <w:rPr>
          <w:rFonts w:hint="eastAsia" w:ascii="宋体" w:hAnsi="宋体" w:cs="宋体"/>
          <w:bCs/>
          <w:color w:val="auto"/>
          <w:sz w:val="72"/>
          <w:szCs w:val="72"/>
          <w:highlight w:val="none"/>
        </w:rPr>
        <w:t>竞争性谈判文件</w:t>
      </w:r>
    </w:p>
    <w:p w14:paraId="5CEF2C3B">
      <w:pPr>
        <w:spacing w:line="324" w:lineRule="auto"/>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r>
        <w:rPr>
          <w:rFonts w:hint="eastAsia" w:ascii="宋体" w:hAnsi="宋体" w:cs="宋体"/>
          <w:b/>
          <w:color w:val="auto"/>
          <w:sz w:val="30"/>
          <w:szCs w:val="30"/>
          <w:highlight w:val="none"/>
        </w:rPr>
        <w:t>（鼎）招文第（2026）-035-2号</w:t>
      </w:r>
      <w:r>
        <w:rPr>
          <w:rFonts w:hint="eastAsia" w:ascii="宋体" w:hAnsi="宋体" w:cs="宋体"/>
          <w:bCs/>
          <w:color w:val="auto"/>
          <w:sz w:val="32"/>
          <w:szCs w:val="32"/>
          <w:highlight w:val="none"/>
        </w:rPr>
        <w:t xml:space="preserve"> </w:t>
      </w:r>
    </w:p>
    <w:p w14:paraId="5E80B6B6">
      <w:pPr>
        <w:spacing w:line="324" w:lineRule="auto"/>
        <w:jc w:val="center"/>
        <w:rPr>
          <w:rFonts w:hint="eastAsia" w:ascii="宋体" w:hAnsi="宋体" w:cs="宋体"/>
          <w:bCs/>
          <w:color w:val="auto"/>
          <w:sz w:val="32"/>
          <w:szCs w:val="32"/>
          <w:highlight w:val="none"/>
        </w:rPr>
      </w:pPr>
      <w:r>
        <w:rPr>
          <w:rFonts w:ascii="微软雅黑" w:hAnsi="微软雅黑" w:eastAsia="微软雅黑" w:cs="微软雅黑"/>
          <w:b/>
          <w:bCs/>
          <w:color w:val="auto"/>
          <w:sz w:val="24"/>
          <w:szCs w:val="24"/>
          <w:highlight w:val="none"/>
          <w:shd w:val="clear" w:color="auto" w:fill="FFFFFF"/>
        </w:rPr>
        <w:t>KMZC2026-J1-00845-YNDX-0019</w:t>
      </w:r>
    </w:p>
    <w:p w14:paraId="0AEE57CF">
      <w:pPr>
        <w:rPr>
          <w:rFonts w:hint="eastAsia" w:ascii="宋体" w:hAnsi="宋体" w:cs="宋体"/>
          <w:bCs/>
          <w:color w:val="auto"/>
          <w:sz w:val="24"/>
          <w:szCs w:val="24"/>
          <w:highlight w:val="none"/>
        </w:rPr>
      </w:pPr>
    </w:p>
    <w:p w14:paraId="74AB650E">
      <w:pPr>
        <w:tabs>
          <w:tab w:val="left" w:pos="5190"/>
        </w:tabs>
        <w:spacing w:line="324" w:lineRule="auto"/>
        <w:jc w:val="center"/>
        <w:rPr>
          <w:rFonts w:hint="eastAsia" w:ascii="宋体" w:hAnsi="宋体" w:cs="宋体"/>
          <w:bCs/>
          <w:color w:val="auto"/>
          <w:sz w:val="24"/>
          <w:szCs w:val="24"/>
          <w:highlight w:val="none"/>
        </w:rPr>
      </w:pPr>
    </w:p>
    <w:p w14:paraId="6E50C783">
      <w:pPr>
        <w:tabs>
          <w:tab w:val="left" w:pos="5190"/>
        </w:tabs>
        <w:spacing w:line="324" w:lineRule="auto"/>
        <w:rPr>
          <w:rFonts w:hint="eastAsia" w:ascii="宋体" w:hAnsi="宋体" w:cs="宋体"/>
          <w:bCs/>
          <w:color w:val="auto"/>
          <w:sz w:val="24"/>
          <w:szCs w:val="24"/>
          <w:highlight w:val="none"/>
        </w:rPr>
      </w:pPr>
    </w:p>
    <w:p w14:paraId="2C02EF7E">
      <w:pPr>
        <w:tabs>
          <w:tab w:val="left" w:pos="5190"/>
        </w:tabs>
        <w:spacing w:line="324" w:lineRule="auto"/>
        <w:jc w:val="center"/>
        <w:rPr>
          <w:rFonts w:hint="eastAsia" w:ascii="宋体" w:hAnsi="宋体" w:cs="宋体"/>
          <w:bCs/>
          <w:color w:val="auto"/>
          <w:sz w:val="24"/>
          <w:szCs w:val="24"/>
          <w:highlight w:val="none"/>
        </w:rPr>
      </w:pPr>
    </w:p>
    <w:p w14:paraId="07AA74D7">
      <w:pPr>
        <w:tabs>
          <w:tab w:val="left" w:pos="5190"/>
        </w:tabs>
        <w:spacing w:line="324" w:lineRule="auto"/>
        <w:rPr>
          <w:rFonts w:hint="eastAsia" w:ascii="宋体" w:hAnsi="宋体" w:cs="宋体"/>
          <w:bCs/>
          <w:color w:val="auto"/>
          <w:sz w:val="36"/>
          <w:szCs w:val="36"/>
          <w:highlight w:val="none"/>
        </w:rPr>
      </w:pPr>
    </w:p>
    <w:p w14:paraId="31511B32">
      <w:pPr>
        <w:tabs>
          <w:tab w:val="left" w:pos="5190"/>
        </w:tabs>
        <w:spacing w:line="324" w:lineRule="auto"/>
        <w:jc w:val="center"/>
        <w:rPr>
          <w:rFonts w:hint="eastAsia" w:ascii="宋体" w:hAnsi="宋体" w:cs="宋体"/>
          <w:bCs/>
          <w:color w:val="auto"/>
          <w:sz w:val="36"/>
          <w:szCs w:val="36"/>
          <w:highlight w:val="none"/>
        </w:rPr>
      </w:pPr>
      <w:r>
        <w:rPr>
          <w:rFonts w:hint="eastAsia" w:ascii="宋体" w:hAnsi="宋体" w:cs="宋体"/>
          <w:bCs/>
          <w:color w:val="auto"/>
          <w:sz w:val="36"/>
          <w:szCs w:val="36"/>
          <w:highlight w:val="none"/>
        </w:rPr>
        <w:t>采购人：昆明市旅游职业中学　</w:t>
      </w:r>
    </w:p>
    <w:p w14:paraId="0F8D24C2">
      <w:pPr>
        <w:tabs>
          <w:tab w:val="left" w:pos="5190"/>
        </w:tabs>
        <w:spacing w:line="324" w:lineRule="auto"/>
        <w:jc w:val="center"/>
        <w:rPr>
          <w:rFonts w:hint="eastAsia" w:ascii="宋体" w:hAnsi="宋体" w:cs="宋体"/>
          <w:bCs/>
          <w:color w:val="auto"/>
          <w:sz w:val="36"/>
          <w:szCs w:val="36"/>
          <w:highlight w:val="none"/>
        </w:rPr>
      </w:pPr>
      <w:r>
        <w:rPr>
          <w:rFonts w:hint="eastAsia" w:ascii="宋体" w:hAnsi="宋体" w:cs="宋体"/>
          <w:bCs/>
          <w:color w:val="auto"/>
          <w:sz w:val="36"/>
          <w:szCs w:val="36"/>
          <w:highlight w:val="none"/>
        </w:rPr>
        <w:t>采购代理机构：云南鼎鑫项目管理咨询有限公司</w:t>
      </w:r>
    </w:p>
    <w:p w14:paraId="34C7E6EA">
      <w:pPr>
        <w:spacing w:line="560" w:lineRule="exact"/>
        <w:jc w:val="center"/>
        <w:rPr>
          <w:rFonts w:hint="eastAsia" w:ascii="宋体" w:hAnsi="宋体" w:cs="宋体"/>
          <w:bCs/>
          <w:color w:val="auto"/>
          <w:sz w:val="24"/>
          <w:szCs w:val="24"/>
          <w:highlight w:val="none"/>
        </w:rPr>
        <w:sectPr>
          <w:headerReference r:id="rId5" w:type="first"/>
          <w:headerReference r:id="rId3" w:type="default"/>
          <w:footerReference r:id="rId6" w:type="default"/>
          <w:headerReference r:id="rId4" w:type="even"/>
          <w:footerReference r:id="rId7" w:type="even"/>
          <w:pgSz w:w="11906" w:h="16838"/>
          <w:pgMar w:top="1440" w:right="1080" w:bottom="1440" w:left="1080" w:header="851" w:footer="851" w:gutter="567"/>
          <w:pgNumType w:start="1"/>
          <w:cols w:space="720" w:num="1"/>
          <w:titlePg/>
          <w:docGrid w:type="linesAndChars" w:linePitch="312" w:charSpace="0"/>
        </w:sectPr>
      </w:pPr>
      <w:r>
        <w:rPr>
          <w:rFonts w:hint="eastAsia" w:ascii="宋体" w:hAnsi="宋体" w:cs="宋体"/>
          <w:bCs/>
          <w:color w:val="auto"/>
          <w:sz w:val="36"/>
          <w:szCs w:val="36"/>
          <w:highlight w:val="none"/>
        </w:rPr>
        <w:t>二〇二六年五月</w:t>
      </w:r>
    </w:p>
    <w:p w14:paraId="73F280F0">
      <w:pPr>
        <w:spacing w:line="960" w:lineRule="auto"/>
        <w:jc w:val="center"/>
        <w:rPr>
          <w:rFonts w:hint="eastAsia" w:ascii="宋体" w:hAnsi="宋体" w:cs="宋体"/>
          <w:color w:val="auto"/>
          <w:sz w:val="48"/>
          <w:szCs w:val="48"/>
          <w:highlight w:val="none"/>
        </w:rPr>
      </w:pPr>
      <w:r>
        <w:rPr>
          <w:rFonts w:hint="eastAsia" w:ascii="宋体" w:hAnsi="宋体" w:cs="宋体"/>
          <w:b/>
          <w:color w:val="auto"/>
          <w:sz w:val="48"/>
          <w:szCs w:val="48"/>
          <w:highlight w:val="none"/>
        </w:rPr>
        <w:t>目      录</w:t>
      </w:r>
    </w:p>
    <w:p w14:paraId="3949608A">
      <w:pPr>
        <w:pStyle w:val="29"/>
        <w:tabs>
          <w:tab w:val="right" w:leader="dot" w:pos="9061"/>
        </w:tabs>
        <w:spacing w:line="360" w:lineRule="auto"/>
        <w:rPr>
          <w:rFonts w:hint="eastAsia" w:ascii="宋体" w:hAnsi="宋体" w:eastAsia="宋体" w:cstheme="minorBidi"/>
          <w:bCs/>
          <w:smallCaps w:val="0"/>
          <w:color w:val="auto"/>
          <w:sz w:val="22"/>
          <w:szCs w:val="24"/>
          <w:highlight w:val="none"/>
          <w14:ligatures w14:val="standardContextual"/>
        </w:rPr>
      </w:pPr>
      <w:r>
        <w:rPr>
          <w:rFonts w:ascii="宋体" w:hAnsi="宋体" w:eastAsia="宋体" w:cs="宋体"/>
          <w:bCs/>
          <w:caps/>
          <w:smallCaps w:val="0"/>
          <w:color w:val="auto"/>
          <w:sz w:val="24"/>
          <w:szCs w:val="22"/>
          <w:highlight w:val="none"/>
        </w:rPr>
        <w:fldChar w:fldCharType="begin"/>
      </w:r>
      <w:r>
        <w:rPr>
          <w:rFonts w:ascii="宋体" w:hAnsi="宋体" w:eastAsia="宋体" w:cs="宋体"/>
          <w:bCs/>
          <w:caps/>
          <w:smallCaps w:val="0"/>
          <w:color w:val="auto"/>
          <w:sz w:val="24"/>
          <w:szCs w:val="22"/>
          <w:highlight w:val="none"/>
        </w:rPr>
        <w:instrText xml:space="preserve"> TOC \o "1-3" \h \z \u </w:instrText>
      </w:r>
      <w:r>
        <w:rPr>
          <w:rFonts w:ascii="宋体" w:hAnsi="宋体" w:eastAsia="宋体" w:cs="宋体"/>
          <w:bCs/>
          <w:caps/>
          <w:smallCaps w:val="0"/>
          <w:color w:val="auto"/>
          <w:sz w:val="24"/>
          <w:szCs w:val="22"/>
          <w:highlight w:val="none"/>
        </w:rPr>
        <w:fldChar w:fldCharType="separate"/>
      </w:r>
      <w:r>
        <w:rPr>
          <w:color w:val="auto"/>
          <w:highlight w:val="none"/>
        </w:rPr>
        <w:fldChar w:fldCharType="begin"/>
      </w:r>
      <w:r>
        <w:rPr>
          <w:color w:val="auto"/>
          <w:highlight w:val="none"/>
        </w:rPr>
        <w:instrText xml:space="preserve"> HYPERLINK \l "_Toc228982293" </w:instrText>
      </w:r>
      <w:r>
        <w:rPr>
          <w:color w:val="auto"/>
          <w:highlight w:val="none"/>
        </w:rPr>
        <w:fldChar w:fldCharType="separate"/>
      </w:r>
      <w:r>
        <w:rPr>
          <w:rStyle w:val="42"/>
          <w:rFonts w:hint="eastAsia" w:ascii="宋体" w:hAnsi="宋体" w:eastAsia="宋体" w:cs="宋体"/>
          <w:bCs/>
          <w:color w:val="auto"/>
          <w:highlight w:val="none"/>
        </w:rPr>
        <w:t>谈判（报价）一览表</w:t>
      </w:r>
      <w:r>
        <w:rPr>
          <w:rFonts w:hint="eastAsia" w:ascii="宋体" w:hAnsi="宋体" w:eastAsia="宋体"/>
          <w:bCs/>
          <w:color w:val="auto"/>
          <w:highlight w:val="none"/>
        </w:rPr>
        <w:tab/>
      </w:r>
      <w:r>
        <w:rPr>
          <w:rFonts w:hint="eastAsia" w:ascii="宋体" w:hAnsi="宋体" w:eastAsia="宋体"/>
          <w:bCs/>
          <w:color w:val="auto"/>
          <w:highlight w:val="none"/>
        </w:rPr>
        <w:fldChar w:fldCharType="begin"/>
      </w:r>
      <w:r>
        <w:rPr>
          <w:rFonts w:hint="eastAsia" w:ascii="宋体" w:hAnsi="宋体" w:eastAsia="宋体"/>
          <w:bCs/>
          <w:color w:val="auto"/>
          <w:highlight w:val="none"/>
        </w:rPr>
        <w:instrText xml:space="preserve"> </w:instrText>
      </w:r>
      <w:r>
        <w:rPr>
          <w:rFonts w:ascii="宋体" w:hAnsi="宋体" w:eastAsia="宋体"/>
          <w:bCs/>
          <w:color w:val="auto"/>
          <w:highlight w:val="none"/>
        </w:rPr>
        <w:instrText xml:space="preserve">PAGEREF _Toc228982293 \h</w:instrText>
      </w:r>
      <w:r>
        <w:rPr>
          <w:rFonts w:hint="eastAsia" w:ascii="宋体" w:hAnsi="宋体" w:eastAsia="宋体"/>
          <w:bCs/>
          <w:color w:val="auto"/>
          <w:highlight w:val="none"/>
        </w:rPr>
        <w:instrText xml:space="preserve"> </w:instrText>
      </w:r>
      <w:r>
        <w:rPr>
          <w:rFonts w:hint="eastAsia" w:ascii="宋体" w:hAnsi="宋体" w:eastAsia="宋体"/>
          <w:bCs/>
          <w:color w:val="auto"/>
          <w:highlight w:val="none"/>
        </w:rPr>
        <w:fldChar w:fldCharType="separate"/>
      </w:r>
      <w:r>
        <w:rPr>
          <w:rFonts w:hint="eastAsia" w:ascii="宋体" w:hAnsi="宋体" w:eastAsia="宋体"/>
          <w:bCs/>
          <w:color w:val="auto"/>
          <w:highlight w:val="none"/>
        </w:rPr>
        <w:t>2</w:t>
      </w:r>
      <w:r>
        <w:rPr>
          <w:rFonts w:hint="eastAsia" w:ascii="宋体" w:hAnsi="宋体" w:eastAsia="宋体"/>
          <w:bCs/>
          <w:color w:val="auto"/>
          <w:highlight w:val="none"/>
        </w:rPr>
        <w:fldChar w:fldCharType="end"/>
      </w:r>
      <w:r>
        <w:rPr>
          <w:rFonts w:hint="eastAsia" w:ascii="宋体" w:hAnsi="宋体" w:eastAsia="宋体"/>
          <w:bCs/>
          <w:color w:val="auto"/>
          <w:highlight w:val="none"/>
        </w:rPr>
        <w:fldChar w:fldCharType="end"/>
      </w:r>
    </w:p>
    <w:p w14:paraId="4F095098">
      <w:pPr>
        <w:pStyle w:val="24"/>
        <w:tabs>
          <w:tab w:val="right" w:leader="dot" w:pos="9061"/>
        </w:tabs>
        <w:spacing w:line="360" w:lineRule="auto"/>
        <w:rPr>
          <w:rFonts w:hint="eastAsia" w:ascii="宋体" w:hAnsi="宋体" w:eastAsia="宋体" w:cstheme="minorBidi"/>
          <w:b w:val="0"/>
          <w:caps w:val="0"/>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"_Toc228982294" </w:instrText>
      </w:r>
      <w:r>
        <w:rPr>
          <w:color w:val="auto"/>
          <w:highlight w:val="none"/>
        </w:rPr>
        <w:fldChar w:fldCharType="separate"/>
      </w:r>
      <w:r>
        <w:rPr>
          <w:rStyle w:val="42"/>
          <w:rFonts w:hint="eastAsia" w:ascii="宋体" w:hAnsi="宋体" w:eastAsia="宋体" w:cs="宋体"/>
          <w:b w:val="0"/>
          <w:color w:val="auto"/>
          <w:highlight w:val="none"/>
        </w:rPr>
        <w:t>第一章  谈判公告</w:t>
      </w:r>
      <w:r>
        <w:rPr>
          <w:rFonts w:hint="eastAsia" w:ascii="宋体" w:hAnsi="宋体" w:eastAsia="宋体"/>
          <w:b w:val="0"/>
          <w:color w:val="auto"/>
          <w:highlight w:val="none"/>
        </w:rPr>
        <w:tab/>
      </w:r>
      <w:r>
        <w:rPr>
          <w:rFonts w:hint="eastAsia" w:ascii="宋体" w:hAnsi="宋体" w:eastAsia="宋体"/>
          <w:b w:val="0"/>
          <w:color w:val="auto"/>
          <w:highlight w:val="none"/>
        </w:rPr>
        <w:fldChar w:fldCharType="begin"/>
      </w:r>
      <w:r>
        <w:rPr>
          <w:rFonts w:hint="eastAsia" w:ascii="宋体" w:hAnsi="宋体" w:eastAsia="宋体"/>
          <w:b w:val="0"/>
          <w:color w:val="auto"/>
          <w:highlight w:val="none"/>
        </w:rPr>
        <w:instrText xml:space="preserve"> </w:instrText>
      </w:r>
      <w:r>
        <w:rPr>
          <w:rFonts w:ascii="宋体" w:hAnsi="宋体" w:eastAsia="宋体"/>
          <w:b w:val="0"/>
          <w:color w:val="auto"/>
          <w:highlight w:val="none"/>
        </w:rPr>
        <w:instrText xml:space="preserve">PAGEREF _Toc228982294 \h</w:instrText>
      </w:r>
      <w:r>
        <w:rPr>
          <w:rFonts w:hint="eastAsia" w:ascii="宋体" w:hAnsi="宋体" w:eastAsia="宋体"/>
          <w:b w:val="0"/>
          <w:color w:val="auto"/>
          <w:highlight w:val="none"/>
        </w:rPr>
        <w:instrText xml:space="preserve"> </w:instrText>
      </w:r>
      <w:r>
        <w:rPr>
          <w:rFonts w:hint="eastAsia" w:ascii="宋体" w:hAnsi="宋体" w:eastAsia="宋体"/>
          <w:b w:val="0"/>
          <w:color w:val="auto"/>
          <w:highlight w:val="none"/>
        </w:rPr>
        <w:fldChar w:fldCharType="separate"/>
      </w:r>
      <w:r>
        <w:rPr>
          <w:rFonts w:hint="eastAsia" w:ascii="宋体" w:hAnsi="宋体" w:eastAsia="宋体"/>
          <w:b w:val="0"/>
          <w:color w:val="auto"/>
          <w:highlight w:val="none"/>
        </w:rPr>
        <w:t>3</w:t>
      </w:r>
      <w:r>
        <w:rPr>
          <w:rFonts w:hint="eastAsia" w:ascii="宋体" w:hAnsi="宋体" w:eastAsia="宋体"/>
          <w:b w:val="0"/>
          <w:color w:val="auto"/>
          <w:highlight w:val="none"/>
        </w:rPr>
        <w:fldChar w:fldCharType="end"/>
      </w:r>
      <w:r>
        <w:rPr>
          <w:rFonts w:hint="eastAsia" w:ascii="宋体" w:hAnsi="宋体" w:eastAsia="宋体"/>
          <w:b w:val="0"/>
          <w:color w:val="auto"/>
          <w:highlight w:val="none"/>
        </w:rPr>
        <w:fldChar w:fldCharType="end"/>
      </w:r>
    </w:p>
    <w:p w14:paraId="3365B57B">
      <w:pPr>
        <w:pStyle w:val="24"/>
        <w:tabs>
          <w:tab w:val="right" w:leader="dot" w:pos="9061"/>
        </w:tabs>
        <w:spacing w:line="360" w:lineRule="auto"/>
        <w:rPr>
          <w:rFonts w:hint="eastAsia" w:ascii="宋体" w:hAnsi="宋体" w:eastAsia="宋体" w:cstheme="minorBidi"/>
          <w:b w:val="0"/>
          <w:caps w:val="0"/>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"_Toc228982301" </w:instrText>
      </w:r>
      <w:r>
        <w:rPr>
          <w:color w:val="auto"/>
          <w:highlight w:val="none"/>
        </w:rPr>
        <w:fldChar w:fldCharType="separate"/>
      </w:r>
      <w:r>
        <w:rPr>
          <w:rStyle w:val="42"/>
          <w:rFonts w:hint="eastAsia" w:ascii="宋体" w:hAnsi="宋体" w:eastAsia="宋体" w:cs="宋体"/>
          <w:b w:val="0"/>
          <w:color w:val="auto"/>
          <w:highlight w:val="none"/>
        </w:rPr>
        <w:t>第二章 谈判申请人须知</w:t>
      </w:r>
      <w:r>
        <w:rPr>
          <w:rFonts w:hint="eastAsia" w:ascii="宋体" w:hAnsi="宋体" w:eastAsia="宋体"/>
          <w:b w:val="0"/>
          <w:color w:val="auto"/>
          <w:highlight w:val="none"/>
        </w:rPr>
        <w:tab/>
      </w:r>
      <w:r>
        <w:rPr>
          <w:rFonts w:hint="eastAsia" w:ascii="宋体" w:hAnsi="宋体" w:eastAsia="宋体"/>
          <w:b w:val="0"/>
          <w:color w:val="auto"/>
          <w:highlight w:val="none"/>
        </w:rPr>
        <w:fldChar w:fldCharType="begin"/>
      </w:r>
      <w:r>
        <w:rPr>
          <w:rFonts w:hint="eastAsia" w:ascii="宋体" w:hAnsi="宋体" w:eastAsia="宋体"/>
          <w:b w:val="0"/>
          <w:color w:val="auto"/>
          <w:highlight w:val="none"/>
        </w:rPr>
        <w:instrText xml:space="preserve"> </w:instrText>
      </w:r>
      <w:r>
        <w:rPr>
          <w:rFonts w:ascii="宋体" w:hAnsi="宋体" w:eastAsia="宋体"/>
          <w:b w:val="0"/>
          <w:color w:val="auto"/>
          <w:highlight w:val="none"/>
        </w:rPr>
        <w:instrText xml:space="preserve">PAGEREF _Toc228982301 \h</w:instrText>
      </w:r>
      <w:r>
        <w:rPr>
          <w:rFonts w:hint="eastAsia" w:ascii="宋体" w:hAnsi="宋体" w:eastAsia="宋体"/>
          <w:b w:val="0"/>
          <w:color w:val="auto"/>
          <w:highlight w:val="none"/>
        </w:rPr>
        <w:instrText xml:space="preserve"> </w:instrText>
      </w:r>
      <w:r>
        <w:rPr>
          <w:rFonts w:hint="eastAsia" w:ascii="宋体" w:hAnsi="宋体" w:eastAsia="宋体"/>
          <w:b w:val="0"/>
          <w:color w:val="auto"/>
          <w:highlight w:val="none"/>
        </w:rPr>
        <w:fldChar w:fldCharType="separate"/>
      </w:r>
      <w:r>
        <w:rPr>
          <w:rFonts w:hint="eastAsia" w:ascii="宋体" w:hAnsi="宋体" w:eastAsia="宋体"/>
          <w:b w:val="0"/>
          <w:color w:val="auto"/>
          <w:highlight w:val="none"/>
        </w:rPr>
        <w:t>8</w:t>
      </w:r>
      <w:r>
        <w:rPr>
          <w:rFonts w:hint="eastAsia" w:ascii="宋体" w:hAnsi="宋体" w:eastAsia="宋体"/>
          <w:b w:val="0"/>
          <w:color w:val="auto"/>
          <w:highlight w:val="none"/>
        </w:rPr>
        <w:fldChar w:fldCharType="end"/>
      </w:r>
      <w:r>
        <w:rPr>
          <w:rFonts w:hint="eastAsia" w:ascii="宋体" w:hAnsi="宋体" w:eastAsia="宋体"/>
          <w:b w:val="0"/>
          <w:color w:val="auto"/>
          <w:highlight w:val="none"/>
        </w:rPr>
        <w:fldChar w:fldCharType="end"/>
      </w:r>
    </w:p>
    <w:p w14:paraId="5FEFF67D">
      <w:pPr>
        <w:pStyle w:val="29"/>
        <w:tabs>
          <w:tab w:val="right" w:leader="dot" w:pos="9061"/>
        </w:tabs>
        <w:spacing w:line="360" w:lineRule="auto"/>
        <w:rPr>
          <w:rFonts w:hint="eastAsia" w:ascii="宋体" w:hAnsi="宋体" w:eastAsia="宋体" w:cstheme="minorBidi"/>
          <w:bCs/>
          <w:smallCaps w:val="0"/>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"_Toc228982302" </w:instrText>
      </w:r>
      <w:r>
        <w:rPr>
          <w:color w:val="auto"/>
          <w:highlight w:val="none"/>
        </w:rPr>
        <w:fldChar w:fldCharType="separate"/>
      </w:r>
      <w:r>
        <w:rPr>
          <w:rStyle w:val="42"/>
          <w:rFonts w:hint="eastAsia" w:ascii="宋体" w:hAnsi="宋体" w:eastAsia="宋体" w:cs="宋体"/>
          <w:bCs/>
          <w:color w:val="auto"/>
          <w:highlight w:val="none"/>
        </w:rPr>
        <w:t>申请人须知前附表</w:t>
      </w:r>
      <w:r>
        <w:rPr>
          <w:rFonts w:hint="eastAsia" w:ascii="宋体" w:hAnsi="宋体" w:eastAsia="宋体"/>
          <w:bCs/>
          <w:color w:val="auto"/>
          <w:highlight w:val="none"/>
        </w:rPr>
        <w:tab/>
      </w:r>
      <w:r>
        <w:rPr>
          <w:rFonts w:hint="eastAsia" w:ascii="宋体" w:hAnsi="宋体" w:eastAsia="宋体"/>
          <w:bCs/>
          <w:color w:val="auto"/>
          <w:highlight w:val="none"/>
        </w:rPr>
        <w:fldChar w:fldCharType="begin"/>
      </w:r>
      <w:r>
        <w:rPr>
          <w:rFonts w:hint="eastAsia" w:ascii="宋体" w:hAnsi="宋体" w:eastAsia="宋体"/>
          <w:bCs/>
          <w:color w:val="auto"/>
          <w:highlight w:val="none"/>
        </w:rPr>
        <w:instrText xml:space="preserve"> </w:instrText>
      </w:r>
      <w:r>
        <w:rPr>
          <w:rFonts w:ascii="宋体" w:hAnsi="宋体" w:eastAsia="宋体"/>
          <w:bCs/>
          <w:color w:val="auto"/>
          <w:highlight w:val="none"/>
        </w:rPr>
        <w:instrText xml:space="preserve">PAGEREF _Toc228982302 \h</w:instrText>
      </w:r>
      <w:r>
        <w:rPr>
          <w:rFonts w:hint="eastAsia" w:ascii="宋体" w:hAnsi="宋体" w:eastAsia="宋体"/>
          <w:bCs/>
          <w:color w:val="auto"/>
          <w:highlight w:val="none"/>
        </w:rPr>
        <w:instrText xml:space="preserve"> </w:instrText>
      </w:r>
      <w:r>
        <w:rPr>
          <w:rFonts w:hint="eastAsia" w:ascii="宋体" w:hAnsi="宋体" w:eastAsia="宋体"/>
          <w:bCs/>
          <w:color w:val="auto"/>
          <w:highlight w:val="none"/>
        </w:rPr>
        <w:fldChar w:fldCharType="separate"/>
      </w:r>
      <w:r>
        <w:rPr>
          <w:rFonts w:hint="eastAsia" w:ascii="宋体" w:hAnsi="宋体" w:eastAsia="宋体"/>
          <w:bCs/>
          <w:color w:val="auto"/>
          <w:highlight w:val="none"/>
        </w:rPr>
        <w:t>9</w:t>
      </w:r>
      <w:r>
        <w:rPr>
          <w:rFonts w:hint="eastAsia" w:ascii="宋体" w:hAnsi="宋体" w:eastAsia="宋体"/>
          <w:bCs/>
          <w:color w:val="auto"/>
          <w:highlight w:val="none"/>
        </w:rPr>
        <w:fldChar w:fldCharType="end"/>
      </w:r>
      <w:r>
        <w:rPr>
          <w:rFonts w:hint="eastAsia" w:ascii="宋体" w:hAnsi="宋体" w:eastAsia="宋体"/>
          <w:bCs/>
          <w:color w:val="auto"/>
          <w:highlight w:val="none"/>
        </w:rPr>
        <w:fldChar w:fldCharType="end"/>
      </w:r>
    </w:p>
    <w:p w14:paraId="13D00C34">
      <w:pPr>
        <w:pStyle w:val="29"/>
        <w:tabs>
          <w:tab w:val="right" w:leader="dot" w:pos="9061"/>
        </w:tabs>
        <w:spacing w:line="360" w:lineRule="auto"/>
        <w:rPr>
          <w:rFonts w:hint="eastAsia" w:ascii="宋体" w:hAnsi="宋体" w:eastAsia="宋体" w:cstheme="minorBidi"/>
          <w:bCs/>
          <w:smallCaps w:val="0"/>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"_Toc228982308" </w:instrText>
      </w:r>
      <w:r>
        <w:rPr>
          <w:color w:val="auto"/>
          <w:highlight w:val="none"/>
        </w:rPr>
        <w:fldChar w:fldCharType="separate"/>
      </w:r>
      <w:r>
        <w:rPr>
          <w:rStyle w:val="42"/>
          <w:rFonts w:hint="eastAsia" w:ascii="宋体" w:hAnsi="宋体" w:eastAsia="宋体" w:cs="宋体"/>
          <w:bCs/>
          <w:color w:val="auto"/>
          <w:highlight w:val="none"/>
        </w:rPr>
        <w:t>总  则</w:t>
      </w:r>
      <w:r>
        <w:rPr>
          <w:rFonts w:hint="eastAsia" w:ascii="宋体" w:hAnsi="宋体" w:eastAsia="宋体"/>
          <w:bCs/>
          <w:color w:val="auto"/>
          <w:highlight w:val="none"/>
        </w:rPr>
        <w:tab/>
      </w:r>
      <w:r>
        <w:rPr>
          <w:rFonts w:hint="eastAsia" w:ascii="宋体" w:hAnsi="宋体" w:eastAsia="宋体"/>
          <w:bCs/>
          <w:color w:val="auto"/>
          <w:highlight w:val="none"/>
        </w:rPr>
        <w:fldChar w:fldCharType="begin"/>
      </w:r>
      <w:r>
        <w:rPr>
          <w:rFonts w:hint="eastAsia" w:ascii="宋体" w:hAnsi="宋体" w:eastAsia="宋体"/>
          <w:bCs/>
          <w:color w:val="auto"/>
          <w:highlight w:val="none"/>
        </w:rPr>
        <w:instrText xml:space="preserve"> </w:instrText>
      </w:r>
      <w:r>
        <w:rPr>
          <w:rFonts w:ascii="宋体" w:hAnsi="宋体" w:eastAsia="宋体"/>
          <w:bCs/>
          <w:color w:val="auto"/>
          <w:highlight w:val="none"/>
        </w:rPr>
        <w:instrText xml:space="preserve">PAGEREF _Toc228982308 \h</w:instrText>
      </w:r>
      <w:r>
        <w:rPr>
          <w:rFonts w:hint="eastAsia" w:ascii="宋体" w:hAnsi="宋体" w:eastAsia="宋体"/>
          <w:bCs/>
          <w:color w:val="auto"/>
          <w:highlight w:val="none"/>
        </w:rPr>
        <w:instrText xml:space="preserve"> </w:instrText>
      </w:r>
      <w:r>
        <w:rPr>
          <w:rFonts w:hint="eastAsia" w:ascii="宋体" w:hAnsi="宋体" w:eastAsia="宋体"/>
          <w:bCs/>
          <w:color w:val="auto"/>
          <w:highlight w:val="none"/>
        </w:rPr>
        <w:fldChar w:fldCharType="separate"/>
      </w:r>
      <w:r>
        <w:rPr>
          <w:rFonts w:hint="eastAsia" w:ascii="宋体" w:hAnsi="宋体" w:eastAsia="宋体"/>
          <w:bCs/>
          <w:color w:val="auto"/>
          <w:highlight w:val="none"/>
        </w:rPr>
        <w:t>11</w:t>
      </w:r>
      <w:r>
        <w:rPr>
          <w:rFonts w:hint="eastAsia" w:ascii="宋体" w:hAnsi="宋体" w:eastAsia="宋体"/>
          <w:bCs/>
          <w:color w:val="auto"/>
          <w:highlight w:val="none"/>
        </w:rPr>
        <w:fldChar w:fldCharType="end"/>
      </w:r>
      <w:r>
        <w:rPr>
          <w:rFonts w:hint="eastAsia" w:ascii="宋体" w:hAnsi="宋体" w:eastAsia="宋体"/>
          <w:bCs/>
          <w:color w:val="auto"/>
          <w:highlight w:val="none"/>
        </w:rPr>
        <w:fldChar w:fldCharType="end"/>
      </w:r>
    </w:p>
    <w:p w14:paraId="2F70E4DC">
      <w:pPr>
        <w:pStyle w:val="24"/>
        <w:tabs>
          <w:tab w:val="right" w:leader="dot" w:pos="9061"/>
        </w:tabs>
        <w:spacing w:line="360" w:lineRule="auto"/>
        <w:rPr>
          <w:rFonts w:hint="eastAsia" w:ascii="宋体" w:hAnsi="宋体" w:eastAsia="宋体" w:cstheme="minorBidi"/>
          <w:b w:val="0"/>
          <w:caps w:val="0"/>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"_Toc228982321" </w:instrText>
      </w:r>
      <w:r>
        <w:rPr>
          <w:color w:val="auto"/>
          <w:highlight w:val="none"/>
        </w:rPr>
        <w:fldChar w:fldCharType="separate"/>
      </w:r>
      <w:r>
        <w:rPr>
          <w:rStyle w:val="42"/>
          <w:rFonts w:hint="eastAsia" w:ascii="宋体" w:hAnsi="宋体" w:eastAsia="宋体" w:cs="宋体"/>
          <w:b w:val="0"/>
          <w:color w:val="auto"/>
          <w:highlight w:val="none"/>
        </w:rPr>
        <w:t>第三章  项目需求</w:t>
      </w:r>
      <w:r>
        <w:rPr>
          <w:rFonts w:hint="eastAsia" w:ascii="宋体" w:hAnsi="宋体" w:eastAsia="宋体"/>
          <w:b w:val="0"/>
          <w:color w:val="auto"/>
          <w:highlight w:val="none"/>
        </w:rPr>
        <w:tab/>
      </w:r>
      <w:r>
        <w:rPr>
          <w:rFonts w:hint="eastAsia" w:ascii="宋体" w:hAnsi="宋体" w:eastAsia="宋体"/>
          <w:b w:val="0"/>
          <w:color w:val="auto"/>
          <w:highlight w:val="none"/>
        </w:rPr>
        <w:fldChar w:fldCharType="begin"/>
      </w:r>
      <w:r>
        <w:rPr>
          <w:rFonts w:hint="eastAsia" w:ascii="宋体" w:hAnsi="宋体" w:eastAsia="宋体"/>
          <w:b w:val="0"/>
          <w:color w:val="auto"/>
          <w:highlight w:val="none"/>
        </w:rPr>
        <w:instrText xml:space="preserve"> </w:instrText>
      </w:r>
      <w:r>
        <w:rPr>
          <w:rFonts w:ascii="宋体" w:hAnsi="宋体" w:eastAsia="宋体"/>
          <w:b w:val="0"/>
          <w:color w:val="auto"/>
          <w:highlight w:val="none"/>
        </w:rPr>
        <w:instrText xml:space="preserve">PAGEREF _Toc228982321 \h</w:instrText>
      </w:r>
      <w:r>
        <w:rPr>
          <w:rFonts w:hint="eastAsia" w:ascii="宋体" w:hAnsi="宋体" w:eastAsia="宋体"/>
          <w:b w:val="0"/>
          <w:color w:val="auto"/>
          <w:highlight w:val="none"/>
        </w:rPr>
        <w:instrText xml:space="preserve"> </w:instrText>
      </w:r>
      <w:r>
        <w:rPr>
          <w:rFonts w:hint="eastAsia" w:ascii="宋体" w:hAnsi="宋体" w:eastAsia="宋体"/>
          <w:b w:val="0"/>
          <w:color w:val="auto"/>
          <w:highlight w:val="none"/>
        </w:rPr>
        <w:fldChar w:fldCharType="separate"/>
      </w:r>
      <w:r>
        <w:rPr>
          <w:rFonts w:hint="eastAsia" w:ascii="宋体" w:hAnsi="宋体" w:eastAsia="宋体"/>
          <w:b w:val="0"/>
          <w:color w:val="auto"/>
          <w:highlight w:val="none"/>
        </w:rPr>
        <w:t>17</w:t>
      </w:r>
      <w:r>
        <w:rPr>
          <w:rFonts w:hint="eastAsia" w:ascii="宋体" w:hAnsi="宋体" w:eastAsia="宋体"/>
          <w:b w:val="0"/>
          <w:color w:val="auto"/>
          <w:highlight w:val="none"/>
        </w:rPr>
        <w:fldChar w:fldCharType="end"/>
      </w:r>
      <w:r>
        <w:rPr>
          <w:rFonts w:hint="eastAsia" w:ascii="宋体" w:hAnsi="宋体" w:eastAsia="宋体"/>
          <w:b w:val="0"/>
          <w:color w:val="auto"/>
          <w:highlight w:val="none"/>
        </w:rPr>
        <w:fldChar w:fldCharType="end"/>
      </w:r>
    </w:p>
    <w:p w14:paraId="190887B8">
      <w:pPr>
        <w:pStyle w:val="24"/>
        <w:tabs>
          <w:tab w:val="right" w:leader="dot" w:pos="9061"/>
        </w:tabs>
        <w:spacing w:line="360" w:lineRule="auto"/>
        <w:rPr>
          <w:rFonts w:hint="eastAsia" w:ascii="宋体" w:hAnsi="宋体" w:eastAsia="宋体" w:cstheme="minorBidi"/>
          <w:b w:val="0"/>
          <w:caps w:val="0"/>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"_Toc228982322" </w:instrText>
      </w:r>
      <w:r>
        <w:rPr>
          <w:color w:val="auto"/>
          <w:highlight w:val="none"/>
        </w:rPr>
        <w:fldChar w:fldCharType="separate"/>
      </w:r>
      <w:r>
        <w:rPr>
          <w:rStyle w:val="42"/>
          <w:rFonts w:hint="eastAsia" w:ascii="宋体" w:hAnsi="宋体" w:eastAsia="宋体" w:cs="宋体"/>
          <w:b w:val="0"/>
          <w:color w:val="auto"/>
          <w:highlight w:val="none"/>
        </w:rPr>
        <w:t>第四章  合同条款</w:t>
      </w:r>
      <w:r>
        <w:rPr>
          <w:rFonts w:hint="eastAsia" w:ascii="宋体" w:hAnsi="宋体" w:eastAsia="宋体"/>
          <w:b w:val="0"/>
          <w:color w:val="auto"/>
          <w:highlight w:val="none"/>
        </w:rPr>
        <w:tab/>
      </w:r>
      <w:r>
        <w:rPr>
          <w:rFonts w:hint="eastAsia" w:ascii="宋体" w:hAnsi="宋体" w:eastAsia="宋体"/>
          <w:b w:val="0"/>
          <w:color w:val="auto"/>
          <w:highlight w:val="none"/>
        </w:rPr>
        <w:fldChar w:fldCharType="begin"/>
      </w:r>
      <w:r>
        <w:rPr>
          <w:rFonts w:hint="eastAsia" w:ascii="宋体" w:hAnsi="宋体" w:eastAsia="宋体"/>
          <w:b w:val="0"/>
          <w:color w:val="auto"/>
          <w:highlight w:val="none"/>
        </w:rPr>
        <w:instrText xml:space="preserve"> </w:instrText>
      </w:r>
      <w:r>
        <w:rPr>
          <w:rFonts w:ascii="宋体" w:hAnsi="宋体" w:eastAsia="宋体"/>
          <w:b w:val="0"/>
          <w:color w:val="auto"/>
          <w:highlight w:val="none"/>
        </w:rPr>
        <w:instrText xml:space="preserve">PAGEREF _Toc228982322 \h</w:instrText>
      </w:r>
      <w:r>
        <w:rPr>
          <w:rFonts w:hint="eastAsia" w:ascii="宋体" w:hAnsi="宋体" w:eastAsia="宋体"/>
          <w:b w:val="0"/>
          <w:color w:val="auto"/>
          <w:highlight w:val="none"/>
        </w:rPr>
        <w:instrText xml:space="preserve"> </w:instrText>
      </w:r>
      <w:r>
        <w:rPr>
          <w:rFonts w:hint="eastAsia" w:ascii="宋体" w:hAnsi="宋体" w:eastAsia="宋体"/>
          <w:b w:val="0"/>
          <w:color w:val="auto"/>
          <w:highlight w:val="none"/>
        </w:rPr>
        <w:fldChar w:fldCharType="separate"/>
      </w:r>
      <w:r>
        <w:rPr>
          <w:rFonts w:hint="eastAsia" w:ascii="宋体" w:hAnsi="宋体" w:eastAsia="宋体"/>
          <w:b w:val="0"/>
          <w:color w:val="auto"/>
          <w:highlight w:val="none"/>
        </w:rPr>
        <w:t>31</w:t>
      </w:r>
      <w:r>
        <w:rPr>
          <w:rFonts w:hint="eastAsia" w:ascii="宋体" w:hAnsi="宋体" w:eastAsia="宋体"/>
          <w:b w:val="0"/>
          <w:color w:val="auto"/>
          <w:highlight w:val="none"/>
        </w:rPr>
        <w:fldChar w:fldCharType="end"/>
      </w:r>
      <w:r>
        <w:rPr>
          <w:rFonts w:hint="eastAsia" w:ascii="宋体" w:hAnsi="宋体" w:eastAsia="宋体"/>
          <w:b w:val="0"/>
          <w:color w:val="auto"/>
          <w:highlight w:val="none"/>
        </w:rPr>
        <w:fldChar w:fldCharType="end"/>
      </w:r>
    </w:p>
    <w:p w14:paraId="774B4F5E">
      <w:pPr>
        <w:pStyle w:val="29"/>
        <w:tabs>
          <w:tab w:val="right" w:leader="dot" w:pos="9061"/>
        </w:tabs>
        <w:spacing w:line="360" w:lineRule="auto"/>
        <w:rPr>
          <w:rFonts w:hint="eastAsia" w:ascii="宋体" w:hAnsi="宋体" w:eastAsia="宋体" w:cstheme="minorBidi"/>
          <w:bCs/>
          <w:smallCaps w:val="0"/>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"_Toc228982323" </w:instrText>
      </w:r>
      <w:r>
        <w:rPr>
          <w:color w:val="auto"/>
          <w:highlight w:val="none"/>
        </w:rPr>
        <w:fldChar w:fldCharType="separate"/>
      </w:r>
      <w:r>
        <w:rPr>
          <w:rStyle w:val="42"/>
          <w:rFonts w:hint="eastAsia" w:ascii="宋体" w:hAnsi="宋体" w:eastAsia="宋体" w:cs="宋体"/>
          <w:bCs/>
          <w:color w:val="auto"/>
          <w:highlight w:val="none"/>
        </w:rPr>
        <w:t>一、合同条款前附表</w:t>
      </w:r>
      <w:r>
        <w:rPr>
          <w:rFonts w:hint="eastAsia" w:ascii="宋体" w:hAnsi="宋体" w:eastAsia="宋体"/>
          <w:bCs/>
          <w:color w:val="auto"/>
          <w:highlight w:val="none"/>
        </w:rPr>
        <w:tab/>
      </w:r>
      <w:r>
        <w:rPr>
          <w:rFonts w:hint="eastAsia" w:ascii="宋体" w:hAnsi="宋体" w:eastAsia="宋体"/>
          <w:bCs/>
          <w:color w:val="auto"/>
          <w:highlight w:val="none"/>
        </w:rPr>
        <w:fldChar w:fldCharType="begin"/>
      </w:r>
      <w:r>
        <w:rPr>
          <w:rFonts w:hint="eastAsia" w:ascii="宋体" w:hAnsi="宋体" w:eastAsia="宋体"/>
          <w:bCs/>
          <w:color w:val="auto"/>
          <w:highlight w:val="none"/>
        </w:rPr>
        <w:instrText xml:space="preserve"> </w:instrText>
      </w:r>
      <w:r>
        <w:rPr>
          <w:rFonts w:ascii="宋体" w:hAnsi="宋体" w:eastAsia="宋体"/>
          <w:bCs/>
          <w:color w:val="auto"/>
          <w:highlight w:val="none"/>
        </w:rPr>
        <w:instrText xml:space="preserve">PAGEREF _Toc228982323 \h</w:instrText>
      </w:r>
      <w:r>
        <w:rPr>
          <w:rFonts w:hint="eastAsia" w:ascii="宋体" w:hAnsi="宋体" w:eastAsia="宋体"/>
          <w:bCs/>
          <w:color w:val="auto"/>
          <w:highlight w:val="none"/>
        </w:rPr>
        <w:instrText xml:space="preserve"> </w:instrText>
      </w:r>
      <w:r>
        <w:rPr>
          <w:rFonts w:hint="eastAsia" w:ascii="宋体" w:hAnsi="宋体" w:eastAsia="宋体"/>
          <w:bCs/>
          <w:color w:val="auto"/>
          <w:highlight w:val="none"/>
        </w:rPr>
        <w:fldChar w:fldCharType="separate"/>
      </w:r>
      <w:r>
        <w:rPr>
          <w:rFonts w:hint="eastAsia" w:ascii="宋体" w:hAnsi="宋体" w:eastAsia="宋体"/>
          <w:bCs/>
          <w:color w:val="auto"/>
          <w:highlight w:val="none"/>
        </w:rPr>
        <w:t>32</w:t>
      </w:r>
      <w:r>
        <w:rPr>
          <w:rFonts w:hint="eastAsia" w:ascii="宋体" w:hAnsi="宋体" w:eastAsia="宋体"/>
          <w:bCs/>
          <w:color w:val="auto"/>
          <w:highlight w:val="none"/>
        </w:rPr>
        <w:fldChar w:fldCharType="end"/>
      </w:r>
      <w:r>
        <w:rPr>
          <w:rFonts w:hint="eastAsia" w:ascii="宋体" w:hAnsi="宋体" w:eastAsia="宋体"/>
          <w:bCs/>
          <w:color w:val="auto"/>
          <w:highlight w:val="none"/>
        </w:rPr>
        <w:fldChar w:fldCharType="end"/>
      </w:r>
    </w:p>
    <w:p w14:paraId="1F30CBD3">
      <w:pPr>
        <w:pStyle w:val="29"/>
        <w:tabs>
          <w:tab w:val="right" w:leader="dot" w:pos="9061"/>
        </w:tabs>
        <w:spacing w:line="360" w:lineRule="auto"/>
        <w:rPr>
          <w:rFonts w:hint="eastAsia" w:ascii="宋体" w:hAnsi="宋体" w:eastAsia="宋体" w:cstheme="minorBidi"/>
          <w:bCs/>
          <w:smallCaps w:val="0"/>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"_Toc228982324" </w:instrText>
      </w:r>
      <w:r>
        <w:rPr>
          <w:color w:val="auto"/>
          <w:highlight w:val="none"/>
        </w:rPr>
        <w:fldChar w:fldCharType="separate"/>
      </w:r>
      <w:r>
        <w:rPr>
          <w:rStyle w:val="42"/>
          <w:rFonts w:hint="eastAsia" w:ascii="宋体" w:hAnsi="宋体" w:eastAsia="宋体" w:cs="宋体"/>
          <w:bCs/>
          <w:color w:val="auto"/>
          <w:highlight w:val="none"/>
        </w:rPr>
        <w:t>二、合同书样式及主要条款</w:t>
      </w:r>
      <w:r>
        <w:rPr>
          <w:rFonts w:hint="eastAsia" w:ascii="宋体" w:hAnsi="宋体" w:eastAsia="宋体"/>
          <w:bCs/>
          <w:color w:val="auto"/>
          <w:highlight w:val="none"/>
        </w:rPr>
        <w:tab/>
      </w:r>
      <w:r>
        <w:rPr>
          <w:rFonts w:hint="eastAsia" w:ascii="宋体" w:hAnsi="宋体" w:eastAsia="宋体"/>
          <w:bCs/>
          <w:color w:val="auto"/>
          <w:highlight w:val="none"/>
        </w:rPr>
        <w:fldChar w:fldCharType="begin"/>
      </w:r>
      <w:r>
        <w:rPr>
          <w:rFonts w:hint="eastAsia" w:ascii="宋体" w:hAnsi="宋体" w:eastAsia="宋体"/>
          <w:bCs/>
          <w:color w:val="auto"/>
          <w:highlight w:val="none"/>
        </w:rPr>
        <w:instrText xml:space="preserve"> </w:instrText>
      </w:r>
      <w:r>
        <w:rPr>
          <w:rFonts w:ascii="宋体" w:hAnsi="宋体" w:eastAsia="宋体"/>
          <w:bCs/>
          <w:color w:val="auto"/>
          <w:highlight w:val="none"/>
        </w:rPr>
        <w:instrText xml:space="preserve">PAGEREF _Toc228982324 \h</w:instrText>
      </w:r>
      <w:r>
        <w:rPr>
          <w:rFonts w:hint="eastAsia" w:ascii="宋体" w:hAnsi="宋体" w:eastAsia="宋体"/>
          <w:bCs/>
          <w:color w:val="auto"/>
          <w:highlight w:val="none"/>
        </w:rPr>
        <w:instrText xml:space="preserve"> </w:instrText>
      </w:r>
      <w:r>
        <w:rPr>
          <w:rFonts w:hint="eastAsia" w:ascii="宋体" w:hAnsi="宋体" w:eastAsia="宋体"/>
          <w:bCs/>
          <w:color w:val="auto"/>
          <w:highlight w:val="none"/>
        </w:rPr>
        <w:fldChar w:fldCharType="separate"/>
      </w:r>
      <w:r>
        <w:rPr>
          <w:rFonts w:hint="eastAsia" w:ascii="宋体" w:hAnsi="宋体" w:eastAsia="宋体"/>
          <w:bCs/>
          <w:color w:val="auto"/>
          <w:highlight w:val="none"/>
        </w:rPr>
        <w:t>33</w:t>
      </w:r>
      <w:r>
        <w:rPr>
          <w:rFonts w:hint="eastAsia" w:ascii="宋体" w:hAnsi="宋体" w:eastAsia="宋体"/>
          <w:bCs/>
          <w:color w:val="auto"/>
          <w:highlight w:val="none"/>
        </w:rPr>
        <w:fldChar w:fldCharType="end"/>
      </w:r>
      <w:r>
        <w:rPr>
          <w:rFonts w:hint="eastAsia" w:ascii="宋体" w:hAnsi="宋体" w:eastAsia="宋体"/>
          <w:bCs/>
          <w:color w:val="auto"/>
          <w:highlight w:val="none"/>
        </w:rPr>
        <w:fldChar w:fldCharType="end"/>
      </w:r>
    </w:p>
    <w:p w14:paraId="2E082F1A">
      <w:pPr>
        <w:pStyle w:val="24"/>
        <w:tabs>
          <w:tab w:val="right" w:leader="dot" w:pos="9061"/>
        </w:tabs>
        <w:spacing w:line="360" w:lineRule="auto"/>
        <w:rPr>
          <w:rFonts w:hint="eastAsia" w:ascii="宋体" w:hAnsi="宋体" w:eastAsia="宋体" w:cstheme="minorBidi"/>
          <w:b w:val="0"/>
          <w:caps w:val="0"/>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"_Toc228982325" </w:instrText>
      </w:r>
      <w:r>
        <w:rPr>
          <w:color w:val="auto"/>
          <w:highlight w:val="none"/>
        </w:rPr>
        <w:fldChar w:fldCharType="separate"/>
      </w:r>
      <w:r>
        <w:rPr>
          <w:rStyle w:val="42"/>
          <w:rFonts w:hint="eastAsia" w:ascii="宋体" w:hAnsi="宋体" w:eastAsia="宋体" w:cs="宋体"/>
          <w:b w:val="0"/>
          <w:color w:val="auto"/>
          <w:highlight w:val="none"/>
        </w:rPr>
        <w:t>第五章  谈判申请文件格式</w:t>
      </w:r>
      <w:r>
        <w:rPr>
          <w:rFonts w:hint="eastAsia" w:ascii="宋体" w:hAnsi="宋体" w:eastAsia="宋体"/>
          <w:b w:val="0"/>
          <w:color w:val="auto"/>
          <w:highlight w:val="none"/>
        </w:rPr>
        <w:tab/>
      </w:r>
      <w:r>
        <w:rPr>
          <w:rFonts w:hint="eastAsia" w:ascii="宋体" w:hAnsi="宋体" w:eastAsia="宋体"/>
          <w:b w:val="0"/>
          <w:color w:val="auto"/>
          <w:highlight w:val="none"/>
        </w:rPr>
        <w:fldChar w:fldCharType="begin"/>
      </w:r>
      <w:r>
        <w:rPr>
          <w:rFonts w:hint="eastAsia" w:ascii="宋体" w:hAnsi="宋体" w:eastAsia="宋体"/>
          <w:b w:val="0"/>
          <w:color w:val="auto"/>
          <w:highlight w:val="none"/>
        </w:rPr>
        <w:instrText xml:space="preserve"> </w:instrText>
      </w:r>
      <w:r>
        <w:rPr>
          <w:rFonts w:ascii="宋体" w:hAnsi="宋体" w:eastAsia="宋体"/>
          <w:b w:val="0"/>
          <w:color w:val="auto"/>
          <w:highlight w:val="none"/>
        </w:rPr>
        <w:instrText xml:space="preserve">PAGEREF _Toc228982325 \h</w:instrText>
      </w:r>
      <w:r>
        <w:rPr>
          <w:rFonts w:hint="eastAsia" w:ascii="宋体" w:hAnsi="宋体" w:eastAsia="宋体"/>
          <w:b w:val="0"/>
          <w:color w:val="auto"/>
          <w:highlight w:val="none"/>
        </w:rPr>
        <w:instrText xml:space="preserve"> </w:instrText>
      </w:r>
      <w:r>
        <w:rPr>
          <w:rFonts w:hint="eastAsia" w:ascii="宋体" w:hAnsi="宋体" w:eastAsia="宋体"/>
          <w:b w:val="0"/>
          <w:color w:val="auto"/>
          <w:highlight w:val="none"/>
        </w:rPr>
        <w:fldChar w:fldCharType="separate"/>
      </w:r>
      <w:r>
        <w:rPr>
          <w:rFonts w:hint="eastAsia" w:ascii="宋体" w:hAnsi="宋体" w:eastAsia="宋体"/>
          <w:b w:val="0"/>
          <w:color w:val="auto"/>
          <w:highlight w:val="none"/>
        </w:rPr>
        <w:t>40</w:t>
      </w:r>
      <w:r>
        <w:rPr>
          <w:rFonts w:hint="eastAsia" w:ascii="宋体" w:hAnsi="宋体" w:eastAsia="宋体"/>
          <w:b w:val="0"/>
          <w:color w:val="auto"/>
          <w:highlight w:val="none"/>
        </w:rPr>
        <w:fldChar w:fldCharType="end"/>
      </w:r>
      <w:r>
        <w:rPr>
          <w:rFonts w:hint="eastAsia" w:ascii="宋体" w:hAnsi="宋体" w:eastAsia="宋体"/>
          <w:b w:val="0"/>
          <w:color w:val="auto"/>
          <w:highlight w:val="none"/>
        </w:rPr>
        <w:fldChar w:fldCharType="end"/>
      </w:r>
    </w:p>
    <w:p w14:paraId="0B03BCEF">
      <w:pPr>
        <w:pStyle w:val="29"/>
        <w:tabs>
          <w:tab w:val="right" w:leader="dot" w:pos="9061"/>
        </w:tabs>
        <w:spacing w:line="360" w:lineRule="auto"/>
        <w:ind w:left="0"/>
        <w:rPr>
          <w:rFonts w:hint="eastAsia" w:ascii="宋体" w:hAnsi="宋体" w:eastAsia="宋体" w:cstheme="minorBidi"/>
          <w:bCs/>
          <w:smallCaps w:val="0"/>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"_Toc228982348" </w:instrText>
      </w:r>
      <w:r>
        <w:rPr>
          <w:color w:val="auto"/>
          <w:highlight w:val="none"/>
        </w:rPr>
        <w:fldChar w:fldCharType="separate"/>
      </w:r>
      <w:r>
        <w:rPr>
          <w:rStyle w:val="42"/>
          <w:rFonts w:hint="eastAsia" w:ascii="宋体" w:hAnsi="宋体" w:eastAsia="宋体" w:cs="宋体"/>
          <w:bCs/>
          <w:color w:val="auto"/>
          <w:highlight w:val="none"/>
        </w:rPr>
        <w:t>第六章  谈判标准</w:t>
      </w:r>
      <w:r>
        <w:rPr>
          <w:rFonts w:hint="eastAsia" w:ascii="宋体" w:hAnsi="宋体" w:eastAsia="宋体"/>
          <w:bCs/>
          <w:color w:val="auto"/>
          <w:highlight w:val="none"/>
        </w:rPr>
        <w:tab/>
      </w:r>
      <w:r>
        <w:rPr>
          <w:rFonts w:hint="eastAsia" w:ascii="宋体" w:hAnsi="宋体" w:eastAsia="宋体"/>
          <w:bCs/>
          <w:color w:val="auto"/>
          <w:highlight w:val="none"/>
        </w:rPr>
        <w:fldChar w:fldCharType="begin"/>
      </w:r>
      <w:r>
        <w:rPr>
          <w:rFonts w:hint="eastAsia" w:ascii="宋体" w:hAnsi="宋体" w:eastAsia="宋体"/>
          <w:bCs/>
          <w:color w:val="auto"/>
          <w:highlight w:val="none"/>
        </w:rPr>
        <w:instrText xml:space="preserve"> </w:instrText>
      </w:r>
      <w:r>
        <w:rPr>
          <w:rFonts w:ascii="宋体" w:hAnsi="宋体" w:eastAsia="宋体"/>
          <w:bCs/>
          <w:color w:val="auto"/>
          <w:highlight w:val="none"/>
        </w:rPr>
        <w:instrText xml:space="preserve">PAGEREF _Toc228982348 \h</w:instrText>
      </w:r>
      <w:r>
        <w:rPr>
          <w:rFonts w:hint="eastAsia" w:ascii="宋体" w:hAnsi="宋体" w:eastAsia="宋体"/>
          <w:bCs/>
          <w:color w:val="auto"/>
          <w:highlight w:val="none"/>
        </w:rPr>
        <w:instrText xml:space="preserve"> </w:instrText>
      </w:r>
      <w:r>
        <w:rPr>
          <w:rFonts w:hint="eastAsia" w:ascii="宋体" w:hAnsi="宋体" w:eastAsia="宋体"/>
          <w:bCs/>
          <w:color w:val="auto"/>
          <w:highlight w:val="none"/>
        </w:rPr>
        <w:fldChar w:fldCharType="separate"/>
      </w:r>
      <w:r>
        <w:rPr>
          <w:rFonts w:hint="eastAsia" w:ascii="宋体" w:hAnsi="宋体" w:eastAsia="宋体"/>
          <w:bCs/>
          <w:color w:val="auto"/>
          <w:highlight w:val="none"/>
        </w:rPr>
        <w:t>57</w:t>
      </w:r>
      <w:r>
        <w:rPr>
          <w:rFonts w:hint="eastAsia" w:ascii="宋体" w:hAnsi="宋体" w:eastAsia="宋体"/>
          <w:bCs/>
          <w:color w:val="auto"/>
          <w:highlight w:val="none"/>
        </w:rPr>
        <w:fldChar w:fldCharType="end"/>
      </w:r>
      <w:r>
        <w:rPr>
          <w:rFonts w:hint="eastAsia" w:ascii="宋体" w:hAnsi="宋体" w:eastAsia="宋体"/>
          <w:bCs/>
          <w:color w:val="auto"/>
          <w:highlight w:val="none"/>
        </w:rPr>
        <w:fldChar w:fldCharType="end"/>
      </w:r>
    </w:p>
    <w:p w14:paraId="2973D10D">
      <w:pPr>
        <w:pStyle w:val="29"/>
        <w:tabs>
          <w:tab w:val="right" w:leader="dot" w:pos="9061"/>
        </w:tabs>
        <w:spacing w:line="360" w:lineRule="auto"/>
        <w:rPr>
          <w:rFonts w:hint="eastAsia" w:ascii="宋体" w:hAnsi="宋体" w:eastAsia="宋体" w:cstheme="minorBidi"/>
          <w:bCs/>
          <w:smallCaps w:val="0"/>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"_Toc228982349" </w:instrText>
      </w:r>
      <w:r>
        <w:rPr>
          <w:color w:val="auto"/>
          <w:highlight w:val="none"/>
        </w:rPr>
        <w:fldChar w:fldCharType="separate"/>
      </w:r>
      <w:r>
        <w:rPr>
          <w:rStyle w:val="42"/>
          <w:rFonts w:hint="eastAsia" w:ascii="宋体" w:hAnsi="宋体" w:eastAsia="宋体"/>
          <w:bCs/>
          <w:color w:val="auto"/>
          <w:highlight w:val="none"/>
        </w:rPr>
        <w:t>谈判程序和方法前附表</w:t>
      </w:r>
      <w:r>
        <w:rPr>
          <w:rFonts w:hint="eastAsia" w:ascii="宋体" w:hAnsi="宋体" w:eastAsia="宋体"/>
          <w:bCs/>
          <w:color w:val="auto"/>
          <w:highlight w:val="none"/>
        </w:rPr>
        <w:tab/>
      </w:r>
      <w:r>
        <w:rPr>
          <w:rFonts w:hint="eastAsia" w:ascii="宋体" w:hAnsi="宋体" w:eastAsia="宋体"/>
          <w:bCs/>
          <w:color w:val="auto"/>
          <w:highlight w:val="none"/>
        </w:rPr>
        <w:fldChar w:fldCharType="begin"/>
      </w:r>
      <w:r>
        <w:rPr>
          <w:rFonts w:hint="eastAsia" w:ascii="宋体" w:hAnsi="宋体" w:eastAsia="宋体"/>
          <w:bCs/>
          <w:color w:val="auto"/>
          <w:highlight w:val="none"/>
        </w:rPr>
        <w:instrText xml:space="preserve"> </w:instrText>
      </w:r>
      <w:r>
        <w:rPr>
          <w:rFonts w:ascii="宋体" w:hAnsi="宋体" w:eastAsia="宋体"/>
          <w:bCs/>
          <w:color w:val="auto"/>
          <w:highlight w:val="none"/>
        </w:rPr>
        <w:instrText xml:space="preserve">PAGEREF _Toc228982349 \h</w:instrText>
      </w:r>
      <w:r>
        <w:rPr>
          <w:rFonts w:hint="eastAsia" w:ascii="宋体" w:hAnsi="宋体" w:eastAsia="宋体"/>
          <w:bCs/>
          <w:color w:val="auto"/>
          <w:highlight w:val="none"/>
        </w:rPr>
        <w:instrText xml:space="preserve"> </w:instrText>
      </w:r>
      <w:r>
        <w:rPr>
          <w:rFonts w:hint="eastAsia" w:ascii="宋体" w:hAnsi="宋体" w:eastAsia="宋体"/>
          <w:bCs/>
          <w:color w:val="auto"/>
          <w:highlight w:val="none"/>
        </w:rPr>
        <w:fldChar w:fldCharType="separate"/>
      </w:r>
      <w:r>
        <w:rPr>
          <w:rFonts w:hint="eastAsia" w:ascii="宋体" w:hAnsi="宋体" w:eastAsia="宋体"/>
          <w:bCs/>
          <w:color w:val="auto"/>
          <w:highlight w:val="none"/>
        </w:rPr>
        <w:t>58</w:t>
      </w:r>
      <w:r>
        <w:rPr>
          <w:rFonts w:hint="eastAsia" w:ascii="宋体" w:hAnsi="宋体" w:eastAsia="宋体"/>
          <w:bCs/>
          <w:color w:val="auto"/>
          <w:highlight w:val="none"/>
        </w:rPr>
        <w:fldChar w:fldCharType="end"/>
      </w:r>
      <w:r>
        <w:rPr>
          <w:rFonts w:hint="eastAsia" w:ascii="宋体" w:hAnsi="宋体" w:eastAsia="宋体"/>
          <w:bCs/>
          <w:color w:val="auto"/>
          <w:highlight w:val="none"/>
        </w:rPr>
        <w:fldChar w:fldCharType="end"/>
      </w:r>
    </w:p>
    <w:p w14:paraId="5B27AA5A">
      <w:pPr>
        <w:pStyle w:val="29"/>
        <w:tabs>
          <w:tab w:val="right" w:leader="dot" w:pos="9061"/>
        </w:tabs>
        <w:spacing w:line="360" w:lineRule="auto"/>
        <w:rPr>
          <w:rFonts w:hint="eastAsia" w:ascii="宋体" w:hAnsi="宋体" w:eastAsia="宋体" w:cstheme="minorBidi"/>
          <w:bCs/>
          <w:smallCaps w:val="0"/>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"_Toc228982350" </w:instrText>
      </w:r>
      <w:r>
        <w:rPr>
          <w:color w:val="auto"/>
          <w:highlight w:val="none"/>
        </w:rPr>
        <w:fldChar w:fldCharType="separate"/>
      </w:r>
      <w:r>
        <w:rPr>
          <w:rStyle w:val="42"/>
          <w:rFonts w:hint="eastAsia" w:ascii="宋体" w:hAnsi="宋体" w:eastAsia="宋体"/>
          <w:bCs/>
          <w:color w:val="auto"/>
          <w:highlight w:val="none"/>
        </w:rPr>
        <w:t>1. 谈判方法</w:t>
      </w:r>
      <w:r>
        <w:rPr>
          <w:rFonts w:hint="eastAsia" w:ascii="宋体" w:hAnsi="宋体" w:eastAsia="宋体"/>
          <w:bCs/>
          <w:color w:val="auto"/>
          <w:highlight w:val="none"/>
        </w:rPr>
        <w:tab/>
      </w:r>
      <w:r>
        <w:rPr>
          <w:rFonts w:hint="eastAsia" w:ascii="宋体" w:hAnsi="宋体" w:eastAsia="宋体"/>
          <w:bCs/>
          <w:color w:val="auto"/>
          <w:highlight w:val="none"/>
        </w:rPr>
        <w:fldChar w:fldCharType="begin"/>
      </w:r>
      <w:r>
        <w:rPr>
          <w:rFonts w:hint="eastAsia" w:ascii="宋体" w:hAnsi="宋体" w:eastAsia="宋体"/>
          <w:bCs/>
          <w:color w:val="auto"/>
          <w:highlight w:val="none"/>
        </w:rPr>
        <w:instrText xml:space="preserve"> </w:instrText>
      </w:r>
      <w:r>
        <w:rPr>
          <w:rFonts w:ascii="宋体" w:hAnsi="宋体" w:eastAsia="宋体"/>
          <w:bCs/>
          <w:color w:val="auto"/>
          <w:highlight w:val="none"/>
        </w:rPr>
        <w:instrText xml:space="preserve">PAGEREF _Toc228982350 \h</w:instrText>
      </w:r>
      <w:r>
        <w:rPr>
          <w:rFonts w:hint="eastAsia" w:ascii="宋体" w:hAnsi="宋体" w:eastAsia="宋体"/>
          <w:bCs/>
          <w:color w:val="auto"/>
          <w:highlight w:val="none"/>
        </w:rPr>
        <w:instrText xml:space="preserve"> </w:instrText>
      </w:r>
      <w:r>
        <w:rPr>
          <w:rFonts w:hint="eastAsia" w:ascii="宋体" w:hAnsi="宋体" w:eastAsia="宋体"/>
          <w:bCs/>
          <w:color w:val="auto"/>
          <w:highlight w:val="none"/>
        </w:rPr>
        <w:fldChar w:fldCharType="separate"/>
      </w:r>
      <w:r>
        <w:rPr>
          <w:rFonts w:hint="eastAsia" w:ascii="宋体" w:hAnsi="宋体" w:eastAsia="宋体"/>
          <w:bCs/>
          <w:color w:val="auto"/>
          <w:highlight w:val="none"/>
        </w:rPr>
        <w:t>61</w:t>
      </w:r>
      <w:r>
        <w:rPr>
          <w:rFonts w:hint="eastAsia" w:ascii="宋体" w:hAnsi="宋体" w:eastAsia="宋体"/>
          <w:bCs/>
          <w:color w:val="auto"/>
          <w:highlight w:val="none"/>
        </w:rPr>
        <w:fldChar w:fldCharType="end"/>
      </w:r>
      <w:r>
        <w:rPr>
          <w:rFonts w:hint="eastAsia" w:ascii="宋体" w:hAnsi="宋体" w:eastAsia="宋体"/>
          <w:bCs/>
          <w:color w:val="auto"/>
          <w:highlight w:val="none"/>
        </w:rPr>
        <w:fldChar w:fldCharType="end"/>
      </w:r>
    </w:p>
    <w:p w14:paraId="1BBF153D">
      <w:pPr>
        <w:pStyle w:val="29"/>
        <w:tabs>
          <w:tab w:val="right" w:leader="dot" w:pos="9061"/>
        </w:tabs>
        <w:spacing w:line="360" w:lineRule="auto"/>
        <w:rPr>
          <w:rFonts w:hint="eastAsia" w:ascii="宋体" w:hAnsi="宋体" w:eastAsia="宋体" w:cstheme="minorBidi"/>
          <w:bCs/>
          <w:smallCaps w:val="0"/>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"_Toc228982351" </w:instrText>
      </w:r>
      <w:r>
        <w:rPr>
          <w:color w:val="auto"/>
          <w:highlight w:val="none"/>
        </w:rPr>
        <w:fldChar w:fldCharType="separate"/>
      </w:r>
      <w:r>
        <w:rPr>
          <w:rStyle w:val="42"/>
          <w:rFonts w:hint="eastAsia" w:ascii="宋体" w:hAnsi="宋体" w:eastAsia="宋体"/>
          <w:bCs/>
          <w:color w:val="auto"/>
          <w:highlight w:val="none"/>
        </w:rPr>
        <w:t>2. 谈判标准</w:t>
      </w:r>
      <w:r>
        <w:rPr>
          <w:rFonts w:hint="eastAsia" w:ascii="宋体" w:hAnsi="宋体" w:eastAsia="宋体"/>
          <w:bCs/>
          <w:color w:val="auto"/>
          <w:highlight w:val="none"/>
        </w:rPr>
        <w:tab/>
      </w:r>
      <w:r>
        <w:rPr>
          <w:rFonts w:hint="eastAsia" w:ascii="宋体" w:hAnsi="宋体" w:eastAsia="宋体"/>
          <w:bCs/>
          <w:color w:val="auto"/>
          <w:highlight w:val="none"/>
        </w:rPr>
        <w:fldChar w:fldCharType="begin"/>
      </w:r>
      <w:r>
        <w:rPr>
          <w:rFonts w:hint="eastAsia" w:ascii="宋体" w:hAnsi="宋体" w:eastAsia="宋体"/>
          <w:bCs/>
          <w:color w:val="auto"/>
          <w:highlight w:val="none"/>
        </w:rPr>
        <w:instrText xml:space="preserve"> </w:instrText>
      </w:r>
      <w:r>
        <w:rPr>
          <w:rFonts w:ascii="宋体" w:hAnsi="宋体" w:eastAsia="宋体"/>
          <w:bCs/>
          <w:color w:val="auto"/>
          <w:highlight w:val="none"/>
        </w:rPr>
        <w:instrText xml:space="preserve">PAGEREF _Toc228982351 \h</w:instrText>
      </w:r>
      <w:r>
        <w:rPr>
          <w:rFonts w:hint="eastAsia" w:ascii="宋体" w:hAnsi="宋体" w:eastAsia="宋体"/>
          <w:bCs/>
          <w:color w:val="auto"/>
          <w:highlight w:val="none"/>
        </w:rPr>
        <w:instrText xml:space="preserve"> </w:instrText>
      </w:r>
      <w:r>
        <w:rPr>
          <w:rFonts w:hint="eastAsia" w:ascii="宋体" w:hAnsi="宋体" w:eastAsia="宋体"/>
          <w:bCs/>
          <w:color w:val="auto"/>
          <w:highlight w:val="none"/>
        </w:rPr>
        <w:fldChar w:fldCharType="separate"/>
      </w:r>
      <w:r>
        <w:rPr>
          <w:rFonts w:hint="eastAsia" w:ascii="宋体" w:hAnsi="宋体" w:eastAsia="宋体"/>
          <w:bCs/>
          <w:color w:val="auto"/>
          <w:highlight w:val="none"/>
        </w:rPr>
        <w:t>61</w:t>
      </w:r>
      <w:r>
        <w:rPr>
          <w:rFonts w:hint="eastAsia" w:ascii="宋体" w:hAnsi="宋体" w:eastAsia="宋体"/>
          <w:bCs/>
          <w:color w:val="auto"/>
          <w:highlight w:val="none"/>
        </w:rPr>
        <w:fldChar w:fldCharType="end"/>
      </w:r>
      <w:r>
        <w:rPr>
          <w:rFonts w:hint="eastAsia" w:ascii="宋体" w:hAnsi="宋体" w:eastAsia="宋体"/>
          <w:bCs/>
          <w:color w:val="auto"/>
          <w:highlight w:val="none"/>
        </w:rPr>
        <w:fldChar w:fldCharType="end"/>
      </w:r>
    </w:p>
    <w:p w14:paraId="0C9E9723">
      <w:pPr>
        <w:pStyle w:val="16"/>
        <w:tabs>
          <w:tab w:val="right" w:leader="dot" w:pos="9061"/>
        </w:tabs>
        <w:spacing w:line="360" w:lineRule="auto"/>
        <w:rPr>
          <w:rFonts w:hint="eastAsia" w:ascii="宋体" w:hAnsi="宋体" w:eastAsia="宋体" w:cstheme="minorBidi"/>
          <w:bCs/>
          <w:i w:val="0"/>
          <w:iCs w:val="0"/>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"_Toc228982352" </w:instrText>
      </w:r>
      <w:r>
        <w:rPr>
          <w:color w:val="auto"/>
          <w:highlight w:val="none"/>
        </w:rPr>
        <w:fldChar w:fldCharType="separate"/>
      </w:r>
      <w:r>
        <w:rPr>
          <w:rStyle w:val="42"/>
          <w:rFonts w:hint="eastAsia" w:ascii="宋体" w:hAnsi="宋体" w:eastAsia="宋体"/>
          <w:bCs/>
          <w:i w:val="0"/>
          <w:iCs w:val="0"/>
          <w:color w:val="auto"/>
          <w:highlight w:val="none"/>
        </w:rPr>
        <w:t>2.1 实质性要求审查标准</w:t>
      </w:r>
      <w:r>
        <w:rPr>
          <w:rFonts w:hint="eastAsia" w:ascii="宋体" w:hAnsi="宋体" w:eastAsia="宋体"/>
          <w:bCs/>
          <w:i w:val="0"/>
          <w:iCs w:val="0"/>
          <w:color w:val="auto"/>
          <w:highlight w:val="none"/>
        </w:rPr>
        <w:tab/>
      </w:r>
      <w:r>
        <w:rPr>
          <w:rFonts w:hint="eastAsia" w:ascii="宋体" w:hAnsi="宋体" w:eastAsia="宋体"/>
          <w:bCs/>
          <w:i w:val="0"/>
          <w:iCs w:val="0"/>
          <w:color w:val="auto"/>
          <w:highlight w:val="none"/>
        </w:rPr>
        <w:fldChar w:fldCharType="begin"/>
      </w:r>
      <w:r>
        <w:rPr>
          <w:rFonts w:hint="eastAsia" w:ascii="宋体" w:hAnsi="宋体" w:eastAsia="宋体"/>
          <w:bCs/>
          <w:i w:val="0"/>
          <w:iCs w:val="0"/>
          <w:color w:val="auto"/>
          <w:highlight w:val="none"/>
        </w:rPr>
        <w:instrText xml:space="preserve"> </w:instrText>
      </w:r>
      <w:r>
        <w:rPr>
          <w:rFonts w:ascii="宋体" w:hAnsi="宋体" w:eastAsia="宋体"/>
          <w:bCs/>
          <w:i w:val="0"/>
          <w:iCs w:val="0"/>
          <w:color w:val="auto"/>
          <w:highlight w:val="none"/>
        </w:rPr>
        <w:instrText xml:space="preserve">PAGEREF _Toc228982352 \h</w:instrText>
      </w:r>
      <w:r>
        <w:rPr>
          <w:rFonts w:hint="eastAsia" w:ascii="宋体" w:hAnsi="宋体" w:eastAsia="宋体"/>
          <w:bCs/>
          <w:i w:val="0"/>
          <w:iCs w:val="0"/>
          <w:color w:val="auto"/>
          <w:highlight w:val="none"/>
        </w:rPr>
        <w:instrText xml:space="preserve"> </w:instrText>
      </w:r>
      <w:r>
        <w:rPr>
          <w:rFonts w:hint="eastAsia" w:ascii="宋体" w:hAnsi="宋体" w:eastAsia="宋体"/>
          <w:bCs/>
          <w:i w:val="0"/>
          <w:iCs w:val="0"/>
          <w:color w:val="auto"/>
          <w:highlight w:val="none"/>
        </w:rPr>
        <w:fldChar w:fldCharType="separate"/>
      </w:r>
      <w:r>
        <w:rPr>
          <w:rFonts w:hint="eastAsia" w:ascii="宋体" w:hAnsi="宋体" w:eastAsia="宋体"/>
          <w:bCs/>
          <w:i w:val="0"/>
          <w:iCs w:val="0"/>
          <w:color w:val="auto"/>
          <w:highlight w:val="none"/>
        </w:rPr>
        <w:t>61</w:t>
      </w:r>
      <w:r>
        <w:rPr>
          <w:rFonts w:hint="eastAsia" w:ascii="宋体" w:hAnsi="宋体" w:eastAsia="宋体"/>
          <w:bCs/>
          <w:i w:val="0"/>
          <w:iCs w:val="0"/>
          <w:color w:val="auto"/>
          <w:highlight w:val="none"/>
        </w:rPr>
        <w:fldChar w:fldCharType="end"/>
      </w:r>
      <w:r>
        <w:rPr>
          <w:rFonts w:hint="eastAsia" w:ascii="宋体" w:hAnsi="宋体" w:eastAsia="宋体"/>
          <w:bCs/>
          <w:i w:val="0"/>
          <w:iCs w:val="0"/>
          <w:color w:val="auto"/>
          <w:highlight w:val="none"/>
        </w:rPr>
        <w:fldChar w:fldCharType="end"/>
      </w:r>
    </w:p>
    <w:p w14:paraId="3B18C240">
      <w:pPr>
        <w:pStyle w:val="16"/>
        <w:tabs>
          <w:tab w:val="right" w:leader="dot" w:pos="9061"/>
        </w:tabs>
        <w:spacing w:line="360" w:lineRule="auto"/>
        <w:rPr>
          <w:rFonts w:hint="eastAsia" w:ascii="宋体" w:hAnsi="宋体" w:eastAsia="宋体" w:cstheme="minorBidi"/>
          <w:bCs/>
          <w:i w:val="0"/>
          <w:iCs w:val="0"/>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"_Toc228982353" </w:instrText>
      </w:r>
      <w:r>
        <w:rPr>
          <w:color w:val="auto"/>
          <w:highlight w:val="none"/>
        </w:rPr>
        <w:fldChar w:fldCharType="separate"/>
      </w:r>
      <w:r>
        <w:rPr>
          <w:rStyle w:val="42"/>
          <w:rFonts w:hint="eastAsia" w:ascii="宋体" w:hAnsi="宋体" w:eastAsia="宋体"/>
          <w:bCs/>
          <w:i w:val="0"/>
          <w:iCs w:val="0"/>
          <w:color w:val="auto"/>
          <w:highlight w:val="none"/>
        </w:rPr>
        <w:t>2.2 谈判标准</w:t>
      </w:r>
      <w:r>
        <w:rPr>
          <w:rFonts w:hint="eastAsia" w:ascii="宋体" w:hAnsi="宋体" w:eastAsia="宋体"/>
          <w:bCs/>
          <w:i w:val="0"/>
          <w:iCs w:val="0"/>
          <w:color w:val="auto"/>
          <w:highlight w:val="none"/>
        </w:rPr>
        <w:tab/>
      </w:r>
      <w:r>
        <w:rPr>
          <w:rFonts w:hint="eastAsia" w:ascii="宋体" w:hAnsi="宋体" w:eastAsia="宋体"/>
          <w:bCs/>
          <w:i w:val="0"/>
          <w:iCs w:val="0"/>
          <w:color w:val="auto"/>
          <w:highlight w:val="none"/>
        </w:rPr>
        <w:fldChar w:fldCharType="begin"/>
      </w:r>
      <w:r>
        <w:rPr>
          <w:rFonts w:hint="eastAsia" w:ascii="宋体" w:hAnsi="宋体" w:eastAsia="宋体"/>
          <w:bCs/>
          <w:i w:val="0"/>
          <w:iCs w:val="0"/>
          <w:color w:val="auto"/>
          <w:highlight w:val="none"/>
        </w:rPr>
        <w:instrText xml:space="preserve"> </w:instrText>
      </w:r>
      <w:r>
        <w:rPr>
          <w:rFonts w:ascii="宋体" w:hAnsi="宋体" w:eastAsia="宋体"/>
          <w:bCs/>
          <w:i w:val="0"/>
          <w:iCs w:val="0"/>
          <w:color w:val="auto"/>
          <w:highlight w:val="none"/>
        </w:rPr>
        <w:instrText xml:space="preserve">PAGEREF _Toc228982353 \h</w:instrText>
      </w:r>
      <w:r>
        <w:rPr>
          <w:rFonts w:hint="eastAsia" w:ascii="宋体" w:hAnsi="宋体" w:eastAsia="宋体"/>
          <w:bCs/>
          <w:i w:val="0"/>
          <w:iCs w:val="0"/>
          <w:color w:val="auto"/>
          <w:highlight w:val="none"/>
        </w:rPr>
        <w:instrText xml:space="preserve"> </w:instrText>
      </w:r>
      <w:r>
        <w:rPr>
          <w:rFonts w:hint="eastAsia" w:ascii="宋体" w:hAnsi="宋体" w:eastAsia="宋体"/>
          <w:bCs/>
          <w:i w:val="0"/>
          <w:iCs w:val="0"/>
          <w:color w:val="auto"/>
          <w:highlight w:val="none"/>
        </w:rPr>
        <w:fldChar w:fldCharType="separate"/>
      </w:r>
      <w:r>
        <w:rPr>
          <w:rFonts w:hint="eastAsia" w:ascii="宋体" w:hAnsi="宋体" w:eastAsia="宋体"/>
          <w:bCs/>
          <w:i w:val="0"/>
          <w:iCs w:val="0"/>
          <w:color w:val="auto"/>
          <w:highlight w:val="none"/>
        </w:rPr>
        <w:t>61</w:t>
      </w:r>
      <w:r>
        <w:rPr>
          <w:rFonts w:hint="eastAsia" w:ascii="宋体" w:hAnsi="宋体" w:eastAsia="宋体"/>
          <w:bCs/>
          <w:i w:val="0"/>
          <w:iCs w:val="0"/>
          <w:color w:val="auto"/>
          <w:highlight w:val="none"/>
        </w:rPr>
        <w:fldChar w:fldCharType="end"/>
      </w:r>
      <w:r>
        <w:rPr>
          <w:rFonts w:hint="eastAsia" w:ascii="宋体" w:hAnsi="宋体" w:eastAsia="宋体"/>
          <w:bCs/>
          <w:i w:val="0"/>
          <w:iCs w:val="0"/>
          <w:color w:val="auto"/>
          <w:highlight w:val="none"/>
        </w:rPr>
        <w:fldChar w:fldCharType="end"/>
      </w:r>
    </w:p>
    <w:p w14:paraId="3FE0F55B">
      <w:pPr>
        <w:pStyle w:val="16"/>
        <w:tabs>
          <w:tab w:val="right" w:leader="dot" w:pos="9061"/>
        </w:tabs>
        <w:spacing w:line="360" w:lineRule="auto"/>
        <w:rPr>
          <w:rFonts w:hint="eastAsia" w:ascii="宋体" w:hAnsi="宋体" w:eastAsia="宋体" w:cstheme="minorBidi"/>
          <w:bCs/>
          <w:i w:val="0"/>
          <w:iCs w:val="0"/>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"_Toc228982354" </w:instrText>
      </w:r>
      <w:r>
        <w:rPr>
          <w:color w:val="auto"/>
          <w:highlight w:val="none"/>
        </w:rPr>
        <w:fldChar w:fldCharType="separate"/>
      </w:r>
      <w:r>
        <w:rPr>
          <w:rStyle w:val="42"/>
          <w:rFonts w:hint="eastAsia" w:ascii="宋体" w:hAnsi="宋体" w:eastAsia="宋体"/>
          <w:bCs/>
          <w:i w:val="0"/>
          <w:iCs w:val="0"/>
          <w:color w:val="auto"/>
          <w:highlight w:val="none"/>
        </w:rPr>
        <w:t>3. 谈判程序</w:t>
      </w:r>
      <w:r>
        <w:rPr>
          <w:rFonts w:hint="eastAsia" w:ascii="宋体" w:hAnsi="宋体" w:eastAsia="宋体"/>
          <w:bCs/>
          <w:i w:val="0"/>
          <w:iCs w:val="0"/>
          <w:color w:val="auto"/>
          <w:highlight w:val="none"/>
        </w:rPr>
        <w:tab/>
      </w:r>
      <w:r>
        <w:rPr>
          <w:rFonts w:hint="eastAsia" w:ascii="宋体" w:hAnsi="宋体" w:eastAsia="宋体"/>
          <w:bCs/>
          <w:i w:val="0"/>
          <w:iCs w:val="0"/>
          <w:color w:val="auto"/>
          <w:highlight w:val="none"/>
        </w:rPr>
        <w:fldChar w:fldCharType="begin"/>
      </w:r>
      <w:r>
        <w:rPr>
          <w:rFonts w:hint="eastAsia" w:ascii="宋体" w:hAnsi="宋体" w:eastAsia="宋体"/>
          <w:bCs/>
          <w:i w:val="0"/>
          <w:iCs w:val="0"/>
          <w:color w:val="auto"/>
          <w:highlight w:val="none"/>
        </w:rPr>
        <w:instrText xml:space="preserve"> </w:instrText>
      </w:r>
      <w:r>
        <w:rPr>
          <w:rFonts w:ascii="宋体" w:hAnsi="宋体" w:eastAsia="宋体"/>
          <w:bCs/>
          <w:i w:val="0"/>
          <w:iCs w:val="0"/>
          <w:color w:val="auto"/>
          <w:highlight w:val="none"/>
        </w:rPr>
        <w:instrText xml:space="preserve">PAGEREF _Toc228982354 \h</w:instrText>
      </w:r>
      <w:r>
        <w:rPr>
          <w:rFonts w:hint="eastAsia" w:ascii="宋体" w:hAnsi="宋体" w:eastAsia="宋体"/>
          <w:bCs/>
          <w:i w:val="0"/>
          <w:iCs w:val="0"/>
          <w:color w:val="auto"/>
          <w:highlight w:val="none"/>
        </w:rPr>
        <w:instrText xml:space="preserve"> </w:instrText>
      </w:r>
      <w:r>
        <w:rPr>
          <w:rFonts w:hint="eastAsia" w:ascii="宋体" w:hAnsi="宋体" w:eastAsia="宋体"/>
          <w:bCs/>
          <w:i w:val="0"/>
          <w:iCs w:val="0"/>
          <w:color w:val="auto"/>
          <w:highlight w:val="none"/>
        </w:rPr>
        <w:fldChar w:fldCharType="separate"/>
      </w:r>
      <w:r>
        <w:rPr>
          <w:rFonts w:hint="eastAsia" w:ascii="宋体" w:hAnsi="宋体" w:eastAsia="宋体"/>
          <w:bCs/>
          <w:i w:val="0"/>
          <w:iCs w:val="0"/>
          <w:color w:val="auto"/>
          <w:highlight w:val="none"/>
        </w:rPr>
        <w:t>61</w:t>
      </w:r>
      <w:r>
        <w:rPr>
          <w:rFonts w:hint="eastAsia" w:ascii="宋体" w:hAnsi="宋体" w:eastAsia="宋体"/>
          <w:bCs/>
          <w:i w:val="0"/>
          <w:iCs w:val="0"/>
          <w:color w:val="auto"/>
          <w:highlight w:val="none"/>
        </w:rPr>
        <w:fldChar w:fldCharType="end"/>
      </w:r>
      <w:r>
        <w:rPr>
          <w:rFonts w:hint="eastAsia" w:ascii="宋体" w:hAnsi="宋体" w:eastAsia="宋体"/>
          <w:bCs/>
          <w:i w:val="0"/>
          <w:iCs w:val="0"/>
          <w:color w:val="auto"/>
          <w:highlight w:val="none"/>
        </w:rPr>
        <w:fldChar w:fldCharType="end"/>
      </w:r>
    </w:p>
    <w:p w14:paraId="34317150">
      <w:pPr>
        <w:pStyle w:val="16"/>
        <w:tabs>
          <w:tab w:val="right" w:leader="dot" w:pos="9061"/>
        </w:tabs>
        <w:spacing w:line="360" w:lineRule="auto"/>
        <w:rPr>
          <w:rFonts w:hint="eastAsia" w:ascii="宋体" w:hAnsi="宋体" w:eastAsia="宋体" w:cstheme="minorBidi"/>
          <w:bCs/>
          <w:i w:val="0"/>
          <w:iCs w:val="0"/>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"_Toc228982355" </w:instrText>
      </w:r>
      <w:r>
        <w:rPr>
          <w:color w:val="auto"/>
          <w:highlight w:val="none"/>
        </w:rPr>
        <w:fldChar w:fldCharType="separate"/>
      </w:r>
      <w:r>
        <w:rPr>
          <w:rStyle w:val="42"/>
          <w:rFonts w:hint="eastAsia" w:ascii="宋体" w:hAnsi="宋体" w:eastAsia="宋体"/>
          <w:bCs/>
          <w:i w:val="0"/>
          <w:iCs w:val="0"/>
          <w:color w:val="auto"/>
          <w:highlight w:val="none"/>
        </w:rPr>
        <w:t>3.1 实质性要求审查</w:t>
      </w:r>
      <w:r>
        <w:rPr>
          <w:rFonts w:hint="eastAsia" w:ascii="宋体" w:hAnsi="宋体" w:eastAsia="宋体"/>
          <w:bCs/>
          <w:i w:val="0"/>
          <w:iCs w:val="0"/>
          <w:color w:val="auto"/>
          <w:highlight w:val="none"/>
        </w:rPr>
        <w:tab/>
      </w:r>
      <w:r>
        <w:rPr>
          <w:rFonts w:hint="eastAsia" w:ascii="宋体" w:hAnsi="宋体" w:eastAsia="宋体"/>
          <w:bCs/>
          <w:i w:val="0"/>
          <w:iCs w:val="0"/>
          <w:color w:val="auto"/>
          <w:highlight w:val="none"/>
        </w:rPr>
        <w:fldChar w:fldCharType="begin"/>
      </w:r>
      <w:r>
        <w:rPr>
          <w:rFonts w:hint="eastAsia" w:ascii="宋体" w:hAnsi="宋体" w:eastAsia="宋体"/>
          <w:bCs/>
          <w:i w:val="0"/>
          <w:iCs w:val="0"/>
          <w:color w:val="auto"/>
          <w:highlight w:val="none"/>
        </w:rPr>
        <w:instrText xml:space="preserve"> </w:instrText>
      </w:r>
      <w:r>
        <w:rPr>
          <w:rFonts w:ascii="宋体" w:hAnsi="宋体" w:eastAsia="宋体"/>
          <w:bCs/>
          <w:i w:val="0"/>
          <w:iCs w:val="0"/>
          <w:color w:val="auto"/>
          <w:highlight w:val="none"/>
        </w:rPr>
        <w:instrText xml:space="preserve">PAGEREF _Toc228982355 \h</w:instrText>
      </w:r>
      <w:r>
        <w:rPr>
          <w:rFonts w:hint="eastAsia" w:ascii="宋体" w:hAnsi="宋体" w:eastAsia="宋体"/>
          <w:bCs/>
          <w:i w:val="0"/>
          <w:iCs w:val="0"/>
          <w:color w:val="auto"/>
          <w:highlight w:val="none"/>
        </w:rPr>
        <w:instrText xml:space="preserve"> </w:instrText>
      </w:r>
      <w:r>
        <w:rPr>
          <w:rFonts w:hint="eastAsia" w:ascii="宋体" w:hAnsi="宋体" w:eastAsia="宋体"/>
          <w:bCs/>
          <w:i w:val="0"/>
          <w:iCs w:val="0"/>
          <w:color w:val="auto"/>
          <w:highlight w:val="none"/>
        </w:rPr>
        <w:fldChar w:fldCharType="separate"/>
      </w:r>
      <w:r>
        <w:rPr>
          <w:rFonts w:hint="eastAsia" w:ascii="宋体" w:hAnsi="宋体" w:eastAsia="宋体"/>
          <w:bCs/>
          <w:i w:val="0"/>
          <w:iCs w:val="0"/>
          <w:color w:val="auto"/>
          <w:highlight w:val="none"/>
        </w:rPr>
        <w:t>61</w:t>
      </w:r>
      <w:r>
        <w:rPr>
          <w:rFonts w:hint="eastAsia" w:ascii="宋体" w:hAnsi="宋体" w:eastAsia="宋体"/>
          <w:bCs/>
          <w:i w:val="0"/>
          <w:iCs w:val="0"/>
          <w:color w:val="auto"/>
          <w:highlight w:val="none"/>
        </w:rPr>
        <w:fldChar w:fldCharType="end"/>
      </w:r>
      <w:r>
        <w:rPr>
          <w:rFonts w:hint="eastAsia" w:ascii="宋体" w:hAnsi="宋体" w:eastAsia="宋体"/>
          <w:bCs/>
          <w:i w:val="0"/>
          <w:iCs w:val="0"/>
          <w:color w:val="auto"/>
          <w:highlight w:val="none"/>
        </w:rPr>
        <w:fldChar w:fldCharType="end"/>
      </w:r>
    </w:p>
    <w:p w14:paraId="67D4C7F3">
      <w:pPr>
        <w:pStyle w:val="16"/>
        <w:tabs>
          <w:tab w:val="right" w:leader="dot" w:pos="9061"/>
        </w:tabs>
        <w:spacing w:line="360" w:lineRule="auto"/>
        <w:rPr>
          <w:rFonts w:hint="eastAsia" w:ascii="宋体" w:hAnsi="宋体" w:eastAsia="宋体" w:cstheme="minorBidi"/>
          <w:bCs/>
          <w:i w:val="0"/>
          <w:iCs w:val="0"/>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"_Toc228982356" </w:instrText>
      </w:r>
      <w:r>
        <w:rPr>
          <w:color w:val="auto"/>
          <w:highlight w:val="none"/>
        </w:rPr>
        <w:fldChar w:fldCharType="separate"/>
      </w:r>
      <w:r>
        <w:rPr>
          <w:rStyle w:val="42"/>
          <w:rFonts w:hint="eastAsia" w:ascii="宋体" w:hAnsi="宋体" w:eastAsia="宋体"/>
          <w:bCs/>
          <w:i w:val="0"/>
          <w:iCs w:val="0"/>
          <w:color w:val="auto"/>
          <w:highlight w:val="none"/>
        </w:rPr>
        <w:t>3.2 谈判、比较与评价</w:t>
      </w:r>
      <w:r>
        <w:rPr>
          <w:rFonts w:hint="eastAsia" w:ascii="宋体" w:hAnsi="宋体" w:eastAsia="宋体"/>
          <w:bCs/>
          <w:i w:val="0"/>
          <w:iCs w:val="0"/>
          <w:color w:val="auto"/>
          <w:highlight w:val="none"/>
        </w:rPr>
        <w:tab/>
      </w:r>
      <w:r>
        <w:rPr>
          <w:rFonts w:hint="eastAsia" w:ascii="宋体" w:hAnsi="宋体" w:eastAsia="宋体"/>
          <w:bCs/>
          <w:i w:val="0"/>
          <w:iCs w:val="0"/>
          <w:color w:val="auto"/>
          <w:highlight w:val="none"/>
        </w:rPr>
        <w:fldChar w:fldCharType="begin"/>
      </w:r>
      <w:r>
        <w:rPr>
          <w:rFonts w:hint="eastAsia" w:ascii="宋体" w:hAnsi="宋体" w:eastAsia="宋体"/>
          <w:bCs/>
          <w:i w:val="0"/>
          <w:iCs w:val="0"/>
          <w:color w:val="auto"/>
          <w:highlight w:val="none"/>
        </w:rPr>
        <w:instrText xml:space="preserve"> </w:instrText>
      </w:r>
      <w:r>
        <w:rPr>
          <w:rFonts w:ascii="宋体" w:hAnsi="宋体" w:eastAsia="宋体"/>
          <w:bCs/>
          <w:i w:val="0"/>
          <w:iCs w:val="0"/>
          <w:color w:val="auto"/>
          <w:highlight w:val="none"/>
        </w:rPr>
        <w:instrText xml:space="preserve">PAGEREF _Toc228982356 \h</w:instrText>
      </w:r>
      <w:r>
        <w:rPr>
          <w:rFonts w:hint="eastAsia" w:ascii="宋体" w:hAnsi="宋体" w:eastAsia="宋体"/>
          <w:bCs/>
          <w:i w:val="0"/>
          <w:iCs w:val="0"/>
          <w:color w:val="auto"/>
          <w:highlight w:val="none"/>
        </w:rPr>
        <w:instrText xml:space="preserve"> </w:instrText>
      </w:r>
      <w:r>
        <w:rPr>
          <w:rFonts w:hint="eastAsia" w:ascii="宋体" w:hAnsi="宋体" w:eastAsia="宋体"/>
          <w:bCs/>
          <w:i w:val="0"/>
          <w:iCs w:val="0"/>
          <w:color w:val="auto"/>
          <w:highlight w:val="none"/>
        </w:rPr>
        <w:fldChar w:fldCharType="separate"/>
      </w:r>
      <w:r>
        <w:rPr>
          <w:rFonts w:hint="eastAsia" w:ascii="宋体" w:hAnsi="宋体" w:eastAsia="宋体"/>
          <w:bCs/>
          <w:i w:val="0"/>
          <w:iCs w:val="0"/>
          <w:color w:val="auto"/>
          <w:highlight w:val="none"/>
        </w:rPr>
        <w:t>61</w:t>
      </w:r>
      <w:r>
        <w:rPr>
          <w:rFonts w:hint="eastAsia" w:ascii="宋体" w:hAnsi="宋体" w:eastAsia="宋体"/>
          <w:bCs/>
          <w:i w:val="0"/>
          <w:iCs w:val="0"/>
          <w:color w:val="auto"/>
          <w:highlight w:val="none"/>
        </w:rPr>
        <w:fldChar w:fldCharType="end"/>
      </w:r>
      <w:r>
        <w:rPr>
          <w:rFonts w:hint="eastAsia" w:ascii="宋体" w:hAnsi="宋体" w:eastAsia="宋体"/>
          <w:bCs/>
          <w:i w:val="0"/>
          <w:iCs w:val="0"/>
          <w:color w:val="auto"/>
          <w:highlight w:val="none"/>
        </w:rPr>
        <w:fldChar w:fldCharType="end"/>
      </w:r>
    </w:p>
    <w:p w14:paraId="6907B6D4">
      <w:pPr>
        <w:pStyle w:val="16"/>
        <w:tabs>
          <w:tab w:val="right" w:leader="dot" w:pos="9061"/>
        </w:tabs>
        <w:spacing w:line="360" w:lineRule="auto"/>
        <w:rPr>
          <w:rFonts w:hint="eastAsia" w:ascii="宋体" w:hAnsi="宋体" w:eastAsia="宋体" w:cstheme="minorBidi"/>
          <w:bCs/>
          <w:i w:val="0"/>
          <w:iCs w:val="0"/>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"_Toc228982357" </w:instrText>
      </w:r>
      <w:r>
        <w:rPr>
          <w:color w:val="auto"/>
          <w:highlight w:val="none"/>
        </w:rPr>
        <w:fldChar w:fldCharType="separate"/>
      </w:r>
      <w:r>
        <w:rPr>
          <w:rStyle w:val="42"/>
          <w:rFonts w:hint="eastAsia" w:ascii="宋体" w:hAnsi="宋体" w:eastAsia="宋体"/>
          <w:bCs/>
          <w:i w:val="0"/>
          <w:iCs w:val="0"/>
          <w:color w:val="auto"/>
          <w:highlight w:val="none"/>
        </w:rPr>
        <w:t>3.3 谈判结果</w:t>
      </w:r>
      <w:r>
        <w:rPr>
          <w:rFonts w:hint="eastAsia" w:ascii="宋体" w:hAnsi="宋体" w:eastAsia="宋体"/>
          <w:bCs/>
          <w:i w:val="0"/>
          <w:iCs w:val="0"/>
          <w:color w:val="auto"/>
          <w:highlight w:val="none"/>
        </w:rPr>
        <w:tab/>
      </w:r>
      <w:r>
        <w:rPr>
          <w:rFonts w:hint="eastAsia" w:ascii="宋体" w:hAnsi="宋体" w:eastAsia="宋体"/>
          <w:bCs/>
          <w:i w:val="0"/>
          <w:iCs w:val="0"/>
          <w:color w:val="auto"/>
          <w:highlight w:val="none"/>
        </w:rPr>
        <w:fldChar w:fldCharType="begin"/>
      </w:r>
      <w:r>
        <w:rPr>
          <w:rFonts w:hint="eastAsia" w:ascii="宋体" w:hAnsi="宋体" w:eastAsia="宋体"/>
          <w:bCs/>
          <w:i w:val="0"/>
          <w:iCs w:val="0"/>
          <w:color w:val="auto"/>
          <w:highlight w:val="none"/>
        </w:rPr>
        <w:instrText xml:space="preserve"> </w:instrText>
      </w:r>
      <w:r>
        <w:rPr>
          <w:rFonts w:ascii="宋体" w:hAnsi="宋体" w:eastAsia="宋体"/>
          <w:bCs/>
          <w:i w:val="0"/>
          <w:iCs w:val="0"/>
          <w:color w:val="auto"/>
          <w:highlight w:val="none"/>
        </w:rPr>
        <w:instrText xml:space="preserve">PAGEREF _Toc228982357 \h</w:instrText>
      </w:r>
      <w:r>
        <w:rPr>
          <w:rFonts w:hint="eastAsia" w:ascii="宋体" w:hAnsi="宋体" w:eastAsia="宋体"/>
          <w:bCs/>
          <w:i w:val="0"/>
          <w:iCs w:val="0"/>
          <w:color w:val="auto"/>
          <w:highlight w:val="none"/>
        </w:rPr>
        <w:instrText xml:space="preserve"> </w:instrText>
      </w:r>
      <w:r>
        <w:rPr>
          <w:rFonts w:hint="eastAsia" w:ascii="宋体" w:hAnsi="宋体" w:eastAsia="宋体"/>
          <w:bCs/>
          <w:i w:val="0"/>
          <w:iCs w:val="0"/>
          <w:color w:val="auto"/>
          <w:highlight w:val="none"/>
        </w:rPr>
        <w:fldChar w:fldCharType="separate"/>
      </w:r>
      <w:r>
        <w:rPr>
          <w:rFonts w:hint="eastAsia" w:ascii="宋体" w:hAnsi="宋体" w:eastAsia="宋体"/>
          <w:bCs/>
          <w:i w:val="0"/>
          <w:iCs w:val="0"/>
          <w:color w:val="auto"/>
          <w:highlight w:val="none"/>
        </w:rPr>
        <w:t>63</w:t>
      </w:r>
      <w:r>
        <w:rPr>
          <w:rFonts w:hint="eastAsia" w:ascii="宋体" w:hAnsi="宋体" w:eastAsia="宋体"/>
          <w:bCs/>
          <w:i w:val="0"/>
          <w:iCs w:val="0"/>
          <w:color w:val="auto"/>
          <w:highlight w:val="none"/>
        </w:rPr>
        <w:fldChar w:fldCharType="end"/>
      </w:r>
      <w:r>
        <w:rPr>
          <w:rFonts w:hint="eastAsia" w:ascii="宋体" w:hAnsi="宋体" w:eastAsia="宋体"/>
          <w:bCs/>
          <w:i w:val="0"/>
          <w:iCs w:val="0"/>
          <w:color w:val="auto"/>
          <w:highlight w:val="none"/>
        </w:rPr>
        <w:fldChar w:fldCharType="end"/>
      </w:r>
    </w:p>
    <w:p w14:paraId="67FDBF07">
      <w:pPr>
        <w:spacing w:line="360" w:lineRule="auto"/>
        <w:ind w:right="-241"/>
        <w:rPr>
          <w:rFonts w:hint="eastAsia" w:ascii="宋体" w:hAnsi="宋体" w:cs="宋体"/>
          <w:color w:val="auto"/>
          <w:sz w:val="24"/>
          <w:szCs w:val="24"/>
          <w:highlight w:val="none"/>
        </w:rPr>
      </w:pPr>
      <w:r>
        <w:rPr>
          <w:rFonts w:ascii="宋体" w:hAnsi="宋体" w:cs="宋体"/>
          <w:bCs/>
          <w:caps/>
          <w:smallCaps/>
          <w:color w:val="auto"/>
          <w:sz w:val="24"/>
          <w:szCs w:val="22"/>
          <w:highlight w:val="none"/>
        </w:rPr>
        <w:fldChar w:fldCharType="end"/>
      </w:r>
    </w:p>
    <w:p w14:paraId="0C964B7C">
      <w:pPr>
        <w:ind w:right="-241"/>
        <w:jc w:val="center"/>
        <w:rPr>
          <w:rFonts w:hint="eastAsia" w:ascii="宋体" w:hAnsi="宋体" w:cs="宋体"/>
          <w:color w:val="auto"/>
          <w:sz w:val="24"/>
          <w:szCs w:val="24"/>
          <w:highlight w:val="none"/>
        </w:rPr>
      </w:pPr>
    </w:p>
    <w:p w14:paraId="7CDA82A6">
      <w:pPr>
        <w:ind w:right="-241"/>
        <w:jc w:val="center"/>
        <w:rPr>
          <w:rFonts w:hint="eastAsia" w:ascii="宋体" w:hAnsi="宋体" w:cs="宋体"/>
          <w:color w:val="auto"/>
          <w:sz w:val="24"/>
          <w:szCs w:val="24"/>
          <w:highlight w:val="none"/>
        </w:rPr>
      </w:pPr>
    </w:p>
    <w:p w14:paraId="65D319C1">
      <w:pPr>
        <w:ind w:right="-241"/>
        <w:jc w:val="center"/>
        <w:rPr>
          <w:rFonts w:hint="eastAsia" w:ascii="宋体" w:hAnsi="宋体" w:cs="宋体"/>
          <w:color w:val="auto"/>
          <w:sz w:val="24"/>
          <w:szCs w:val="24"/>
          <w:highlight w:val="none"/>
        </w:rPr>
      </w:pPr>
    </w:p>
    <w:p w14:paraId="6E900044">
      <w:pPr>
        <w:ind w:right="-241"/>
        <w:rPr>
          <w:rFonts w:hint="eastAsia" w:ascii="宋体" w:hAnsi="宋体" w:cs="宋体"/>
          <w:b/>
          <w:color w:val="auto"/>
          <w:sz w:val="24"/>
          <w:szCs w:val="24"/>
          <w:highlight w:val="none"/>
        </w:rPr>
      </w:pPr>
    </w:p>
    <w:p w14:paraId="256713E9">
      <w:pPr>
        <w:widowControl/>
        <w:jc w:val="left"/>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14:paraId="7E739800">
      <w:pPr>
        <w:ind w:right="-241"/>
        <w:jc w:val="center"/>
        <w:outlineLvl w:val="1"/>
        <w:rPr>
          <w:rFonts w:hint="eastAsia" w:ascii="宋体" w:hAnsi="宋体" w:cs="宋体"/>
          <w:b/>
          <w:color w:val="auto"/>
          <w:sz w:val="30"/>
          <w:szCs w:val="30"/>
          <w:highlight w:val="none"/>
        </w:rPr>
      </w:pPr>
      <w:bookmarkStart w:id="1" w:name="_Toc228982293"/>
      <w:r>
        <w:rPr>
          <w:rFonts w:hint="eastAsia" w:ascii="宋体" w:hAnsi="宋体" w:cs="宋体"/>
          <w:b/>
          <w:color w:val="auto"/>
          <w:sz w:val="30"/>
          <w:szCs w:val="30"/>
          <w:highlight w:val="none"/>
        </w:rPr>
        <w:t>谈判（报价）一览表</w:t>
      </w:r>
      <w:bookmarkEnd w:id="1"/>
    </w:p>
    <w:p w14:paraId="339B2758">
      <w:pPr>
        <w:jc w:val="center"/>
        <w:rPr>
          <w:rFonts w:hint="eastAsia" w:ascii="宋体" w:hAnsi="宋体" w:cs="宋体"/>
          <w:color w:val="auto"/>
          <w:sz w:val="24"/>
          <w:szCs w:val="24"/>
          <w:highlight w:val="none"/>
        </w:rPr>
      </w:pPr>
    </w:p>
    <w:p w14:paraId="624131CF">
      <w:pPr>
        <w:pStyle w:val="80"/>
        <w:snapToGrid w:val="0"/>
        <w:spacing w:line="360" w:lineRule="auto"/>
        <w:rPr>
          <w:rFonts w:hint="eastAsia" w:ascii="宋体" w:hAnsi="宋体" w:eastAsia="宋体" w:cs="宋体"/>
          <w:color w:val="auto"/>
          <w:kern w:val="2"/>
          <w:szCs w:val="24"/>
          <w:highlight w:val="none"/>
          <w:lang w:val="en-US"/>
        </w:rPr>
      </w:pPr>
      <w:r>
        <w:rPr>
          <w:rFonts w:hint="eastAsia" w:ascii="宋体" w:hAnsi="宋体" w:eastAsia="宋体" w:cs="宋体"/>
          <w:color w:val="auto"/>
          <w:kern w:val="2"/>
          <w:szCs w:val="24"/>
          <w:highlight w:val="none"/>
          <w:lang w:val="en-US"/>
        </w:rPr>
        <w:t>项目名称：昆明市旅游职业中学导游虚拟仿真实训室项目（设备购置）-非集采货物</w:t>
      </w:r>
    </w:p>
    <w:p w14:paraId="7A20C00A">
      <w:pPr>
        <w:pStyle w:val="80"/>
        <w:snapToGrid w:val="0"/>
        <w:spacing w:line="360" w:lineRule="auto"/>
        <w:rPr>
          <w:rFonts w:hint="eastAsia" w:ascii="宋体" w:hAnsi="宋体" w:eastAsia="宋体" w:cs="宋体"/>
          <w:color w:val="auto"/>
          <w:kern w:val="2"/>
          <w:szCs w:val="24"/>
          <w:highlight w:val="none"/>
          <w:lang w:val="en-US"/>
        </w:rPr>
      </w:pPr>
      <w:r>
        <w:rPr>
          <w:rFonts w:hint="eastAsia" w:ascii="宋体" w:hAnsi="宋体" w:eastAsia="宋体" w:cs="宋体"/>
          <w:color w:val="auto"/>
          <w:kern w:val="2"/>
          <w:szCs w:val="24"/>
          <w:highlight w:val="none"/>
          <w:lang w:val="en-US"/>
        </w:rPr>
        <w:t xml:space="preserve">项目编号： </w:t>
      </w:r>
    </w:p>
    <w:tbl>
      <w:tblPr>
        <w:tblStyle w:val="36"/>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0"/>
        <w:gridCol w:w="6870"/>
      </w:tblGrid>
      <w:tr w14:paraId="7410E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2310" w:type="dxa"/>
            <w:vAlign w:val="center"/>
          </w:tcPr>
          <w:p w14:paraId="55744AC6">
            <w:pPr>
              <w:spacing w:before="120" w:after="120" w:line="240" w:lineRule="atLeas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申请人名称</w:t>
            </w:r>
          </w:p>
        </w:tc>
        <w:tc>
          <w:tcPr>
            <w:tcW w:w="6870" w:type="dxa"/>
            <w:vAlign w:val="center"/>
          </w:tcPr>
          <w:p w14:paraId="6965739B">
            <w:pPr>
              <w:spacing w:before="120" w:after="120" w:line="240" w:lineRule="atLeast"/>
              <w:jc w:val="center"/>
              <w:rPr>
                <w:rFonts w:hint="eastAsia" w:ascii="宋体" w:hAnsi="宋体" w:cs="宋体"/>
                <w:color w:val="auto"/>
                <w:sz w:val="24"/>
                <w:szCs w:val="24"/>
                <w:highlight w:val="none"/>
              </w:rPr>
            </w:pPr>
          </w:p>
        </w:tc>
      </w:tr>
      <w:tr w14:paraId="63461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2310" w:type="dxa"/>
            <w:vAlign w:val="center"/>
          </w:tcPr>
          <w:p w14:paraId="487FD246">
            <w:pPr>
              <w:spacing w:before="120" w:after="120" w:line="240" w:lineRule="atLeas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总报价（元）</w:t>
            </w:r>
          </w:p>
        </w:tc>
        <w:tc>
          <w:tcPr>
            <w:tcW w:w="6870" w:type="dxa"/>
            <w:vAlign w:val="center"/>
          </w:tcPr>
          <w:p w14:paraId="6AB2AA8F">
            <w:pPr>
              <w:spacing w:before="120" w:after="120" w:line="480" w:lineRule="auto"/>
              <w:rPr>
                <w:rFonts w:hint="eastAsia" w:ascii="宋体" w:hAnsi="宋体" w:cs="宋体"/>
                <w:color w:val="auto"/>
                <w:sz w:val="24"/>
                <w:szCs w:val="24"/>
                <w:highlight w:val="none"/>
              </w:rPr>
            </w:pPr>
            <w:r>
              <w:rPr>
                <w:rFonts w:hint="eastAsia" w:ascii="宋体" w:hAnsi="宋体"/>
                <w:color w:val="auto"/>
                <w:highlight w:val="none"/>
                <w:u w:val="single"/>
              </w:rPr>
              <w:t xml:space="preserve">¥            </w:t>
            </w:r>
            <w:r>
              <w:rPr>
                <w:rFonts w:hint="eastAsia" w:ascii="宋体" w:hAnsi="宋体"/>
                <w:color w:val="auto"/>
                <w:highlight w:val="none"/>
              </w:rPr>
              <w:t>元（大写：人民币        ）</w:t>
            </w:r>
          </w:p>
        </w:tc>
      </w:tr>
      <w:tr w14:paraId="14150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310" w:type="dxa"/>
            <w:vAlign w:val="center"/>
          </w:tcPr>
          <w:p w14:paraId="12BB677F">
            <w:pPr>
              <w:spacing w:before="120" w:after="120" w:line="240" w:lineRule="atLeas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服务期限</w:t>
            </w:r>
          </w:p>
        </w:tc>
        <w:tc>
          <w:tcPr>
            <w:tcW w:w="6870" w:type="dxa"/>
            <w:vAlign w:val="center"/>
          </w:tcPr>
          <w:p w14:paraId="3A7E2317">
            <w:pPr>
              <w:spacing w:before="120" w:after="120" w:line="240" w:lineRule="atLeast"/>
              <w:rPr>
                <w:rFonts w:hint="eastAsia" w:ascii="宋体" w:hAnsi="宋体" w:cs="宋体"/>
                <w:color w:val="auto"/>
                <w:sz w:val="24"/>
                <w:szCs w:val="24"/>
                <w:highlight w:val="none"/>
              </w:rPr>
            </w:pPr>
          </w:p>
        </w:tc>
      </w:tr>
      <w:tr w14:paraId="45737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310" w:type="dxa"/>
            <w:vAlign w:val="center"/>
          </w:tcPr>
          <w:p w14:paraId="06985649">
            <w:pPr>
              <w:spacing w:before="120" w:after="120" w:line="240" w:lineRule="atLeas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质量标准</w:t>
            </w:r>
          </w:p>
        </w:tc>
        <w:tc>
          <w:tcPr>
            <w:tcW w:w="6870" w:type="dxa"/>
            <w:vAlign w:val="center"/>
          </w:tcPr>
          <w:p w14:paraId="1D32EB24">
            <w:pPr>
              <w:spacing w:before="120" w:after="120" w:line="240" w:lineRule="atLeast"/>
              <w:rPr>
                <w:rFonts w:hint="eastAsia" w:ascii="宋体" w:hAnsi="宋体" w:cs="宋体"/>
                <w:color w:val="auto"/>
                <w:sz w:val="24"/>
                <w:szCs w:val="24"/>
                <w:highlight w:val="none"/>
              </w:rPr>
            </w:pPr>
          </w:p>
        </w:tc>
      </w:tr>
      <w:tr w14:paraId="74461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9180" w:type="dxa"/>
            <w:gridSpan w:val="2"/>
            <w:vAlign w:val="center"/>
          </w:tcPr>
          <w:p w14:paraId="7970B7BF">
            <w:pPr>
              <w:spacing w:before="120" w:after="120" w:line="240" w:lineRule="atLeast"/>
              <w:ind w:right="480"/>
              <w:rPr>
                <w:rFonts w:hint="eastAsia" w:ascii="宋体" w:hAnsi="宋体" w:cs="宋体"/>
                <w:color w:val="auto"/>
                <w:sz w:val="24"/>
                <w:szCs w:val="24"/>
                <w:highlight w:val="none"/>
              </w:rPr>
            </w:pPr>
            <w:r>
              <w:rPr>
                <w:rFonts w:hint="eastAsia" w:ascii="宋体" w:hAnsi="宋体" w:cs="宋体"/>
                <w:color w:val="auto"/>
                <w:sz w:val="24"/>
                <w:szCs w:val="24"/>
                <w:highlight w:val="none"/>
              </w:rPr>
              <w:t>申请人：（电子签章）</w:t>
            </w:r>
          </w:p>
        </w:tc>
      </w:tr>
      <w:tr w14:paraId="03B1D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9180" w:type="dxa"/>
            <w:gridSpan w:val="2"/>
            <w:vAlign w:val="bottom"/>
          </w:tcPr>
          <w:p w14:paraId="3FD30C0D">
            <w:pPr>
              <w:spacing w:before="120" w:after="120" w:line="240" w:lineRule="atLeast"/>
              <w:ind w:right="48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法定代表人或被授权人（电子签章）：</w:t>
            </w:r>
          </w:p>
          <w:p w14:paraId="1E82147C">
            <w:pPr>
              <w:spacing w:before="120" w:after="120" w:line="240" w:lineRule="atLeast"/>
              <w:ind w:right="480"/>
              <w:rPr>
                <w:rFonts w:hint="eastAsia" w:ascii="宋体" w:hAnsi="宋体" w:cs="宋体"/>
                <w:color w:val="auto"/>
                <w:sz w:val="24"/>
                <w:szCs w:val="24"/>
                <w:highlight w:val="none"/>
              </w:rPr>
            </w:pPr>
          </w:p>
          <w:p w14:paraId="7F5890A4">
            <w:pPr>
              <w:spacing w:before="120" w:after="120" w:line="240" w:lineRule="atLeast"/>
              <w:ind w:right="480"/>
              <w:rPr>
                <w:rFonts w:hint="eastAsia" w:ascii="宋体" w:hAnsi="宋体" w:cs="宋体"/>
                <w:color w:val="auto"/>
                <w:sz w:val="24"/>
                <w:szCs w:val="24"/>
                <w:highlight w:val="none"/>
              </w:rPr>
            </w:pPr>
            <w:r>
              <w:rPr>
                <w:rFonts w:hint="eastAsia" w:ascii="宋体" w:hAnsi="宋体" w:cs="宋体"/>
                <w:color w:val="auto"/>
                <w:sz w:val="24"/>
                <w:szCs w:val="24"/>
                <w:highlight w:val="none"/>
              </w:rPr>
              <w:t>日期：    年    月    日</w:t>
            </w:r>
          </w:p>
        </w:tc>
      </w:tr>
    </w:tbl>
    <w:p w14:paraId="59349025">
      <w:pPr>
        <w:snapToGrid w:val="0"/>
        <w:spacing w:line="360" w:lineRule="auto"/>
        <w:rPr>
          <w:rFonts w:hint="eastAsia" w:ascii="宋体" w:hAnsi="宋体" w:cs="宋体"/>
          <w:color w:val="auto"/>
          <w:sz w:val="24"/>
          <w:szCs w:val="24"/>
          <w:highlight w:val="none"/>
        </w:rPr>
      </w:pPr>
    </w:p>
    <w:p w14:paraId="508AC53D">
      <w:pPr>
        <w:spacing w:line="400" w:lineRule="exact"/>
        <w:ind w:firstLine="510"/>
        <w:rPr>
          <w:rFonts w:hint="eastAsia" w:ascii="宋体" w:hAnsi="宋体" w:cs="宋体"/>
          <w:color w:val="auto"/>
          <w:sz w:val="24"/>
          <w:szCs w:val="24"/>
          <w:highlight w:val="none"/>
        </w:rPr>
      </w:pPr>
    </w:p>
    <w:p w14:paraId="76BDA147">
      <w:pPr>
        <w:spacing w:line="400" w:lineRule="exact"/>
        <w:rPr>
          <w:rFonts w:hint="eastAsia" w:ascii="宋体" w:hAnsi="宋体" w:cs="宋体"/>
          <w:b/>
          <w:bCs/>
          <w:color w:val="auto"/>
          <w:sz w:val="24"/>
          <w:szCs w:val="24"/>
          <w:highlight w:val="none"/>
        </w:rPr>
      </w:pPr>
      <w:r>
        <w:rPr>
          <w:rFonts w:hint="eastAsia" w:ascii="宋体" w:hAnsi="宋体" w:cs="宋体"/>
          <w:b/>
          <w:color w:val="auto"/>
          <w:sz w:val="24"/>
          <w:szCs w:val="24"/>
          <w:highlight w:val="none"/>
        </w:rPr>
        <w:t>注：谈判（报价）一览表，谈判申请人应放在谈判申请文件的扉页</w:t>
      </w:r>
      <w:r>
        <w:rPr>
          <w:rFonts w:hint="eastAsia" w:ascii="宋体" w:hAnsi="宋体" w:cs="宋体"/>
          <w:b/>
          <w:bCs/>
          <w:color w:val="auto"/>
          <w:sz w:val="24"/>
          <w:szCs w:val="24"/>
          <w:highlight w:val="none"/>
        </w:rPr>
        <w:t>。</w:t>
      </w:r>
    </w:p>
    <w:p w14:paraId="63E1251D">
      <w:pPr>
        <w:spacing w:line="400" w:lineRule="exact"/>
        <w:rPr>
          <w:rFonts w:hint="eastAsia" w:ascii="宋体" w:hAnsi="宋体" w:cs="宋体"/>
          <w:b/>
          <w:bCs/>
          <w:color w:val="auto"/>
          <w:sz w:val="24"/>
          <w:szCs w:val="24"/>
          <w:highlight w:val="none"/>
        </w:rPr>
        <w:sectPr>
          <w:footerReference r:id="rId9" w:type="first"/>
          <w:footerReference r:id="rId8" w:type="default"/>
          <w:pgSz w:w="11906" w:h="16838"/>
          <w:pgMar w:top="1440" w:right="1080" w:bottom="1440" w:left="1080" w:header="851" w:footer="851" w:gutter="567"/>
          <w:pgNumType w:start="1"/>
          <w:cols w:space="720" w:num="1"/>
          <w:titlePg/>
          <w:docGrid w:type="linesAndChars" w:linePitch="312" w:charSpace="0"/>
        </w:sectPr>
      </w:pPr>
      <w:bookmarkStart w:id="2" w:name="_Toc29357044"/>
    </w:p>
    <w:p w14:paraId="4F59C158">
      <w:pPr>
        <w:spacing w:line="400" w:lineRule="exact"/>
        <w:jc w:val="center"/>
        <w:rPr>
          <w:rFonts w:hint="eastAsia" w:ascii="宋体" w:hAnsi="宋体" w:cs="宋体"/>
          <w:color w:val="auto"/>
          <w:sz w:val="44"/>
          <w:szCs w:val="44"/>
          <w:highlight w:val="none"/>
        </w:rPr>
      </w:pPr>
    </w:p>
    <w:p w14:paraId="415B37D1">
      <w:pPr>
        <w:spacing w:line="400" w:lineRule="exact"/>
        <w:jc w:val="center"/>
        <w:rPr>
          <w:rFonts w:hint="eastAsia" w:ascii="宋体" w:hAnsi="宋体" w:cs="宋体"/>
          <w:color w:val="auto"/>
          <w:sz w:val="44"/>
          <w:szCs w:val="44"/>
          <w:highlight w:val="none"/>
        </w:rPr>
      </w:pPr>
    </w:p>
    <w:p w14:paraId="63792783">
      <w:pPr>
        <w:spacing w:line="400" w:lineRule="exact"/>
        <w:jc w:val="center"/>
        <w:rPr>
          <w:rFonts w:hint="eastAsia" w:ascii="宋体" w:hAnsi="宋体" w:cs="宋体"/>
          <w:color w:val="auto"/>
          <w:sz w:val="44"/>
          <w:szCs w:val="44"/>
          <w:highlight w:val="none"/>
        </w:rPr>
      </w:pPr>
    </w:p>
    <w:p w14:paraId="39EDBD95">
      <w:pPr>
        <w:spacing w:line="400" w:lineRule="exact"/>
        <w:jc w:val="center"/>
        <w:rPr>
          <w:rFonts w:hint="eastAsia" w:ascii="宋体" w:hAnsi="宋体" w:cs="宋体"/>
          <w:color w:val="auto"/>
          <w:sz w:val="44"/>
          <w:szCs w:val="44"/>
          <w:highlight w:val="none"/>
        </w:rPr>
      </w:pPr>
    </w:p>
    <w:p w14:paraId="708ED3AB">
      <w:pPr>
        <w:spacing w:line="400" w:lineRule="exact"/>
        <w:jc w:val="center"/>
        <w:rPr>
          <w:rFonts w:hint="eastAsia" w:ascii="宋体" w:hAnsi="宋体" w:cs="宋体"/>
          <w:color w:val="auto"/>
          <w:sz w:val="44"/>
          <w:szCs w:val="44"/>
          <w:highlight w:val="none"/>
        </w:rPr>
      </w:pPr>
    </w:p>
    <w:p w14:paraId="325B3F75">
      <w:pPr>
        <w:spacing w:line="400" w:lineRule="exact"/>
        <w:jc w:val="center"/>
        <w:rPr>
          <w:rFonts w:hint="eastAsia" w:ascii="宋体" w:hAnsi="宋体" w:cs="宋体"/>
          <w:color w:val="auto"/>
          <w:sz w:val="44"/>
          <w:szCs w:val="44"/>
          <w:highlight w:val="none"/>
        </w:rPr>
      </w:pPr>
    </w:p>
    <w:p w14:paraId="719E3A8D">
      <w:pPr>
        <w:spacing w:line="400" w:lineRule="exact"/>
        <w:jc w:val="center"/>
        <w:rPr>
          <w:rFonts w:hint="eastAsia" w:ascii="宋体" w:hAnsi="宋体" w:cs="宋体"/>
          <w:color w:val="auto"/>
          <w:sz w:val="44"/>
          <w:szCs w:val="44"/>
          <w:highlight w:val="none"/>
        </w:rPr>
      </w:pPr>
    </w:p>
    <w:p w14:paraId="5E392543">
      <w:pPr>
        <w:spacing w:line="400" w:lineRule="exact"/>
        <w:jc w:val="center"/>
        <w:rPr>
          <w:rFonts w:hint="eastAsia" w:ascii="宋体" w:hAnsi="宋体" w:cs="宋体"/>
          <w:color w:val="auto"/>
          <w:sz w:val="44"/>
          <w:szCs w:val="44"/>
          <w:highlight w:val="none"/>
        </w:rPr>
      </w:pPr>
    </w:p>
    <w:p w14:paraId="515766DC">
      <w:pPr>
        <w:spacing w:line="400" w:lineRule="exact"/>
        <w:jc w:val="center"/>
        <w:rPr>
          <w:rFonts w:hint="eastAsia" w:ascii="宋体" w:hAnsi="宋体" w:cs="宋体"/>
          <w:color w:val="auto"/>
          <w:sz w:val="44"/>
          <w:szCs w:val="44"/>
          <w:highlight w:val="none"/>
        </w:rPr>
      </w:pPr>
    </w:p>
    <w:p w14:paraId="2111F8DD">
      <w:pPr>
        <w:spacing w:line="400" w:lineRule="exact"/>
        <w:jc w:val="center"/>
        <w:rPr>
          <w:rFonts w:hint="eastAsia" w:ascii="宋体" w:hAnsi="宋体" w:cs="宋体"/>
          <w:color w:val="auto"/>
          <w:sz w:val="44"/>
          <w:szCs w:val="44"/>
          <w:highlight w:val="none"/>
        </w:rPr>
      </w:pPr>
    </w:p>
    <w:p w14:paraId="49850230">
      <w:pPr>
        <w:spacing w:line="400" w:lineRule="exact"/>
        <w:jc w:val="center"/>
        <w:rPr>
          <w:rFonts w:hint="eastAsia" w:ascii="宋体" w:hAnsi="宋体" w:cs="宋体"/>
          <w:color w:val="auto"/>
          <w:sz w:val="44"/>
          <w:szCs w:val="44"/>
          <w:highlight w:val="none"/>
        </w:rPr>
      </w:pPr>
    </w:p>
    <w:p w14:paraId="0EB1C55B">
      <w:pPr>
        <w:spacing w:line="400" w:lineRule="exact"/>
        <w:jc w:val="center"/>
        <w:rPr>
          <w:rFonts w:hint="eastAsia" w:ascii="宋体" w:hAnsi="宋体" w:cs="宋体"/>
          <w:color w:val="auto"/>
          <w:sz w:val="44"/>
          <w:szCs w:val="44"/>
          <w:highlight w:val="none"/>
        </w:rPr>
      </w:pPr>
    </w:p>
    <w:bookmarkEnd w:id="2"/>
    <w:p w14:paraId="54ECE656">
      <w:pPr>
        <w:spacing w:line="400" w:lineRule="exact"/>
        <w:jc w:val="center"/>
        <w:rPr>
          <w:rFonts w:hint="eastAsia" w:ascii="宋体" w:hAnsi="宋体" w:cs="宋体"/>
          <w:color w:val="auto"/>
          <w:sz w:val="44"/>
          <w:szCs w:val="44"/>
          <w:highlight w:val="none"/>
        </w:rPr>
      </w:pPr>
    </w:p>
    <w:p w14:paraId="1F4D4683">
      <w:pPr>
        <w:spacing w:before="156" w:beforeLines="50" w:line="400" w:lineRule="exact"/>
        <w:jc w:val="center"/>
        <w:outlineLvl w:val="0"/>
        <w:rPr>
          <w:rFonts w:hint="eastAsia" w:ascii="宋体" w:hAnsi="宋体" w:cs="宋体"/>
          <w:b/>
          <w:bCs/>
          <w:color w:val="auto"/>
          <w:sz w:val="24"/>
          <w:szCs w:val="24"/>
          <w:highlight w:val="none"/>
        </w:rPr>
      </w:pPr>
      <w:bookmarkStart w:id="3" w:name="_Toc228982294"/>
      <w:r>
        <w:rPr>
          <w:rFonts w:hint="eastAsia" w:ascii="宋体" w:hAnsi="宋体" w:cs="宋体"/>
          <w:color w:val="auto"/>
          <w:sz w:val="44"/>
          <w:szCs w:val="44"/>
          <w:highlight w:val="none"/>
        </w:rPr>
        <w:t>第一章  谈判公告</w:t>
      </w:r>
      <w:bookmarkEnd w:id="3"/>
    </w:p>
    <w:p w14:paraId="7296DE30">
      <w:pPr>
        <w:spacing w:line="420" w:lineRule="exact"/>
        <w:jc w:val="center"/>
        <w:rPr>
          <w:rFonts w:hint="eastAsia" w:ascii="宋体" w:hAnsi="宋体" w:cs="宋体"/>
          <w:b/>
          <w:bCs/>
          <w:color w:val="auto"/>
          <w:sz w:val="28"/>
          <w:szCs w:val="28"/>
          <w:highlight w:val="none"/>
        </w:rPr>
        <w:sectPr>
          <w:headerReference r:id="rId10" w:type="first"/>
          <w:pgSz w:w="11906" w:h="16838"/>
          <w:pgMar w:top="1440" w:right="1080" w:bottom="1440" w:left="1080" w:header="851" w:footer="851" w:gutter="567"/>
          <w:cols w:space="720" w:num="1"/>
          <w:titlePg/>
          <w:docGrid w:type="linesAndChars" w:linePitch="312" w:charSpace="0"/>
        </w:sectPr>
      </w:pPr>
    </w:p>
    <w:p w14:paraId="20D6C609">
      <w:pPr>
        <w:pBdr>
          <w:top w:val="single" w:color="auto" w:sz="4" w:space="1"/>
          <w:left w:val="single" w:color="auto" w:sz="4" w:space="4"/>
          <w:bottom w:val="single" w:color="auto" w:sz="4" w:space="1"/>
          <w:right w:val="single" w:color="auto" w:sz="4" w:space="4"/>
        </w:pBdr>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项目概况</w:t>
      </w:r>
    </w:p>
    <w:p w14:paraId="6A77FEA4">
      <w:pPr>
        <w:pBdr>
          <w:top w:val="single" w:color="auto" w:sz="4" w:space="1"/>
          <w:left w:val="single" w:color="auto" w:sz="4" w:space="4"/>
          <w:bottom w:val="single" w:color="auto" w:sz="4" w:space="1"/>
          <w:right w:val="single" w:color="auto" w:sz="4" w:space="4"/>
        </w:pBdr>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昆明市旅游职业中学导游虚拟仿真实训室项目（设备购置）-非集采货物</w:t>
      </w:r>
      <w:r>
        <w:rPr>
          <w:rFonts w:hint="eastAsia" w:ascii="宋体" w:hAnsi="宋体" w:cs="宋体"/>
          <w:color w:val="auto"/>
          <w:szCs w:val="21"/>
          <w:highlight w:val="none"/>
        </w:rPr>
        <w:t>的潜在供应商应在</w:t>
      </w:r>
      <w:r>
        <w:rPr>
          <w:rFonts w:hint="eastAsia" w:ascii="宋体" w:hAnsi="宋体" w:cs="宋体"/>
          <w:color w:val="auto"/>
          <w:szCs w:val="21"/>
          <w:highlight w:val="none"/>
          <w:u w:val="single"/>
        </w:rPr>
        <w:t>政采云平台（https://www.zcygov.cn/）凭企业数字证书（CA）</w:t>
      </w:r>
      <w:r>
        <w:rPr>
          <w:rFonts w:hint="eastAsia" w:ascii="宋体" w:hAnsi="宋体" w:cs="宋体"/>
          <w:color w:val="auto"/>
          <w:szCs w:val="21"/>
          <w:highlight w:val="none"/>
        </w:rPr>
        <w:t>获取采购文件，并于</w:t>
      </w:r>
      <w:r>
        <w:rPr>
          <w:rFonts w:hint="eastAsia" w:ascii="宋体" w:hAnsi="宋体" w:cs="宋体"/>
          <w:bCs/>
          <w:color w:val="auto"/>
          <w:szCs w:val="21"/>
          <w:highlight w:val="none"/>
          <w:u w:val="single"/>
        </w:rPr>
        <w:t>2026年6月</w:t>
      </w: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日9</w:t>
      </w:r>
      <w:r>
        <w:rPr>
          <w:rFonts w:hint="eastAsia" w:ascii="宋体" w:hAnsi="宋体" w:cs="宋体"/>
          <w:bCs/>
          <w:color w:val="auto"/>
          <w:szCs w:val="21"/>
          <w:highlight w:val="none"/>
          <w:u w:val="single"/>
        </w:rPr>
        <w:t>点30分</w:t>
      </w:r>
      <w:r>
        <w:rPr>
          <w:rFonts w:hint="eastAsia" w:ascii="宋体" w:hAnsi="宋体" w:cs="宋体"/>
          <w:color w:val="auto"/>
          <w:szCs w:val="21"/>
          <w:highlight w:val="none"/>
        </w:rPr>
        <w:t>（北京时间）前提交响应文件。</w:t>
      </w:r>
    </w:p>
    <w:p w14:paraId="1870BC56">
      <w:pPr>
        <w:rPr>
          <w:rFonts w:hint="eastAsia" w:ascii="宋体" w:hAnsi="宋体" w:cs="宋体"/>
          <w:color w:val="auto"/>
          <w:szCs w:val="21"/>
          <w:highlight w:val="none"/>
        </w:rPr>
      </w:pPr>
      <w:bookmarkStart w:id="4" w:name="_Toc35393621"/>
      <w:bookmarkStart w:id="5" w:name="_Toc28359002"/>
      <w:bookmarkStart w:id="6" w:name="_Toc35393790"/>
      <w:bookmarkStart w:id="7" w:name="_Toc28359079"/>
      <w:bookmarkStart w:id="8" w:name="_Hlk24379207"/>
      <w:r>
        <w:rPr>
          <w:rFonts w:hint="eastAsia" w:ascii="宋体" w:hAnsi="宋体" w:cs="宋体"/>
          <w:b/>
          <w:bCs/>
          <w:color w:val="auto"/>
          <w:szCs w:val="21"/>
          <w:highlight w:val="none"/>
        </w:rPr>
        <w:t>一、项目基本情况</w:t>
      </w:r>
      <w:bookmarkEnd w:id="4"/>
      <w:bookmarkEnd w:id="5"/>
      <w:bookmarkEnd w:id="6"/>
      <w:bookmarkEnd w:id="7"/>
    </w:p>
    <w:p w14:paraId="37F5F2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项目编号：（鼎）招文第（2026）-035-2号（KMZC2026-J1-00845-YNDX-0019） </w:t>
      </w:r>
    </w:p>
    <w:p w14:paraId="7157A3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项目名称：昆明市旅游职业中学导游虚拟仿真实训室项目（设备购置）-非集采货物</w:t>
      </w:r>
    </w:p>
    <w:p w14:paraId="4A369CD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采购方式：竞争性谈判</w:t>
      </w:r>
    </w:p>
    <w:bookmarkEnd w:id="8"/>
    <w:p w14:paraId="2C2AF30A">
      <w:pPr>
        <w:tabs>
          <w:tab w:val="left" w:pos="21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预算金额（元）：¥615820.00元</w:t>
      </w:r>
    </w:p>
    <w:p w14:paraId="06BA9C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最高限价（元）：¥615820.00元</w:t>
      </w:r>
    </w:p>
    <w:p w14:paraId="401E39F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采购需求：对昆明市旅游职业中学导游虚拟仿真实训室进行设备购置。</w:t>
      </w:r>
    </w:p>
    <w:tbl>
      <w:tblPr>
        <w:tblStyle w:val="36"/>
        <w:tblW w:w="7938" w:type="dxa"/>
        <w:tblInd w:w="534" w:type="dxa"/>
        <w:tblLayout w:type="fixed"/>
        <w:tblCellMar>
          <w:top w:w="0" w:type="dxa"/>
          <w:left w:w="108" w:type="dxa"/>
          <w:bottom w:w="0" w:type="dxa"/>
          <w:right w:w="108" w:type="dxa"/>
        </w:tblCellMar>
      </w:tblPr>
      <w:tblGrid>
        <w:gridCol w:w="779"/>
        <w:gridCol w:w="2785"/>
        <w:gridCol w:w="972"/>
        <w:gridCol w:w="992"/>
        <w:gridCol w:w="1276"/>
        <w:gridCol w:w="1134"/>
      </w:tblGrid>
      <w:tr w14:paraId="2C0E9F4B">
        <w:tblPrEx>
          <w:tblCellMar>
            <w:top w:w="0" w:type="dxa"/>
            <w:left w:w="108" w:type="dxa"/>
            <w:bottom w:w="0" w:type="dxa"/>
            <w:right w:w="108" w:type="dxa"/>
          </w:tblCellMar>
        </w:tblPrEx>
        <w:trPr>
          <w:trHeight w:val="15"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62A29C3C">
            <w:pPr>
              <w:widowControl/>
              <w:jc w:val="center"/>
              <w:rPr>
                <w:color w:val="auto"/>
                <w:sz w:val="16"/>
                <w:highlight w:val="none"/>
              </w:rPr>
            </w:pPr>
            <w:r>
              <w:rPr>
                <w:rFonts w:hint="eastAsia" w:ascii="Calibri" w:hAnsi="Calibri"/>
                <w:color w:val="auto"/>
                <w:sz w:val="16"/>
                <w:szCs w:val="21"/>
                <w:highlight w:val="none"/>
                <w:lang w:bidi="ar"/>
              </w:rPr>
              <w:t>序号</w:t>
            </w:r>
          </w:p>
        </w:tc>
        <w:tc>
          <w:tcPr>
            <w:tcW w:w="2785" w:type="dxa"/>
            <w:tcBorders>
              <w:top w:val="single" w:color="000000" w:sz="4" w:space="0"/>
              <w:left w:val="nil"/>
              <w:bottom w:val="single" w:color="000000" w:sz="4" w:space="0"/>
              <w:right w:val="single" w:color="000000" w:sz="4" w:space="0"/>
            </w:tcBorders>
            <w:shd w:val="clear" w:color="auto" w:fill="FFFFFF"/>
            <w:vAlign w:val="center"/>
          </w:tcPr>
          <w:p w14:paraId="13508C08">
            <w:pPr>
              <w:widowControl/>
              <w:jc w:val="center"/>
              <w:rPr>
                <w:color w:val="auto"/>
                <w:sz w:val="16"/>
                <w:highlight w:val="none"/>
              </w:rPr>
            </w:pPr>
            <w:r>
              <w:rPr>
                <w:rFonts w:hint="eastAsia" w:ascii="Calibri" w:hAnsi="Calibri"/>
                <w:color w:val="auto"/>
                <w:sz w:val="16"/>
                <w:szCs w:val="21"/>
                <w:highlight w:val="none"/>
                <w:lang w:bidi="ar"/>
              </w:rPr>
              <w:t>产品（项目）名称</w:t>
            </w:r>
          </w:p>
        </w:tc>
        <w:tc>
          <w:tcPr>
            <w:tcW w:w="972" w:type="dxa"/>
            <w:tcBorders>
              <w:top w:val="single" w:color="000000" w:sz="4" w:space="0"/>
              <w:left w:val="nil"/>
              <w:bottom w:val="single" w:color="000000" w:sz="4" w:space="0"/>
              <w:right w:val="single" w:color="000000" w:sz="4" w:space="0"/>
            </w:tcBorders>
            <w:shd w:val="clear" w:color="auto" w:fill="FFFFFF"/>
            <w:noWrap/>
            <w:vAlign w:val="center"/>
          </w:tcPr>
          <w:p w14:paraId="1418C768">
            <w:pPr>
              <w:widowControl/>
              <w:jc w:val="center"/>
              <w:rPr>
                <w:color w:val="auto"/>
                <w:sz w:val="16"/>
                <w:highlight w:val="none"/>
              </w:rPr>
            </w:pPr>
            <w:r>
              <w:rPr>
                <w:rFonts w:hint="eastAsia" w:ascii="Calibri" w:hAnsi="Calibri"/>
                <w:color w:val="auto"/>
                <w:sz w:val="16"/>
                <w:szCs w:val="21"/>
                <w:highlight w:val="none"/>
                <w:lang w:bidi="ar"/>
              </w:rPr>
              <w:t>数量</w:t>
            </w:r>
          </w:p>
        </w:tc>
        <w:tc>
          <w:tcPr>
            <w:tcW w:w="992" w:type="dxa"/>
            <w:tcBorders>
              <w:top w:val="single" w:color="000000" w:sz="4" w:space="0"/>
              <w:left w:val="nil"/>
              <w:bottom w:val="single" w:color="000000" w:sz="4" w:space="0"/>
              <w:right w:val="single" w:color="000000" w:sz="4" w:space="0"/>
            </w:tcBorders>
            <w:shd w:val="clear" w:color="auto" w:fill="FFFFFF"/>
            <w:vAlign w:val="center"/>
          </w:tcPr>
          <w:p w14:paraId="15A6929D">
            <w:pPr>
              <w:widowControl/>
              <w:jc w:val="center"/>
              <w:rPr>
                <w:color w:val="auto"/>
                <w:kern w:val="0"/>
                <w:sz w:val="20"/>
                <w:highlight w:val="none"/>
                <w:lang w:bidi="ar"/>
              </w:rPr>
            </w:pPr>
            <w:r>
              <w:rPr>
                <w:rFonts w:hint="eastAsia" w:ascii="Calibri" w:hAnsi="Calibri"/>
                <w:color w:val="auto"/>
                <w:sz w:val="16"/>
                <w:szCs w:val="21"/>
                <w:highlight w:val="none"/>
                <w:lang w:bidi="ar"/>
              </w:rPr>
              <w:t>计量</w:t>
            </w:r>
          </w:p>
          <w:p w14:paraId="32533C7F">
            <w:pPr>
              <w:widowControl/>
              <w:jc w:val="center"/>
              <w:rPr>
                <w:color w:val="auto"/>
                <w:sz w:val="16"/>
                <w:highlight w:val="none"/>
              </w:rPr>
            </w:pPr>
            <w:r>
              <w:rPr>
                <w:rFonts w:hint="eastAsia" w:ascii="Calibri" w:hAnsi="Calibri"/>
                <w:color w:val="auto"/>
                <w:sz w:val="16"/>
                <w:szCs w:val="21"/>
                <w:highlight w:val="none"/>
                <w:lang w:bidi="ar"/>
              </w:rPr>
              <w:t>单位</w:t>
            </w:r>
          </w:p>
        </w:tc>
        <w:tc>
          <w:tcPr>
            <w:tcW w:w="1276" w:type="dxa"/>
            <w:tcBorders>
              <w:top w:val="single" w:color="000000" w:sz="4" w:space="0"/>
              <w:left w:val="nil"/>
              <w:bottom w:val="single" w:color="000000" w:sz="4" w:space="0"/>
              <w:right w:val="single" w:color="000000" w:sz="4" w:space="0"/>
            </w:tcBorders>
            <w:shd w:val="clear" w:color="auto" w:fill="FFFFFF"/>
            <w:vAlign w:val="center"/>
          </w:tcPr>
          <w:p w14:paraId="3E44951A">
            <w:pPr>
              <w:widowControl/>
              <w:jc w:val="center"/>
              <w:rPr>
                <w:color w:val="auto"/>
                <w:kern w:val="0"/>
                <w:sz w:val="20"/>
                <w:highlight w:val="none"/>
                <w:lang w:bidi="ar"/>
              </w:rPr>
            </w:pPr>
            <w:r>
              <w:rPr>
                <w:rFonts w:hint="eastAsia" w:ascii="Calibri" w:hAnsi="Calibri"/>
                <w:color w:val="auto"/>
                <w:sz w:val="16"/>
                <w:szCs w:val="21"/>
                <w:highlight w:val="none"/>
                <w:lang w:bidi="ar"/>
              </w:rPr>
              <w:t>预算单价</w:t>
            </w:r>
          </w:p>
          <w:p w14:paraId="6818CC6D">
            <w:pPr>
              <w:widowControl/>
              <w:jc w:val="center"/>
              <w:rPr>
                <w:color w:val="auto"/>
                <w:sz w:val="16"/>
                <w:highlight w:val="none"/>
              </w:rPr>
            </w:pPr>
            <w:r>
              <w:rPr>
                <w:rFonts w:hint="eastAsia" w:ascii="Calibri" w:hAnsi="Calibri"/>
                <w:color w:val="auto"/>
                <w:sz w:val="16"/>
                <w:szCs w:val="21"/>
                <w:highlight w:val="none"/>
                <w:lang w:bidi="ar"/>
              </w:rPr>
              <w:t>（元）</w:t>
            </w:r>
          </w:p>
        </w:tc>
        <w:tc>
          <w:tcPr>
            <w:tcW w:w="1134" w:type="dxa"/>
            <w:tcBorders>
              <w:top w:val="single" w:color="000000" w:sz="4" w:space="0"/>
              <w:left w:val="nil"/>
              <w:bottom w:val="single" w:color="000000" w:sz="4" w:space="0"/>
              <w:right w:val="single" w:color="000000" w:sz="4" w:space="0"/>
            </w:tcBorders>
            <w:shd w:val="clear" w:color="auto" w:fill="FFFFFF"/>
            <w:vAlign w:val="center"/>
          </w:tcPr>
          <w:p w14:paraId="1A676477">
            <w:pPr>
              <w:widowControl/>
              <w:jc w:val="center"/>
              <w:rPr>
                <w:color w:val="auto"/>
                <w:kern w:val="0"/>
                <w:sz w:val="20"/>
                <w:highlight w:val="none"/>
                <w:lang w:bidi="ar"/>
              </w:rPr>
            </w:pPr>
            <w:r>
              <w:rPr>
                <w:rFonts w:hint="eastAsia" w:ascii="Calibri" w:hAnsi="Calibri"/>
                <w:color w:val="auto"/>
                <w:sz w:val="16"/>
                <w:szCs w:val="21"/>
                <w:highlight w:val="none"/>
                <w:lang w:bidi="ar"/>
              </w:rPr>
              <w:t>金额</w:t>
            </w:r>
          </w:p>
          <w:p w14:paraId="0B85EE2B">
            <w:pPr>
              <w:widowControl/>
              <w:jc w:val="center"/>
              <w:rPr>
                <w:color w:val="auto"/>
                <w:sz w:val="16"/>
                <w:highlight w:val="none"/>
              </w:rPr>
            </w:pPr>
            <w:r>
              <w:rPr>
                <w:rFonts w:hint="eastAsia" w:ascii="Calibri" w:hAnsi="Calibri"/>
                <w:color w:val="auto"/>
                <w:sz w:val="16"/>
                <w:szCs w:val="21"/>
                <w:highlight w:val="none"/>
                <w:lang w:bidi="ar"/>
              </w:rPr>
              <w:t>（元）</w:t>
            </w:r>
          </w:p>
        </w:tc>
      </w:tr>
      <w:tr w14:paraId="71ED7139">
        <w:tblPrEx>
          <w:tblCellMar>
            <w:top w:w="0" w:type="dxa"/>
            <w:left w:w="108" w:type="dxa"/>
            <w:bottom w:w="0" w:type="dxa"/>
            <w:right w:w="108" w:type="dxa"/>
          </w:tblCellMar>
        </w:tblPrEx>
        <w:trPr>
          <w:trHeight w:val="15" w:hRule="atLeast"/>
        </w:trPr>
        <w:tc>
          <w:tcPr>
            <w:tcW w:w="779" w:type="dxa"/>
            <w:tcBorders>
              <w:top w:val="single" w:color="000000" w:sz="4" w:space="0"/>
              <w:left w:val="single" w:color="000000" w:sz="4" w:space="0"/>
              <w:bottom w:val="single" w:color="000000" w:sz="4" w:space="0"/>
              <w:right w:val="single" w:color="000000" w:sz="4" w:space="0"/>
            </w:tcBorders>
            <w:vAlign w:val="center"/>
          </w:tcPr>
          <w:p w14:paraId="4801D883">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w:t>
            </w:r>
          </w:p>
        </w:tc>
        <w:tc>
          <w:tcPr>
            <w:tcW w:w="2785" w:type="dxa"/>
            <w:tcBorders>
              <w:top w:val="single" w:color="000000" w:sz="4" w:space="0"/>
              <w:left w:val="nil"/>
              <w:bottom w:val="single" w:color="000000" w:sz="4" w:space="0"/>
              <w:right w:val="single" w:color="000000" w:sz="4" w:space="0"/>
            </w:tcBorders>
            <w:shd w:val="clear" w:color="auto" w:fill="FFFFFF"/>
            <w:vAlign w:val="center"/>
          </w:tcPr>
          <w:p w14:paraId="09DBF262">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接收/发送卡</w:t>
            </w:r>
          </w:p>
        </w:tc>
        <w:tc>
          <w:tcPr>
            <w:tcW w:w="972" w:type="dxa"/>
            <w:tcBorders>
              <w:top w:val="single" w:color="000000" w:sz="4" w:space="0"/>
              <w:left w:val="nil"/>
              <w:bottom w:val="single" w:color="000000" w:sz="4" w:space="0"/>
              <w:right w:val="single" w:color="000000" w:sz="4" w:space="0"/>
            </w:tcBorders>
            <w:shd w:val="clear" w:color="auto" w:fill="FFFFFF"/>
            <w:vAlign w:val="center"/>
          </w:tcPr>
          <w:p w14:paraId="55EE5671">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13</w:t>
            </w:r>
          </w:p>
        </w:tc>
        <w:tc>
          <w:tcPr>
            <w:tcW w:w="992" w:type="dxa"/>
            <w:tcBorders>
              <w:top w:val="single" w:color="000000" w:sz="4" w:space="0"/>
              <w:left w:val="nil"/>
              <w:bottom w:val="single" w:color="000000" w:sz="4" w:space="0"/>
              <w:right w:val="single" w:color="000000" w:sz="4" w:space="0"/>
            </w:tcBorders>
            <w:shd w:val="clear" w:color="auto" w:fill="FFFFFF"/>
            <w:vAlign w:val="center"/>
          </w:tcPr>
          <w:p w14:paraId="337719C6">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张</w:t>
            </w:r>
          </w:p>
        </w:tc>
        <w:tc>
          <w:tcPr>
            <w:tcW w:w="1276" w:type="dxa"/>
            <w:tcBorders>
              <w:top w:val="single" w:color="000000" w:sz="4" w:space="0"/>
              <w:left w:val="nil"/>
              <w:bottom w:val="single" w:color="000000" w:sz="4" w:space="0"/>
              <w:right w:val="single" w:color="000000" w:sz="4" w:space="0"/>
            </w:tcBorders>
            <w:shd w:val="clear" w:color="auto" w:fill="FFFFFF"/>
            <w:vAlign w:val="center"/>
          </w:tcPr>
          <w:p w14:paraId="7B2489E8">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150</w:t>
            </w:r>
          </w:p>
        </w:tc>
        <w:tc>
          <w:tcPr>
            <w:tcW w:w="1134" w:type="dxa"/>
            <w:tcBorders>
              <w:top w:val="single" w:color="000000" w:sz="4" w:space="0"/>
              <w:left w:val="nil"/>
              <w:bottom w:val="single" w:color="000000" w:sz="4" w:space="0"/>
              <w:right w:val="single" w:color="000000" w:sz="4" w:space="0"/>
            </w:tcBorders>
            <w:shd w:val="clear" w:color="auto" w:fill="FFFFFF"/>
            <w:vAlign w:val="center"/>
          </w:tcPr>
          <w:p w14:paraId="43CB8656">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1950</w:t>
            </w:r>
          </w:p>
        </w:tc>
      </w:tr>
      <w:tr w14:paraId="68FAD4E5">
        <w:tblPrEx>
          <w:tblCellMar>
            <w:top w:w="0" w:type="dxa"/>
            <w:left w:w="108" w:type="dxa"/>
            <w:bottom w:w="0" w:type="dxa"/>
            <w:right w:w="108" w:type="dxa"/>
          </w:tblCellMar>
        </w:tblPrEx>
        <w:trPr>
          <w:trHeight w:val="15" w:hRule="atLeast"/>
        </w:trPr>
        <w:tc>
          <w:tcPr>
            <w:tcW w:w="779" w:type="dxa"/>
            <w:tcBorders>
              <w:top w:val="single" w:color="000000" w:sz="4" w:space="0"/>
              <w:left w:val="single" w:color="000000" w:sz="4" w:space="0"/>
              <w:bottom w:val="single" w:color="000000" w:sz="4" w:space="0"/>
              <w:right w:val="single" w:color="000000" w:sz="4" w:space="0"/>
            </w:tcBorders>
            <w:vAlign w:val="center"/>
          </w:tcPr>
          <w:p w14:paraId="3D1D8BB2">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2</w:t>
            </w:r>
          </w:p>
        </w:tc>
        <w:tc>
          <w:tcPr>
            <w:tcW w:w="2785" w:type="dxa"/>
            <w:tcBorders>
              <w:top w:val="single" w:color="000000" w:sz="4" w:space="0"/>
              <w:left w:val="nil"/>
              <w:bottom w:val="single" w:color="000000" w:sz="4" w:space="0"/>
              <w:right w:val="single" w:color="000000" w:sz="4" w:space="0"/>
            </w:tcBorders>
            <w:shd w:val="clear" w:color="auto" w:fill="FFFFFF"/>
            <w:vAlign w:val="center"/>
          </w:tcPr>
          <w:p w14:paraId="31850C66">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VR头盔</w:t>
            </w:r>
          </w:p>
        </w:tc>
        <w:tc>
          <w:tcPr>
            <w:tcW w:w="972" w:type="dxa"/>
            <w:tcBorders>
              <w:top w:val="single" w:color="000000" w:sz="4" w:space="0"/>
              <w:left w:val="nil"/>
              <w:bottom w:val="single" w:color="000000" w:sz="4" w:space="0"/>
              <w:right w:val="single" w:color="000000" w:sz="4" w:space="0"/>
            </w:tcBorders>
            <w:shd w:val="clear" w:color="auto" w:fill="FFFFFF"/>
            <w:vAlign w:val="center"/>
          </w:tcPr>
          <w:p w14:paraId="58396BA3">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25</w:t>
            </w:r>
          </w:p>
        </w:tc>
        <w:tc>
          <w:tcPr>
            <w:tcW w:w="992" w:type="dxa"/>
            <w:tcBorders>
              <w:top w:val="single" w:color="000000" w:sz="4" w:space="0"/>
              <w:left w:val="nil"/>
              <w:bottom w:val="single" w:color="000000" w:sz="4" w:space="0"/>
              <w:right w:val="single" w:color="000000" w:sz="4" w:space="0"/>
            </w:tcBorders>
            <w:shd w:val="clear" w:color="auto" w:fill="FFFFFF"/>
            <w:vAlign w:val="center"/>
          </w:tcPr>
          <w:p w14:paraId="2DE32A1A">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套</w:t>
            </w:r>
          </w:p>
        </w:tc>
        <w:tc>
          <w:tcPr>
            <w:tcW w:w="1276" w:type="dxa"/>
            <w:tcBorders>
              <w:top w:val="single" w:color="000000" w:sz="4" w:space="0"/>
              <w:left w:val="nil"/>
              <w:bottom w:val="single" w:color="000000" w:sz="4" w:space="0"/>
              <w:right w:val="single" w:color="000000" w:sz="4" w:space="0"/>
            </w:tcBorders>
            <w:shd w:val="clear" w:color="auto" w:fill="FFFFFF"/>
            <w:vAlign w:val="center"/>
          </w:tcPr>
          <w:p w14:paraId="7ED2F1C5">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4300</w:t>
            </w:r>
          </w:p>
        </w:tc>
        <w:tc>
          <w:tcPr>
            <w:tcW w:w="1134" w:type="dxa"/>
            <w:tcBorders>
              <w:top w:val="single" w:color="000000" w:sz="4" w:space="0"/>
              <w:left w:val="nil"/>
              <w:bottom w:val="single" w:color="000000" w:sz="4" w:space="0"/>
              <w:right w:val="single" w:color="000000" w:sz="4" w:space="0"/>
            </w:tcBorders>
            <w:shd w:val="clear" w:color="auto" w:fill="FFFFFF"/>
            <w:vAlign w:val="center"/>
          </w:tcPr>
          <w:p w14:paraId="7D9219F5">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107500</w:t>
            </w:r>
          </w:p>
        </w:tc>
      </w:tr>
      <w:tr w14:paraId="7E7812B9">
        <w:tblPrEx>
          <w:tblCellMar>
            <w:top w:w="0" w:type="dxa"/>
            <w:left w:w="108" w:type="dxa"/>
            <w:bottom w:w="0" w:type="dxa"/>
            <w:right w:w="108" w:type="dxa"/>
          </w:tblCellMar>
        </w:tblPrEx>
        <w:trPr>
          <w:trHeight w:val="15" w:hRule="atLeast"/>
        </w:trPr>
        <w:tc>
          <w:tcPr>
            <w:tcW w:w="779" w:type="dxa"/>
            <w:tcBorders>
              <w:top w:val="single" w:color="000000" w:sz="4" w:space="0"/>
              <w:left w:val="single" w:color="000000" w:sz="4" w:space="0"/>
              <w:bottom w:val="single" w:color="000000" w:sz="4" w:space="0"/>
              <w:right w:val="single" w:color="000000" w:sz="4" w:space="0"/>
            </w:tcBorders>
            <w:vAlign w:val="center"/>
          </w:tcPr>
          <w:p w14:paraId="79C64FFF">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3</w:t>
            </w:r>
          </w:p>
        </w:tc>
        <w:tc>
          <w:tcPr>
            <w:tcW w:w="2785" w:type="dxa"/>
            <w:tcBorders>
              <w:top w:val="single" w:color="000000" w:sz="4" w:space="0"/>
              <w:left w:val="nil"/>
              <w:bottom w:val="single" w:color="000000" w:sz="4" w:space="0"/>
              <w:right w:val="single" w:color="000000" w:sz="4" w:space="0"/>
            </w:tcBorders>
            <w:shd w:val="clear" w:color="auto" w:fill="FFFFFF"/>
            <w:vAlign w:val="center"/>
          </w:tcPr>
          <w:p w14:paraId="47F7DEAD">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机柜</w:t>
            </w:r>
          </w:p>
        </w:tc>
        <w:tc>
          <w:tcPr>
            <w:tcW w:w="972" w:type="dxa"/>
            <w:tcBorders>
              <w:top w:val="single" w:color="000000" w:sz="4" w:space="0"/>
              <w:left w:val="nil"/>
              <w:bottom w:val="single" w:color="000000" w:sz="4" w:space="0"/>
              <w:right w:val="single" w:color="000000" w:sz="4" w:space="0"/>
            </w:tcBorders>
            <w:shd w:val="clear" w:color="auto" w:fill="FFFFFF"/>
            <w:vAlign w:val="center"/>
          </w:tcPr>
          <w:p w14:paraId="0B266233">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w:t>
            </w:r>
          </w:p>
        </w:tc>
        <w:tc>
          <w:tcPr>
            <w:tcW w:w="992" w:type="dxa"/>
            <w:tcBorders>
              <w:top w:val="single" w:color="000000" w:sz="4" w:space="0"/>
              <w:left w:val="nil"/>
              <w:bottom w:val="single" w:color="000000" w:sz="4" w:space="0"/>
              <w:right w:val="single" w:color="000000" w:sz="4" w:space="0"/>
            </w:tcBorders>
            <w:shd w:val="clear" w:color="auto" w:fill="FFFFFF"/>
            <w:vAlign w:val="center"/>
          </w:tcPr>
          <w:p w14:paraId="5A91FFB7">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台</w:t>
            </w:r>
          </w:p>
        </w:tc>
        <w:tc>
          <w:tcPr>
            <w:tcW w:w="1276" w:type="dxa"/>
            <w:tcBorders>
              <w:top w:val="single" w:color="000000" w:sz="4" w:space="0"/>
              <w:left w:val="nil"/>
              <w:bottom w:val="single" w:color="000000" w:sz="4" w:space="0"/>
              <w:right w:val="single" w:color="000000" w:sz="4" w:space="0"/>
            </w:tcBorders>
            <w:shd w:val="clear" w:color="auto" w:fill="FFFFFF"/>
            <w:vAlign w:val="center"/>
          </w:tcPr>
          <w:p w14:paraId="2E0BEA5F">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2000</w:t>
            </w:r>
          </w:p>
        </w:tc>
        <w:tc>
          <w:tcPr>
            <w:tcW w:w="1134" w:type="dxa"/>
            <w:tcBorders>
              <w:top w:val="single" w:color="000000" w:sz="4" w:space="0"/>
              <w:left w:val="nil"/>
              <w:bottom w:val="single" w:color="000000" w:sz="4" w:space="0"/>
              <w:right w:val="single" w:color="000000" w:sz="4" w:space="0"/>
            </w:tcBorders>
            <w:shd w:val="clear" w:color="auto" w:fill="FFFFFF"/>
            <w:vAlign w:val="center"/>
          </w:tcPr>
          <w:p w14:paraId="1A2AFEA7">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2000</w:t>
            </w:r>
          </w:p>
        </w:tc>
      </w:tr>
      <w:tr w14:paraId="094FA630">
        <w:tblPrEx>
          <w:tblCellMar>
            <w:top w:w="0" w:type="dxa"/>
            <w:left w:w="108" w:type="dxa"/>
            <w:bottom w:w="0" w:type="dxa"/>
            <w:right w:w="108" w:type="dxa"/>
          </w:tblCellMar>
        </w:tblPrEx>
        <w:trPr>
          <w:trHeight w:val="15" w:hRule="atLeast"/>
        </w:trPr>
        <w:tc>
          <w:tcPr>
            <w:tcW w:w="779" w:type="dxa"/>
            <w:tcBorders>
              <w:top w:val="single" w:color="000000" w:sz="4" w:space="0"/>
              <w:left w:val="single" w:color="000000" w:sz="4" w:space="0"/>
              <w:bottom w:val="single" w:color="000000" w:sz="4" w:space="0"/>
              <w:right w:val="single" w:color="000000" w:sz="4" w:space="0"/>
            </w:tcBorders>
            <w:vAlign w:val="center"/>
          </w:tcPr>
          <w:p w14:paraId="5F733D0A">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4</w:t>
            </w:r>
          </w:p>
        </w:tc>
        <w:tc>
          <w:tcPr>
            <w:tcW w:w="2785" w:type="dxa"/>
            <w:tcBorders>
              <w:top w:val="single" w:color="000000" w:sz="4" w:space="0"/>
              <w:left w:val="nil"/>
              <w:bottom w:val="single" w:color="000000" w:sz="4" w:space="0"/>
              <w:right w:val="single" w:color="000000" w:sz="4" w:space="0"/>
            </w:tcBorders>
            <w:shd w:val="clear" w:color="auto" w:fill="FFFFFF"/>
            <w:vAlign w:val="center"/>
          </w:tcPr>
          <w:p w14:paraId="62F98FF5">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AI智能共享导游实验设备</w:t>
            </w:r>
          </w:p>
        </w:tc>
        <w:tc>
          <w:tcPr>
            <w:tcW w:w="972" w:type="dxa"/>
            <w:tcBorders>
              <w:top w:val="single" w:color="000000" w:sz="4" w:space="0"/>
              <w:left w:val="nil"/>
              <w:bottom w:val="single" w:color="000000" w:sz="4" w:space="0"/>
              <w:right w:val="single" w:color="000000" w:sz="4" w:space="0"/>
            </w:tcBorders>
            <w:shd w:val="clear" w:color="auto" w:fill="FFFFFF"/>
            <w:vAlign w:val="center"/>
          </w:tcPr>
          <w:p w14:paraId="1B14965A">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2</w:t>
            </w:r>
          </w:p>
        </w:tc>
        <w:tc>
          <w:tcPr>
            <w:tcW w:w="992" w:type="dxa"/>
            <w:tcBorders>
              <w:top w:val="single" w:color="000000" w:sz="4" w:space="0"/>
              <w:left w:val="nil"/>
              <w:bottom w:val="single" w:color="000000" w:sz="4" w:space="0"/>
              <w:right w:val="single" w:color="000000" w:sz="4" w:space="0"/>
            </w:tcBorders>
            <w:shd w:val="clear" w:color="auto" w:fill="FFFFFF"/>
            <w:vAlign w:val="center"/>
          </w:tcPr>
          <w:p w14:paraId="7FD8C732">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套</w:t>
            </w:r>
          </w:p>
        </w:tc>
        <w:tc>
          <w:tcPr>
            <w:tcW w:w="1276" w:type="dxa"/>
            <w:tcBorders>
              <w:top w:val="single" w:color="000000" w:sz="4" w:space="0"/>
              <w:left w:val="nil"/>
              <w:bottom w:val="single" w:color="000000" w:sz="4" w:space="0"/>
              <w:right w:val="single" w:color="000000" w:sz="4" w:space="0"/>
            </w:tcBorders>
            <w:shd w:val="clear" w:color="auto" w:fill="FFFFFF"/>
            <w:vAlign w:val="center"/>
          </w:tcPr>
          <w:p w14:paraId="3A5EB476">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90000</w:t>
            </w:r>
          </w:p>
        </w:tc>
        <w:tc>
          <w:tcPr>
            <w:tcW w:w="1134" w:type="dxa"/>
            <w:tcBorders>
              <w:top w:val="single" w:color="000000" w:sz="4" w:space="0"/>
              <w:left w:val="nil"/>
              <w:bottom w:val="single" w:color="000000" w:sz="4" w:space="0"/>
              <w:right w:val="single" w:color="000000" w:sz="4" w:space="0"/>
            </w:tcBorders>
            <w:shd w:val="clear" w:color="auto" w:fill="FFFFFF"/>
            <w:vAlign w:val="center"/>
          </w:tcPr>
          <w:p w14:paraId="5E3DF0E7">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180000</w:t>
            </w:r>
          </w:p>
        </w:tc>
      </w:tr>
      <w:tr w14:paraId="7CF49EEE">
        <w:tblPrEx>
          <w:tblCellMar>
            <w:top w:w="0" w:type="dxa"/>
            <w:left w:w="108" w:type="dxa"/>
            <w:bottom w:w="0" w:type="dxa"/>
            <w:right w:w="108" w:type="dxa"/>
          </w:tblCellMar>
        </w:tblPrEx>
        <w:trPr>
          <w:trHeight w:val="15" w:hRule="atLeast"/>
        </w:trPr>
        <w:tc>
          <w:tcPr>
            <w:tcW w:w="779" w:type="dxa"/>
            <w:tcBorders>
              <w:top w:val="single" w:color="000000" w:sz="4" w:space="0"/>
              <w:left w:val="single" w:color="000000" w:sz="4" w:space="0"/>
              <w:bottom w:val="single" w:color="000000" w:sz="4" w:space="0"/>
              <w:right w:val="single" w:color="000000" w:sz="4" w:space="0"/>
            </w:tcBorders>
            <w:vAlign w:val="center"/>
          </w:tcPr>
          <w:p w14:paraId="4FA731DD">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5</w:t>
            </w:r>
          </w:p>
        </w:tc>
        <w:tc>
          <w:tcPr>
            <w:tcW w:w="2785" w:type="dxa"/>
            <w:tcBorders>
              <w:top w:val="single" w:color="000000" w:sz="4" w:space="0"/>
              <w:left w:val="nil"/>
              <w:bottom w:val="single" w:color="000000" w:sz="4" w:space="0"/>
              <w:right w:val="single" w:color="000000" w:sz="4" w:space="0"/>
            </w:tcBorders>
            <w:shd w:val="clear" w:color="auto" w:fill="FFFFFF"/>
            <w:vAlign w:val="center"/>
          </w:tcPr>
          <w:p w14:paraId="5C30CE7D">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24口交换机</w:t>
            </w:r>
          </w:p>
        </w:tc>
        <w:tc>
          <w:tcPr>
            <w:tcW w:w="972" w:type="dxa"/>
            <w:tcBorders>
              <w:top w:val="single" w:color="000000" w:sz="4" w:space="0"/>
              <w:left w:val="nil"/>
              <w:bottom w:val="single" w:color="000000" w:sz="4" w:space="0"/>
              <w:right w:val="single" w:color="000000" w:sz="4" w:space="0"/>
            </w:tcBorders>
            <w:shd w:val="clear" w:color="auto" w:fill="FFFFFF"/>
            <w:vAlign w:val="center"/>
          </w:tcPr>
          <w:p w14:paraId="576E7E21">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2</w:t>
            </w:r>
          </w:p>
        </w:tc>
        <w:tc>
          <w:tcPr>
            <w:tcW w:w="992" w:type="dxa"/>
            <w:tcBorders>
              <w:top w:val="single" w:color="000000" w:sz="4" w:space="0"/>
              <w:left w:val="nil"/>
              <w:bottom w:val="single" w:color="000000" w:sz="4" w:space="0"/>
              <w:right w:val="single" w:color="000000" w:sz="4" w:space="0"/>
            </w:tcBorders>
            <w:shd w:val="clear" w:color="auto" w:fill="FFFFFF"/>
            <w:vAlign w:val="center"/>
          </w:tcPr>
          <w:p w14:paraId="44E9A755">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台</w:t>
            </w:r>
          </w:p>
        </w:tc>
        <w:tc>
          <w:tcPr>
            <w:tcW w:w="1276" w:type="dxa"/>
            <w:tcBorders>
              <w:top w:val="single" w:color="000000" w:sz="4" w:space="0"/>
              <w:left w:val="nil"/>
              <w:bottom w:val="single" w:color="000000" w:sz="4" w:space="0"/>
              <w:right w:val="single" w:color="000000" w:sz="4" w:space="0"/>
            </w:tcBorders>
            <w:shd w:val="clear" w:color="auto" w:fill="FFFFFF"/>
            <w:vAlign w:val="center"/>
          </w:tcPr>
          <w:p w14:paraId="52C53E92">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3500</w:t>
            </w:r>
          </w:p>
        </w:tc>
        <w:tc>
          <w:tcPr>
            <w:tcW w:w="1134" w:type="dxa"/>
            <w:tcBorders>
              <w:top w:val="single" w:color="000000" w:sz="4" w:space="0"/>
              <w:left w:val="nil"/>
              <w:bottom w:val="single" w:color="000000" w:sz="4" w:space="0"/>
              <w:right w:val="single" w:color="000000" w:sz="4" w:space="0"/>
            </w:tcBorders>
            <w:shd w:val="clear" w:color="auto" w:fill="FFFFFF"/>
            <w:vAlign w:val="center"/>
          </w:tcPr>
          <w:p w14:paraId="73FE46F2">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7000</w:t>
            </w:r>
          </w:p>
        </w:tc>
      </w:tr>
      <w:tr w14:paraId="2DC8229D">
        <w:tblPrEx>
          <w:tblCellMar>
            <w:top w:w="0" w:type="dxa"/>
            <w:left w:w="108" w:type="dxa"/>
            <w:bottom w:w="0" w:type="dxa"/>
            <w:right w:w="108" w:type="dxa"/>
          </w:tblCellMar>
        </w:tblPrEx>
        <w:trPr>
          <w:trHeight w:val="15" w:hRule="atLeast"/>
        </w:trPr>
        <w:tc>
          <w:tcPr>
            <w:tcW w:w="779" w:type="dxa"/>
            <w:tcBorders>
              <w:top w:val="single" w:color="000000" w:sz="4" w:space="0"/>
              <w:left w:val="single" w:color="000000" w:sz="4" w:space="0"/>
              <w:bottom w:val="single" w:color="000000" w:sz="4" w:space="0"/>
              <w:right w:val="single" w:color="000000" w:sz="4" w:space="0"/>
            </w:tcBorders>
            <w:vAlign w:val="center"/>
          </w:tcPr>
          <w:p w14:paraId="4F821BC1">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6</w:t>
            </w:r>
          </w:p>
        </w:tc>
        <w:tc>
          <w:tcPr>
            <w:tcW w:w="2785" w:type="dxa"/>
            <w:tcBorders>
              <w:top w:val="single" w:color="000000" w:sz="4" w:space="0"/>
              <w:left w:val="nil"/>
              <w:bottom w:val="single" w:color="000000" w:sz="4" w:space="0"/>
              <w:right w:val="single" w:color="000000" w:sz="4" w:space="0"/>
            </w:tcBorders>
            <w:shd w:val="clear" w:color="auto" w:fill="FFFFFF"/>
            <w:vAlign w:val="center"/>
          </w:tcPr>
          <w:p w14:paraId="4D6F885D">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路由器</w:t>
            </w:r>
          </w:p>
        </w:tc>
        <w:tc>
          <w:tcPr>
            <w:tcW w:w="972" w:type="dxa"/>
            <w:tcBorders>
              <w:top w:val="single" w:color="000000" w:sz="4" w:space="0"/>
              <w:left w:val="nil"/>
              <w:bottom w:val="single" w:color="000000" w:sz="4" w:space="0"/>
              <w:right w:val="single" w:color="000000" w:sz="4" w:space="0"/>
            </w:tcBorders>
            <w:shd w:val="clear" w:color="auto" w:fill="FFFFFF"/>
            <w:vAlign w:val="center"/>
          </w:tcPr>
          <w:p w14:paraId="4ACF3C0A">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w:t>
            </w:r>
          </w:p>
        </w:tc>
        <w:tc>
          <w:tcPr>
            <w:tcW w:w="992" w:type="dxa"/>
            <w:tcBorders>
              <w:top w:val="single" w:color="000000" w:sz="4" w:space="0"/>
              <w:left w:val="nil"/>
              <w:bottom w:val="single" w:color="000000" w:sz="4" w:space="0"/>
              <w:right w:val="single" w:color="000000" w:sz="4" w:space="0"/>
            </w:tcBorders>
            <w:shd w:val="clear" w:color="auto" w:fill="FFFFFF"/>
            <w:vAlign w:val="center"/>
          </w:tcPr>
          <w:p w14:paraId="0B3F26D3">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台</w:t>
            </w:r>
          </w:p>
        </w:tc>
        <w:tc>
          <w:tcPr>
            <w:tcW w:w="1276" w:type="dxa"/>
            <w:tcBorders>
              <w:top w:val="single" w:color="000000" w:sz="4" w:space="0"/>
              <w:left w:val="nil"/>
              <w:bottom w:val="single" w:color="000000" w:sz="4" w:space="0"/>
              <w:right w:val="single" w:color="000000" w:sz="4" w:space="0"/>
            </w:tcBorders>
            <w:shd w:val="clear" w:color="auto" w:fill="FFFFFF"/>
            <w:vAlign w:val="center"/>
          </w:tcPr>
          <w:p w14:paraId="10C1224E">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550</w:t>
            </w:r>
          </w:p>
        </w:tc>
        <w:tc>
          <w:tcPr>
            <w:tcW w:w="1134" w:type="dxa"/>
            <w:tcBorders>
              <w:top w:val="single" w:color="000000" w:sz="4" w:space="0"/>
              <w:left w:val="nil"/>
              <w:bottom w:val="single" w:color="000000" w:sz="4" w:space="0"/>
              <w:right w:val="single" w:color="000000" w:sz="4" w:space="0"/>
            </w:tcBorders>
            <w:shd w:val="clear" w:color="auto" w:fill="FFFFFF"/>
            <w:vAlign w:val="center"/>
          </w:tcPr>
          <w:p w14:paraId="5C4DBFE9">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550</w:t>
            </w:r>
          </w:p>
        </w:tc>
      </w:tr>
      <w:tr w14:paraId="6DDC16C7">
        <w:tblPrEx>
          <w:tblCellMar>
            <w:top w:w="0" w:type="dxa"/>
            <w:left w:w="108" w:type="dxa"/>
            <w:bottom w:w="0" w:type="dxa"/>
            <w:right w:w="108" w:type="dxa"/>
          </w:tblCellMar>
        </w:tblPrEx>
        <w:trPr>
          <w:trHeight w:val="242" w:hRule="atLeast"/>
        </w:trPr>
        <w:tc>
          <w:tcPr>
            <w:tcW w:w="779" w:type="dxa"/>
            <w:tcBorders>
              <w:top w:val="single" w:color="000000" w:sz="4" w:space="0"/>
              <w:left w:val="single" w:color="000000" w:sz="4" w:space="0"/>
              <w:bottom w:val="single" w:color="000000" w:sz="4" w:space="0"/>
              <w:right w:val="single" w:color="000000" w:sz="4" w:space="0"/>
            </w:tcBorders>
            <w:vAlign w:val="center"/>
          </w:tcPr>
          <w:p w14:paraId="71E4BA1F">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7</w:t>
            </w:r>
          </w:p>
        </w:tc>
        <w:tc>
          <w:tcPr>
            <w:tcW w:w="2785" w:type="dxa"/>
            <w:tcBorders>
              <w:top w:val="single" w:color="000000" w:sz="4" w:space="0"/>
              <w:left w:val="nil"/>
              <w:bottom w:val="single" w:color="000000" w:sz="4" w:space="0"/>
              <w:right w:val="single" w:color="000000" w:sz="4" w:space="0"/>
            </w:tcBorders>
            <w:shd w:val="clear" w:color="auto" w:fill="FFFFFF"/>
            <w:vAlign w:val="center"/>
          </w:tcPr>
          <w:p w14:paraId="6EC53656">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视频处理器</w:t>
            </w:r>
          </w:p>
        </w:tc>
        <w:tc>
          <w:tcPr>
            <w:tcW w:w="972" w:type="dxa"/>
            <w:tcBorders>
              <w:top w:val="single" w:color="000000" w:sz="4" w:space="0"/>
              <w:left w:val="nil"/>
              <w:bottom w:val="single" w:color="000000" w:sz="4" w:space="0"/>
              <w:right w:val="single" w:color="000000" w:sz="4" w:space="0"/>
            </w:tcBorders>
            <w:shd w:val="clear" w:color="auto" w:fill="FFFFFF"/>
            <w:vAlign w:val="center"/>
          </w:tcPr>
          <w:p w14:paraId="1EC283D8">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w:t>
            </w:r>
          </w:p>
        </w:tc>
        <w:tc>
          <w:tcPr>
            <w:tcW w:w="992" w:type="dxa"/>
            <w:tcBorders>
              <w:top w:val="single" w:color="000000" w:sz="4" w:space="0"/>
              <w:left w:val="nil"/>
              <w:bottom w:val="single" w:color="000000" w:sz="4" w:space="0"/>
              <w:right w:val="single" w:color="000000" w:sz="4" w:space="0"/>
            </w:tcBorders>
            <w:shd w:val="clear" w:color="auto" w:fill="FFFFFF"/>
            <w:vAlign w:val="center"/>
          </w:tcPr>
          <w:p w14:paraId="2748C006">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台</w:t>
            </w:r>
          </w:p>
        </w:tc>
        <w:tc>
          <w:tcPr>
            <w:tcW w:w="1276" w:type="dxa"/>
            <w:tcBorders>
              <w:top w:val="single" w:color="000000" w:sz="4" w:space="0"/>
              <w:left w:val="nil"/>
              <w:bottom w:val="single" w:color="000000" w:sz="4" w:space="0"/>
              <w:right w:val="single" w:color="000000" w:sz="4" w:space="0"/>
            </w:tcBorders>
            <w:shd w:val="clear" w:color="auto" w:fill="FFFFFF"/>
            <w:vAlign w:val="center"/>
          </w:tcPr>
          <w:p w14:paraId="2CFB75C1">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7000</w:t>
            </w:r>
          </w:p>
        </w:tc>
        <w:tc>
          <w:tcPr>
            <w:tcW w:w="1134" w:type="dxa"/>
            <w:tcBorders>
              <w:top w:val="single" w:color="000000" w:sz="4" w:space="0"/>
              <w:left w:val="nil"/>
              <w:bottom w:val="single" w:color="000000" w:sz="4" w:space="0"/>
              <w:right w:val="single" w:color="000000" w:sz="4" w:space="0"/>
            </w:tcBorders>
            <w:shd w:val="clear" w:color="auto" w:fill="FFFFFF"/>
            <w:vAlign w:val="center"/>
          </w:tcPr>
          <w:p w14:paraId="45E14335">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7000</w:t>
            </w:r>
          </w:p>
        </w:tc>
      </w:tr>
      <w:tr w14:paraId="384A050A">
        <w:tblPrEx>
          <w:tblCellMar>
            <w:top w:w="0" w:type="dxa"/>
            <w:left w:w="108" w:type="dxa"/>
            <w:bottom w:w="0" w:type="dxa"/>
            <w:right w:w="108" w:type="dxa"/>
          </w:tblCellMar>
        </w:tblPrEx>
        <w:trPr>
          <w:trHeight w:val="15" w:hRule="atLeast"/>
        </w:trPr>
        <w:tc>
          <w:tcPr>
            <w:tcW w:w="779" w:type="dxa"/>
            <w:tcBorders>
              <w:top w:val="single" w:color="000000" w:sz="4" w:space="0"/>
              <w:left w:val="single" w:color="000000" w:sz="4" w:space="0"/>
              <w:bottom w:val="single" w:color="000000" w:sz="4" w:space="0"/>
              <w:right w:val="single" w:color="000000" w:sz="4" w:space="0"/>
            </w:tcBorders>
            <w:vAlign w:val="center"/>
          </w:tcPr>
          <w:p w14:paraId="2F62B7EC">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8</w:t>
            </w:r>
          </w:p>
        </w:tc>
        <w:tc>
          <w:tcPr>
            <w:tcW w:w="2785" w:type="dxa"/>
            <w:tcBorders>
              <w:top w:val="single" w:color="000000" w:sz="4" w:space="0"/>
              <w:left w:val="nil"/>
              <w:bottom w:val="single" w:color="000000" w:sz="4" w:space="0"/>
              <w:right w:val="single" w:color="000000" w:sz="4" w:space="0"/>
            </w:tcBorders>
            <w:shd w:val="clear" w:color="auto" w:fill="FFFFFF"/>
            <w:vAlign w:val="center"/>
          </w:tcPr>
          <w:p w14:paraId="7936944D">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无线话筒</w:t>
            </w:r>
          </w:p>
        </w:tc>
        <w:tc>
          <w:tcPr>
            <w:tcW w:w="972" w:type="dxa"/>
            <w:tcBorders>
              <w:top w:val="single" w:color="000000" w:sz="4" w:space="0"/>
              <w:left w:val="nil"/>
              <w:bottom w:val="single" w:color="000000" w:sz="4" w:space="0"/>
              <w:right w:val="single" w:color="000000" w:sz="4" w:space="0"/>
            </w:tcBorders>
            <w:shd w:val="clear" w:color="auto" w:fill="FFFFFF"/>
            <w:vAlign w:val="center"/>
          </w:tcPr>
          <w:p w14:paraId="3DE43753">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w:t>
            </w:r>
          </w:p>
        </w:tc>
        <w:tc>
          <w:tcPr>
            <w:tcW w:w="992" w:type="dxa"/>
            <w:tcBorders>
              <w:top w:val="single" w:color="000000" w:sz="4" w:space="0"/>
              <w:left w:val="nil"/>
              <w:bottom w:val="single" w:color="000000" w:sz="4" w:space="0"/>
              <w:right w:val="single" w:color="000000" w:sz="4" w:space="0"/>
            </w:tcBorders>
            <w:shd w:val="clear" w:color="auto" w:fill="FFFFFF"/>
            <w:vAlign w:val="center"/>
          </w:tcPr>
          <w:p w14:paraId="772B2D9C">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套</w:t>
            </w:r>
          </w:p>
        </w:tc>
        <w:tc>
          <w:tcPr>
            <w:tcW w:w="1276" w:type="dxa"/>
            <w:tcBorders>
              <w:top w:val="single" w:color="000000" w:sz="4" w:space="0"/>
              <w:left w:val="nil"/>
              <w:bottom w:val="single" w:color="000000" w:sz="4" w:space="0"/>
              <w:right w:val="single" w:color="000000" w:sz="4" w:space="0"/>
            </w:tcBorders>
            <w:shd w:val="clear" w:color="auto" w:fill="FFFFFF"/>
            <w:vAlign w:val="center"/>
          </w:tcPr>
          <w:p w14:paraId="4E81BE4B">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4000</w:t>
            </w:r>
          </w:p>
        </w:tc>
        <w:tc>
          <w:tcPr>
            <w:tcW w:w="1134" w:type="dxa"/>
            <w:tcBorders>
              <w:top w:val="single" w:color="000000" w:sz="4" w:space="0"/>
              <w:left w:val="nil"/>
              <w:bottom w:val="single" w:color="000000" w:sz="4" w:space="0"/>
              <w:right w:val="single" w:color="000000" w:sz="4" w:space="0"/>
            </w:tcBorders>
            <w:shd w:val="clear" w:color="auto" w:fill="FFFFFF"/>
            <w:vAlign w:val="center"/>
          </w:tcPr>
          <w:p w14:paraId="626E3091">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4000</w:t>
            </w:r>
          </w:p>
        </w:tc>
      </w:tr>
      <w:tr w14:paraId="42D502B2">
        <w:tblPrEx>
          <w:tblCellMar>
            <w:top w:w="0" w:type="dxa"/>
            <w:left w:w="108" w:type="dxa"/>
            <w:bottom w:w="0" w:type="dxa"/>
            <w:right w:w="108" w:type="dxa"/>
          </w:tblCellMar>
        </w:tblPrEx>
        <w:trPr>
          <w:trHeight w:val="15" w:hRule="atLeast"/>
        </w:trPr>
        <w:tc>
          <w:tcPr>
            <w:tcW w:w="779" w:type="dxa"/>
            <w:tcBorders>
              <w:top w:val="single" w:color="000000" w:sz="4" w:space="0"/>
              <w:left w:val="single" w:color="000000" w:sz="4" w:space="0"/>
              <w:bottom w:val="single" w:color="000000" w:sz="4" w:space="0"/>
              <w:right w:val="single" w:color="000000" w:sz="4" w:space="0"/>
            </w:tcBorders>
            <w:vAlign w:val="center"/>
          </w:tcPr>
          <w:p w14:paraId="0AB02CB9">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9</w:t>
            </w:r>
          </w:p>
        </w:tc>
        <w:tc>
          <w:tcPr>
            <w:tcW w:w="2785" w:type="dxa"/>
            <w:tcBorders>
              <w:top w:val="single" w:color="000000" w:sz="4" w:space="0"/>
              <w:left w:val="nil"/>
              <w:bottom w:val="single" w:color="000000" w:sz="4" w:space="0"/>
              <w:right w:val="single" w:color="000000" w:sz="4" w:space="0"/>
            </w:tcBorders>
            <w:shd w:val="clear" w:color="auto" w:fill="FFFFFF"/>
            <w:vAlign w:val="center"/>
          </w:tcPr>
          <w:p w14:paraId="23B071C0">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数字音频处理器（含反馈）</w:t>
            </w:r>
          </w:p>
        </w:tc>
        <w:tc>
          <w:tcPr>
            <w:tcW w:w="972" w:type="dxa"/>
            <w:tcBorders>
              <w:top w:val="single" w:color="000000" w:sz="4" w:space="0"/>
              <w:left w:val="nil"/>
              <w:bottom w:val="single" w:color="000000" w:sz="4" w:space="0"/>
              <w:right w:val="single" w:color="000000" w:sz="4" w:space="0"/>
            </w:tcBorders>
            <w:shd w:val="clear" w:color="auto" w:fill="FFFFFF"/>
            <w:vAlign w:val="center"/>
          </w:tcPr>
          <w:p w14:paraId="4308A399">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w:t>
            </w:r>
          </w:p>
        </w:tc>
        <w:tc>
          <w:tcPr>
            <w:tcW w:w="992" w:type="dxa"/>
            <w:tcBorders>
              <w:top w:val="single" w:color="000000" w:sz="4" w:space="0"/>
              <w:left w:val="nil"/>
              <w:bottom w:val="single" w:color="000000" w:sz="4" w:space="0"/>
              <w:right w:val="single" w:color="000000" w:sz="4" w:space="0"/>
            </w:tcBorders>
            <w:shd w:val="clear" w:color="auto" w:fill="FFFFFF"/>
            <w:vAlign w:val="center"/>
          </w:tcPr>
          <w:p w14:paraId="3D78FE0C">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台</w:t>
            </w:r>
          </w:p>
        </w:tc>
        <w:tc>
          <w:tcPr>
            <w:tcW w:w="1276" w:type="dxa"/>
            <w:tcBorders>
              <w:top w:val="single" w:color="000000" w:sz="4" w:space="0"/>
              <w:left w:val="nil"/>
              <w:bottom w:val="single" w:color="000000" w:sz="4" w:space="0"/>
              <w:right w:val="single" w:color="000000" w:sz="4" w:space="0"/>
            </w:tcBorders>
            <w:shd w:val="clear" w:color="auto" w:fill="FFFFFF"/>
            <w:vAlign w:val="center"/>
          </w:tcPr>
          <w:p w14:paraId="65B6E78D">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3700</w:t>
            </w:r>
          </w:p>
        </w:tc>
        <w:tc>
          <w:tcPr>
            <w:tcW w:w="1134" w:type="dxa"/>
            <w:tcBorders>
              <w:top w:val="single" w:color="000000" w:sz="4" w:space="0"/>
              <w:left w:val="nil"/>
              <w:bottom w:val="single" w:color="000000" w:sz="4" w:space="0"/>
              <w:right w:val="single" w:color="000000" w:sz="4" w:space="0"/>
            </w:tcBorders>
            <w:shd w:val="clear" w:color="auto" w:fill="FFFFFF"/>
            <w:vAlign w:val="center"/>
          </w:tcPr>
          <w:p w14:paraId="34DDFA38">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3700</w:t>
            </w:r>
          </w:p>
        </w:tc>
      </w:tr>
      <w:tr w14:paraId="5E48B82C">
        <w:tblPrEx>
          <w:tblCellMar>
            <w:top w:w="0" w:type="dxa"/>
            <w:left w:w="108" w:type="dxa"/>
            <w:bottom w:w="0" w:type="dxa"/>
            <w:right w:w="108" w:type="dxa"/>
          </w:tblCellMar>
        </w:tblPrEx>
        <w:trPr>
          <w:trHeight w:val="15" w:hRule="atLeast"/>
        </w:trPr>
        <w:tc>
          <w:tcPr>
            <w:tcW w:w="779" w:type="dxa"/>
            <w:tcBorders>
              <w:top w:val="single" w:color="000000" w:sz="4" w:space="0"/>
              <w:left w:val="single" w:color="000000" w:sz="4" w:space="0"/>
              <w:bottom w:val="single" w:color="000000" w:sz="4" w:space="0"/>
              <w:right w:val="single" w:color="000000" w:sz="4" w:space="0"/>
            </w:tcBorders>
            <w:vAlign w:val="center"/>
          </w:tcPr>
          <w:p w14:paraId="00D54407">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10</w:t>
            </w:r>
          </w:p>
        </w:tc>
        <w:tc>
          <w:tcPr>
            <w:tcW w:w="2785" w:type="dxa"/>
            <w:tcBorders>
              <w:top w:val="single" w:color="000000" w:sz="4" w:space="0"/>
              <w:left w:val="nil"/>
              <w:bottom w:val="single" w:color="000000" w:sz="4" w:space="0"/>
              <w:right w:val="single" w:color="000000" w:sz="4" w:space="0"/>
            </w:tcBorders>
            <w:shd w:val="clear" w:color="auto" w:fill="FFFFFF"/>
            <w:vAlign w:val="center"/>
          </w:tcPr>
          <w:p w14:paraId="109F8076">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专业功放</w:t>
            </w:r>
          </w:p>
        </w:tc>
        <w:tc>
          <w:tcPr>
            <w:tcW w:w="972" w:type="dxa"/>
            <w:tcBorders>
              <w:top w:val="single" w:color="000000" w:sz="4" w:space="0"/>
              <w:left w:val="nil"/>
              <w:bottom w:val="single" w:color="000000" w:sz="4" w:space="0"/>
              <w:right w:val="single" w:color="000000" w:sz="4" w:space="0"/>
            </w:tcBorders>
            <w:shd w:val="clear" w:color="auto" w:fill="FFFFFF"/>
            <w:vAlign w:val="center"/>
          </w:tcPr>
          <w:p w14:paraId="520FE005">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2</w:t>
            </w:r>
          </w:p>
        </w:tc>
        <w:tc>
          <w:tcPr>
            <w:tcW w:w="992" w:type="dxa"/>
            <w:tcBorders>
              <w:top w:val="single" w:color="000000" w:sz="4" w:space="0"/>
              <w:left w:val="nil"/>
              <w:bottom w:val="single" w:color="000000" w:sz="4" w:space="0"/>
              <w:right w:val="single" w:color="000000" w:sz="4" w:space="0"/>
            </w:tcBorders>
            <w:shd w:val="clear" w:color="auto" w:fill="FFFFFF"/>
            <w:vAlign w:val="center"/>
          </w:tcPr>
          <w:p w14:paraId="46120B27">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台</w:t>
            </w:r>
          </w:p>
        </w:tc>
        <w:tc>
          <w:tcPr>
            <w:tcW w:w="1276" w:type="dxa"/>
            <w:tcBorders>
              <w:top w:val="single" w:color="000000" w:sz="4" w:space="0"/>
              <w:left w:val="nil"/>
              <w:bottom w:val="single" w:color="000000" w:sz="4" w:space="0"/>
              <w:right w:val="single" w:color="000000" w:sz="4" w:space="0"/>
            </w:tcBorders>
            <w:shd w:val="clear" w:color="auto" w:fill="FFFFFF"/>
            <w:vAlign w:val="center"/>
          </w:tcPr>
          <w:p w14:paraId="3D42A58B">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3460</w:t>
            </w:r>
          </w:p>
        </w:tc>
        <w:tc>
          <w:tcPr>
            <w:tcW w:w="1134" w:type="dxa"/>
            <w:tcBorders>
              <w:top w:val="single" w:color="000000" w:sz="4" w:space="0"/>
              <w:left w:val="nil"/>
              <w:bottom w:val="single" w:color="000000" w:sz="4" w:space="0"/>
              <w:right w:val="single" w:color="000000" w:sz="4" w:space="0"/>
            </w:tcBorders>
            <w:shd w:val="clear" w:color="auto" w:fill="FFFFFF"/>
            <w:vAlign w:val="center"/>
          </w:tcPr>
          <w:p w14:paraId="40D59F2F">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6920</w:t>
            </w:r>
          </w:p>
        </w:tc>
      </w:tr>
      <w:tr w14:paraId="1100BE11">
        <w:tblPrEx>
          <w:tblCellMar>
            <w:top w:w="0" w:type="dxa"/>
            <w:left w:w="108" w:type="dxa"/>
            <w:bottom w:w="0" w:type="dxa"/>
            <w:right w:w="108" w:type="dxa"/>
          </w:tblCellMar>
        </w:tblPrEx>
        <w:trPr>
          <w:trHeight w:val="15" w:hRule="atLeast"/>
        </w:trPr>
        <w:tc>
          <w:tcPr>
            <w:tcW w:w="779" w:type="dxa"/>
            <w:tcBorders>
              <w:top w:val="single" w:color="000000" w:sz="4" w:space="0"/>
              <w:left w:val="single" w:color="000000" w:sz="4" w:space="0"/>
              <w:bottom w:val="single" w:color="000000" w:sz="4" w:space="0"/>
              <w:right w:val="single" w:color="000000" w:sz="4" w:space="0"/>
            </w:tcBorders>
            <w:vAlign w:val="center"/>
          </w:tcPr>
          <w:p w14:paraId="26CE519E">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11</w:t>
            </w:r>
          </w:p>
        </w:tc>
        <w:tc>
          <w:tcPr>
            <w:tcW w:w="2785" w:type="dxa"/>
            <w:tcBorders>
              <w:top w:val="single" w:color="000000" w:sz="4" w:space="0"/>
              <w:left w:val="nil"/>
              <w:bottom w:val="single" w:color="000000" w:sz="4" w:space="0"/>
              <w:right w:val="single" w:color="000000" w:sz="4" w:space="0"/>
            </w:tcBorders>
            <w:shd w:val="clear" w:color="auto" w:fill="FFFFFF"/>
            <w:vAlign w:val="center"/>
          </w:tcPr>
          <w:p w14:paraId="541DE7E0">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专业音箱</w:t>
            </w:r>
          </w:p>
        </w:tc>
        <w:tc>
          <w:tcPr>
            <w:tcW w:w="972" w:type="dxa"/>
            <w:tcBorders>
              <w:top w:val="single" w:color="000000" w:sz="4" w:space="0"/>
              <w:left w:val="nil"/>
              <w:bottom w:val="single" w:color="000000" w:sz="4" w:space="0"/>
              <w:right w:val="single" w:color="000000" w:sz="4" w:space="0"/>
            </w:tcBorders>
            <w:shd w:val="clear" w:color="auto" w:fill="FFFFFF"/>
            <w:vAlign w:val="center"/>
          </w:tcPr>
          <w:p w14:paraId="1A554F2C">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4</w:t>
            </w:r>
          </w:p>
        </w:tc>
        <w:tc>
          <w:tcPr>
            <w:tcW w:w="992" w:type="dxa"/>
            <w:tcBorders>
              <w:top w:val="single" w:color="000000" w:sz="4" w:space="0"/>
              <w:left w:val="nil"/>
              <w:bottom w:val="single" w:color="000000" w:sz="4" w:space="0"/>
              <w:right w:val="single" w:color="000000" w:sz="4" w:space="0"/>
            </w:tcBorders>
            <w:shd w:val="clear" w:color="auto" w:fill="FFFFFF"/>
            <w:vAlign w:val="center"/>
          </w:tcPr>
          <w:p w14:paraId="55CB19CF">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只</w:t>
            </w:r>
          </w:p>
        </w:tc>
        <w:tc>
          <w:tcPr>
            <w:tcW w:w="1276" w:type="dxa"/>
            <w:tcBorders>
              <w:top w:val="single" w:color="000000" w:sz="4" w:space="0"/>
              <w:left w:val="nil"/>
              <w:bottom w:val="single" w:color="000000" w:sz="4" w:space="0"/>
              <w:right w:val="single" w:color="000000" w:sz="4" w:space="0"/>
            </w:tcBorders>
            <w:shd w:val="clear" w:color="auto" w:fill="FFFFFF"/>
            <w:vAlign w:val="center"/>
          </w:tcPr>
          <w:p w14:paraId="6BA9F755">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1500</w:t>
            </w:r>
          </w:p>
        </w:tc>
        <w:tc>
          <w:tcPr>
            <w:tcW w:w="1134" w:type="dxa"/>
            <w:tcBorders>
              <w:top w:val="single" w:color="000000" w:sz="4" w:space="0"/>
              <w:left w:val="nil"/>
              <w:bottom w:val="single" w:color="000000" w:sz="4" w:space="0"/>
              <w:right w:val="single" w:color="000000" w:sz="4" w:space="0"/>
            </w:tcBorders>
            <w:shd w:val="clear" w:color="auto" w:fill="FFFFFF"/>
            <w:vAlign w:val="center"/>
          </w:tcPr>
          <w:p w14:paraId="72826F9D">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6000</w:t>
            </w:r>
          </w:p>
        </w:tc>
      </w:tr>
      <w:tr w14:paraId="21E9AC7B">
        <w:tblPrEx>
          <w:tblCellMar>
            <w:top w:w="0" w:type="dxa"/>
            <w:left w:w="108" w:type="dxa"/>
            <w:bottom w:w="0" w:type="dxa"/>
            <w:right w:w="108" w:type="dxa"/>
          </w:tblCellMar>
        </w:tblPrEx>
        <w:trPr>
          <w:trHeight w:val="15" w:hRule="atLeast"/>
        </w:trPr>
        <w:tc>
          <w:tcPr>
            <w:tcW w:w="779" w:type="dxa"/>
            <w:tcBorders>
              <w:top w:val="single" w:color="000000" w:sz="4" w:space="0"/>
              <w:left w:val="single" w:color="000000" w:sz="4" w:space="0"/>
              <w:bottom w:val="single" w:color="000000" w:sz="4" w:space="0"/>
              <w:right w:val="single" w:color="000000" w:sz="4" w:space="0"/>
            </w:tcBorders>
            <w:vAlign w:val="center"/>
          </w:tcPr>
          <w:p w14:paraId="64885888">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12</w:t>
            </w:r>
          </w:p>
        </w:tc>
        <w:tc>
          <w:tcPr>
            <w:tcW w:w="2785" w:type="dxa"/>
            <w:tcBorders>
              <w:top w:val="single" w:color="000000" w:sz="4" w:space="0"/>
              <w:left w:val="nil"/>
              <w:bottom w:val="single" w:color="000000" w:sz="4" w:space="0"/>
              <w:right w:val="single" w:color="000000" w:sz="4" w:space="0"/>
            </w:tcBorders>
            <w:shd w:val="clear" w:color="auto" w:fill="FFFFFF"/>
            <w:vAlign w:val="center"/>
          </w:tcPr>
          <w:p w14:paraId="5DB948C0">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音箱壁挂支架</w:t>
            </w:r>
          </w:p>
        </w:tc>
        <w:tc>
          <w:tcPr>
            <w:tcW w:w="972" w:type="dxa"/>
            <w:tcBorders>
              <w:top w:val="single" w:color="000000" w:sz="4" w:space="0"/>
              <w:left w:val="nil"/>
              <w:bottom w:val="single" w:color="000000" w:sz="4" w:space="0"/>
              <w:right w:val="single" w:color="000000" w:sz="4" w:space="0"/>
            </w:tcBorders>
            <w:shd w:val="clear" w:color="auto" w:fill="FFFFFF"/>
            <w:vAlign w:val="center"/>
          </w:tcPr>
          <w:p w14:paraId="2828C472">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4</w:t>
            </w:r>
          </w:p>
        </w:tc>
        <w:tc>
          <w:tcPr>
            <w:tcW w:w="992" w:type="dxa"/>
            <w:tcBorders>
              <w:top w:val="single" w:color="000000" w:sz="4" w:space="0"/>
              <w:left w:val="nil"/>
              <w:bottom w:val="single" w:color="000000" w:sz="4" w:space="0"/>
              <w:right w:val="single" w:color="000000" w:sz="4" w:space="0"/>
            </w:tcBorders>
            <w:shd w:val="clear" w:color="auto" w:fill="FFFFFF"/>
            <w:vAlign w:val="center"/>
          </w:tcPr>
          <w:p w14:paraId="3F0502F6">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只</w:t>
            </w:r>
          </w:p>
        </w:tc>
        <w:tc>
          <w:tcPr>
            <w:tcW w:w="1276" w:type="dxa"/>
            <w:tcBorders>
              <w:top w:val="single" w:color="000000" w:sz="4" w:space="0"/>
              <w:left w:val="nil"/>
              <w:bottom w:val="single" w:color="000000" w:sz="4" w:space="0"/>
              <w:right w:val="single" w:color="000000" w:sz="4" w:space="0"/>
            </w:tcBorders>
            <w:shd w:val="clear" w:color="auto" w:fill="FFFFFF"/>
            <w:vAlign w:val="center"/>
          </w:tcPr>
          <w:p w14:paraId="3E4F5E06">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100</w:t>
            </w:r>
          </w:p>
        </w:tc>
        <w:tc>
          <w:tcPr>
            <w:tcW w:w="1134" w:type="dxa"/>
            <w:tcBorders>
              <w:top w:val="single" w:color="000000" w:sz="4" w:space="0"/>
              <w:left w:val="nil"/>
              <w:bottom w:val="single" w:color="000000" w:sz="4" w:space="0"/>
              <w:right w:val="single" w:color="000000" w:sz="4" w:space="0"/>
            </w:tcBorders>
            <w:shd w:val="clear" w:color="auto" w:fill="FFFFFF"/>
            <w:vAlign w:val="center"/>
          </w:tcPr>
          <w:p w14:paraId="05D6F109">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400</w:t>
            </w:r>
          </w:p>
        </w:tc>
      </w:tr>
      <w:tr w14:paraId="7C5A99D9">
        <w:tblPrEx>
          <w:tblCellMar>
            <w:top w:w="0" w:type="dxa"/>
            <w:left w:w="108" w:type="dxa"/>
            <w:bottom w:w="0" w:type="dxa"/>
            <w:right w:w="108" w:type="dxa"/>
          </w:tblCellMar>
        </w:tblPrEx>
        <w:trPr>
          <w:trHeight w:val="15" w:hRule="atLeast"/>
        </w:trPr>
        <w:tc>
          <w:tcPr>
            <w:tcW w:w="779" w:type="dxa"/>
            <w:tcBorders>
              <w:top w:val="single" w:color="000000" w:sz="4" w:space="0"/>
              <w:left w:val="single" w:color="000000" w:sz="4" w:space="0"/>
              <w:bottom w:val="single" w:color="000000" w:sz="4" w:space="0"/>
              <w:right w:val="single" w:color="000000" w:sz="4" w:space="0"/>
            </w:tcBorders>
            <w:vAlign w:val="center"/>
          </w:tcPr>
          <w:p w14:paraId="1C8AA5BB">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13</w:t>
            </w:r>
          </w:p>
        </w:tc>
        <w:tc>
          <w:tcPr>
            <w:tcW w:w="2785" w:type="dxa"/>
            <w:tcBorders>
              <w:top w:val="single" w:color="000000" w:sz="4" w:space="0"/>
              <w:left w:val="nil"/>
              <w:bottom w:val="single" w:color="000000" w:sz="4" w:space="0"/>
              <w:right w:val="single" w:color="000000" w:sz="4" w:space="0"/>
            </w:tcBorders>
            <w:shd w:val="clear" w:color="auto" w:fill="FFFFFF"/>
            <w:vAlign w:val="center"/>
          </w:tcPr>
          <w:p w14:paraId="0E04AF82">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电源时序器</w:t>
            </w:r>
          </w:p>
        </w:tc>
        <w:tc>
          <w:tcPr>
            <w:tcW w:w="972" w:type="dxa"/>
            <w:tcBorders>
              <w:top w:val="single" w:color="000000" w:sz="4" w:space="0"/>
              <w:left w:val="nil"/>
              <w:bottom w:val="single" w:color="000000" w:sz="4" w:space="0"/>
              <w:right w:val="single" w:color="000000" w:sz="4" w:space="0"/>
            </w:tcBorders>
            <w:shd w:val="clear" w:color="auto" w:fill="FFFFFF"/>
            <w:vAlign w:val="center"/>
          </w:tcPr>
          <w:p w14:paraId="64CDC705">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w:t>
            </w:r>
          </w:p>
        </w:tc>
        <w:tc>
          <w:tcPr>
            <w:tcW w:w="992" w:type="dxa"/>
            <w:tcBorders>
              <w:top w:val="single" w:color="000000" w:sz="4" w:space="0"/>
              <w:left w:val="nil"/>
              <w:bottom w:val="single" w:color="000000" w:sz="4" w:space="0"/>
              <w:right w:val="single" w:color="000000" w:sz="4" w:space="0"/>
            </w:tcBorders>
            <w:shd w:val="clear" w:color="auto" w:fill="FFFFFF"/>
            <w:vAlign w:val="center"/>
          </w:tcPr>
          <w:p w14:paraId="4558FEE1">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台</w:t>
            </w:r>
          </w:p>
        </w:tc>
        <w:tc>
          <w:tcPr>
            <w:tcW w:w="1276" w:type="dxa"/>
            <w:tcBorders>
              <w:top w:val="single" w:color="000000" w:sz="4" w:space="0"/>
              <w:left w:val="nil"/>
              <w:bottom w:val="single" w:color="000000" w:sz="4" w:space="0"/>
              <w:right w:val="single" w:color="000000" w:sz="4" w:space="0"/>
            </w:tcBorders>
            <w:shd w:val="clear" w:color="auto" w:fill="FFFFFF"/>
            <w:vAlign w:val="center"/>
          </w:tcPr>
          <w:p w14:paraId="0236E571">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1200</w:t>
            </w:r>
          </w:p>
        </w:tc>
        <w:tc>
          <w:tcPr>
            <w:tcW w:w="1134" w:type="dxa"/>
            <w:tcBorders>
              <w:top w:val="single" w:color="000000" w:sz="4" w:space="0"/>
              <w:left w:val="nil"/>
              <w:bottom w:val="single" w:color="000000" w:sz="4" w:space="0"/>
              <w:right w:val="single" w:color="000000" w:sz="4" w:space="0"/>
            </w:tcBorders>
            <w:shd w:val="clear" w:color="auto" w:fill="FFFFFF"/>
            <w:vAlign w:val="center"/>
          </w:tcPr>
          <w:p w14:paraId="0F0CE284">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1200</w:t>
            </w:r>
          </w:p>
        </w:tc>
      </w:tr>
      <w:tr w14:paraId="3CFAAB50">
        <w:tblPrEx>
          <w:tblCellMar>
            <w:top w:w="0" w:type="dxa"/>
            <w:left w:w="108" w:type="dxa"/>
            <w:bottom w:w="0" w:type="dxa"/>
            <w:right w:w="108" w:type="dxa"/>
          </w:tblCellMar>
        </w:tblPrEx>
        <w:trPr>
          <w:trHeight w:val="15" w:hRule="atLeast"/>
        </w:trPr>
        <w:tc>
          <w:tcPr>
            <w:tcW w:w="779" w:type="dxa"/>
            <w:tcBorders>
              <w:top w:val="single" w:color="000000" w:sz="4" w:space="0"/>
              <w:left w:val="single" w:color="000000" w:sz="4" w:space="0"/>
              <w:bottom w:val="single" w:color="000000" w:sz="4" w:space="0"/>
              <w:right w:val="single" w:color="000000" w:sz="4" w:space="0"/>
            </w:tcBorders>
            <w:vAlign w:val="center"/>
          </w:tcPr>
          <w:p w14:paraId="3ACD1E02">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14</w:t>
            </w:r>
          </w:p>
        </w:tc>
        <w:tc>
          <w:tcPr>
            <w:tcW w:w="2785" w:type="dxa"/>
            <w:tcBorders>
              <w:top w:val="single" w:color="000000" w:sz="4" w:space="0"/>
              <w:left w:val="nil"/>
              <w:bottom w:val="single" w:color="000000" w:sz="4" w:space="0"/>
              <w:right w:val="single" w:color="000000" w:sz="4" w:space="0"/>
            </w:tcBorders>
            <w:shd w:val="clear" w:color="auto" w:fill="FFFFFF"/>
            <w:vAlign w:val="center"/>
          </w:tcPr>
          <w:p w14:paraId="6A04F616">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配电箱</w:t>
            </w:r>
          </w:p>
        </w:tc>
        <w:tc>
          <w:tcPr>
            <w:tcW w:w="972" w:type="dxa"/>
            <w:tcBorders>
              <w:top w:val="single" w:color="000000" w:sz="4" w:space="0"/>
              <w:left w:val="nil"/>
              <w:bottom w:val="single" w:color="000000" w:sz="4" w:space="0"/>
              <w:right w:val="single" w:color="000000" w:sz="4" w:space="0"/>
            </w:tcBorders>
            <w:shd w:val="clear" w:color="auto" w:fill="FFFFFF"/>
            <w:vAlign w:val="center"/>
          </w:tcPr>
          <w:p w14:paraId="5B618F25">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w:t>
            </w:r>
          </w:p>
        </w:tc>
        <w:tc>
          <w:tcPr>
            <w:tcW w:w="992" w:type="dxa"/>
            <w:tcBorders>
              <w:top w:val="single" w:color="000000" w:sz="4" w:space="0"/>
              <w:left w:val="nil"/>
              <w:bottom w:val="single" w:color="000000" w:sz="4" w:space="0"/>
              <w:right w:val="single" w:color="000000" w:sz="4" w:space="0"/>
            </w:tcBorders>
            <w:shd w:val="clear" w:color="auto" w:fill="FFFFFF"/>
            <w:vAlign w:val="center"/>
          </w:tcPr>
          <w:p w14:paraId="48BD6086">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个</w:t>
            </w:r>
          </w:p>
        </w:tc>
        <w:tc>
          <w:tcPr>
            <w:tcW w:w="1276" w:type="dxa"/>
            <w:tcBorders>
              <w:top w:val="single" w:color="000000" w:sz="4" w:space="0"/>
              <w:left w:val="nil"/>
              <w:bottom w:val="single" w:color="000000" w:sz="4" w:space="0"/>
              <w:right w:val="single" w:color="000000" w:sz="4" w:space="0"/>
            </w:tcBorders>
            <w:shd w:val="clear" w:color="auto" w:fill="FFFFFF"/>
            <w:vAlign w:val="center"/>
          </w:tcPr>
          <w:p w14:paraId="242CC59B">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1600</w:t>
            </w:r>
          </w:p>
        </w:tc>
        <w:tc>
          <w:tcPr>
            <w:tcW w:w="1134" w:type="dxa"/>
            <w:tcBorders>
              <w:top w:val="single" w:color="000000" w:sz="4" w:space="0"/>
              <w:left w:val="nil"/>
              <w:bottom w:val="single" w:color="000000" w:sz="4" w:space="0"/>
              <w:right w:val="single" w:color="000000" w:sz="4" w:space="0"/>
            </w:tcBorders>
            <w:shd w:val="clear" w:color="auto" w:fill="FFFFFF"/>
            <w:vAlign w:val="center"/>
          </w:tcPr>
          <w:p w14:paraId="64A58560">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1600</w:t>
            </w:r>
          </w:p>
        </w:tc>
      </w:tr>
      <w:tr w14:paraId="27E9170C">
        <w:tblPrEx>
          <w:tblCellMar>
            <w:top w:w="0" w:type="dxa"/>
            <w:left w:w="108" w:type="dxa"/>
            <w:bottom w:w="0" w:type="dxa"/>
            <w:right w:w="108" w:type="dxa"/>
          </w:tblCellMar>
        </w:tblPrEx>
        <w:trPr>
          <w:trHeight w:val="15" w:hRule="atLeast"/>
        </w:trPr>
        <w:tc>
          <w:tcPr>
            <w:tcW w:w="779" w:type="dxa"/>
            <w:tcBorders>
              <w:top w:val="single" w:color="000000" w:sz="4" w:space="0"/>
              <w:left w:val="single" w:color="000000" w:sz="4" w:space="0"/>
              <w:bottom w:val="single" w:color="000000" w:sz="4" w:space="0"/>
              <w:right w:val="single" w:color="000000" w:sz="4" w:space="0"/>
            </w:tcBorders>
            <w:vAlign w:val="center"/>
          </w:tcPr>
          <w:p w14:paraId="778AE411">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15</w:t>
            </w:r>
          </w:p>
        </w:tc>
        <w:tc>
          <w:tcPr>
            <w:tcW w:w="2785" w:type="dxa"/>
            <w:tcBorders>
              <w:top w:val="single" w:color="000000" w:sz="4" w:space="0"/>
              <w:left w:val="nil"/>
              <w:bottom w:val="single" w:color="000000" w:sz="4" w:space="0"/>
              <w:right w:val="single" w:color="000000" w:sz="4" w:space="0"/>
            </w:tcBorders>
            <w:shd w:val="clear" w:color="auto" w:fill="FFFFFF"/>
            <w:vAlign w:val="center"/>
          </w:tcPr>
          <w:p w14:paraId="265C4F5F">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钢结构</w:t>
            </w:r>
          </w:p>
        </w:tc>
        <w:tc>
          <w:tcPr>
            <w:tcW w:w="972" w:type="dxa"/>
            <w:tcBorders>
              <w:top w:val="single" w:color="000000" w:sz="4" w:space="0"/>
              <w:left w:val="nil"/>
              <w:bottom w:val="single" w:color="000000" w:sz="4" w:space="0"/>
              <w:right w:val="single" w:color="000000" w:sz="4" w:space="0"/>
            </w:tcBorders>
            <w:shd w:val="clear" w:color="auto" w:fill="FFFFFF"/>
            <w:vAlign w:val="center"/>
          </w:tcPr>
          <w:p w14:paraId="3E5DB844">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w:t>
            </w:r>
          </w:p>
        </w:tc>
        <w:tc>
          <w:tcPr>
            <w:tcW w:w="992" w:type="dxa"/>
            <w:tcBorders>
              <w:top w:val="single" w:color="000000" w:sz="4" w:space="0"/>
              <w:left w:val="nil"/>
              <w:bottom w:val="single" w:color="000000" w:sz="4" w:space="0"/>
              <w:right w:val="single" w:color="000000" w:sz="4" w:space="0"/>
            </w:tcBorders>
            <w:shd w:val="clear" w:color="auto" w:fill="FFFFFF"/>
            <w:vAlign w:val="center"/>
          </w:tcPr>
          <w:p w14:paraId="2C72F0DB">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项</w:t>
            </w:r>
          </w:p>
        </w:tc>
        <w:tc>
          <w:tcPr>
            <w:tcW w:w="1276" w:type="dxa"/>
            <w:tcBorders>
              <w:top w:val="single" w:color="000000" w:sz="4" w:space="0"/>
              <w:left w:val="nil"/>
              <w:bottom w:val="single" w:color="000000" w:sz="4" w:space="0"/>
              <w:right w:val="single" w:color="000000" w:sz="4" w:space="0"/>
            </w:tcBorders>
            <w:shd w:val="clear" w:color="auto" w:fill="FFFFFF"/>
            <w:vAlign w:val="center"/>
          </w:tcPr>
          <w:p w14:paraId="508EC777">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6000</w:t>
            </w:r>
          </w:p>
        </w:tc>
        <w:tc>
          <w:tcPr>
            <w:tcW w:w="1134" w:type="dxa"/>
            <w:tcBorders>
              <w:top w:val="single" w:color="000000" w:sz="4" w:space="0"/>
              <w:left w:val="nil"/>
              <w:bottom w:val="single" w:color="000000" w:sz="4" w:space="0"/>
              <w:right w:val="single" w:color="000000" w:sz="4" w:space="0"/>
            </w:tcBorders>
            <w:shd w:val="clear" w:color="auto" w:fill="FFFFFF"/>
            <w:vAlign w:val="center"/>
          </w:tcPr>
          <w:p w14:paraId="10870C21">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6000</w:t>
            </w:r>
          </w:p>
        </w:tc>
      </w:tr>
      <w:tr w14:paraId="43A94EC3">
        <w:tblPrEx>
          <w:tblCellMar>
            <w:top w:w="0" w:type="dxa"/>
            <w:left w:w="108" w:type="dxa"/>
            <w:bottom w:w="0" w:type="dxa"/>
            <w:right w:w="108" w:type="dxa"/>
          </w:tblCellMar>
        </w:tblPrEx>
        <w:trPr>
          <w:trHeight w:val="250" w:hRule="atLeast"/>
        </w:trPr>
        <w:tc>
          <w:tcPr>
            <w:tcW w:w="779" w:type="dxa"/>
            <w:tcBorders>
              <w:top w:val="single" w:color="000000" w:sz="4" w:space="0"/>
              <w:left w:val="single" w:color="000000" w:sz="4" w:space="0"/>
              <w:bottom w:val="single" w:color="000000" w:sz="4" w:space="0"/>
              <w:right w:val="single" w:color="000000" w:sz="4" w:space="0"/>
            </w:tcBorders>
            <w:vAlign w:val="center"/>
          </w:tcPr>
          <w:p w14:paraId="3425DEA8">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16</w:t>
            </w:r>
          </w:p>
        </w:tc>
        <w:tc>
          <w:tcPr>
            <w:tcW w:w="2785" w:type="dxa"/>
            <w:tcBorders>
              <w:top w:val="single" w:color="000000" w:sz="4" w:space="0"/>
              <w:left w:val="nil"/>
              <w:bottom w:val="single" w:color="000000" w:sz="4" w:space="0"/>
              <w:right w:val="single" w:color="000000" w:sz="4" w:space="0"/>
            </w:tcBorders>
            <w:shd w:val="clear" w:color="auto" w:fill="FFFFFF"/>
            <w:vAlign w:val="center"/>
          </w:tcPr>
          <w:p w14:paraId="2BDBAED2">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AI智能模拟导游综合教学实训软件</w:t>
            </w:r>
          </w:p>
        </w:tc>
        <w:tc>
          <w:tcPr>
            <w:tcW w:w="972" w:type="dxa"/>
            <w:tcBorders>
              <w:top w:val="single" w:color="000000" w:sz="4" w:space="0"/>
              <w:left w:val="nil"/>
              <w:bottom w:val="single" w:color="000000" w:sz="4" w:space="0"/>
              <w:right w:val="single" w:color="000000" w:sz="4" w:space="0"/>
            </w:tcBorders>
            <w:shd w:val="clear" w:color="auto" w:fill="FFFFFF"/>
            <w:vAlign w:val="center"/>
          </w:tcPr>
          <w:p w14:paraId="25CE7553">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w:t>
            </w:r>
          </w:p>
        </w:tc>
        <w:tc>
          <w:tcPr>
            <w:tcW w:w="992" w:type="dxa"/>
            <w:tcBorders>
              <w:top w:val="single" w:color="000000" w:sz="4" w:space="0"/>
              <w:left w:val="nil"/>
              <w:bottom w:val="single" w:color="000000" w:sz="4" w:space="0"/>
              <w:right w:val="single" w:color="000000" w:sz="4" w:space="0"/>
            </w:tcBorders>
            <w:shd w:val="clear" w:color="auto" w:fill="FFFFFF"/>
            <w:vAlign w:val="center"/>
          </w:tcPr>
          <w:p w14:paraId="7C77AC1E">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套</w:t>
            </w:r>
          </w:p>
        </w:tc>
        <w:tc>
          <w:tcPr>
            <w:tcW w:w="1276" w:type="dxa"/>
            <w:tcBorders>
              <w:top w:val="single" w:color="000000" w:sz="4" w:space="0"/>
              <w:left w:val="nil"/>
              <w:bottom w:val="single" w:color="000000" w:sz="4" w:space="0"/>
              <w:right w:val="single" w:color="000000" w:sz="4" w:space="0"/>
            </w:tcBorders>
            <w:shd w:val="clear" w:color="auto" w:fill="FFFFFF"/>
            <w:vAlign w:val="center"/>
          </w:tcPr>
          <w:p w14:paraId="1612F93B">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280000</w:t>
            </w:r>
          </w:p>
        </w:tc>
        <w:tc>
          <w:tcPr>
            <w:tcW w:w="1134" w:type="dxa"/>
            <w:tcBorders>
              <w:top w:val="single" w:color="000000" w:sz="4" w:space="0"/>
              <w:left w:val="nil"/>
              <w:bottom w:val="single" w:color="000000" w:sz="4" w:space="0"/>
              <w:right w:val="single" w:color="000000" w:sz="4" w:space="0"/>
            </w:tcBorders>
            <w:shd w:val="clear" w:color="auto" w:fill="FFFFFF"/>
            <w:vAlign w:val="center"/>
          </w:tcPr>
          <w:p w14:paraId="70F0097F">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280000</w:t>
            </w:r>
          </w:p>
        </w:tc>
      </w:tr>
    </w:tbl>
    <w:p w14:paraId="513F71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具体需求详见竞争性谈判文件第三章。</w:t>
      </w:r>
    </w:p>
    <w:p w14:paraId="0A041CDA">
      <w:pPr>
        <w:spacing w:line="360" w:lineRule="auto"/>
        <w:ind w:firstLine="420" w:firstLineChars="200"/>
        <w:rPr>
          <w:rFonts w:hint="eastAsia" w:ascii="宋体" w:hAnsi="宋体" w:cs="宋体"/>
          <w:snapToGrid w:val="0"/>
          <w:color w:val="auto"/>
          <w:kern w:val="0"/>
          <w:highlight w:val="none"/>
        </w:rPr>
      </w:pPr>
      <w:r>
        <w:rPr>
          <w:rFonts w:hint="eastAsia" w:ascii="宋体" w:hAnsi="宋体" w:cs="宋体"/>
          <w:snapToGrid w:val="0"/>
          <w:color w:val="auto"/>
          <w:kern w:val="0"/>
          <w:highlight w:val="none"/>
        </w:rPr>
        <w:t>服务期限：交货时间为签订合同30个工作日内完成安装及调试，并交付甲方使用。</w:t>
      </w:r>
    </w:p>
    <w:p w14:paraId="5AD37DEF">
      <w:pPr>
        <w:spacing w:line="360" w:lineRule="auto"/>
        <w:ind w:firstLine="420" w:firstLineChars="200"/>
        <w:rPr>
          <w:color w:val="auto"/>
          <w:highlight w:val="none"/>
        </w:rPr>
      </w:pPr>
      <w:r>
        <w:rPr>
          <w:rFonts w:hint="eastAsia" w:ascii="宋体" w:hAnsi="宋体" w:cs="宋体"/>
          <w:bCs/>
          <w:color w:val="auto"/>
          <w:szCs w:val="21"/>
          <w:highlight w:val="none"/>
        </w:rPr>
        <w:t>质量标准：</w:t>
      </w:r>
      <w:r>
        <w:rPr>
          <w:rFonts w:hint="eastAsia" w:ascii="宋体" w:hAnsi="宋体" w:cs="宋体"/>
          <w:bCs/>
          <w:snapToGrid w:val="0"/>
          <w:color w:val="auto"/>
          <w:kern w:val="0"/>
          <w:highlight w:val="none"/>
        </w:rPr>
        <w:t>所有产品质保期限为完成验收后三年</w:t>
      </w:r>
      <w:r>
        <w:rPr>
          <w:rFonts w:hint="eastAsia" w:ascii="宋体" w:hAnsi="宋体" w:cs="宋体"/>
          <w:snapToGrid w:val="0"/>
          <w:color w:val="auto"/>
          <w:kern w:val="0"/>
          <w:highlight w:val="none"/>
        </w:rPr>
        <w:t>。</w:t>
      </w:r>
    </w:p>
    <w:p w14:paraId="7E931023">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本项目</w:t>
      </w:r>
      <w:r>
        <w:rPr>
          <w:rFonts w:hint="eastAsia" w:ascii="宋体" w:hAnsi="宋体" w:cs="宋体"/>
          <w:color w:val="auto"/>
          <w:szCs w:val="21"/>
          <w:highlight w:val="none"/>
        </w:rPr>
        <w:t>不接受联合体投标。</w:t>
      </w:r>
      <w:bookmarkStart w:id="9" w:name="_Toc28359003"/>
      <w:bookmarkStart w:id="10" w:name="_Toc35393791"/>
      <w:bookmarkStart w:id="11" w:name="_Toc35393622"/>
      <w:bookmarkStart w:id="12" w:name="_Toc28359080"/>
    </w:p>
    <w:p w14:paraId="6ADF1881">
      <w:pPr>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t>二、供应商的资格要求：</w:t>
      </w:r>
      <w:bookmarkEnd w:id="9"/>
      <w:bookmarkEnd w:id="10"/>
      <w:bookmarkEnd w:id="11"/>
      <w:bookmarkEnd w:id="12"/>
    </w:p>
    <w:p w14:paraId="0BBC0E91">
      <w:pPr>
        <w:spacing w:line="360" w:lineRule="auto"/>
        <w:ind w:firstLine="420" w:firstLineChars="200"/>
        <w:rPr>
          <w:rFonts w:hint="eastAsia" w:ascii="宋体" w:hAnsi="宋体" w:cs="宋体"/>
          <w:color w:val="auto"/>
          <w:szCs w:val="21"/>
          <w:highlight w:val="none"/>
        </w:rPr>
      </w:pPr>
      <w:bookmarkStart w:id="13" w:name="_Toc35393623"/>
      <w:bookmarkStart w:id="14" w:name="_Toc28359004"/>
      <w:bookmarkStart w:id="15" w:name="_Toc28359081"/>
      <w:bookmarkStart w:id="16" w:name="_Toc35393792"/>
      <w:r>
        <w:rPr>
          <w:rFonts w:hint="eastAsia" w:ascii="宋体" w:hAnsi="宋体" w:cs="宋体"/>
          <w:color w:val="auto"/>
          <w:szCs w:val="21"/>
          <w:highlight w:val="none"/>
        </w:rPr>
        <w:t>1.满足《中华人民共和国政府采购法》第二十二条规定；</w:t>
      </w:r>
    </w:p>
    <w:p w14:paraId="4887945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1.1具有独立承担民事责任的能力：供应商须在中华人民共和国境内注册，须具备经国家市场监督部门登记注册的独立企业（事业）法人、其他组织，具备有效的营业执照（或事业单位法人证书或其他类似的法定证明文件）；</w:t>
      </w:r>
    </w:p>
    <w:p w14:paraId="145281E9">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1.2具有良好的商业信誉和健全的财务会计制度：</w:t>
      </w:r>
    </w:p>
    <w:p w14:paraId="3C4E72E1">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1.2.1供应商在本项目响应文件提交截止时间前，在“信用中国”网站（www.creditchina.gov.cn）中未被列入政府采购不良行为记录名单、失信惩戒对象和重大税收违法案件当事人名单；在中国政府采购网（www.ccgp.gov.cn）政府采购严重违法失信行为记录名单中无不良信息记录（查询时间为本公告发布之日起至提交响应文件之日止，查询结果以采购人、采购代理机构查询结果为准，并将查询记录和证据留存）；</w:t>
      </w:r>
    </w:p>
    <w:p w14:paraId="2899F429">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1.2.2提供2024或2025年度经审计的财务会计报表</w:t>
      </w:r>
      <w:r>
        <w:rPr>
          <w:rFonts w:hint="eastAsia" w:ascii="宋体" w:hAnsi="宋体" w:cs="宋体"/>
          <w:snapToGrid w:val="0"/>
          <w:color w:val="auto"/>
          <w:kern w:val="0"/>
          <w:highlight w:val="none"/>
        </w:rPr>
        <w:t>，包括财务审计报告、资产负债表、利润表、现金流量表；未经审计的单位提供2025年度的财务会计报表。（成立不满1年的新企业无需提供）；</w:t>
      </w:r>
      <w:r>
        <w:rPr>
          <w:rFonts w:hint="eastAsia" w:ascii="宋体" w:hAnsi="宋体" w:cs="宋体"/>
          <w:color w:val="auto"/>
          <w:highlight w:val="none"/>
        </w:rPr>
        <w:t xml:space="preserve"> </w:t>
      </w:r>
    </w:p>
    <w:p w14:paraId="35389B3E">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1.3有依法缴纳税收和社会保障资金的良好记录：提供缴税所属时间在2025年1月至今任意1个月的税务局税收通用缴款书复印件或银行电子缴税（费）凭证复印件或税务局出具纳税情况的相关证明；依法免税的，应提供依法免税的相关证明材料；提供缴费所属时间在2025年1月至今任意1个月的社会保险费缴款书复印件或银行电子缴税（费）凭证或社保管理部门出具的有效的缴款证明；依法免缴的，应提供依法免缴的相关证明材料。</w:t>
      </w:r>
    </w:p>
    <w:p w14:paraId="57A864E6">
      <w:pPr>
        <w:adjustRightInd w:val="0"/>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1.4参加政府采购活动前三年（2023年1月至今），在经营活动中没有重大违法记录：提供供应商参加政府采购活动前三年（2023年1月至今），在经营活动中没有重大违法记录（重大违法记录，是指供应商因违法经营受到刑事处罚或者责令停产停业、吊销许可证或者执照、较大数额罚款等行政处罚）的书面声明；</w:t>
      </w:r>
    </w:p>
    <w:p w14:paraId="7233C16A">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1.5法律、行政法规规定的其他条件。 </w:t>
      </w:r>
    </w:p>
    <w:p w14:paraId="468FF4F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2.落实政府采购政策需满足的资格要求：本项目为专门面向中小企业采购项目。</w:t>
      </w:r>
    </w:p>
    <w:p w14:paraId="1BB6AD49">
      <w:pPr>
        <w:spacing w:line="360" w:lineRule="auto"/>
        <w:ind w:firstLine="420" w:firstLineChars="200"/>
        <w:rPr>
          <w:rFonts w:hint="eastAsia" w:ascii="宋体" w:hAnsi="宋体" w:cs="宋体"/>
          <w:color w:val="auto"/>
          <w:szCs w:val="21"/>
          <w:highlight w:val="none"/>
        </w:rPr>
      </w:pPr>
      <w:bookmarkStart w:id="17" w:name="OLE_LINK4"/>
      <w:r>
        <w:rPr>
          <w:rFonts w:hint="eastAsia" w:ascii="宋体" w:hAnsi="宋体" w:cs="宋体"/>
          <w:color w:val="auto"/>
          <w:szCs w:val="21"/>
          <w:highlight w:val="none"/>
        </w:rPr>
        <w:t>3.本项目的特定资格要求：</w:t>
      </w:r>
      <w:bookmarkStart w:id="18" w:name="OLE_LINK2"/>
      <w:r>
        <w:rPr>
          <w:rFonts w:hint="eastAsia" w:ascii="宋体" w:hAnsi="宋体" w:cs="宋体"/>
          <w:color w:val="auto"/>
          <w:highlight w:val="none"/>
        </w:rPr>
        <w:t>单位负责人为同一人或者存在直接控股、管理关系的不同供应商，不得参加同一合同项下的政府采购活动（提供说明函）</w:t>
      </w:r>
      <w:bookmarkEnd w:id="17"/>
      <w:bookmarkEnd w:id="18"/>
    </w:p>
    <w:p w14:paraId="4A228A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w:t>
      </w:r>
      <w:bookmarkEnd w:id="13"/>
      <w:bookmarkEnd w:id="14"/>
      <w:bookmarkEnd w:id="15"/>
      <w:bookmarkEnd w:id="16"/>
      <w:r>
        <w:rPr>
          <w:rFonts w:hint="eastAsia" w:ascii="宋体" w:hAnsi="宋体" w:cs="宋体"/>
          <w:color w:val="auto"/>
          <w:szCs w:val="21"/>
          <w:highlight w:val="none"/>
        </w:rPr>
        <w:t>获取采购文件</w:t>
      </w:r>
    </w:p>
    <w:p w14:paraId="2A249D29">
      <w:pPr>
        <w:spacing w:line="360" w:lineRule="auto"/>
        <w:ind w:firstLine="420" w:firstLineChars="200"/>
        <w:jc w:val="left"/>
        <w:rPr>
          <w:rFonts w:hint="eastAsia" w:ascii="宋体" w:hAnsi="宋体" w:cs="宋体"/>
          <w:snapToGrid w:val="0"/>
          <w:color w:val="auto"/>
          <w:kern w:val="0"/>
          <w:highlight w:val="none"/>
        </w:rPr>
      </w:pPr>
      <w:bookmarkStart w:id="19" w:name="_Toc28359082"/>
      <w:bookmarkStart w:id="20" w:name="_Toc35393624"/>
      <w:bookmarkStart w:id="21" w:name="_Toc28359005"/>
      <w:bookmarkStart w:id="22" w:name="_Toc35393793"/>
      <w:r>
        <w:rPr>
          <w:rFonts w:hint="eastAsia" w:ascii="宋体" w:hAnsi="宋体" w:cs="宋体"/>
          <w:snapToGrid w:val="0"/>
          <w:color w:val="auto"/>
          <w:kern w:val="0"/>
          <w:highlight w:val="none"/>
        </w:rPr>
        <w:t>时间：2026年5月14日至2026年5月21日，每天上午00:00至12:00，下午12:00至23:59（北京时间，法定节假日除外）</w:t>
      </w:r>
    </w:p>
    <w:p w14:paraId="59ADFE84">
      <w:pPr>
        <w:spacing w:line="360" w:lineRule="auto"/>
        <w:ind w:firstLine="420" w:firstLineChars="200"/>
        <w:jc w:val="left"/>
        <w:rPr>
          <w:rFonts w:hint="eastAsia" w:ascii="宋体" w:hAnsi="宋体" w:cs="宋体"/>
          <w:snapToGrid w:val="0"/>
          <w:color w:val="auto"/>
          <w:kern w:val="0"/>
          <w:highlight w:val="none"/>
        </w:rPr>
      </w:pPr>
      <w:r>
        <w:rPr>
          <w:rFonts w:hint="eastAsia" w:ascii="宋体" w:hAnsi="宋体" w:cs="宋体"/>
          <w:snapToGrid w:val="0"/>
          <w:color w:val="auto"/>
          <w:kern w:val="0"/>
          <w:highlight w:val="none"/>
        </w:rPr>
        <w:t xml:space="preserve">地点：本项目不发放纸质采购文件，申请人可自行在“政采云”平台（ https://www.zcygov.cn/）下载采购文件（操作路径：登录“政采云”平台－项目采购－获取采购文件－找到本项目－点击“申请获取采购文件”），电子响应文件制作需要基于“政采云”平台（ https://www.zcygov.cn/）获取的采购文件编制。                                             </w:t>
      </w:r>
    </w:p>
    <w:p w14:paraId="0309F8E1">
      <w:pPr>
        <w:spacing w:line="360" w:lineRule="auto"/>
        <w:ind w:firstLine="420" w:firstLineChars="200"/>
        <w:jc w:val="left"/>
        <w:rPr>
          <w:rFonts w:hint="eastAsia" w:ascii="宋体" w:hAnsi="宋体" w:cs="宋体"/>
          <w:snapToGrid w:val="0"/>
          <w:color w:val="auto"/>
          <w:kern w:val="0"/>
          <w:highlight w:val="none"/>
        </w:rPr>
      </w:pPr>
      <w:r>
        <w:rPr>
          <w:rFonts w:hint="eastAsia" w:ascii="宋体" w:hAnsi="宋体" w:cs="宋体"/>
          <w:snapToGrid w:val="0"/>
          <w:color w:val="auto"/>
          <w:kern w:val="0"/>
          <w:highlight w:val="none"/>
        </w:rPr>
        <w:t>方式：1.凡有意参加投标者，须在政采云平台办理数字证书（CA），CA申领链接：https://middle.zcygov.cn/ca/apply/list?_app_=zcy.sys，并在政采云绑定数字证书（CA）后在网上获取采购文件及其他采购资料，数字证书（CA）详见其办理流程。注：云南本地申请人如之前已在云南CA在线数字证书办理网进行过注册并办理过企业数字证书（CA），直接绑定即可，无需重复办理（2022年1月1日前办理的云南CA需到云南CA办理处进行升级）。外省申请人在政采云平台办理的其他CA可直接使用，无需重复办理。</w:t>
      </w:r>
    </w:p>
    <w:p w14:paraId="309D8AEF">
      <w:pPr>
        <w:spacing w:line="360" w:lineRule="auto"/>
        <w:ind w:firstLine="420" w:firstLineChars="200"/>
        <w:jc w:val="left"/>
        <w:rPr>
          <w:rFonts w:hint="eastAsia" w:ascii="宋体" w:hAnsi="宋体" w:cs="宋体"/>
          <w:snapToGrid w:val="0"/>
          <w:color w:val="auto"/>
          <w:kern w:val="0"/>
          <w:highlight w:val="none"/>
        </w:rPr>
      </w:pPr>
      <w:r>
        <w:rPr>
          <w:rFonts w:hint="eastAsia" w:ascii="宋体" w:hAnsi="宋体" w:cs="宋体"/>
          <w:snapToGrid w:val="0"/>
          <w:color w:val="auto"/>
          <w:kern w:val="0"/>
          <w:highlight w:val="none"/>
        </w:rPr>
        <w:t>2.按上述要求获取文件的申请人视为合法获取了本项目采购文件，具备本项目的投标资格。</w:t>
      </w:r>
    </w:p>
    <w:p w14:paraId="26E7B956">
      <w:pPr>
        <w:spacing w:line="360" w:lineRule="auto"/>
        <w:ind w:firstLine="420" w:firstLineChars="200"/>
        <w:jc w:val="left"/>
        <w:rPr>
          <w:rFonts w:hint="eastAsia" w:ascii="宋体" w:hAnsi="宋体" w:cs="宋体"/>
          <w:snapToGrid w:val="0"/>
          <w:color w:val="auto"/>
          <w:kern w:val="0"/>
          <w:highlight w:val="none"/>
        </w:rPr>
      </w:pPr>
      <w:r>
        <w:rPr>
          <w:rFonts w:hint="eastAsia" w:ascii="宋体" w:hAnsi="宋体" w:cs="宋体"/>
          <w:snapToGrid w:val="0"/>
          <w:color w:val="auto"/>
          <w:kern w:val="0"/>
          <w:highlight w:val="none"/>
        </w:rPr>
        <w:t>售价（元）：0。</w:t>
      </w:r>
    </w:p>
    <w:bookmarkEnd w:id="19"/>
    <w:bookmarkEnd w:id="20"/>
    <w:bookmarkEnd w:id="21"/>
    <w:bookmarkEnd w:id="22"/>
    <w:p w14:paraId="22BDDFCD">
      <w:pPr>
        <w:spacing w:line="360" w:lineRule="auto"/>
        <w:outlineLvl w:val="1"/>
        <w:rPr>
          <w:rFonts w:hint="eastAsia" w:ascii="宋体" w:hAnsi="宋体" w:cs="宋体"/>
          <w:color w:val="auto"/>
          <w:szCs w:val="21"/>
          <w:highlight w:val="none"/>
        </w:rPr>
      </w:pPr>
      <w:bookmarkStart w:id="23" w:name="_Toc149830866"/>
      <w:bookmarkStart w:id="24" w:name="_Toc228982089"/>
      <w:bookmarkStart w:id="25" w:name="_Toc228982296"/>
      <w:r>
        <w:rPr>
          <w:rFonts w:hint="eastAsia" w:ascii="宋体" w:hAnsi="宋体" w:cs="宋体"/>
          <w:color w:val="auto"/>
          <w:szCs w:val="21"/>
          <w:highlight w:val="none"/>
        </w:rPr>
        <w:t>四、响应文件提交</w:t>
      </w:r>
      <w:bookmarkEnd w:id="23"/>
      <w:bookmarkEnd w:id="24"/>
      <w:bookmarkEnd w:id="25"/>
    </w:p>
    <w:p w14:paraId="693F80D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截止时间：</w:t>
      </w:r>
      <w:bookmarkStart w:id="26" w:name="_Hlk47704566"/>
      <w:r>
        <w:rPr>
          <w:rFonts w:hint="eastAsia" w:ascii="宋体" w:hAnsi="宋体" w:cs="宋体"/>
          <w:bCs/>
          <w:color w:val="auto"/>
          <w:szCs w:val="21"/>
          <w:highlight w:val="none"/>
        </w:rPr>
        <w:t>2026年6月</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日 9点30 分</w:t>
      </w:r>
      <w:bookmarkEnd w:id="26"/>
      <w:r>
        <w:rPr>
          <w:rFonts w:hint="eastAsia" w:ascii="宋体" w:hAnsi="宋体" w:cs="宋体"/>
          <w:bCs/>
          <w:color w:val="auto"/>
          <w:szCs w:val="21"/>
          <w:highlight w:val="none"/>
        </w:rPr>
        <w:t>（北京时间）</w:t>
      </w:r>
    </w:p>
    <w:p w14:paraId="443F330A">
      <w:pPr>
        <w:spacing w:line="360" w:lineRule="auto"/>
        <w:ind w:firstLine="420" w:firstLineChars="200"/>
        <w:rPr>
          <w:rFonts w:hint="eastAsia" w:ascii="宋体" w:hAnsi="宋体" w:cs="宋体"/>
          <w:color w:val="auto"/>
          <w:szCs w:val="21"/>
          <w:highlight w:val="none"/>
        </w:rPr>
      </w:pPr>
      <w:bookmarkStart w:id="27" w:name="_Toc35393794"/>
      <w:bookmarkStart w:id="28" w:name="_Toc35393625"/>
      <w:bookmarkStart w:id="29" w:name="_Toc28359084"/>
      <w:bookmarkStart w:id="30" w:name="_Toc28359007"/>
      <w:r>
        <w:rPr>
          <w:rFonts w:hint="eastAsia" w:ascii="宋体" w:hAnsi="宋体" w:cs="宋体"/>
          <w:color w:val="auto"/>
          <w:szCs w:val="21"/>
          <w:highlight w:val="none"/>
        </w:rPr>
        <w:t xml:space="preserve">地点：供应商应按照本项目采购文件和"政采云"平台的要求编制、加密后在响应文件提交截止时间前上传至"政采云"平台，响应文件提交截止时间前未完成响应文件上传的，视为撤回响应文件。供应商在"政采云"平台提交电子版响应文件时，请填写参加远程采购活动经办人联系方式。     </w:t>
      </w:r>
    </w:p>
    <w:p w14:paraId="4795EC89">
      <w:pPr>
        <w:spacing w:line="360" w:lineRule="auto"/>
        <w:outlineLvl w:val="1"/>
        <w:rPr>
          <w:rFonts w:hint="eastAsia" w:ascii="宋体" w:hAnsi="宋体" w:cs="宋体"/>
          <w:color w:val="auto"/>
          <w:szCs w:val="21"/>
          <w:highlight w:val="none"/>
        </w:rPr>
      </w:pPr>
      <w:bookmarkStart w:id="31" w:name="_Toc28359016"/>
      <w:bookmarkStart w:id="32" w:name="_Toc35393802"/>
      <w:bookmarkStart w:id="33" w:name="_Toc149830867"/>
      <w:bookmarkStart w:id="34" w:name="_Toc28359093"/>
      <w:bookmarkStart w:id="35" w:name="_Toc228982090"/>
      <w:bookmarkStart w:id="36" w:name="_Toc228982297"/>
      <w:bookmarkStart w:id="37" w:name="_Toc35393633"/>
      <w:r>
        <w:rPr>
          <w:rFonts w:hint="eastAsia" w:ascii="宋体" w:hAnsi="宋体" w:cs="宋体"/>
          <w:color w:val="auto"/>
          <w:szCs w:val="21"/>
          <w:highlight w:val="none"/>
        </w:rPr>
        <w:t>五、开启</w:t>
      </w:r>
      <w:bookmarkEnd w:id="31"/>
      <w:bookmarkEnd w:id="32"/>
      <w:bookmarkEnd w:id="33"/>
      <w:bookmarkEnd w:id="34"/>
      <w:bookmarkEnd w:id="35"/>
      <w:bookmarkEnd w:id="36"/>
      <w:bookmarkEnd w:id="37"/>
    </w:p>
    <w:p w14:paraId="5DA01EC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时间：</w:t>
      </w:r>
      <w:r>
        <w:rPr>
          <w:rFonts w:hint="eastAsia" w:ascii="宋体" w:hAnsi="宋体" w:cs="宋体"/>
          <w:bCs/>
          <w:color w:val="auto"/>
          <w:szCs w:val="21"/>
          <w:highlight w:val="none"/>
        </w:rPr>
        <w:t>2026年6月</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日 9点30分</w:t>
      </w:r>
      <w:r>
        <w:rPr>
          <w:rFonts w:hint="eastAsia" w:ascii="宋体" w:hAnsi="宋体" w:cs="宋体"/>
          <w:bCs/>
          <w:color w:val="auto"/>
          <w:szCs w:val="21"/>
          <w:highlight w:val="none"/>
        </w:rPr>
        <w:t>（北京时间）</w:t>
      </w:r>
    </w:p>
    <w:p w14:paraId="62CAB94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地点：云南鼎鑫项目管理咨询有限公司（云南省昆明市五华区科普路固地尚诚商务中心B座14楼）开标厅</w:t>
      </w:r>
    </w:p>
    <w:p w14:paraId="1632969D">
      <w:pPr>
        <w:spacing w:line="360" w:lineRule="auto"/>
        <w:outlineLvl w:val="1"/>
        <w:rPr>
          <w:rFonts w:hint="eastAsia" w:ascii="宋体" w:hAnsi="宋体" w:cs="宋体"/>
          <w:color w:val="auto"/>
          <w:szCs w:val="21"/>
          <w:highlight w:val="none"/>
        </w:rPr>
      </w:pPr>
      <w:bookmarkStart w:id="38" w:name="_Toc149830868"/>
      <w:bookmarkStart w:id="39" w:name="_Toc228982298"/>
      <w:bookmarkStart w:id="40" w:name="_Toc228982091"/>
      <w:r>
        <w:rPr>
          <w:rFonts w:hint="eastAsia" w:ascii="宋体" w:hAnsi="宋体" w:cs="宋体"/>
          <w:color w:val="auto"/>
          <w:szCs w:val="21"/>
          <w:highlight w:val="none"/>
        </w:rPr>
        <w:t>六、公告期限</w:t>
      </w:r>
      <w:bookmarkEnd w:id="27"/>
      <w:bookmarkEnd w:id="28"/>
      <w:bookmarkEnd w:id="29"/>
      <w:bookmarkEnd w:id="30"/>
      <w:bookmarkEnd w:id="38"/>
      <w:bookmarkEnd w:id="39"/>
      <w:bookmarkEnd w:id="40"/>
    </w:p>
    <w:p w14:paraId="2DC8B2E5">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bookmarkStart w:id="41" w:name="_Toc35393795"/>
      <w:bookmarkStart w:id="42" w:name="_Toc35393626"/>
    </w:p>
    <w:p w14:paraId="0783B4F7">
      <w:pPr>
        <w:spacing w:line="360" w:lineRule="auto"/>
        <w:outlineLvl w:val="1"/>
        <w:rPr>
          <w:rFonts w:hint="eastAsia" w:ascii="宋体" w:hAnsi="宋体" w:cs="宋体"/>
          <w:color w:val="auto"/>
          <w:szCs w:val="21"/>
          <w:highlight w:val="none"/>
        </w:rPr>
      </w:pPr>
      <w:bookmarkStart w:id="43" w:name="_Toc228982092"/>
      <w:bookmarkStart w:id="44" w:name="_Toc149830869"/>
      <w:bookmarkStart w:id="45" w:name="_Toc228982299"/>
      <w:r>
        <w:rPr>
          <w:rFonts w:hint="eastAsia" w:ascii="宋体" w:hAnsi="宋体" w:cs="宋体"/>
          <w:color w:val="auto"/>
          <w:szCs w:val="21"/>
          <w:highlight w:val="none"/>
        </w:rPr>
        <w:t>七、其他补充事宜</w:t>
      </w:r>
      <w:bookmarkEnd w:id="41"/>
      <w:bookmarkEnd w:id="42"/>
      <w:bookmarkEnd w:id="43"/>
      <w:bookmarkEnd w:id="44"/>
      <w:bookmarkEnd w:id="45"/>
    </w:p>
    <w:p w14:paraId="62C21CEE">
      <w:pPr>
        <w:pStyle w:val="112"/>
        <w:spacing w:line="360" w:lineRule="auto"/>
        <w:rPr>
          <w:rFonts w:hint="eastAsia" w:ascii="宋体" w:hAnsi="宋体" w:cs="宋体"/>
          <w:color w:val="auto"/>
          <w:szCs w:val="21"/>
          <w:highlight w:val="none"/>
        </w:rPr>
      </w:pPr>
      <w:bookmarkStart w:id="46" w:name="_Toc35393796"/>
      <w:bookmarkStart w:id="47" w:name="_Toc35393627"/>
      <w:bookmarkStart w:id="48" w:name="_Toc28359008"/>
      <w:bookmarkStart w:id="49" w:name="_Toc28359085"/>
      <w:r>
        <w:rPr>
          <w:rFonts w:hint="eastAsia" w:ascii="宋体" w:hAnsi="宋体" w:cs="宋体"/>
          <w:color w:val="auto"/>
          <w:szCs w:val="21"/>
          <w:highlight w:val="none"/>
        </w:rPr>
        <w:t>磋商保证金金额：免收</w:t>
      </w:r>
    </w:p>
    <w:p w14:paraId="4BDCAEF3">
      <w:pPr>
        <w:pStyle w:val="112"/>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1.开标方式：本项目为不见面开标，投标单位无需到达现场。 </w:t>
      </w:r>
    </w:p>
    <w:p w14:paraId="6C308DF8">
      <w:pPr>
        <w:pStyle w:val="112"/>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2.本项目实行网上投标，采用电子响应文件； </w:t>
      </w:r>
    </w:p>
    <w:p w14:paraId="1DC3604D">
      <w:pPr>
        <w:pStyle w:val="112"/>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3.各供应商应在开标前应确保成为政采云平台供应商，并完成CA数字证书申领。因未注册入库、未办理CA数字证书等原因造成无法投标或投标失败等后果由供应商自行承担。 凡有意参加投标的供应商，须在政采云平台办理数字证书（CA）CA申领链接：https://middle.zcygov.cn/ca/apply/list?_app_=zcy.sys，并通过政采云绑定数字证书（CA）后在网上获取采购文件及其它采购资料，数字证书（CA）详见其办理流程。注：供应商如之前已在云南CA在线数字证书办理网进行过注册并办理过企业数字证书（CA）的，直接绑定即可，无需重复办理（2022年1月1日前在云南省公共资源交易平台办理过云南CA证书的需到原办理点进行升级后方可使用）。外省供应商在政采云平台办理的其他CA可直接使用，无需重复办理。供应商通过CA证书获取采购文件的视为合法获取了项目采购文件，具备本项目的投标资格。 </w:t>
      </w:r>
    </w:p>
    <w:p w14:paraId="6B523187">
      <w:pPr>
        <w:pStyle w:val="112"/>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4.供应商将政采云电子交易客户端下载、安装完成后，可通过账号密码或CA登录客户端进行响应文件的制作。在使用政采云投标客户端时，建议使用WIN7（64位）及以上操作系统。客户端请至政采云公司网站（https://edu.zcygov.cn/luban/yunnan-dzjy-gys）进行查看下载，如有问题可拨打政采云客户服务热线400-881-7190进行咨询以及云南CA操作问题：请致电云南CA，4006727666； 云南CA紧急联系方式：15288315056。如因供应商自身原因导致在规定时间内无法正常解密的（如：浏览器故障、未安装相关驱动、网络故障、加密CA与解密CA不一致等），采购中心/代理机构不予异常处理，视为供应商自动弃标。 </w:t>
      </w:r>
    </w:p>
    <w:p w14:paraId="4B42F3CA">
      <w:pPr>
        <w:pStyle w:val="112"/>
        <w:spacing w:line="360" w:lineRule="auto"/>
        <w:rPr>
          <w:rFonts w:hint="eastAsia" w:ascii="宋体" w:hAnsi="宋体" w:cs="宋体"/>
          <w:color w:val="auto"/>
          <w:szCs w:val="21"/>
          <w:highlight w:val="none"/>
        </w:rPr>
      </w:pPr>
      <w:r>
        <w:rPr>
          <w:rFonts w:hint="eastAsia" w:ascii="宋体" w:hAnsi="宋体" w:cs="宋体"/>
          <w:color w:val="auto"/>
          <w:szCs w:val="21"/>
          <w:highlight w:val="none"/>
        </w:rPr>
        <w:t>5.本次竞争性磋商公告在《云南省政府采购网》、政采云平台上发布。</w:t>
      </w:r>
    </w:p>
    <w:p w14:paraId="628F6E03">
      <w:pPr>
        <w:pStyle w:val="112"/>
        <w:spacing w:line="360" w:lineRule="auto"/>
        <w:ind w:firstLine="0" w:firstLineChars="0"/>
        <w:outlineLvl w:val="1"/>
        <w:rPr>
          <w:rFonts w:hint="eastAsia" w:ascii="宋体" w:hAnsi="宋体" w:cs="宋体"/>
          <w:color w:val="auto"/>
          <w:szCs w:val="21"/>
          <w:highlight w:val="none"/>
        </w:rPr>
      </w:pPr>
      <w:bookmarkStart w:id="50" w:name="_Toc228982093"/>
      <w:bookmarkStart w:id="51" w:name="_Toc228982300"/>
      <w:bookmarkStart w:id="52" w:name="_Toc149830870"/>
      <w:r>
        <w:rPr>
          <w:rFonts w:hint="eastAsia" w:ascii="宋体" w:hAnsi="宋体" w:cs="宋体"/>
          <w:color w:val="auto"/>
          <w:szCs w:val="21"/>
          <w:highlight w:val="none"/>
        </w:rPr>
        <w:t>八、凡对本次采购提出询问，请按以下方式联系</w:t>
      </w:r>
      <w:bookmarkEnd w:id="46"/>
      <w:bookmarkEnd w:id="47"/>
      <w:bookmarkEnd w:id="48"/>
      <w:bookmarkEnd w:id="49"/>
      <w:bookmarkEnd w:id="50"/>
      <w:bookmarkEnd w:id="51"/>
      <w:bookmarkEnd w:id="52"/>
    </w:p>
    <w:p w14:paraId="337C5CEE">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采购人：昆明市旅游职业中学</w:t>
      </w:r>
    </w:p>
    <w:p w14:paraId="4505E942">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地址： 昆明市五华区瓦仓西路16号</w:t>
      </w:r>
    </w:p>
    <w:p w14:paraId="0ED257CE">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 xml:space="preserve">联系人：鲁玉梅 </w:t>
      </w:r>
    </w:p>
    <w:p w14:paraId="367F309C">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 xml:space="preserve">电话：0871-64192276 </w:t>
      </w:r>
    </w:p>
    <w:p w14:paraId="4878A20B">
      <w:pPr>
        <w:spacing w:line="360" w:lineRule="auto"/>
        <w:ind w:firstLine="420" w:firstLineChars="200"/>
        <w:jc w:val="left"/>
        <w:rPr>
          <w:rFonts w:hint="eastAsia" w:ascii="宋体" w:hAnsi="宋体" w:cs="宋体"/>
          <w:color w:val="auto"/>
          <w:highlight w:val="none"/>
        </w:rPr>
      </w:pPr>
    </w:p>
    <w:p w14:paraId="56ED63E0">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代理机构：云南鼎鑫项目管理咨询有限公司</w:t>
      </w:r>
    </w:p>
    <w:p w14:paraId="6C1D6715">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地    址：昆明市五华区科普路固地尚诚B座14楼</w:t>
      </w:r>
    </w:p>
    <w:p w14:paraId="3F08813F">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联 系 人：苏艳、张皓天、李俊</w:t>
      </w:r>
    </w:p>
    <w:p w14:paraId="44532807">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联系方式：13888908269、15969402895、13987127171</w:t>
      </w:r>
    </w:p>
    <w:p w14:paraId="45335BBA">
      <w:pPr>
        <w:spacing w:line="360" w:lineRule="auto"/>
        <w:ind w:firstLine="420" w:firstLineChars="200"/>
        <w:jc w:val="left"/>
        <w:rPr>
          <w:rFonts w:hint="eastAsia" w:ascii="宋体" w:hAnsi="宋体" w:cs="宋体"/>
          <w:color w:val="auto"/>
          <w:highlight w:val="none"/>
        </w:rPr>
      </w:pPr>
    </w:p>
    <w:p w14:paraId="5E52B779">
      <w:pPr>
        <w:spacing w:line="308" w:lineRule="auto"/>
        <w:jc w:val="center"/>
        <w:rPr>
          <w:rFonts w:hint="eastAsia" w:ascii="宋体" w:hAnsi="宋体" w:cs="宋体"/>
          <w:color w:val="auto"/>
          <w:sz w:val="44"/>
          <w:szCs w:val="44"/>
          <w:highlight w:val="none"/>
        </w:rPr>
      </w:pPr>
    </w:p>
    <w:p w14:paraId="2655930C">
      <w:pPr>
        <w:spacing w:line="308" w:lineRule="auto"/>
        <w:rPr>
          <w:rFonts w:hint="eastAsia" w:ascii="宋体" w:hAnsi="宋体" w:cs="宋体"/>
          <w:color w:val="auto"/>
          <w:sz w:val="44"/>
          <w:szCs w:val="44"/>
          <w:highlight w:val="none"/>
        </w:rPr>
      </w:pPr>
    </w:p>
    <w:p w14:paraId="3BF6F107">
      <w:pPr>
        <w:spacing w:line="308" w:lineRule="auto"/>
        <w:jc w:val="center"/>
        <w:rPr>
          <w:rFonts w:hint="eastAsia" w:ascii="宋体" w:hAnsi="宋体" w:cs="宋体"/>
          <w:color w:val="auto"/>
          <w:sz w:val="44"/>
          <w:szCs w:val="44"/>
          <w:highlight w:val="none"/>
        </w:rPr>
      </w:pPr>
    </w:p>
    <w:p w14:paraId="0B895FD4">
      <w:pPr>
        <w:spacing w:line="308" w:lineRule="auto"/>
        <w:jc w:val="center"/>
        <w:rPr>
          <w:rFonts w:hint="eastAsia" w:ascii="宋体" w:hAnsi="宋体" w:cs="宋体"/>
          <w:color w:val="auto"/>
          <w:sz w:val="44"/>
          <w:szCs w:val="44"/>
          <w:highlight w:val="none"/>
        </w:rPr>
      </w:pPr>
    </w:p>
    <w:p w14:paraId="302E0A07">
      <w:pPr>
        <w:spacing w:line="308" w:lineRule="auto"/>
        <w:jc w:val="center"/>
        <w:rPr>
          <w:rFonts w:hint="eastAsia" w:ascii="宋体" w:hAnsi="宋体" w:cs="宋体"/>
          <w:color w:val="auto"/>
          <w:sz w:val="44"/>
          <w:szCs w:val="44"/>
          <w:highlight w:val="none"/>
        </w:rPr>
      </w:pPr>
    </w:p>
    <w:p w14:paraId="7143895A">
      <w:pPr>
        <w:spacing w:line="308" w:lineRule="auto"/>
        <w:jc w:val="center"/>
        <w:rPr>
          <w:rFonts w:hint="eastAsia" w:ascii="宋体" w:hAnsi="宋体" w:cs="宋体"/>
          <w:color w:val="auto"/>
          <w:sz w:val="44"/>
          <w:szCs w:val="44"/>
          <w:highlight w:val="none"/>
        </w:rPr>
      </w:pPr>
    </w:p>
    <w:p w14:paraId="46F94798">
      <w:pPr>
        <w:spacing w:line="308" w:lineRule="auto"/>
        <w:rPr>
          <w:rFonts w:hint="eastAsia" w:ascii="宋体" w:hAnsi="宋体" w:cs="宋体"/>
          <w:color w:val="auto"/>
          <w:sz w:val="44"/>
          <w:szCs w:val="44"/>
          <w:highlight w:val="none"/>
        </w:rPr>
      </w:pPr>
    </w:p>
    <w:p w14:paraId="643C5C79">
      <w:pPr>
        <w:spacing w:line="308" w:lineRule="auto"/>
        <w:rPr>
          <w:rFonts w:hint="eastAsia" w:ascii="宋体" w:hAnsi="宋体" w:cs="宋体"/>
          <w:color w:val="auto"/>
          <w:sz w:val="44"/>
          <w:szCs w:val="44"/>
          <w:highlight w:val="none"/>
        </w:rPr>
      </w:pPr>
    </w:p>
    <w:p w14:paraId="53D67323">
      <w:pPr>
        <w:spacing w:line="308" w:lineRule="auto"/>
        <w:jc w:val="center"/>
        <w:rPr>
          <w:rFonts w:hint="eastAsia" w:ascii="宋体" w:hAnsi="宋体" w:cs="宋体"/>
          <w:color w:val="auto"/>
          <w:sz w:val="44"/>
          <w:szCs w:val="44"/>
          <w:highlight w:val="none"/>
        </w:rPr>
      </w:pPr>
    </w:p>
    <w:p w14:paraId="650BF01C">
      <w:pPr>
        <w:spacing w:line="308" w:lineRule="auto"/>
        <w:jc w:val="center"/>
        <w:rPr>
          <w:rFonts w:hint="eastAsia" w:ascii="宋体" w:hAnsi="宋体" w:cs="宋体"/>
          <w:color w:val="auto"/>
          <w:sz w:val="44"/>
          <w:szCs w:val="44"/>
          <w:highlight w:val="none"/>
        </w:rPr>
      </w:pPr>
    </w:p>
    <w:p w14:paraId="16075FAE">
      <w:pPr>
        <w:spacing w:line="308" w:lineRule="auto"/>
        <w:jc w:val="center"/>
        <w:rPr>
          <w:rFonts w:hint="eastAsia" w:ascii="宋体" w:hAnsi="宋体" w:cs="宋体"/>
          <w:color w:val="auto"/>
          <w:sz w:val="44"/>
          <w:szCs w:val="44"/>
          <w:highlight w:val="none"/>
        </w:rPr>
      </w:pPr>
    </w:p>
    <w:p w14:paraId="33EE5334">
      <w:pPr>
        <w:spacing w:line="308" w:lineRule="auto"/>
        <w:jc w:val="center"/>
        <w:rPr>
          <w:rFonts w:hint="eastAsia" w:ascii="宋体" w:hAnsi="宋体" w:cs="宋体"/>
          <w:color w:val="auto"/>
          <w:sz w:val="44"/>
          <w:szCs w:val="44"/>
          <w:highlight w:val="none"/>
        </w:rPr>
      </w:pPr>
    </w:p>
    <w:p w14:paraId="58FAC62F">
      <w:pPr>
        <w:spacing w:line="308" w:lineRule="auto"/>
        <w:jc w:val="center"/>
        <w:rPr>
          <w:rFonts w:hint="eastAsia" w:ascii="宋体" w:hAnsi="宋体" w:cs="宋体"/>
          <w:color w:val="auto"/>
          <w:sz w:val="44"/>
          <w:szCs w:val="44"/>
          <w:highlight w:val="none"/>
        </w:rPr>
      </w:pPr>
    </w:p>
    <w:p w14:paraId="2791E02D">
      <w:pPr>
        <w:spacing w:line="308" w:lineRule="auto"/>
        <w:jc w:val="center"/>
        <w:rPr>
          <w:rFonts w:hint="eastAsia" w:ascii="宋体" w:hAnsi="宋体" w:cs="宋体"/>
          <w:color w:val="auto"/>
          <w:sz w:val="44"/>
          <w:szCs w:val="44"/>
          <w:highlight w:val="none"/>
        </w:rPr>
      </w:pPr>
    </w:p>
    <w:p w14:paraId="2251F5CB">
      <w:pPr>
        <w:spacing w:line="308" w:lineRule="auto"/>
        <w:jc w:val="center"/>
        <w:rPr>
          <w:rFonts w:hint="eastAsia" w:ascii="宋体" w:hAnsi="宋体" w:cs="宋体"/>
          <w:color w:val="auto"/>
          <w:sz w:val="44"/>
          <w:szCs w:val="44"/>
          <w:highlight w:val="none"/>
        </w:rPr>
      </w:pPr>
    </w:p>
    <w:p w14:paraId="3D4F1F40">
      <w:pPr>
        <w:spacing w:line="308" w:lineRule="auto"/>
        <w:jc w:val="center"/>
        <w:rPr>
          <w:rFonts w:hint="eastAsia" w:ascii="宋体" w:hAnsi="宋体" w:cs="宋体"/>
          <w:color w:val="auto"/>
          <w:sz w:val="44"/>
          <w:szCs w:val="44"/>
          <w:highlight w:val="none"/>
        </w:rPr>
      </w:pPr>
    </w:p>
    <w:p w14:paraId="1F6E9E10">
      <w:pPr>
        <w:spacing w:line="308" w:lineRule="auto"/>
        <w:jc w:val="center"/>
        <w:rPr>
          <w:rFonts w:hint="eastAsia" w:ascii="宋体" w:hAnsi="宋体" w:cs="宋体"/>
          <w:color w:val="auto"/>
          <w:sz w:val="44"/>
          <w:szCs w:val="44"/>
          <w:highlight w:val="none"/>
        </w:rPr>
      </w:pPr>
    </w:p>
    <w:p w14:paraId="71B28E0C">
      <w:pPr>
        <w:spacing w:line="308" w:lineRule="auto"/>
        <w:jc w:val="center"/>
        <w:rPr>
          <w:rFonts w:hint="eastAsia" w:ascii="宋体" w:hAnsi="宋体" w:cs="宋体"/>
          <w:color w:val="auto"/>
          <w:sz w:val="44"/>
          <w:szCs w:val="44"/>
          <w:highlight w:val="none"/>
        </w:rPr>
      </w:pPr>
    </w:p>
    <w:p w14:paraId="6A005213">
      <w:pPr>
        <w:spacing w:line="308" w:lineRule="auto"/>
        <w:jc w:val="center"/>
        <w:outlineLvl w:val="0"/>
        <w:rPr>
          <w:rFonts w:hint="eastAsia" w:ascii="宋体" w:hAnsi="宋体" w:cs="宋体"/>
          <w:color w:val="auto"/>
          <w:sz w:val="44"/>
          <w:szCs w:val="44"/>
          <w:highlight w:val="none"/>
        </w:rPr>
        <w:sectPr>
          <w:pgSz w:w="11906" w:h="16838"/>
          <w:pgMar w:top="1440" w:right="1080" w:bottom="1440" w:left="1080" w:header="851" w:footer="851" w:gutter="567"/>
          <w:cols w:space="720" w:num="1"/>
          <w:titlePg/>
          <w:docGrid w:type="linesAndChars" w:linePitch="312" w:charSpace="0"/>
        </w:sectPr>
      </w:pPr>
      <w:bookmarkStart w:id="53" w:name="_Toc228982301"/>
      <w:r>
        <w:rPr>
          <w:rFonts w:hint="eastAsia" w:ascii="宋体" w:hAnsi="宋体" w:cs="宋体"/>
          <w:color w:val="auto"/>
          <w:sz w:val="44"/>
          <w:szCs w:val="44"/>
          <w:highlight w:val="none"/>
        </w:rPr>
        <w:t>第二章 谈判申请人须知</w:t>
      </w:r>
      <w:bookmarkEnd w:id="53"/>
    </w:p>
    <w:p w14:paraId="29599C83">
      <w:pPr>
        <w:pStyle w:val="3"/>
        <w:rPr>
          <w:rFonts w:hint="eastAsia" w:ascii="宋体" w:hAnsi="宋体" w:cs="宋体"/>
          <w:b w:val="0"/>
          <w:bCs/>
          <w:color w:val="auto"/>
          <w:szCs w:val="30"/>
          <w:highlight w:val="none"/>
        </w:rPr>
      </w:pPr>
      <w:bookmarkStart w:id="54" w:name="_Toc228982302"/>
      <w:r>
        <w:rPr>
          <w:rFonts w:hint="eastAsia" w:ascii="宋体" w:hAnsi="宋体" w:cs="宋体"/>
          <w:b w:val="0"/>
          <w:bCs/>
          <w:color w:val="auto"/>
          <w:szCs w:val="30"/>
          <w:highlight w:val="none"/>
        </w:rPr>
        <w:t>申请人须知前附表</w:t>
      </w:r>
      <w:bookmarkEnd w:id="54"/>
      <w:bookmarkStart w:id="55" w:name="_Toc292983017"/>
    </w:p>
    <w:tbl>
      <w:tblPr>
        <w:tblStyle w:val="36"/>
        <w:tblW w:w="8636" w:type="dxa"/>
        <w:tblInd w:w="5" w:type="dxa"/>
        <w:tblLayout w:type="fixed"/>
        <w:tblCellMar>
          <w:top w:w="0" w:type="dxa"/>
          <w:left w:w="0" w:type="dxa"/>
          <w:bottom w:w="0" w:type="dxa"/>
          <w:right w:w="0" w:type="dxa"/>
        </w:tblCellMar>
      </w:tblPr>
      <w:tblGrid>
        <w:gridCol w:w="720"/>
        <w:gridCol w:w="7916"/>
      </w:tblGrid>
      <w:tr w14:paraId="3D5FF15C">
        <w:tblPrEx>
          <w:tblCellMar>
            <w:top w:w="0" w:type="dxa"/>
            <w:left w:w="0" w:type="dxa"/>
            <w:bottom w:w="0" w:type="dxa"/>
            <w:right w:w="0"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6DD61FDC">
            <w:pPr>
              <w:autoSpaceDE w:val="0"/>
              <w:autoSpaceDN w:val="0"/>
              <w:spacing w:before="60" w:after="60"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项号</w:t>
            </w:r>
          </w:p>
        </w:tc>
        <w:tc>
          <w:tcPr>
            <w:tcW w:w="7916" w:type="dxa"/>
            <w:tcBorders>
              <w:top w:val="single" w:color="auto" w:sz="4" w:space="0"/>
              <w:left w:val="single" w:color="auto" w:sz="4" w:space="0"/>
              <w:bottom w:val="single" w:color="auto" w:sz="4" w:space="0"/>
              <w:right w:val="single" w:color="auto" w:sz="4" w:space="0"/>
            </w:tcBorders>
            <w:vAlign w:val="center"/>
          </w:tcPr>
          <w:p w14:paraId="4A9125B2">
            <w:pPr>
              <w:autoSpaceDE w:val="0"/>
              <w:autoSpaceDN w:val="0"/>
              <w:spacing w:before="60" w:after="60" w:line="360" w:lineRule="auto"/>
              <w:ind w:left="2" w:leftChars="-7" w:hanging="16" w:hangingChars="8"/>
              <w:jc w:val="center"/>
              <w:rPr>
                <w:rFonts w:hint="eastAsia" w:ascii="宋体" w:hAnsi="宋体" w:cs="宋体"/>
                <w:b/>
                <w:color w:val="auto"/>
                <w:szCs w:val="21"/>
                <w:highlight w:val="none"/>
              </w:rPr>
            </w:pPr>
            <w:r>
              <w:rPr>
                <w:rFonts w:hint="eastAsia" w:ascii="宋体" w:hAnsi="宋体" w:cs="宋体"/>
                <w:b/>
                <w:color w:val="auto"/>
                <w:szCs w:val="21"/>
                <w:highlight w:val="none"/>
              </w:rPr>
              <w:t>编    列    内    容</w:t>
            </w:r>
          </w:p>
        </w:tc>
      </w:tr>
      <w:tr w14:paraId="015D49C3">
        <w:tblPrEx>
          <w:tblCellMar>
            <w:top w:w="0" w:type="dxa"/>
            <w:left w:w="0" w:type="dxa"/>
            <w:bottom w:w="0" w:type="dxa"/>
            <w:right w:w="0"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24BB2C24">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7916" w:type="dxa"/>
            <w:tcBorders>
              <w:top w:val="single" w:color="auto" w:sz="4" w:space="0"/>
              <w:left w:val="single" w:color="auto" w:sz="4" w:space="0"/>
              <w:bottom w:val="single" w:color="auto" w:sz="4" w:space="0"/>
              <w:right w:val="single" w:color="auto" w:sz="4" w:space="0"/>
            </w:tcBorders>
            <w:vAlign w:val="center"/>
          </w:tcPr>
          <w:p w14:paraId="3B993320">
            <w:pPr>
              <w:spacing w:line="42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项目名称：</w:t>
            </w:r>
            <w:r>
              <w:rPr>
                <w:rFonts w:hint="eastAsia" w:ascii="宋体" w:hAnsi="宋体" w:cs="宋体"/>
                <w:color w:val="auto"/>
                <w:szCs w:val="24"/>
                <w:highlight w:val="none"/>
              </w:rPr>
              <w:t>昆明市旅游职业中学导游虚拟仿真实训室项目（设备购置）-非集采货物</w:t>
            </w:r>
          </w:p>
          <w:p w14:paraId="7F4B287D">
            <w:pPr>
              <w:autoSpaceDE w:val="0"/>
              <w:autoSpaceDN w:val="0"/>
              <w:spacing w:line="360" w:lineRule="auto"/>
              <w:jc w:val="left"/>
              <w:rPr>
                <w:rFonts w:hint="eastAsia" w:ascii="宋体" w:hAnsi="宋体" w:cs="宋体"/>
                <w:color w:val="auto"/>
                <w:szCs w:val="21"/>
                <w:highlight w:val="none"/>
              </w:rPr>
            </w:pPr>
            <w:r>
              <w:rPr>
                <w:rFonts w:hint="eastAsia" w:ascii="宋体" w:hAnsi="宋体" w:cs="宋体"/>
                <w:bCs/>
                <w:color w:val="auto"/>
                <w:kern w:val="0"/>
                <w:szCs w:val="21"/>
                <w:highlight w:val="none"/>
              </w:rPr>
              <w:t>招标编号：详见“第一章  竞争性谈判公告”</w:t>
            </w:r>
          </w:p>
        </w:tc>
      </w:tr>
      <w:tr w14:paraId="7DCED235">
        <w:tblPrEx>
          <w:tblCellMar>
            <w:top w:w="0" w:type="dxa"/>
            <w:left w:w="0" w:type="dxa"/>
            <w:bottom w:w="0" w:type="dxa"/>
            <w:right w:w="0"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72E3652D">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7916" w:type="dxa"/>
            <w:tcBorders>
              <w:top w:val="single" w:color="auto" w:sz="4" w:space="0"/>
              <w:left w:val="single" w:color="auto" w:sz="4" w:space="0"/>
              <w:bottom w:val="single" w:color="auto" w:sz="4" w:space="0"/>
              <w:right w:val="single" w:color="auto" w:sz="4" w:space="0"/>
            </w:tcBorders>
            <w:vAlign w:val="center"/>
          </w:tcPr>
          <w:p w14:paraId="18AD570D">
            <w:pPr>
              <w:spacing w:line="360" w:lineRule="auto"/>
              <w:rPr>
                <w:rFonts w:hint="eastAsia" w:ascii="宋体" w:hAnsi="宋体" w:cs="宋体"/>
                <w:snapToGrid w:val="0"/>
                <w:color w:val="auto"/>
                <w:kern w:val="0"/>
                <w:highlight w:val="none"/>
              </w:rPr>
            </w:pPr>
            <w:r>
              <w:rPr>
                <w:rFonts w:hint="eastAsia" w:ascii="宋体" w:hAnsi="宋体" w:cs="宋体"/>
                <w:snapToGrid w:val="0"/>
                <w:color w:val="auto"/>
                <w:kern w:val="0"/>
                <w:highlight w:val="none"/>
              </w:rPr>
              <w:t>服务期限：</w:t>
            </w:r>
            <w:r>
              <w:rPr>
                <w:rFonts w:hint="eastAsia" w:ascii="宋体" w:hAnsi="宋体" w:cs="宋体"/>
                <w:bCs/>
                <w:color w:val="auto"/>
                <w:kern w:val="0"/>
                <w:szCs w:val="21"/>
                <w:highlight w:val="none"/>
              </w:rPr>
              <w:t>详见“第一章  竞争性谈判公告”</w:t>
            </w:r>
          </w:p>
          <w:p w14:paraId="4CF15BB9">
            <w:pPr>
              <w:spacing w:line="360" w:lineRule="auto"/>
              <w:rPr>
                <w:color w:val="auto"/>
                <w:highlight w:val="none"/>
              </w:rPr>
            </w:pPr>
            <w:r>
              <w:rPr>
                <w:rFonts w:hint="eastAsia" w:ascii="宋体" w:hAnsi="宋体" w:cs="宋体"/>
                <w:bCs/>
                <w:color w:val="auto"/>
                <w:szCs w:val="21"/>
                <w:highlight w:val="none"/>
              </w:rPr>
              <w:t>质量标准：</w:t>
            </w:r>
            <w:r>
              <w:rPr>
                <w:rFonts w:hint="eastAsia" w:ascii="宋体" w:hAnsi="宋体" w:cs="宋体"/>
                <w:bCs/>
                <w:color w:val="auto"/>
                <w:kern w:val="0"/>
                <w:szCs w:val="21"/>
                <w:highlight w:val="none"/>
              </w:rPr>
              <w:t>详见“第一章  竞争性谈判公告”</w:t>
            </w:r>
          </w:p>
          <w:p w14:paraId="6258A56B">
            <w:pPr>
              <w:spacing w:line="360" w:lineRule="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服务地点：昆明市旅游职业中学指定地点。</w:t>
            </w:r>
          </w:p>
        </w:tc>
      </w:tr>
      <w:tr w14:paraId="25AF09D8">
        <w:tblPrEx>
          <w:tblCellMar>
            <w:top w:w="0" w:type="dxa"/>
            <w:left w:w="0" w:type="dxa"/>
            <w:bottom w:w="0" w:type="dxa"/>
            <w:right w:w="0"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02634161">
            <w:pPr>
              <w:autoSpaceDE w:val="0"/>
              <w:autoSpaceDN w:val="0"/>
              <w:spacing w:before="60" w:after="6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7916" w:type="dxa"/>
            <w:tcBorders>
              <w:top w:val="single" w:color="auto" w:sz="4" w:space="0"/>
              <w:left w:val="single" w:color="auto" w:sz="4" w:space="0"/>
              <w:bottom w:val="single" w:color="auto" w:sz="4" w:space="0"/>
              <w:right w:val="single" w:color="auto" w:sz="4" w:space="0"/>
            </w:tcBorders>
            <w:vAlign w:val="center"/>
          </w:tcPr>
          <w:p w14:paraId="34CFDF1C">
            <w:pPr>
              <w:spacing w:line="360" w:lineRule="auto"/>
              <w:rPr>
                <w:rFonts w:hint="eastAsia" w:ascii="宋体" w:hAnsi="宋体" w:cs="宋体"/>
                <w:bCs/>
                <w:color w:val="auto"/>
                <w:kern w:val="0"/>
                <w:szCs w:val="21"/>
                <w:highlight w:val="none"/>
              </w:rPr>
            </w:pPr>
            <w:r>
              <w:rPr>
                <w:rFonts w:hint="eastAsia" w:ascii="宋体" w:hAnsi="宋体" w:cs="宋体"/>
                <w:color w:val="auto"/>
                <w:szCs w:val="21"/>
                <w:highlight w:val="none"/>
              </w:rPr>
              <w:t>资格要求：</w:t>
            </w:r>
            <w:r>
              <w:rPr>
                <w:rFonts w:hint="eastAsia" w:ascii="宋体" w:hAnsi="宋体" w:cs="宋体"/>
                <w:bCs/>
                <w:color w:val="auto"/>
                <w:kern w:val="0"/>
                <w:szCs w:val="21"/>
                <w:highlight w:val="none"/>
              </w:rPr>
              <w:t>详见“第一章  竞争性谈判公告”</w:t>
            </w:r>
          </w:p>
        </w:tc>
      </w:tr>
      <w:tr w14:paraId="34AB3D1A">
        <w:tblPrEx>
          <w:tblCellMar>
            <w:top w:w="0" w:type="dxa"/>
            <w:left w:w="0" w:type="dxa"/>
            <w:bottom w:w="0" w:type="dxa"/>
            <w:right w:w="0"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471977B0">
            <w:pPr>
              <w:autoSpaceDE w:val="0"/>
              <w:autoSpaceDN w:val="0"/>
              <w:spacing w:before="60" w:after="6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7916" w:type="dxa"/>
            <w:tcBorders>
              <w:top w:val="single" w:color="auto" w:sz="4" w:space="0"/>
              <w:left w:val="single" w:color="auto" w:sz="4" w:space="0"/>
              <w:bottom w:val="single" w:color="auto" w:sz="4" w:space="0"/>
              <w:right w:val="single" w:color="auto" w:sz="4" w:space="0"/>
            </w:tcBorders>
            <w:vAlign w:val="center"/>
          </w:tcPr>
          <w:p w14:paraId="37117B12">
            <w:pPr>
              <w:spacing w:line="360" w:lineRule="auto"/>
              <w:jc w:val="left"/>
              <w:rPr>
                <w:rFonts w:hint="eastAsia" w:ascii="宋体" w:hAnsi="宋体" w:cs="宋体"/>
                <w:color w:val="auto"/>
                <w:szCs w:val="21"/>
                <w:highlight w:val="none"/>
              </w:rPr>
            </w:pPr>
            <w:r>
              <w:rPr>
                <w:rFonts w:hint="eastAsia" w:ascii="宋体" w:hAnsi="宋体" w:cs="宋体"/>
                <w:bCs/>
                <w:color w:val="auto"/>
                <w:kern w:val="0"/>
                <w:szCs w:val="21"/>
                <w:highlight w:val="none"/>
              </w:rPr>
              <w:t>招标代理服务费：</w:t>
            </w:r>
            <w:r>
              <w:rPr>
                <w:rFonts w:hint="eastAsia" w:ascii="宋体" w:hAnsi="宋体" w:cs="宋体"/>
                <w:color w:val="auto"/>
                <w:highlight w:val="none"/>
              </w:rPr>
              <w:t>采购代理费由成交人在领取中标通知书时向采购代理机构以现金或转账形式支付，代理费参考</w:t>
            </w:r>
            <w:r>
              <w:rPr>
                <w:rFonts w:hint="eastAsia" w:ascii="宋体" w:hAnsi="宋体" w:cs="宋体"/>
                <w:bCs/>
                <w:color w:val="auto"/>
                <w:highlight w:val="none"/>
              </w:rPr>
              <w:t>云南省建设工程招标投标行业协会关于印发《云南省建设工程及政府采购代理服务收费参考意见》的通知》云建招协[2026]11号规定的《云南省建设工程及政府采购代理服务收费参考意见》下浮20%收取</w:t>
            </w:r>
            <w:r>
              <w:rPr>
                <w:rFonts w:hint="eastAsia" w:ascii="宋体" w:hAnsi="宋体" w:cs="宋体"/>
                <w:color w:val="auto"/>
                <w:highlight w:val="none"/>
              </w:rPr>
              <w:t>，以中标价为基数计算招标代理费。</w:t>
            </w:r>
          </w:p>
        </w:tc>
      </w:tr>
      <w:tr w14:paraId="6CB76128">
        <w:tblPrEx>
          <w:tblCellMar>
            <w:top w:w="0" w:type="dxa"/>
            <w:left w:w="0" w:type="dxa"/>
            <w:bottom w:w="0" w:type="dxa"/>
            <w:right w:w="0" w:type="dxa"/>
          </w:tblCellMar>
        </w:tblPrEx>
        <w:trPr>
          <w:trHeight w:val="472" w:hRule="atLeast"/>
        </w:trPr>
        <w:tc>
          <w:tcPr>
            <w:tcW w:w="720" w:type="dxa"/>
            <w:tcBorders>
              <w:top w:val="single" w:color="auto" w:sz="4" w:space="0"/>
              <w:left w:val="single" w:color="auto" w:sz="4" w:space="0"/>
              <w:bottom w:val="single" w:color="auto" w:sz="4" w:space="0"/>
              <w:right w:val="single" w:color="auto" w:sz="4" w:space="0"/>
            </w:tcBorders>
            <w:vAlign w:val="center"/>
          </w:tcPr>
          <w:p w14:paraId="2853E6F0">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7916" w:type="dxa"/>
            <w:tcBorders>
              <w:top w:val="single" w:color="auto" w:sz="4" w:space="0"/>
              <w:left w:val="single" w:color="auto" w:sz="4" w:space="0"/>
              <w:bottom w:val="single" w:color="auto" w:sz="4" w:space="0"/>
              <w:right w:val="single" w:color="auto" w:sz="4" w:space="0"/>
            </w:tcBorders>
            <w:vAlign w:val="center"/>
          </w:tcPr>
          <w:p w14:paraId="35CF4C85">
            <w:pPr>
              <w:pStyle w:val="12"/>
              <w:spacing w:line="360" w:lineRule="auto"/>
              <w:rPr>
                <w:rFonts w:hint="eastAsia" w:cs="宋体"/>
                <w:color w:val="auto"/>
                <w:szCs w:val="21"/>
                <w:highlight w:val="none"/>
              </w:rPr>
            </w:pPr>
            <w:r>
              <w:rPr>
                <w:rFonts w:hint="eastAsia" w:cs="宋体"/>
                <w:color w:val="auto"/>
                <w:szCs w:val="21"/>
                <w:highlight w:val="none"/>
              </w:rPr>
              <w:t>本采购项目投标保证金金额：本项目不收取保证金</w:t>
            </w:r>
          </w:p>
        </w:tc>
      </w:tr>
      <w:tr w14:paraId="2512A804">
        <w:tblPrEx>
          <w:tblCellMar>
            <w:top w:w="0" w:type="dxa"/>
            <w:left w:w="0" w:type="dxa"/>
            <w:bottom w:w="0" w:type="dxa"/>
            <w:right w:w="0"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52172960">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7916" w:type="dxa"/>
            <w:tcBorders>
              <w:top w:val="single" w:color="auto" w:sz="4" w:space="0"/>
              <w:left w:val="single" w:color="auto" w:sz="4" w:space="0"/>
              <w:bottom w:val="single" w:color="auto" w:sz="4" w:space="0"/>
              <w:right w:val="single" w:color="auto" w:sz="4" w:space="0"/>
            </w:tcBorders>
            <w:vAlign w:val="center"/>
          </w:tcPr>
          <w:p w14:paraId="5D9B2CCD">
            <w:pPr>
              <w:autoSpaceDE w:val="0"/>
              <w:autoSpaceDN w:val="0"/>
              <w:spacing w:line="360" w:lineRule="auto"/>
              <w:ind w:left="2" w:leftChars="-7" w:hanging="16" w:hangingChars="8"/>
              <w:rPr>
                <w:rFonts w:hint="eastAsia" w:ascii="宋体" w:hAnsi="宋体" w:cs="宋体"/>
                <w:color w:val="auto"/>
                <w:szCs w:val="21"/>
                <w:highlight w:val="none"/>
              </w:rPr>
            </w:pPr>
            <w:r>
              <w:rPr>
                <w:rFonts w:hint="eastAsia" w:ascii="宋体" w:hAnsi="宋体" w:cs="宋体"/>
                <w:color w:val="auto"/>
                <w:szCs w:val="21"/>
                <w:highlight w:val="none"/>
              </w:rPr>
              <w:t>申请文件份数：按照政采云平台要求上传即可</w:t>
            </w:r>
          </w:p>
        </w:tc>
      </w:tr>
      <w:tr w14:paraId="05E7F8B7">
        <w:tblPrEx>
          <w:tblCellMar>
            <w:top w:w="0" w:type="dxa"/>
            <w:left w:w="0" w:type="dxa"/>
            <w:bottom w:w="0" w:type="dxa"/>
            <w:right w:w="0"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57C45860">
            <w:pPr>
              <w:autoSpaceDE w:val="0"/>
              <w:autoSpaceDN w:val="0"/>
              <w:spacing w:before="60" w:after="6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7916" w:type="dxa"/>
            <w:tcBorders>
              <w:top w:val="single" w:color="auto" w:sz="4" w:space="0"/>
              <w:left w:val="single" w:color="auto" w:sz="4" w:space="0"/>
              <w:bottom w:val="single" w:color="auto" w:sz="4" w:space="0"/>
              <w:right w:val="single" w:color="auto" w:sz="4" w:space="0"/>
            </w:tcBorders>
            <w:vAlign w:val="center"/>
          </w:tcPr>
          <w:p w14:paraId="227F3A30">
            <w:pPr>
              <w:autoSpaceDE w:val="0"/>
              <w:autoSpaceDN w:val="0"/>
              <w:spacing w:before="60" w:after="60" w:line="360" w:lineRule="auto"/>
              <w:ind w:left="2" w:leftChars="-7" w:hanging="16" w:hangingChars="8"/>
              <w:rPr>
                <w:rFonts w:hint="eastAsia" w:ascii="宋体" w:hAnsi="宋体" w:cs="宋体"/>
                <w:color w:val="auto"/>
                <w:szCs w:val="21"/>
                <w:highlight w:val="none"/>
              </w:rPr>
            </w:pPr>
            <w:r>
              <w:rPr>
                <w:rFonts w:hint="eastAsia" w:ascii="宋体" w:hAnsi="宋体" w:cs="宋体"/>
                <w:color w:val="auto"/>
                <w:szCs w:val="21"/>
                <w:highlight w:val="none"/>
              </w:rPr>
              <w:t>投标有效期：投标截止日起60天。</w:t>
            </w:r>
          </w:p>
        </w:tc>
      </w:tr>
      <w:tr w14:paraId="76A16309">
        <w:tblPrEx>
          <w:tblCellMar>
            <w:top w:w="0" w:type="dxa"/>
            <w:left w:w="0" w:type="dxa"/>
            <w:bottom w:w="0" w:type="dxa"/>
            <w:right w:w="0"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2F3D3D94">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7916" w:type="dxa"/>
            <w:tcBorders>
              <w:top w:val="single" w:color="auto" w:sz="4" w:space="0"/>
              <w:left w:val="single" w:color="auto" w:sz="4" w:space="0"/>
              <w:bottom w:val="single" w:color="auto" w:sz="4" w:space="0"/>
              <w:right w:val="single" w:color="auto" w:sz="4" w:space="0"/>
            </w:tcBorders>
            <w:vAlign w:val="center"/>
          </w:tcPr>
          <w:p w14:paraId="5B7019FA">
            <w:pPr>
              <w:autoSpaceDE w:val="0"/>
              <w:autoSpaceDN w:val="0"/>
              <w:spacing w:line="360" w:lineRule="auto"/>
              <w:ind w:left="-2" w:leftChars="-7" w:hanging="12" w:hangingChars="6"/>
              <w:jc w:val="left"/>
              <w:rPr>
                <w:rFonts w:hint="eastAsia" w:ascii="宋体" w:hAnsi="宋体" w:cs="宋体"/>
                <w:color w:val="auto"/>
                <w:szCs w:val="21"/>
                <w:highlight w:val="none"/>
              </w:rPr>
            </w:pPr>
            <w:r>
              <w:rPr>
                <w:rFonts w:hint="eastAsia" w:ascii="宋体" w:hAnsi="宋体" w:cs="宋体"/>
                <w:color w:val="auto"/>
                <w:szCs w:val="21"/>
                <w:highlight w:val="none"/>
              </w:rPr>
              <w:t>本项目严禁分包、转包。</w:t>
            </w:r>
          </w:p>
        </w:tc>
      </w:tr>
      <w:tr w14:paraId="019F28AE">
        <w:tblPrEx>
          <w:tblCellMar>
            <w:top w:w="0" w:type="dxa"/>
            <w:left w:w="0" w:type="dxa"/>
            <w:bottom w:w="0" w:type="dxa"/>
            <w:right w:w="0"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28613A98">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7916" w:type="dxa"/>
            <w:tcBorders>
              <w:top w:val="single" w:color="auto" w:sz="4" w:space="0"/>
              <w:left w:val="single" w:color="auto" w:sz="4" w:space="0"/>
              <w:bottom w:val="single" w:color="auto" w:sz="4" w:space="0"/>
              <w:right w:val="single" w:color="auto" w:sz="4" w:space="0"/>
            </w:tcBorders>
            <w:vAlign w:val="center"/>
          </w:tcPr>
          <w:p w14:paraId="3511A978">
            <w:pPr>
              <w:autoSpaceDE w:val="0"/>
              <w:autoSpaceDN w:val="0"/>
              <w:spacing w:line="360" w:lineRule="auto"/>
              <w:ind w:left="-2" w:leftChars="-7" w:hanging="12" w:hangingChars="6"/>
              <w:jc w:val="left"/>
              <w:rPr>
                <w:rFonts w:hint="eastAsia" w:ascii="宋体" w:hAnsi="宋体" w:cs="宋体"/>
                <w:color w:val="auto"/>
                <w:szCs w:val="21"/>
                <w:highlight w:val="none"/>
              </w:rPr>
            </w:pPr>
            <w:r>
              <w:rPr>
                <w:rFonts w:hint="eastAsia" w:ascii="宋体" w:hAnsi="宋体" w:cs="宋体"/>
                <w:color w:val="auto"/>
                <w:szCs w:val="21"/>
                <w:highlight w:val="none"/>
              </w:rPr>
              <w:t>评标办法：采用“经评审的最低价法”。参照《政府采购非招标采购方式管理办法》（财政部令第74号）第三十五条“谈判小组应当从质量和服务均能满足采购文件实质性响应要求的供应商中，按照最后报价由低到高的顺序提出3名以上成交候选人，并编写评审报告”。</w:t>
            </w:r>
          </w:p>
        </w:tc>
      </w:tr>
      <w:tr w14:paraId="1489EA37">
        <w:tblPrEx>
          <w:tblCellMar>
            <w:top w:w="0" w:type="dxa"/>
            <w:left w:w="0" w:type="dxa"/>
            <w:bottom w:w="0" w:type="dxa"/>
            <w:right w:w="0"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51E844A5">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7916" w:type="dxa"/>
            <w:tcBorders>
              <w:top w:val="single" w:color="auto" w:sz="4" w:space="0"/>
              <w:left w:val="single" w:color="auto" w:sz="4" w:space="0"/>
              <w:bottom w:val="single" w:color="auto" w:sz="4" w:space="0"/>
              <w:right w:val="single" w:color="auto" w:sz="4" w:space="0"/>
            </w:tcBorders>
            <w:vAlign w:val="center"/>
          </w:tcPr>
          <w:p w14:paraId="569E58F0">
            <w:pPr>
              <w:autoSpaceDE w:val="0"/>
              <w:autoSpaceDN w:val="0"/>
              <w:spacing w:line="360" w:lineRule="auto"/>
              <w:ind w:left="-2" w:leftChars="-7" w:hanging="12" w:hangingChars="6"/>
              <w:jc w:val="left"/>
              <w:rPr>
                <w:rFonts w:hint="eastAsia" w:hAnsi="宋体" w:cs="宋体"/>
                <w:color w:val="auto"/>
                <w:szCs w:val="21"/>
                <w:highlight w:val="none"/>
              </w:rPr>
            </w:pPr>
            <w:r>
              <w:rPr>
                <w:rFonts w:hint="eastAsia" w:hAnsi="宋体" w:cs="宋体"/>
                <w:color w:val="auto"/>
                <w:szCs w:val="21"/>
                <w:highlight w:val="none"/>
              </w:rPr>
              <w:t>履约保证金：成交价的3%。</w:t>
            </w:r>
          </w:p>
          <w:p w14:paraId="13C6E32E">
            <w:pPr>
              <w:autoSpaceDE w:val="0"/>
              <w:autoSpaceDN w:val="0"/>
              <w:spacing w:line="360" w:lineRule="auto"/>
              <w:ind w:left="-2" w:leftChars="-7" w:hanging="12" w:hangingChars="6"/>
              <w:jc w:val="left"/>
              <w:rPr>
                <w:rFonts w:hint="eastAsia" w:hAnsi="宋体" w:cs="宋体"/>
                <w:color w:val="auto"/>
                <w:szCs w:val="21"/>
                <w:highlight w:val="none"/>
              </w:rPr>
            </w:pPr>
            <w:r>
              <w:rPr>
                <w:rFonts w:hint="eastAsia" w:hAnsi="宋体" w:cs="宋体"/>
                <w:color w:val="auto"/>
                <w:szCs w:val="21"/>
                <w:highlight w:val="none"/>
              </w:rPr>
              <w:t>履约保证金的形式：</w:t>
            </w:r>
            <w:r>
              <w:rPr>
                <w:rFonts w:hint="eastAsia" w:hAnsi="宋体" w:cs="宋体"/>
                <w:color w:val="auto"/>
                <w:szCs w:val="21"/>
                <w:highlight w:val="none"/>
                <w:lang w:val="en-US" w:eastAsia="zh-CN"/>
              </w:rPr>
              <w:t>银行转账、</w:t>
            </w:r>
            <w:r>
              <w:rPr>
                <w:rFonts w:hint="eastAsia" w:hAnsi="宋体" w:cs="宋体"/>
                <w:color w:val="auto"/>
                <w:szCs w:val="21"/>
                <w:highlight w:val="none"/>
              </w:rPr>
              <w:t>支票、汇票、本票、保函。</w:t>
            </w:r>
          </w:p>
          <w:p w14:paraId="50061614">
            <w:pPr>
              <w:autoSpaceDE w:val="0"/>
              <w:autoSpaceDN w:val="0"/>
              <w:spacing w:line="360" w:lineRule="auto"/>
              <w:ind w:left="-2" w:leftChars="-7" w:hanging="12" w:hangingChars="6"/>
              <w:jc w:val="left"/>
              <w:rPr>
                <w:rFonts w:hint="eastAsia" w:hAnsi="宋体" w:cs="宋体"/>
                <w:color w:val="auto"/>
                <w:szCs w:val="21"/>
                <w:highlight w:val="none"/>
              </w:rPr>
            </w:pPr>
            <w:r>
              <w:rPr>
                <w:rFonts w:hint="eastAsia" w:hAnsi="宋体" w:cs="宋体"/>
                <w:color w:val="auto"/>
                <w:szCs w:val="21"/>
                <w:highlight w:val="none"/>
              </w:rPr>
              <w:t>履约保证金提交时间：成交通知书收到之日起15天内。</w:t>
            </w:r>
          </w:p>
        </w:tc>
      </w:tr>
      <w:tr w14:paraId="6D7F4FD5">
        <w:tblPrEx>
          <w:tblCellMar>
            <w:top w:w="0" w:type="dxa"/>
            <w:left w:w="0" w:type="dxa"/>
            <w:bottom w:w="0" w:type="dxa"/>
            <w:right w:w="0"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09EAF782">
            <w:pPr>
              <w:autoSpaceDE w:val="0"/>
              <w:autoSpaceDN w:val="0"/>
              <w:spacing w:line="360" w:lineRule="auto"/>
              <w:jc w:val="center"/>
              <w:rPr>
                <w:rFonts w:hint="eastAsia" w:ascii="宋体" w:hAnsi="宋体" w:cs="宋体"/>
                <w:color w:val="auto"/>
                <w:szCs w:val="21"/>
                <w:highlight w:val="none"/>
              </w:rPr>
            </w:pPr>
          </w:p>
        </w:tc>
        <w:tc>
          <w:tcPr>
            <w:tcW w:w="7916" w:type="dxa"/>
            <w:tcBorders>
              <w:top w:val="single" w:color="auto" w:sz="4" w:space="0"/>
              <w:left w:val="single" w:color="auto" w:sz="4" w:space="0"/>
              <w:bottom w:val="single" w:color="auto" w:sz="4" w:space="0"/>
              <w:right w:val="single" w:color="auto" w:sz="4" w:space="0"/>
            </w:tcBorders>
            <w:vAlign w:val="center"/>
          </w:tcPr>
          <w:p w14:paraId="1625DA32">
            <w:pPr>
              <w:autoSpaceDE w:val="0"/>
              <w:autoSpaceDN w:val="0"/>
              <w:spacing w:line="360" w:lineRule="auto"/>
              <w:ind w:left="-2" w:leftChars="-7" w:hanging="12" w:hangingChars="6"/>
              <w:jc w:val="left"/>
              <w:rPr>
                <w:rFonts w:hint="eastAsia" w:hAnsi="宋体" w:cs="宋体"/>
                <w:color w:val="auto"/>
                <w:szCs w:val="21"/>
                <w:highlight w:val="none"/>
              </w:rPr>
            </w:pPr>
            <w:r>
              <w:rPr>
                <w:rFonts w:hint="eastAsia" w:hAnsi="宋体" w:cs="宋体"/>
                <w:color w:val="auto"/>
                <w:szCs w:val="21"/>
                <w:highlight w:val="none"/>
              </w:rPr>
              <w:t>需落实的政府采购政策（本项目属于工业）</w:t>
            </w:r>
          </w:p>
          <w:p w14:paraId="45306AD5">
            <w:pPr>
              <w:autoSpaceDE w:val="0"/>
              <w:autoSpaceDN w:val="0"/>
              <w:spacing w:line="360" w:lineRule="auto"/>
              <w:ind w:left="-2" w:leftChars="-7" w:hanging="12" w:hangingChars="6"/>
              <w:jc w:val="left"/>
              <w:rPr>
                <w:rFonts w:hint="eastAsia" w:hAnsi="宋体" w:cs="宋体"/>
                <w:color w:val="auto"/>
                <w:szCs w:val="21"/>
                <w:highlight w:val="none"/>
              </w:rPr>
            </w:pPr>
            <w:r>
              <w:rPr>
                <w:rFonts w:hint="eastAsia" w:hAnsi="宋体" w:cs="宋体"/>
                <w:color w:val="auto"/>
                <w:szCs w:val="21"/>
                <w:highlight w:val="none"/>
              </w:rPr>
              <w:t>（1）鼓励节能政策：在技术、服务等指标同等条件下，优先采购属于国家公布的节能清单中产品。（2）鼓励环保政策：在性能、技术、服务等指标同等条件下，优先采购国家公布的环保产品清单中的产品。（3）扶持中小企业政策：评审时小型和微型企业产品享受优惠政策。监狱企业、残疾人福利性单位视同小型、微型企业。【政府采购促进中小企业发展管理办法》（财库〔2020〕46号）、云南省财政厅关于贯彻《财政部关于进一步加大政府采购支持中小企业力度的通知》的通知（云财采〔2022〕9号）、《关于政府采购支持监狱企业发展有关问题的通知》（财库[2014]68号）、《关于促进残疾人就业政府采购政策的通知》（财库[2017]141号）、财政部 发展改革委 生态环境部 市场监管总局 《关于调整优化节能产品、环境标志产品政府采购执行机制的通知》财库〔2019〕9号】。（4）《中华人民共和国政府采购法》、《政府采购货物和服务招标投标管理办法》（财政部令第87号）、《中华人民共和国政府采购法实施条例》（国务院令第658号）、《财政部关于在政府采购活动中查询及使用信用记录有关问题的通知（财库〔2016〕125号）》、《关于促进政府采购公平竞争优化营商环境的通知（财库〔2019〕38号）》等相关政策。</w:t>
            </w:r>
          </w:p>
        </w:tc>
      </w:tr>
      <w:tr w14:paraId="5DCA624A">
        <w:tblPrEx>
          <w:tblCellMar>
            <w:top w:w="0" w:type="dxa"/>
            <w:left w:w="0" w:type="dxa"/>
            <w:bottom w:w="0" w:type="dxa"/>
            <w:right w:w="0"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48269225">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7916" w:type="dxa"/>
            <w:tcBorders>
              <w:top w:val="single" w:color="auto" w:sz="4" w:space="0"/>
              <w:left w:val="single" w:color="auto" w:sz="4" w:space="0"/>
              <w:bottom w:val="single" w:color="auto" w:sz="4" w:space="0"/>
              <w:right w:val="single" w:color="auto" w:sz="4" w:space="0"/>
            </w:tcBorders>
            <w:vAlign w:val="center"/>
          </w:tcPr>
          <w:p w14:paraId="0AC16159">
            <w:pPr>
              <w:pStyle w:val="115"/>
              <w:spacing w:line="276" w:lineRule="auto"/>
              <w:rPr>
                <w:rFonts w:hint="eastAsia"/>
                <w:color w:val="auto"/>
                <w:sz w:val="21"/>
                <w:szCs w:val="21"/>
                <w:highlight w:val="none"/>
              </w:rPr>
            </w:pPr>
            <w:r>
              <w:rPr>
                <w:rFonts w:hint="eastAsia"/>
                <w:color w:val="auto"/>
                <w:sz w:val="21"/>
                <w:szCs w:val="21"/>
                <w:highlight w:val="none"/>
              </w:rPr>
              <w:t>（1）电子投标（响应）文件应使用“政采云”平台（ https://www.zcygov.cn/）中下载的政采云电子投标客户端制作，并进行电子签章及加密后上传至政采云平台。编制要求见附件《电子投标文件编制要求》。</w:t>
            </w:r>
          </w:p>
          <w:p w14:paraId="37C046E2">
            <w:pPr>
              <w:pStyle w:val="3"/>
              <w:spacing w:line="360" w:lineRule="auto"/>
              <w:jc w:val="left"/>
              <w:rPr>
                <w:color w:val="auto"/>
                <w:sz w:val="21"/>
                <w:szCs w:val="21"/>
                <w:highlight w:val="none"/>
              </w:rPr>
            </w:pPr>
            <w:bookmarkStart w:id="56" w:name="_Toc228982096"/>
            <w:bookmarkStart w:id="57" w:name="_Toc228982303"/>
            <w:bookmarkStart w:id="58" w:name="_Toc28730"/>
            <w:bookmarkStart w:id="59" w:name="_Toc14627"/>
            <w:r>
              <w:rPr>
                <w:rFonts w:hint="eastAsia"/>
                <w:color w:val="auto"/>
                <w:sz w:val="21"/>
                <w:szCs w:val="21"/>
                <w:highlight w:val="none"/>
              </w:rPr>
              <w:t>（2）如申请人提交的电子标书不符合（1）要求或开标时无法读取导入或解密，其投标（响应）文件将不予受理。</w:t>
            </w:r>
            <w:bookmarkEnd w:id="56"/>
            <w:bookmarkEnd w:id="57"/>
            <w:bookmarkEnd w:id="58"/>
            <w:bookmarkEnd w:id="59"/>
          </w:p>
          <w:p w14:paraId="666C24BD">
            <w:pPr>
              <w:rPr>
                <w:color w:val="auto"/>
                <w:highlight w:val="none"/>
              </w:rPr>
            </w:pPr>
            <w:r>
              <w:rPr>
                <w:rFonts w:hint="eastAsia" w:ascii="宋体" w:hAnsi="宋体" w:cs="宋体"/>
                <w:snapToGrid w:val="0"/>
                <w:color w:val="auto"/>
                <w:kern w:val="0"/>
                <w:highlight w:val="none"/>
              </w:rPr>
              <w:t>（3）投标文件应以竞争性谈判文件格式部分要求为准，投标文件应由法定代表人或委托代理人在竞争性谈判文件规定电子签章处逐一电子签章，要求电子签章处应盖单位公章，若以“投标专用章”或“合同专用章”代替的，须出具投标单位公章对“投标专用章”或“合同专用章”的授权函原件。没有按竞争性谈判文件要求电子签章的投标文件按无效响应处理。</w:t>
            </w:r>
          </w:p>
        </w:tc>
      </w:tr>
      <w:tr w14:paraId="2675C98D">
        <w:tblPrEx>
          <w:tblCellMar>
            <w:top w:w="0" w:type="dxa"/>
            <w:left w:w="0" w:type="dxa"/>
            <w:bottom w:w="0" w:type="dxa"/>
            <w:right w:w="0"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3829A5D9">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7916" w:type="dxa"/>
            <w:tcBorders>
              <w:top w:val="single" w:color="auto" w:sz="4" w:space="0"/>
              <w:left w:val="single" w:color="auto" w:sz="4" w:space="0"/>
              <w:bottom w:val="single" w:color="auto" w:sz="4" w:space="0"/>
              <w:right w:val="single" w:color="auto" w:sz="4" w:space="0"/>
            </w:tcBorders>
            <w:vAlign w:val="center"/>
          </w:tcPr>
          <w:p w14:paraId="30CC3E10">
            <w:pPr>
              <w:autoSpaceDE w:val="0"/>
              <w:autoSpaceDN w:val="0"/>
              <w:spacing w:line="360" w:lineRule="auto"/>
              <w:ind w:left="-2" w:leftChars="-7" w:hanging="12" w:hangingChars="6"/>
              <w:jc w:val="center"/>
              <w:rPr>
                <w:rFonts w:hint="eastAsia" w:ascii="宋体" w:hAnsi="宋体" w:cs="宋体"/>
                <w:color w:val="auto"/>
                <w:szCs w:val="21"/>
                <w:highlight w:val="none"/>
              </w:rPr>
            </w:pPr>
            <w:r>
              <w:rPr>
                <w:rFonts w:hint="eastAsia" w:ascii="宋体" w:hAnsi="宋体" w:cs="宋体"/>
                <w:color w:val="auto"/>
                <w:szCs w:val="21"/>
                <w:highlight w:val="none"/>
              </w:rPr>
              <w:t>其他补充事项</w:t>
            </w:r>
          </w:p>
        </w:tc>
      </w:tr>
      <w:tr w14:paraId="68D22BBE">
        <w:tblPrEx>
          <w:tblCellMar>
            <w:top w:w="0" w:type="dxa"/>
            <w:left w:w="0" w:type="dxa"/>
            <w:bottom w:w="0" w:type="dxa"/>
            <w:right w:w="0" w:type="dxa"/>
          </w:tblCellMar>
        </w:tblPrEx>
        <w:tc>
          <w:tcPr>
            <w:tcW w:w="8636" w:type="dxa"/>
            <w:gridSpan w:val="2"/>
            <w:tcBorders>
              <w:top w:val="single" w:color="auto" w:sz="4" w:space="0"/>
              <w:left w:val="single" w:color="auto" w:sz="4" w:space="0"/>
              <w:bottom w:val="single" w:color="auto" w:sz="4" w:space="0"/>
              <w:right w:val="single" w:color="auto" w:sz="4" w:space="0"/>
            </w:tcBorders>
            <w:vAlign w:val="center"/>
          </w:tcPr>
          <w:p w14:paraId="0FC1E29E">
            <w:pPr>
              <w:pStyle w:val="3"/>
              <w:spacing w:line="360" w:lineRule="auto"/>
              <w:jc w:val="left"/>
              <w:rPr>
                <w:rFonts w:hint="eastAsia" w:ascii="宋体" w:hAnsi="宋体" w:cs="宋体"/>
                <w:color w:val="auto"/>
                <w:sz w:val="21"/>
                <w:szCs w:val="21"/>
                <w:highlight w:val="none"/>
              </w:rPr>
            </w:pPr>
            <w:bookmarkStart w:id="60" w:name="_Toc12532"/>
            <w:bookmarkStart w:id="61" w:name="_Toc5863"/>
            <w:bookmarkStart w:id="62" w:name="_Toc228982097"/>
            <w:bookmarkStart w:id="63" w:name="_Toc228982304"/>
            <w:r>
              <w:rPr>
                <w:rFonts w:hint="eastAsia" w:ascii="宋体" w:hAnsi="宋体" w:cs="宋体"/>
                <w:color w:val="auto"/>
                <w:sz w:val="21"/>
                <w:szCs w:val="21"/>
                <w:highlight w:val="none"/>
              </w:rPr>
              <w:t>1.自获取竞争性谈判文件之日起，申请人应保证其提供的联系方式（电话、传真、电子邮件）一直有效，以保证往来函件（投标文件的澄清、修改等）能及时通知申请人，并能及时反馈信息，否则采购人或采购代理机构不承担由此引起的一切后果。</w:t>
            </w:r>
            <w:bookmarkEnd w:id="60"/>
            <w:bookmarkEnd w:id="61"/>
            <w:bookmarkEnd w:id="62"/>
            <w:bookmarkEnd w:id="63"/>
          </w:p>
          <w:p w14:paraId="1C1F8A50">
            <w:pPr>
              <w:pStyle w:val="3"/>
              <w:spacing w:line="360" w:lineRule="auto"/>
              <w:jc w:val="left"/>
              <w:rPr>
                <w:rFonts w:hint="eastAsia" w:ascii="宋体" w:hAnsi="宋体" w:cs="宋体"/>
                <w:color w:val="auto"/>
                <w:sz w:val="21"/>
                <w:szCs w:val="21"/>
                <w:highlight w:val="none"/>
              </w:rPr>
            </w:pPr>
            <w:bookmarkStart w:id="64" w:name="_Toc12130"/>
            <w:bookmarkStart w:id="65" w:name="_Toc228982098"/>
            <w:bookmarkStart w:id="66" w:name="_Toc25664"/>
            <w:bookmarkStart w:id="67" w:name="_Toc228982305"/>
            <w:r>
              <w:rPr>
                <w:rFonts w:hint="eastAsia" w:ascii="宋体" w:hAnsi="宋体" w:cs="宋体"/>
                <w:color w:val="auto"/>
                <w:sz w:val="21"/>
                <w:szCs w:val="21"/>
                <w:highlight w:val="none"/>
              </w:rPr>
              <w:t>2.本项目所采购标的所属行业为：工业。</w:t>
            </w:r>
            <w:bookmarkEnd w:id="64"/>
            <w:bookmarkEnd w:id="65"/>
            <w:bookmarkEnd w:id="66"/>
            <w:bookmarkEnd w:id="67"/>
          </w:p>
          <w:p w14:paraId="0109DA69">
            <w:pPr>
              <w:pStyle w:val="3"/>
              <w:spacing w:line="360" w:lineRule="auto"/>
              <w:jc w:val="left"/>
              <w:rPr>
                <w:rFonts w:hint="eastAsia" w:ascii="宋体" w:hAnsi="宋体" w:cs="宋体"/>
                <w:color w:val="auto"/>
                <w:sz w:val="21"/>
                <w:szCs w:val="21"/>
                <w:highlight w:val="none"/>
              </w:rPr>
            </w:pPr>
            <w:bookmarkStart w:id="68" w:name="_Toc228982306"/>
            <w:bookmarkStart w:id="69" w:name="_Toc28561"/>
            <w:bookmarkStart w:id="70" w:name="_Toc15194"/>
            <w:bookmarkStart w:id="71" w:name="_Toc228982099"/>
            <w:r>
              <w:rPr>
                <w:rFonts w:hint="eastAsia" w:ascii="宋体" w:hAnsi="宋体" w:cs="宋体"/>
                <w:color w:val="auto"/>
                <w:sz w:val="21"/>
                <w:szCs w:val="21"/>
                <w:highlight w:val="none"/>
              </w:rPr>
              <w:t>3.类似业绩：类似业绩是指自2023年至今（以合同签订时间为准）完成过的类似同类服务项目业绩。业绩证明材料为合同扫描件，含关键页（首页、合同标的物所在页及合同签字盖章页）、服务内容、服务期限等，如合同无法体现项目内容、签订日期等内容，若合同中未能体现相关信息的，可提供合同对应的中标通知书或业主证明材料作为补充材料，未按要求提供或不提供的不作为评审依据，不接受分包或转包业绩。</w:t>
            </w:r>
            <w:bookmarkEnd w:id="68"/>
            <w:bookmarkEnd w:id="69"/>
            <w:bookmarkEnd w:id="70"/>
            <w:bookmarkEnd w:id="71"/>
          </w:p>
          <w:p w14:paraId="720C9C39">
            <w:pPr>
              <w:pStyle w:val="3"/>
              <w:spacing w:line="360" w:lineRule="auto"/>
              <w:jc w:val="left"/>
              <w:rPr>
                <w:rFonts w:hint="eastAsia" w:ascii="宋体" w:hAnsi="宋体" w:cs="宋体"/>
                <w:color w:val="auto"/>
                <w:sz w:val="21"/>
                <w:szCs w:val="21"/>
                <w:highlight w:val="none"/>
              </w:rPr>
            </w:pPr>
            <w:bookmarkStart w:id="72" w:name="_Toc15792"/>
            <w:bookmarkStart w:id="73" w:name="_Toc26212"/>
            <w:bookmarkStart w:id="74" w:name="_Toc228982307"/>
            <w:bookmarkStart w:id="75" w:name="_Toc228982100"/>
            <w:r>
              <w:rPr>
                <w:rFonts w:hint="eastAsia" w:ascii="宋体" w:hAnsi="宋体" w:cs="宋体"/>
                <w:color w:val="auto"/>
                <w:sz w:val="21"/>
                <w:szCs w:val="21"/>
                <w:highlight w:val="none"/>
              </w:rPr>
              <w:t>4. 申请人在上传投标文件时，请保持投标文件的完整性，若因不按格式顺序自行剪辑上传而导致评审时系统显示不完整，责任自负。</w:t>
            </w:r>
            <w:bookmarkEnd w:id="72"/>
            <w:bookmarkEnd w:id="73"/>
            <w:bookmarkEnd w:id="74"/>
            <w:bookmarkEnd w:id="75"/>
          </w:p>
        </w:tc>
      </w:tr>
    </w:tbl>
    <w:p w14:paraId="61E51920">
      <w:pPr>
        <w:pStyle w:val="10"/>
        <w:rPr>
          <w:rFonts w:hint="eastAsia" w:ascii="宋体" w:hAnsi="宋体" w:cs="宋体"/>
          <w:color w:val="auto"/>
          <w:highlight w:val="none"/>
        </w:rPr>
        <w:sectPr>
          <w:pgSz w:w="11906" w:h="16838"/>
          <w:pgMar w:top="1440" w:right="1080" w:bottom="1440" w:left="1080" w:header="851" w:footer="851" w:gutter="567"/>
          <w:cols w:space="720" w:num="1"/>
          <w:titlePg/>
          <w:docGrid w:type="linesAndChars" w:linePitch="312" w:charSpace="0"/>
        </w:sectPr>
      </w:pPr>
    </w:p>
    <w:p w14:paraId="2D01B931">
      <w:pPr>
        <w:pStyle w:val="3"/>
        <w:snapToGrid w:val="0"/>
        <w:spacing w:before="120" w:after="120" w:line="348" w:lineRule="auto"/>
        <w:rPr>
          <w:rFonts w:hint="eastAsia" w:ascii="宋体" w:hAnsi="宋体" w:cs="宋体"/>
          <w:color w:val="auto"/>
          <w:sz w:val="28"/>
          <w:szCs w:val="28"/>
          <w:highlight w:val="none"/>
        </w:rPr>
      </w:pPr>
      <w:bookmarkStart w:id="76" w:name="_Toc19169"/>
      <w:bookmarkStart w:id="77" w:name="_Toc9226"/>
      <w:bookmarkStart w:id="78" w:name="_Toc228982308"/>
      <w:r>
        <w:rPr>
          <w:rFonts w:hint="eastAsia" w:ascii="宋体" w:hAnsi="宋体" w:cs="宋体"/>
          <w:color w:val="auto"/>
          <w:sz w:val="28"/>
          <w:szCs w:val="28"/>
          <w:highlight w:val="none"/>
        </w:rPr>
        <w:t>总  则</w:t>
      </w:r>
      <w:bookmarkEnd w:id="55"/>
      <w:bookmarkEnd w:id="76"/>
      <w:bookmarkEnd w:id="77"/>
      <w:bookmarkEnd w:id="78"/>
    </w:p>
    <w:p w14:paraId="362A5B1A">
      <w:pPr>
        <w:pStyle w:val="4"/>
        <w:spacing w:line="360" w:lineRule="auto"/>
        <w:rPr>
          <w:rFonts w:hint="eastAsia" w:hAnsi="宋体" w:cs="宋体"/>
          <w:color w:val="auto"/>
          <w:sz w:val="21"/>
          <w:szCs w:val="21"/>
          <w:highlight w:val="none"/>
        </w:rPr>
      </w:pPr>
      <w:bookmarkStart w:id="79" w:name="_Toc228982309"/>
      <w:r>
        <w:rPr>
          <w:rFonts w:hint="eastAsia" w:hAnsi="宋体" w:cs="宋体"/>
          <w:color w:val="auto"/>
          <w:sz w:val="21"/>
          <w:szCs w:val="21"/>
          <w:highlight w:val="none"/>
        </w:rPr>
        <w:t>1、项目概况</w:t>
      </w:r>
      <w:bookmarkEnd w:id="79"/>
    </w:p>
    <w:p w14:paraId="11F5C72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项目名称：</w:t>
      </w:r>
      <w:r>
        <w:rPr>
          <w:rFonts w:hint="eastAsia" w:ascii="宋体" w:hAnsi="宋体" w:cs="宋体"/>
          <w:bCs/>
          <w:color w:val="auto"/>
          <w:kern w:val="0"/>
          <w:szCs w:val="21"/>
          <w:highlight w:val="none"/>
        </w:rPr>
        <w:t>详见“第一章  竞争性谈判公告”</w:t>
      </w:r>
    </w:p>
    <w:p w14:paraId="1CE6847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 项目介绍：</w:t>
      </w:r>
      <w:r>
        <w:rPr>
          <w:rFonts w:hint="eastAsia" w:ascii="宋体" w:hAnsi="宋体" w:cs="宋体"/>
          <w:bCs/>
          <w:color w:val="auto"/>
          <w:kern w:val="0"/>
          <w:szCs w:val="21"/>
          <w:highlight w:val="none"/>
        </w:rPr>
        <w:t>详见“第一章  竞争性谈判公告”</w:t>
      </w:r>
    </w:p>
    <w:p w14:paraId="52751D94">
      <w:pPr>
        <w:spacing w:line="360" w:lineRule="auto"/>
        <w:ind w:firstLine="420" w:firstLineChars="200"/>
        <w:rPr>
          <w:rFonts w:hint="eastAsia" w:ascii="宋体" w:hAnsi="宋体" w:cs="宋体"/>
          <w:snapToGrid w:val="0"/>
          <w:color w:val="auto"/>
          <w:kern w:val="0"/>
          <w:highlight w:val="none"/>
        </w:rPr>
      </w:pPr>
      <w:r>
        <w:rPr>
          <w:rFonts w:hint="eastAsia" w:ascii="宋体" w:hAnsi="宋体" w:cs="宋体"/>
          <w:snapToGrid w:val="0"/>
          <w:color w:val="auto"/>
          <w:kern w:val="0"/>
          <w:highlight w:val="none"/>
        </w:rPr>
        <w:t>1.3服务期限：</w:t>
      </w:r>
      <w:r>
        <w:rPr>
          <w:rFonts w:hint="eastAsia" w:ascii="宋体" w:hAnsi="宋体" w:cs="宋体"/>
          <w:bCs/>
          <w:color w:val="auto"/>
          <w:kern w:val="0"/>
          <w:szCs w:val="21"/>
          <w:highlight w:val="none"/>
        </w:rPr>
        <w:t>详见“第一章  竞争性谈判公告”</w:t>
      </w:r>
    </w:p>
    <w:p w14:paraId="71FC87C3">
      <w:pPr>
        <w:spacing w:line="360" w:lineRule="auto"/>
        <w:ind w:firstLine="420" w:firstLineChars="200"/>
        <w:rPr>
          <w:color w:val="auto"/>
          <w:highlight w:val="none"/>
        </w:rPr>
      </w:pPr>
      <w:r>
        <w:rPr>
          <w:rFonts w:hint="eastAsia" w:ascii="宋体" w:hAnsi="宋体" w:cs="宋体"/>
          <w:bCs/>
          <w:color w:val="auto"/>
          <w:szCs w:val="21"/>
          <w:highlight w:val="none"/>
        </w:rPr>
        <w:t>1.4质量标准：</w:t>
      </w:r>
      <w:r>
        <w:rPr>
          <w:rFonts w:hint="eastAsia" w:ascii="宋体" w:hAnsi="宋体" w:cs="宋体"/>
          <w:bCs/>
          <w:color w:val="auto"/>
          <w:kern w:val="0"/>
          <w:szCs w:val="21"/>
          <w:highlight w:val="none"/>
        </w:rPr>
        <w:t>详见“第一章  竞争性谈判公告”</w:t>
      </w:r>
    </w:p>
    <w:p w14:paraId="7FF12B3D">
      <w:pPr>
        <w:tabs>
          <w:tab w:val="left" w:pos="900"/>
        </w:tabs>
        <w:autoSpaceDE w:val="0"/>
        <w:autoSpaceDN w:val="0"/>
        <w:adjustRightInd w:val="0"/>
        <w:spacing w:line="348"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1.5服务地点：昆明市旅游职业中学指定地点。</w:t>
      </w:r>
    </w:p>
    <w:p w14:paraId="6214B679">
      <w:pPr>
        <w:tabs>
          <w:tab w:val="left" w:pos="900"/>
        </w:tabs>
        <w:autoSpaceDE w:val="0"/>
        <w:autoSpaceDN w:val="0"/>
        <w:adjustRightInd w:val="0"/>
        <w:spacing w:line="348"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2、谈判费用</w:t>
      </w:r>
    </w:p>
    <w:p w14:paraId="4FA92EC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 供应商应承担所有与编写和提交响应文件有关的费用，不论谈判的结果如何，采购人在任何情况下均无义务和责任承担这些费用。</w:t>
      </w:r>
    </w:p>
    <w:p w14:paraId="287454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 本项目招标代理服务费：</w:t>
      </w:r>
      <w:r>
        <w:rPr>
          <w:rFonts w:hint="eastAsia" w:ascii="宋体" w:hAnsi="宋体" w:cs="宋体"/>
          <w:color w:val="auto"/>
          <w:highlight w:val="none"/>
        </w:rPr>
        <w:t>采购代理费由成交人在领取中标通知书时向采购代理机构以现金或转账形式支付，代理费参考</w:t>
      </w:r>
      <w:r>
        <w:rPr>
          <w:rFonts w:hint="eastAsia" w:ascii="宋体" w:hAnsi="宋体" w:cs="宋体"/>
          <w:bCs/>
          <w:color w:val="auto"/>
          <w:highlight w:val="none"/>
        </w:rPr>
        <w:t>云南省建设工程招标投标行业协会关于印发《云南省建设工程及政府采购代理服务收费参考意见》的通知》云建招协[2026]11号规定的《云南省建设工程及政府采购代理服务收费参考意见》下浮20%收取</w:t>
      </w:r>
      <w:r>
        <w:rPr>
          <w:rFonts w:hint="eastAsia" w:ascii="宋体" w:hAnsi="宋体" w:cs="宋体"/>
          <w:color w:val="auto"/>
          <w:highlight w:val="none"/>
        </w:rPr>
        <w:t>，以中标价为基数计算招标代理费。</w:t>
      </w:r>
    </w:p>
    <w:p w14:paraId="11DD3B6F">
      <w:pPr>
        <w:pStyle w:val="4"/>
        <w:spacing w:line="360" w:lineRule="auto"/>
        <w:rPr>
          <w:rFonts w:hint="eastAsia" w:hAnsi="宋体" w:cs="宋体"/>
          <w:color w:val="auto"/>
          <w:sz w:val="21"/>
          <w:szCs w:val="21"/>
          <w:highlight w:val="none"/>
        </w:rPr>
      </w:pPr>
      <w:bookmarkStart w:id="80" w:name="_Toc228982310"/>
      <w:r>
        <w:rPr>
          <w:rFonts w:hint="eastAsia" w:hAnsi="宋体" w:cs="宋体"/>
          <w:color w:val="auto"/>
          <w:sz w:val="21"/>
          <w:szCs w:val="21"/>
          <w:highlight w:val="none"/>
        </w:rPr>
        <w:t>3、谈判文件的构成</w:t>
      </w:r>
      <w:bookmarkEnd w:id="80"/>
    </w:p>
    <w:p w14:paraId="6F3DD55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 谈判文件包括:</w:t>
      </w:r>
    </w:p>
    <w:p w14:paraId="322F019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第一章 谈判公告</w:t>
      </w:r>
    </w:p>
    <w:p w14:paraId="505BD4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第二章 谈判申请人须知及前附表</w:t>
      </w:r>
    </w:p>
    <w:p w14:paraId="6DFD584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第三章 货物需求一览表及技术规格</w:t>
      </w:r>
    </w:p>
    <w:p w14:paraId="2B30CB8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第四章 合同条款</w:t>
      </w:r>
    </w:p>
    <w:p w14:paraId="09FBC56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第五章 谈判申请文件格式</w:t>
      </w:r>
    </w:p>
    <w:p w14:paraId="1AD069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第六章 谈判标准</w:t>
      </w:r>
    </w:p>
    <w:p w14:paraId="48718A06">
      <w:pPr>
        <w:spacing w:line="34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 申请人应认真阅读谈判文件中所有的事项、格式、条款和规范等要求。如果申请人没有按照谈判文件要求提交全部资料或者申请文件没有对谈判文件在各方面都做出实质性响应，则其投标将被拒绝。</w:t>
      </w:r>
    </w:p>
    <w:p w14:paraId="46C8F307">
      <w:pPr>
        <w:pStyle w:val="4"/>
        <w:spacing w:line="360" w:lineRule="auto"/>
        <w:rPr>
          <w:rFonts w:hint="eastAsia" w:hAnsi="宋体" w:cs="宋体"/>
          <w:color w:val="auto"/>
          <w:sz w:val="21"/>
          <w:szCs w:val="21"/>
          <w:highlight w:val="none"/>
        </w:rPr>
      </w:pPr>
      <w:bookmarkStart w:id="81" w:name="_Toc228982311"/>
      <w:r>
        <w:rPr>
          <w:rFonts w:hint="eastAsia" w:hAnsi="宋体" w:cs="宋体"/>
          <w:color w:val="auto"/>
          <w:sz w:val="21"/>
          <w:szCs w:val="21"/>
          <w:highlight w:val="none"/>
        </w:rPr>
        <w:t>4、谈判文件的修改</w:t>
      </w:r>
      <w:bookmarkEnd w:id="81"/>
    </w:p>
    <w:p w14:paraId="26202E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4.1采购人对其认为需要给予澄清、修改及/或进行其它答复的，将以补充文件的方式进行，并且采用书面形式。补充文件中包括原提出的问题及问题的说明意见，但不包括问题的来源。</w:t>
      </w:r>
    </w:p>
    <w:p w14:paraId="3B9698F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 无论是否根据谈判申请人的澄清、修改或进行其它答复的要求，采购人一旦对谈判文件做出澄清、修改或进行其它答复，即刻发生效力，采购人有关的补充文件，应当作为谈判文件的组成部分，对所有谈判申请人均具有约束力。</w:t>
      </w:r>
    </w:p>
    <w:p w14:paraId="1B77ABBA">
      <w:pPr>
        <w:pStyle w:val="4"/>
        <w:spacing w:line="360" w:lineRule="auto"/>
        <w:rPr>
          <w:rFonts w:hint="eastAsia" w:hAnsi="宋体" w:cs="宋体"/>
          <w:color w:val="auto"/>
          <w:sz w:val="21"/>
          <w:szCs w:val="21"/>
          <w:highlight w:val="none"/>
        </w:rPr>
      </w:pPr>
      <w:bookmarkStart w:id="82" w:name="_Toc228982312"/>
      <w:r>
        <w:rPr>
          <w:rFonts w:hint="eastAsia" w:hAnsi="宋体" w:cs="宋体"/>
          <w:color w:val="auto"/>
          <w:sz w:val="21"/>
          <w:szCs w:val="21"/>
          <w:highlight w:val="none"/>
        </w:rPr>
        <w:t>5、谈判申请的语言及度量衡单位</w:t>
      </w:r>
      <w:bookmarkEnd w:id="82"/>
    </w:p>
    <w:p w14:paraId="5903D0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 申请人提交的谈判申请文件以及申请人与昆明市旅游职业中学就有关的所有来往函电均应使用中文。申请人可以提交用其他语言打印的资料，但有关的段落必须翻译成中文，在有差异和矛盾时以中文为准。字体要便于辨识，以正楷、宋体为好。</w:t>
      </w:r>
    </w:p>
    <w:p w14:paraId="02643366">
      <w:pPr>
        <w:spacing w:line="360" w:lineRule="auto"/>
        <w:ind w:firstLine="510"/>
        <w:rPr>
          <w:rFonts w:hint="eastAsia" w:ascii="宋体" w:hAnsi="宋体" w:cs="宋体"/>
          <w:color w:val="auto"/>
          <w:szCs w:val="21"/>
          <w:highlight w:val="none"/>
        </w:rPr>
      </w:pPr>
      <w:r>
        <w:rPr>
          <w:rFonts w:hint="eastAsia" w:ascii="宋体" w:hAnsi="宋体" w:cs="宋体"/>
          <w:color w:val="auto"/>
          <w:szCs w:val="21"/>
          <w:highlight w:val="none"/>
        </w:rPr>
        <w:t>5.2 用非中文版印刷的产品说明书、技术资料、资格资质证书等，申请人应提供符合中国有关法律、法规的中文译本，并以中文译本为准。</w:t>
      </w:r>
    </w:p>
    <w:p w14:paraId="59148DCB">
      <w:pPr>
        <w:spacing w:line="360" w:lineRule="auto"/>
        <w:ind w:firstLine="510"/>
        <w:rPr>
          <w:rFonts w:hint="eastAsia" w:ascii="宋体" w:hAnsi="宋体" w:cs="宋体"/>
          <w:color w:val="auto"/>
          <w:szCs w:val="21"/>
          <w:highlight w:val="none"/>
        </w:rPr>
      </w:pPr>
      <w:r>
        <w:rPr>
          <w:rFonts w:hint="eastAsia" w:ascii="宋体" w:hAnsi="宋体" w:cs="宋体"/>
          <w:color w:val="auto"/>
          <w:szCs w:val="21"/>
          <w:highlight w:val="none"/>
        </w:rPr>
        <w:t>5.3 谈判申请文件中所使用的度量衡单位，除谈判文件中有特殊要求外，一律用法定计量单位。</w:t>
      </w:r>
    </w:p>
    <w:p w14:paraId="0490985E">
      <w:pPr>
        <w:spacing w:line="360" w:lineRule="auto"/>
        <w:ind w:firstLine="510"/>
        <w:rPr>
          <w:rFonts w:hint="eastAsia" w:ascii="宋体" w:hAnsi="宋体" w:cs="宋体"/>
          <w:color w:val="auto"/>
          <w:szCs w:val="21"/>
          <w:highlight w:val="none"/>
        </w:rPr>
      </w:pPr>
      <w:r>
        <w:rPr>
          <w:rFonts w:hint="eastAsia" w:ascii="宋体" w:hAnsi="宋体" w:cs="宋体"/>
          <w:color w:val="auto"/>
          <w:szCs w:val="21"/>
          <w:highlight w:val="none"/>
        </w:rPr>
        <w:t>6、谈判申请文件的构成</w:t>
      </w:r>
    </w:p>
    <w:p w14:paraId="3A31FC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谈判申请文件应包括但不限于以下内容：</w:t>
      </w:r>
    </w:p>
    <w:p w14:paraId="2AB771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（1）谈判（报价）一览表；</w:t>
      </w:r>
    </w:p>
    <w:p w14:paraId="5A83A6B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（2）法定代表人身份证明书（附法定代表人身份证复印件）；</w:t>
      </w:r>
    </w:p>
    <w:p w14:paraId="079F965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（3）授权委托书（附授权委托人身份证复印件）；</w:t>
      </w:r>
    </w:p>
    <w:p w14:paraId="10577B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（4）谈判申请函；</w:t>
      </w:r>
    </w:p>
    <w:p w14:paraId="073BB6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（5）资格证明文件：</w:t>
      </w:r>
    </w:p>
    <w:p w14:paraId="18CDA6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（6）近三年（2023年至今）的同类项目业绩；</w:t>
      </w:r>
    </w:p>
    <w:p w14:paraId="24801A9C">
      <w:pPr>
        <w:spacing w:line="360" w:lineRule="auto"/>
        <w:ind w:firstLine="420" w:firstLineChars="200"/>
        <w:rPr>
          <w:rFonts w:hint="eastAsia" w:ascii="宋体" w:hAnsi="宋体" w:cs="宋体"/>
          <w:color w:val="auto"/>
          <w:szCs w:val="21"/>
          <w:highlight w:val="none"/>
        </w:rPr>
      </w:pPr>
      <w:bookmarkStart w:id="83" w:name="_Toc101006299"/>
      <w:r>
        <w:rPr>
          <w:rFonts w:hint="eastAsia" w:ascii="宋体" w:hAnsi="宋体" w:cs="宋体"/>
          <w:color w:val="auto"/>
          <w:szCs w:val="21"/>
          <w:highlight w:val="none"/>
        </w:rPr>
        <w:t>（7）分项报价一览表；</w:t>
      </w:r>
    </w:p>
    <w:p w14:paraId="61898B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（8）投标产品说明；</w:t>
      </w:r>
    </w:p>
    <w:p w14:paraId="74B5686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（9）产品技术参数偏离说明； </w:t>
      </w:r>
    </w:p>
    <w:p w14:paraId="6E73E3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（10）供货方案；</w:t>
      </w:r>
    </w:p>
    <w:p w14:paraId="6EDA789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（11）相关政策声明函；</w:t>
      </w:r>
    </w:p>
    <w:p w14:paraId="4E51E1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（12）谈判文件要求申请人提交的其他资料</w:t>
      </w:r>
      <w:bookmarkEnd w:id="83"/>
      <w:r>
        <w:rPr>
          <w:rFonts w:hint="eastAsia" w:ascii="宋体" w:hAnsi="宋体" w:cs="宋体"/>
          <w:color w:val="auto"/>
          <w:szCs w:val="21"/>
          <w:highlight w:val="none"/>
        </w:rPr>
        <w:t>或认为有必要提交的其他资料。</w:t>
      </w:r>
    </w:p>
    <w:p w14:paraId="3644A379">
      <w:pPr>
        <w:pStyle w:val="4"/>
        <w:spacing w:line="360" w:lineRule="auto"/>
        <w:rPr>
          <w:rFonts w:hint="eastAsia" w:hAnsi="宋体" w:cs="宋体"/>
          <w:color w:val="auto"/>
          <w:sz w:val="21"/>
          <w:szCs w:val="21"/>
          <w:highlight w:val="none"/>
        </w:rPr>
      </w:pPr>
      <w:bookmarkStart w:id="84" w:name="_Toc228982313"/>
      <w:r>
        <w:rPr>
          <w:rFonts w:hint="eastAsia" w:hAnsi="宋体" w:cs="宋体"/>
          <w:color w:val="auto"/>
          <w:sz w:val="21"/>
          <w:szCs w:val="21"/>
          <w:highlight w:val="none"/>
        </w:rPr>
        <w:t>6、谈判报价</w:t>
      </w:r>
      <w:bookmarkEnd w:id="84"/>
    </w:p>
    <w:p w14:paraId="024026B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6.1谈判申请人的报价及合同所有款项的支付均以人民币计算，最后报价超过采购预算的谈判申请人将按无效处理。</w:t>
      </w:r>
    </w:p>
    <w:p w14:paraId="721AC29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6.2本项目报价应包含货款、税款、运输、保险、安装、培训、保修、端口接入费等全部费用，进口产品以外汇报价应有汇率、折扣以及最终人民币报价，无人民币报价或报价无法折算成人民币的属于无效报价。</w:t>
      </w:r>
    </w:p>
    <w:p w14:paraId="07A872A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 申请人不得哄抬报价，也不应低于成本价(或进价) 报价，否则一经查实，其投标将可能被拒绝或被宣布为废标。</w:t>
      </w:r>
    </w:p>
    <w:p w14:paraId="64434004">
      <w:pPr>
        <w:pStyle w:val="4"/>
        <w:spacing w:line="360" w:lineRule="auto"/>
        <w:rPr>
          <w:rFonts w:hint="eastAsia" w:hAnsi="宋体" w:cs="宋体"/>
          <w:color w:val="auto"/>
          <w:sz w:val="21"/>
          <w:szCs w:val="21"/>
          <w:highlight w:val="none"/>
        </w:rPr>
      </w:pPr>
      <w:bookmarkStart w:id="85" w:name="_Toc228982314"/>
      <w:r>
        <w:rPr>
          <w:rFonts w:hint="eastAsia" w:hAnsi="宋体" w:cs="宋体"/>
          <w:color w:val="auto"/>
          <w:sz w:val="21"/>
          <w:szCs w:val="21"/>
          <w:highlight w:val="none"/>
        </w:rPr>
        <w:t>7、谈判申请文件的装订、密封和标记</w:t>
      </w:r>
      <w:bookmarkEnd w:id="85"/>
    </w:p>
    <w:p w14:paraId="02FBC102">
      <w:pPr>
        <w:spacing w:line="33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7.1报价申请人应按照本项目采购文件和"政采云"平台的要求编制、加密后在响应文件提交截止时间前上传至"政采云"平台，响应文件提交截止时间前未完成响应文件上传的，视为撤回响应文件。申请人在"政采云"平台提交电子版响应文件时，请填写参加远程采购活动经办人联系方式。</w:t>
      </w:r>
    </w:p>
    <w:p w14:paraId="0F281E41">
      <w:pPr>
        <w:pStyle w:val="4"/>
        <w:spacing w:line="336" w:lineRule="auto"/>
        <w:rPr>
          <w:rFonts w:hint="eastAsia" w:hAnsi="宋体" w:cs="宋体"/>
          <w:color w:val="auto"/>
          <w:sz w:val="21"/>
          <w:szCs w:val="21"/>
          <w:highlight w:val="none"/>
        </w:rPr>
      </w:pPr>
      <w:bookmarkStart w:id="86" w:name="_Toc228982315"/>
      <w:r>
        <w:rPr>
          <w:rFonts w:hint="eastAsia" w:hAnsi="宋体" w:cs="宋体"/>
          <w:color w:val="auto"/>
          <w:sz w:val="21"/>
          <w:szCs w:val="21"/>
          <w:highlight w:val="none"/>
        </w:rPr>
        <w:t>8、谈判</w:t>
      </w:r>
      <w:bookmarkEnd w:id="86"/>
    </w:p>
    <w:p w14:paraId="111D63C2">
      <w:pPr>
        <w:spacing w:line="336"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8.1谈判申请人发生以下条款</w:t>
      </w:r>
      <w:r>
        <w:rPr>
          <w:rFonts w:hint="eastAsia" w:ascii="宋体" w:hAnsi="宋体" w:cs="宋体"/>
          <w:bCs/>
          <w:color w:val="auto"/>
          <w:szCs w:val="21"/>
          <w:highlight w:val="none"/>
        </w:rPr>
        <w:t>情况之一者，视为无效谈判，其谈判申请文件将被拒绝：</w:t>
      </w:r>
    </w:p>
    <w:p w14:paraId="2F88C02D">
      <w:pPr>
        <w:spacing w:line="33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（1）逾期送达的；</w:t>
      </w:r>
    </w:p>
    <w:p w14:paraId="2C4148C1">
      <w:pPr>
        <w:spacing w:line="33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 xml:space="preserve">（2）谈判申请文件在递交截止时间未送达到指定地点的； </w:t>
      </w:r>
    </w:p>
    <w:p w14:paraId="5F90D5C0">
      <w:pPr>
        <w:spacing w:line="33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（3）谈判申请文件未按谈判文件要求密封的。</w:t>
      </w:r>
    </w:p>
    <w:p w14:paraId="52650515">
      <w:pPr>
        <w:spacing w:line="33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8.2 谈判小组的组成</w:t>
      </w:r>
    </w:p>
    <w:p w14:paraId="0880EAC5">
      <w:pPr>
        <w:spacing w:line="33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谈判小组：评审由依法组建的谈判小组负责。谈判小组由有关技术、经济等方面的三人以上单数的专家组成。</w:t>
      </w:r>
    </w:p>
    <w:p w14:paraId="54BB4FDF">
      <w:pPr>
        <w:spacing w:line="33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8.3 谈判</w:t>
      </w:r>
    </w:p>
    <w:p w14:paraId="30F402B7">
      <w:pPr>
        <w:spacing w:line="336"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详见第六章谈判标准。在谈判过程中，谈判的任何一方不得透露与谈判有关的所有技术资料、报价和其他信息。</w:t>
      </w:r>
    </w:p>
    <w:p w14:paraId="1C19051E">
      <w:pPr>
        <w:pStyle w:val="4"/>
        <w:spacing w:line="336" w:lineRule="auto"/>
        <w:rPr>
          <w:rFonts w:hint="eastAsia" w:hAnsi="宋体" w:cs="宋体"/>
          <w:color w:val="auto"/>
          <w:sz w:val="21"/>
          <w:szCs w:val="21"/>
          <w:highlight w:val="none"/>
        </w:rPr>
      </w:pPr>
      <w:bookmarkStart w:id="87" w:name="_Toc228982316"/>
      <w:r>
        <w:rPr>
          <w:rFonts w:hint="eastAsia" w:hAnsi="宋体" w:cs="宋体"/>
          <w:color w:val="auto"/>
          <w:sz w:val="21"/>
          <w:szCs w:val="21"/>
          <w:highlight w:val="none"/>
        </w:rPr>
        <w:t>9、成交通知</w:t>
      </w:r>
      <w:bookmarkEnd w:id="87"/>
    </w:p>
    <w:p w14:paraId="06E61330">
      <w:pPr>
        <w:adjustRightInd w:val="0"/>
        <w:spacing w:line="336"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9.1</w:t>
      </w:r>
      <w:r>
        <w:rPr>
          <w:rFonts w:hint="eastAsia" w:ascii="宋体" w:hAnsi="宋体" w:cs="宋体"/>
          <w:bCs/>
          <w:color w:val="auto"/>
          <w:szCs w:val="21"/>
          <w:highlight w:val="none"/>
        </w:rPr>
        <w:t>根据谈判结果，采购人定标确认后向成交人发出《成交通知书》，《成交通知书》一经发出即发生法律效力；</w:t>
      </w:r>
    </w:p>
    <w:p w14:paraId="437AD042">
      <w:pPr>
        <w:adjustRightInd w:val="0"/>
        <w:spacing w:line="33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9.2 《成交通知书》将作为签订合同的重要依据之一；</w:t>
      </w:r>
    </w:p>
    <w:p w14:paraId="59945A2D">
      <w:pPr>
        <w:adjustRightInd w:val="0"/>
        <w:spacing w:line="336"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9.3 对未成交</w:t>
      </w:r>
      <w:r>
        <w:rPr>
          <w:rFonts w:hint="eastAsia" w:ascii="宋体" w:hAnsi="宋体" w:cs="宋体"/>
          <w:color w:val="auto"/>
          <w:szCs w:val="21"/>
          <w:highlight w:val="none"/>
        </w:rPr>
        <w:t>者，采购人不对未成交原因做出解释。</w:t>
      </w:r>
    </w:p>
    <w:p w14:paraId="2B546743">
      <w:pPr>
        <w:spacing w:line="336" w:lineRule="auto"/>
        <w:ind w:firstLine="510"/>
        <w:outlineLvl w:val="2"/>
        <w:rPr>
          <w:rFonts w:hint="eastAsia" w:ascii="宋体" w:hAnsi="宋体" w:cs="宋体"/>
          <w:b/>
          <w:color w:val="auto"/>
          <w:szCs w:val="21"/>
          <w:highlight w:val="none"/>
        </w:rPr>
      </w:pPr>
      <w:bookmarkStart w:id="88" w:name="_Toc228982317"/>
      <w:r>
        <w:rPr>
          <w:rFonts w:hint="eastAsia" w:ascii="宋体" w:hAnsi="宋体" w:cs="宋体"/>
          <w:b/>
          <w:color w:val="auto"/>
          <w:szCs w:val="21"/>
          <w:highlight w:val="none"/>
        </w:rPr>
        <w:t>10、签订合同</w:t>
      </w:r>
      <w:bookmarkEnd w:id="88"/>
    </w:p>
    <w:p w14:paraId="600A32EE">
      <w:pPr>
        <w:spacing w:line="336" w:lineRule="auto"/>
        <w:ind w:firstLine="510"/>
        <w:rPr>
          <w:rFonts w:hint="eastAsia" w:ascii="宋体" w:hAnsi="宋体" w:cs="宋体"/>
          <w:color w:val="auto"/>
          <w:szCs w:val="21"/>
          <w:highlight w:val="none"/>
        </w:rPr>
      </w:pPr>
      <w:r>
        <w:rPr>
          <w:rFonts w:hint="eastAsia" w:ascii="宋体" w:hAnsi="宋体" w:cs="宋体"/>
          <w:color w:val="auto"/>
          <w:szCs w:val="21"/>
          <w:highlight w:val="none"/>
        </w:rPr>
        <w:t>10.1 成交人收到《成交通知书》后30日内与采购人签订合同。</w:t>
      </w:r>
    </w:p>
    <w:p w14:paraId="0250BA25">
      <w:pPr>
        <w:spacing w:line="312" w:lineRule="auto"/>
        <w:ind w:firstLine="510"/>
        <w:rPr>
          <w:rFonts w:hint="eastAsia" w:ascii="宋体" w:hAnsi="宋体" w:cs="宋体"/>
          <w:color w:val="auto"/>
          <w:szCs w:val="21"/>
          <w:highlight w:val="none"/>
        </w:rPr>
      </w:pPr>
      <w:r>
        <w:rPr>
          <w:rFonts w:hint="eastAsia" w:ascii="宋体" w:hAnsi="宋体" w:cs="宋体"/>
          <w:color w:val="auto"/>
          <w:szCs w:val="21"/>
          <w:highlight w:val="none"/>
        </w:rPr>
        <w:t>10.2 谈判文件，成交人的谈判申请文件及双方确认的澄清文件及承诺等均具有法律效力，均是合同的组成部分。</w:t>
      </w:r>
    </w:p>
    <w:p w14:paraId="6E01BD35">
      <w:pPr>
        <w:spacing w:line="336" w:lineRule="auto"/>
        <w:ind w:firstLine="510"/>
        <w:outlineLvl w:val="2"/>
        <w:rPr>
          <w:rFonts w:hint="eastAsia" w:ascii="宋体" w:hAnsi="宋体" w:cs="宋体"/>
          <w:bCs/>
          <w:color w:val="auto"/>
          <w:szCs w:val="21"/>
          <w:highlight w:val="none"/>
        </w:rPr>
      </w:pPr>
      <w:bookmarkStart w:id="89" w:name="_Toc228982318"/>
      <w:r>
        <w:rPr>
          <w:rFonts w:hint="eastAsia" w:ascii="宋体" w:hAnsi="宋体" w:cs="宋体"/>
          <w:b/>
          <w:color w:val="auto"/>
          <w:szCs w:val="21"/>
          <w:highlight w:val="none"/>
        </w:rPr>
        <w:t>11、补充</w:t>
      </w:r>
      <w:bookmarkStart w:id="90" w:name="_Toc29357076"/>
      <w:r>
        <w:rPr>
          <w:rFonts w:hint="eastAsia" w:ascii="宋体" w:hAnsi="宋体" w:cs="宋体"/>
          <w:b/>
          <w:color w:val="auto"/>
          <w:szCs w:val="21"/>
          <w:highlight w:val="none"/>
        </w:rPr>
        <w:t>：</w:t>
      </w:r>
      <w:r>
        <w:rPr>
          <w:rFonts w:hint="eastAsia" w:ascii="宋体" w:hAnsi="宋体" w:cs="宋体"/>
          <w:bCs/>
          <w:color w:val="auto"/>
          <w:szCs w:val="21"/>
          <w:highlight w:val="none"/>
        </w:rPr>
        <w:t>需要补充的其他内容：见申请人须知前附表。</w:t>
      </w:r>
      <w:bookmarkEnd w:id="89"/>
    </w:p>
    <w:p w14:paraId="53C49B0F">
      <w:pPr>
        <w:spacing w:line="336" w:lineRule="auto"/>
        <w:ind w:firstLine="510"/>
        <w:outlineLvl w:val="2"/>
        <w:rPr>
          <w:rFonts w:hint="eastAsia" w:ascii="宋体" w:hAnsi="宋体" w:cs="宋体"/>
          <w:color w:val="auto"/>
          <w:highlight w:val="none"/>
        </w:rPr>
      </w:pPr>
      <w:bookmarkStart w:id="91" w:name="_Toc228982319"/>
      <w:r>
        <w:rPr>
          <w:rFonts w:hint="eastAsia" w:ascii="宋体" w:hAnsi="宋体" w:cs="宋体"/>
          <w:b/>
          <w:color w:val="auto"/>
          <w:szCs w:val="21"/>
          <w:highlight w:val="none"/>
        </w:rPr>
        <w:t>12、履约保证金</w:t>
      </w:r>
      <w:r>
        <w:rPr>
          <w:rFonts w:hint="eastAsia" w:ascii="宋体" w:hAnsi="宋体" w:cs="宋体"/>
          <w:bCs/>
          <w:color w:val="auto"/>
          <w:szCs w:val="21"/>
          <w:highlight w:val="none"/>
        </w:rPr>
        <w:t>：见申请人须知前附表。</w:t>
      </w:r>
      <w:bookmarkEnd w:id="91"/>
    </w:p>
    <w:p w14:paraId="387D6225">
      <w:pPr>
        <w:shd w:val="clear" w:color="auto" w:fill="FFFFFF"/>
        <w:spacing w:line="360" w:lineRule="auto"/>
        <w:ind w:firstLine="420" w:firstLineChars="200"/>
        <w:jc w:val="left"/>
        <w:outlineLvl w:val="2"/>
        <w:rPr>
          <w:rFonts w:hint="eastAsia" w:ascii="宋体" w:hAnsi="宋体" w:cs="宋体"/>
          <w:b/>
          <w:color w:val="auto"/>
          <w:szCs w:val="21"/>
          <w:highlight w:val="none"/>
        </w:rPr>
      </w:pPr>
      <w:bookmarkStart w:id="92" w:name="_Toc228982320"/>
      <w:r>
        <w:rPr>
          <w:rFonts w:hint="eastAsia" w:ascii="宋体" w:hAnsi="宋体" w:cs="宋体"/>
          <w:b/>
          <w:color w:val="auto"/>
          <w:szCs w:val="21"/>
          <w:highlight w:val="none"/>
        </w:rPr>
        <w:t>13、质疑及投诉</w:t>
      </w:r>
      <w:bookmarkEnd w:id="92"/>
    </w:p>
    <w:p w14:paraId="3D2AFB29">
      <w:pPr>
        <w:shd w:val="clear" w:color="auto" w:fill="FFFFFF"/>
        <w:spacing w:line="360" w:lineRule="auto"/>
        <w:ind w:firstLine="420" w:firstLineChars="200"/>
        <w:jc w:val="left"/>
        <w:rPr>
          <w:rFonts w:hint="eastAsia" w:ascii="宋体" w:hAnsi="宋体" w:cs="宋体"/>
          <w:bCs/>
          <w:color w:val="auto"/>
          <w:szCs w:val="21"/>
          <w:highlight w:val="none"/>
        </w:rPr>
      </w:pPr>
      <w:bookmarkStart w:id="93" w:name="_Toc321836356"/>
      <w:r>
        <w:rPr>
          <w:rFonts w:hint="eastAsia" w:ascii="宋体" w:hAnsi="宋体" w:cs="宋体"/>
          <w:bCs/>
          <w:color w:val="auto"/>
          <w:szCs w:val="21"/>
          <w:highlight w:val="none"/>
        </w:rPr>
        <w:t>13.1.竞争性谈判文件的质疑</w:t>
      </w:r>
      <w:bookmarkEnd w:id="93"/>
      <w:r>
        <w:rPr>
          <w:rFonts w:hint="eastAsia" w:ascii="宋体" w:hAnsi="宋体" w:cs="宋体"/>
          <w:bCs/>
          <w:color w:val="auto"/>
          <w:szCs w:val="21"/>
          <w:highlight w:val="none"/>
        </w:rPr>
        <w:t>和澄清</w:t>
      </w:r>
    </w:p>
    <w:p w14:paraId="34F225F1">
      <w:pPr>
        <w:shd w:val="clear" w:color="auto" w:fill="FFFFFF"/>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u w:val="single"/>
        </w:rPr>
        <w:t>申请人提供的质疑书应符合中华人民共和国财政部令第94号--政府采购质疑和投诉办法的规定。</w:t>
      </w:r>
    </w:p>
    <w:p w14:paraId="48A6646B">
      <w:pPr>
        <w:shd w:val="clear" w:color="auto" w:fill="FFFFFF"/>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13.1.1 申请人认为竞争性谈判文件、招标过程和中标结果使自己的权益受到损害的，应当在知道或者应知其权益受到损害之日起七个工作日内，以书面形式</w:t>
      </w:r>
      <w:r>
        <w:rPr>
          <w:rFonts w:hint="eastAsia" w:ascii="宋体" w:hAnsi="宋体" w:cs="宋体"/>
          <w:bCs/>
          <w:color w:val="auto"/>
          <w:szCs w:val="21"/>
          <w:highlight w:val="none"/>
          <w:shd w:val="clear" w:color="auto" w:fill="FFFFFF"/>
        </w:rPr>
        <w:t>向采购人、采购代理机构提出质疑</w:t>
      </w:r>
      <w:r>
        <w:rPr>
          <w:rFonts w:hint="eastAsia" w:ascii="宋体" w:hAnsi="宋体" w:cs="宋体"/>
          <w:bCs/>
          <w:color w:val="auto"/>
          <w:szCs w:val="21"/>
          <w:highlight w:val="none"/>
        </w:rPr>
        <w:t>。质疑内容不得含有虚假、恶意成分。当事人对自己提出的主张，有责任提供证据，提出质疑时应同时提交相关证据材料和注明事实的确切来源。</w:t>
      </w:r>
    </w:p>
    <w:p w14:paraId="32673CDB">
      <w:pPr>
        <w:shd w:val="clear" w:color="auto" w:fill="FFFFFF"/>
        <w:spacing w:line="360" w:lineRule="auto"/>
        <w:ind w:firstLine="420" w:firstLineChars="200"/>
        <w:jc w:val="left"/>
        <w:rPr>
          <w:rFonts w:hint="eastAsia" w:ascii="宋体" w:hAnsi="宋体" w:cs="宋体"/>
          <w:bCs/>
          <w:color w:val="auto"/>
          <w:szCs w:val="21"/>
          <w:highlight w:val="none"/>
          <w:shd w:val="clear" w:color="auto" w:fill="FFFFFF"/>
        </w:rPr>
      </w:pPr>
      <w:r>
        <w:rPr>
          <w:rFonts w:hint="eastAsia" w:ascii="宋体" w:hAnsi="宋体" w:cs="宋体"/>
          <w:bCs/>
          <w:color w:val="auto"/>
          <w:szCs w:val="21"/>
          <w:highlight w:val="none"/>
          <w:shd w:val="clear" w:color="auto" w:fill="FFFFFF"/>
        </w:rPr>
        <w:t>质疑的提出：申请人在法定质疑期内一次性提出针对同一采购程序环节的质疑。申请人对同一采购程序环节的质疑必须一次性提出，代理公司、采购人不多次接受同一采购程序环节的质疑。</w:t>
      </w:r>
    </w:p>
    <w:p w14:paraId="3D966B2F">
      <w:pPr>
        <w:shd w:val="clear" w:color="auto" w:fill="FFFFFF"/>
        <w:spacing w:line="360" w:lineRule="auto"/>
        <w:ind w:firstLine="420" w:firstLineChars="200"/>
        <w:jc w:val="left"/>
        <w:rPr>
          <w:rFonts w:hint="eastAsia" w:ascii="宋体" w:hAnsi="宋体" w:cs="宋体"/>
          <w:bCs/>
          <w:color w:val="auto"/>
          <w:szCs w:val="21"/>
          <w:highlight w:val="none"/>
          <w:shd w:val="clear" w:color="auto" w:fill="FFFFFF"/>
        </w:rPr>
      </w:pPr>
      <w:r>
        <w:rPr>
          <w:rFonts w:hint="eastAsia" w:ascii="宋体" w:hAnsi="宋体" w:cs="宋体"/>
          <w:bCs/>
          <w:color w:val="auto"/>
          <w:szCs w:val="21"/>
          <w:highlight w:val="none"/>
          <w:shd w:val="clear" w:color="auto" w:fill="FFFFFF"/>
        </w:rPr>
        <w:t>代理机构接收质疑联系方式：</w:t>
      </w:r>
    </w:p>
    <w:p w14:paraId="4E9ACACE">
      <w:pPr>
        <w:shd w:val="clear" w:color="auto" w:fill="FFFFFF"/>
        <w:spacing w:line="360" w:lineRule="auto"/>
        <w:ind w:firstLine="420" w:firstLineChars="200"/>
        <w:jc w:val="left"/>
        <w:rPr>
          <w:rFonts w:hint="eastAsia" w:ascii="宋体" w:hAnsi="宋体" w:cs="宋体"/>
          <w:bCs/>
          <w:color w:val="auto"/>
          <w:szCs w:val="21"/>
          <w:highlight w:val="none"/>
          <w:shd w:val="clear" w:color="auto" w:fill="FFFFFF"/>
        </w:rPr>
      </w:pPr>
      <w:r>
        <w:rPr>
          <w:rFonts w:hint="eastAsia" w:ascii="宋体" w:hAnsi="宋体" w:cs="宋体"/>
          <w:bCs/>
          <w:color w:val="auto"/>
          <w:szCs w:val="21"/>
          <w:highlight w:val="none"/>
          <w:shd w:val="clear" w:color="auto" w:fill="FFFFFF"/>
        </w:rPr>
        <w:t>联系人：</w:t>
      </w:r>
      <w:r>
        <w:rPr>
          <w:rFonts w:hint="eastAsia" w:ascii="宋体" w:hAnsi="宋体" w:cs="宋体"/>
          <w:color w:val="auto"/>
          <w:highlight w:val="none"/>
        </w:rPr>
        <w:t>张皓天</w:t>
      </w:r>
      <w:r>
        <w:rPr>
          <w:rFonts w:hint="eastAsia" w:ascii="宋体" w:hAnsi="宋体" w:cs="宋体"/>
          <w:bCs/>
          <w:color w:val="auto"/>
          <w:szCs w:val="21"/>
          <w:highlight w:val="none"/>
          <w:shd w:val="clear" w:color="auto" w:fill="FFFFFF"/>
        </w:rPr>
        <w:t xml:space="preserve"> ；联系电话：</w:t>
      </w:r>
      <w:r>
        <w:rPr>
          <w:rFonts w:hint="eastAsia" w:ascii="宋体" w:hAnsi="宋体" w:cs="宋体"/>
          <w:color w:val="auto"/>
          <w:highlight w:val="none"/>
        </w:rPr>
        <w:t>15969402895</w:t>
      </w:r>
      <w:r>
        <w:rPr>
          <w:rFonts w:hint="eastAsia" w:ascii="宋体" w:hAnsi="宋体" w:cs="宋体"/>
          <w:bCs/>
          <w:color w:val="auto"/>
          <w:szCs w:val="21"/>
          <w:highlight w:val="none"/>
          <w:shd w:val="clear" w:color="auto" w:fill="FFFFFF"/>
        </w:rPr>
        <w:t xml:space="preserve"> ；联系地址：云南鼎鑫项目管理咨询有限公司</w:t>
      </w:r>
      <w:r>
        <w:rPr>
          <w:rFonts w:hint="eastAsia" w:ascii="宋体" w:hAnsi="宋体" w:cs="宋体"/>
          <w:bCs/>
          <w:snapToGrid w:val="0"/>
          <w:color w:val="auto"/>
          <w:kern w:val="0"/>
          <w:szCs w:val="21"/>
          <w:highlight w:val="none"/>
          <w:shd w:val="clear" w:color="auto" w:fill="FFFFFF"/>
        </w:rPr>
        <w:t>（昆明市五华区科普路固地尚诚商务中心B座14楼</w:t>
      </w:r>
      <w:r>
        <w:rPr>
          <w:rFonts w:hint="eastAsia" w:ascii="宋体" w:hAnsi="宋体" w:cs="宋体"/>
          <w:bCs/>
          <w:color w:val="auto"/>
          <w:szCs w:val="21"/>
          <w:highlight w:val="none"/>
          <w:shd w:val="clear" w:color="auto" w:fill="FFFFFF"/>
        </w:rPr>
        <w:t>）。</w:t>
      </w:r>
    </w:p>
    <w:p w14:paraId="23632DC9">
      <w:pPr>
        <w:shd w:val="clear" w:color="auto" w:fill="FFFFFF"/>
        <w:spacing w:line="360" w:lineRule="auto"/>
        <w:ind w:firstLine="420" w:firstLineChars="200"/>
        <w:jc w:val="left"/>
        <w:rPr>
          <w:rFonts w:hint="eastAsia" w:ascii="宋体" w:hAnsi="宋体" w:cs="宋体"/>
          <w:bCs/>
          <w:snapToGrid w:val="0"/>
          <w:color w:val="auto"/>
          <w:kern w:val="0"/>
          <w:szCs w:val="21"/>
          <w:highlight w:val="none"/>
          <w:shd w:val="clear" w:color="auto" w:fill="FFFFFF"/>
        </w:rPr>
      </w:pPr>
      <w:r>
        <w:rPr>
          <w:rFonts w:hint="eastAsia" w:ascii="宋体" w:hAnsi="宋体" w:cs="宋体"/>
          <w:bCs/>
          <w:snapToGrid w:val="0"/>
          <w:color w:val="auto"/>
          <w:kern w:val="0"/>
          <w:szCs w:val="21"/>
          <w:highlight w:val="none"/>
          <w:shd w:val="clear" w:color="auto" w:fill="FFFFFF"/>
        </w:rPr>
        <w:t>质疑送达方式：以书面形式的原件送达代理机构接收质疑联系人处。</w:t>
      </w:r>
    </w:p>
    <w:p w14:paraId="2EE02F8B">
      <w:pPr>
        <w:shd w:val="clear" w:color="auto" w:fill="FFFFFF"/>
        <w:spacing w:line="360" w:lineRule="auto"/>
        <w:ind w:firstLine="420" w:firstLineChars="200"/>
        <w:jc w:val="left"/>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13.1.2质疑申请人：提出质疑的申请人（以下简称质疑申请人）应当是参与所质疑项目采购活动的申请人。</w:t>
      </w:r>
    </w:p>
    <w:p w14:paraId="698CB1D3">
      <w:pPr>
        <w:shd w:val="clear" w:color="auto" w:fill="FFFFFF"/>
        <w:spacing w:line="360" w:lineRule="auto"/>
        <w:ind w:firstLine="420" w:firstLineChars="200"/>
        <w:jc w:val="left"/>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潜在申请人已依法获取（依法获取是指在网上获取竞争性谈判文件并在招标代理公司做相应登记）其可质疑的采购文件的，可以对该文件提出质疑。</w:t>
      </w:r>
    </w:p>
    <w:p w14:paraId="558ECCAF">
      <w:pPr>
        <w:shd w:val="clear" w:color="auto" w:fill="FFFFFF"/>
        <w:spacing w:line="360" w:lineRule="auto"/>
        <w:ind w:firstLine="420" w:firstLineChars="200"/>
        <w:jc w:val="left"/>
        <w:rPr>
          <w:rFonts w:hint="eastAsia" w:ascii="宋体" w:hAnsi="宋体" w:cs="宋体"/>
          <w:snapToGrid w:val="0"/>
          <w:color w:val="auto"/>
          <w:kern w:val="0"/>
          <w:szCs w:val="21"/>
          <w:highlight w:val="none"/>
        </w:rPr>
      </w:pPr>
      <w:r>
        <w:rPr>
          <w:rFonts w:hint="eastAsia" w:ascii="宋体" w:hAnsi="宋体" w:cs="宋体"/>
          <w:bCs/>
          <w:snapToGrid w:val="0"/>
          <w:color w:val="auto"/>
          <w:kern w:val="0"/>
          <w:szCs w:val="21"/>
          <w:highlight w:val="none"/>
        </w:rPr>
        <w:t>13.1.3申请人</w:t>
      </w:r>
      <w:r>
        <w:rPr>
          <w:rFonts w:hint="eastAsia" w:ascii="宋体" w:hAnsi="宋体" w:cs="宋体"/>
          <w:bCs/>
          <w:snapToGrid w:val="0"/>
          <w:color w:val="auto"/>
          <w:kern w:val="0"/>
          <w:szCs w:val="21"/>
          <w:highlight w:val="none"/>
          <w:shd w:val="clear" w:color="auto" w:fill="FFFFFF"/>
        </w:rPr>
        <w:t>提出质疑应当提交质疑函和必要的证明材料</w:t>
      </w:r>
      <w:r>
        <w:rPr>
          <w:rFonts w:hint="eastAsia" w:ascii="宋体" w:hAnsi="宋体" w:cs="宋体"/>
          <w:bCs/>
          <w:snapToGrid w:val="0"/>
          <w:color w:val="auto"/>
          <w:kern w:val="0"/>
          <w:szCs w:val="21"/>
          <w:highlight w:val="none"/>
        </w:rPr>
        <w:t>（如材料中有外</w:t>
      </w:r>
      <w:r>
        <w:rPr>
          <w:rFonts w:hint="eastAsia" w:ascii="宋体" w:hAnsi="宋体" w:cs="宋体"/>
          <w:snapToGrid w:val="0"/>
          <w:color w:val="auto"/>
          <w:kern w:val="0"/>
          <w:szCs w:val="21"/>
          <w:highlight w:val="none"/>
        </w:rPr>
        <w:t>文资料应同时附上中文译本），质疑函应当包括下列内容：</w:t>
      </w:r>
    </w:p>
    <w:p w14:paraId="624F3807">
      <w:pPr>
        <w:shd w:val="clear" w:color="auto" w:fill="FFFFFF"/>
        <w:spacing w:line="360" w:lineRule="auto"/>
        <w:ind w:firstLine="420" w:firstLineChars="200"/>
        <w:jc w:val="left"/>
        <w:rPr>
          <w:rFonts w:hint="eastAsia" w:ascii="宋体" w:hAnsi="宋体" w:cs="宋体"/>
          <w:snapToGrid w:val="0"/>
          <w:color w:val="auto"/>
          <w:kern w:val="0"/>
          <w:szCs w:val="21"/>
          <w:highlight w:val="none"/>
          <w:shd w:val="clear" w:color="auto" w:fill="FFFFFF"/>
        </w:rPr>
      </w:pPr>
      <w:r>
        <w:rPr>
          <w:rFonts w:hint="eastAsia" w:ascii="宋体" w:hAnsi="宋体" w:cs="宋体"/>
          <w:snapToGrid w:val="0"/>
          <w:color w:val="auto"/>
          <w:kern w:val="0"/>
          <w:szCs w:val="21"/>
          <w:highlight w:val="none"/>
          <w:shd w:val="clear" w:color="auto" w:fill="FFFFFF"/>
        </w:rPr>
        <w:t>（一）申请人的姓名或者名称、地址、邮编、联系人及联系电话；</w:t>
      </w:r>
    </w:p>
    <w:p w14:paraId="1425584F">
      <w:pPr>
        <w:shd w:val="clear" w:color="auto" w:fill="FFFFFF"/>
        <w:spacing w:line="360" w:lineRule="auto"/>
        <w:ind w:firstLine="420" w:firstLineChars="200"/>
        <w:jc w:val="left"/>
        <w:rPr>
          <w:rFonts w:hint="eastAsia" w:ascii="宋体" w:hAnsi="宋体" w:cs="宋体"/>
          <w:snapToGrid w:val="0"/>
          <w:color w:val="auto"/>
          <w:kern w:val="0"/>
          <w:szCs w:val="21"/>
          <w:highlight w:val="none"/>
          <w:shd w:val="clear" w:color="auto" w:fill="FFFFFF"/>
        </w:rPr>
      </w:pPr>
      <w:r>
        <w:rPr>
          <w:rFonts w:hint="eastAsia" w:ascii="宋体" w:hAnsi="宋体" w:cs="宋体"/>
          <w:snapToGrid w:val="0"/>
          <w:color w:val="auto"/>
          <w:kern w:val="0"/>
          <w:szCs w:val="21"/>
          <w:highlight w:val="none"/>
          <w:shd w:val="clear" w:color="auto" w:fill="FFFFFF"/>
        </w:rPr>
        <w:t>（二）质疑项目的名称、编号；</w:t>
      </w:r>
    </w:p>
    <w:p w14:paraId="77B99A86">
      <w:pPr>
        <w:shd w:val="clear" w:color="auto" w:fill="FFFFFF"/>
        <w:spacing w:line="360" w:lineRule="auto"/>
        <w:ind w:firstLine="420" w:firstLineChars="200"/>
        <w:jc w:val="left"/>
        <w:rPr>
          <w:rFonts w:hint="eastAsia" w:ascii="宋体" w:hAnsi="宋体" w:cs="宋体"/>
          <w:snapToGrid w:val="0"/>
          <w:color w:val="auto"/>
          <w:kern w:val="0"/>
          <w:szCs w:val="21"/>
          <w:highlight w:val="none"/>
          <w:shd w:val="clear" w:color="auto" w:fill="FFFFFF"/>
        </w:rPr>
      </w:pPr>
      <w:r>
        <w:rPr>
          <w:rFonts w:hint="eastAsia" w:ascii="宋体" w:hAnsi="宋体" w:cs="宋体"/>
          <w:snapToGrid w:val="0"/>
          <w:color w:val="auto"/>
          <w:kern w:val="0"/>
          <w:szCs w:val="21"/>
          <w:highlight w:val="none"/>
          <w:shd w:val="clear" w:color="auto" w:fill="FFFFFF"/>
        </w:rPr>
        <w:t>（三）具体、明确的质疑事项和与质疑事项相关的请求；</w:t>
      </w:r>
    </w:p>
    <w:p w14:paraId="2669FFFE">
      <w:pPr>
        <w:shd w:val="clear" w:color="auto" w:fill="FFFFFF"/>
        <w:spacing w:line="360" w:lineRule="auto"/>
        <w:ind w:firstLine="420" w:firstLineChars="200"/>
        <w:jc w:val="left"/>
        <w:rPr>
          <w:rFonts w:hint="eastAsia" w:ascii="宋体" w:hAnsi="宋体" w:cs="宋体"/>
          <w:snapToGrid w:val="0"/>
          <w:color w:val="auto"/>
          <w:kern w:val="0"/>
          <w:szCs w:val="21"/>
          <w:highlight w:val="none"/>
          <w:shd w:val="clear" w:color="auto" w:fill="FFFFFF"/>
        </w:rPr>
      </w:pPr>
      <w:r>
        <w:rPr>
          <w:rFonts w:hint="eastAsia" w:ascii="宋体" w:hAnsi="宋体" w:cs="宋体"/>
          <w:snapToGrid w:val="0"/>
          <w:color w:val="auto"/>
          <w:kern w:val="0"/>
          <w:szCs w:val="21"/>
          <w:highlight w:val="none"/>
          <w:shd w:val="clear" w:color="auto" w:fill="FFFFFF"/>
        </w:rPr>
        <w:t>（四）事实依据；</w:t>
      </w:r>
    </w:p>
    <w:p w14:paraId="4B8E69BF">
      <w:pPr>
        <w:shd w:val="clear" w:color="auto" w:fill="FFFFFF"/>
        <w:spacing w:line="360" w:lineRule="auto"/>
        <w:ind w:firstLine="420" w:firstLineChars="200"/>
        <w:jc w:val="left"/>
        <w:rPr>
          <w:rFonts w:hint="eastAsia" w:ascii="宋体" w:hAnsi="宋体" w:cs="宋体"/>
          <w:snapToGrid w:val="0"/>
          <w:color w:val="auto"/>
          <w:kern w:val="0"/>
          <w:szCs w:val="21"/>
          <w:highlight w:val="none"/>
          <w:shd w:val="clear" w:color="auto" w:fill="FFFFFF"/>
        </w:rPr>
      </w:pPr>
      <w:r>
        <w:rPr>
          <w:rFonts w:hint="eastAsia" w:ascii="宋体" w:hAnsi="宋体" w:cs="宋体"/>
          <w:snapToGrid w:val="0"/>
          <w:color w:val="auto"/>
          <w:kern w:val="0"/>
          <w:szCs w:val="21"/>
          <w:highlight w:val="none"/>
          <w:shd w:val="clear" w:color="auto" w:fill="FFFFFF"/>
        </w:rPr>
        <w:t>（五）必要的法律依据；</w:t>
      </w:r>
    </w:p>
    <w:p w14:paraId="317BA040">
      <w:pPr>
        <w:shd w:val="clear" w:color="auto" w:fill="FFFFFF"/>
        <w:spacing w:line="360" w:lineRule="auto"/>
        <w:ind w:firstLine="420" w:firstLineChars="200"/>
        <w:jc w:val="left"/>
        <w:rPr>
          <w:rFonts w:hint="eastAsia" w:ascii="宋体" w:hAnsi="宋体" w:cs="宋体"/>
          <w:snapToGrid w:val="0"/>
          <w:color w:val="auto"/>
          <w:kern w:val="0"/>
          <w:szCs w:val="21"/>
          <w:highlight w:val="none"/>
          <w:shd w:val="clear" w:color="auto" w:fill="FFFFFF"/>
        </w:rPr>
      </w:pPr>
      <w:r>
        <w:rPr>
          <w:rFonts w:hint="eastAsia" w:ascii="宋体" w:hAnsi="宋体" w:cs="宋体"/>
          <w:snapToGrid w:val="0"/>
          <w:color w:val="auto"/>
          <w:kern w:val="0"/>
          <w:szCs w:val="21"/>
          <w:highlight w:val="none"/>
          <w:shd w:val="clear" w:color="auto" w:fill="FFFFFF"/>
        </w:rPr>
        <w:t>（六）提出质疑的日期。</w:t>
      </w:r>
    </w:p>
    <w:p w14:paraId="6EBF853F">
      <w:pPr>
        <w:shd w:val="clear" w:color="auto" w:fill="FFFFFF"/>
        <w:spacing w:line="360" w:lineRule="auto"/>
        <w:ind w:firstLine="420" w:firstLineChars="200"/>
        <w:jc w:val="left"/>
        <w:rPr>
          <w:rFonts w:hint="eastAsia" w:ascii="宋体" w:hAnsi="宋体" w:cs="宋体"/>
          <w:snapToGrid w:val="0"/>
          <w:color w:val="auto"/>
          <w:kern w:val="0"/>
          <w:szCs w:val="21"/>
          <w:highlight w:val="none"/>
          <w:shd w:val="clear" w:color="auto" w:fill="FFFFFF"/>
        </w:rPr>
      </w:pPr>
      <w:r>
        <w:rPr>
          <w:rFonts w:hint="eastAsia" w:ascii="宋体" w:hAnsi="宋体" w:cs="宋体"/>
          <w:snapToGrid w:val="0"/>
          <w:color w:val="auto"/>
          <w:kern w:val="0"/>
          <w:szCs w:val="21"/>
          <w:highlight w:val="none"/>
          <w:shd w:val="clear" w:color="auto" w:fill="FFFFFF"/>
        </w:rPr>
        <w:t>申请人为自然人的，应当由本人签字；申请人为法人或者其他组织的，应当由法定代表人、主要负责人，或者其授权代表签字或者盖章，并加电子签章。</w:t>
      </w:r>
    </w:p>
    <w:p w14:paraId="4467C576">
      <w:pPr>
        <w:shd w:val="clear" w:color="auto" w:fill="FFFFFF"/>
        <w:spacing w:line="360" w:lineRule="auto"/>
        <w:ind w:firstLine="480" w:firstLineChars="200"/>
        <w:jc w:val="left"/>
        <w:rPr>
          <w:rFonts w:hint="eastAsia" w:ascii="宋体" w:hAnsi="宋体" w:cs="宋体"/>
          <w:color w:val="auto"/>
          <w:sz w:val="24"/>
          <w:szCs w:val="24"/>
          <w:highlight w:val="none"/>
        </w:rPr>
      </w:pPr>
      <w:bookmarkStart w:id="94" w:name="_Toc13644"/>
      <w:bookmarkStart w:id="95" w:name="_Toc23565"/>
      <w:r>
        <w:rPr>
          <w:rFonts w:hint="eastAsia" w:ascii="宋体" w:hAnsi="宋体" w:cs="宋体"/>
          <w:b/>
          <w:bCs/>
          <w:snapToGrid w:val="0"/>
          <w:color w:val="auto"/>
          <w:kern w:val="0"/>
          <w:sz w:val="24"/>
          <w:szCs w:val="24"/>
          <w:highlight w:val="none"/>
          <w:u w:val="single"/>
        </w:rPr>
        <w:t>质疑书实行实名制，并提交由法定代表人或其委托代理人签字且加盖公章的原件。</w:t>
      </w:r>
      <w:bookmarkEnd w:id="94"/>
      <w:bookmarkEnd w:id="95"/>
    </w:p>
    <w:p w14:paraId="5C0F1835">
      <w:pPr>
        <w:widowControl/>
        <w:spacing w:line="360" w:lineRule="auto"/>
        <w:jc w:val="center"/>
        <w:rPr>
          <w:rFonts w:hint="eastAsia" w:ascii="宋体" w:hAnsi="宋体" w:cs="宋体"/>
          <w:b/>
          <w:color w:val="auto"/>
          <w:kern w:val="20"/>
          <w:sz w:val="24"/>
          <w:szCs w:val="24"/>
          <w:highlight w:val="none"/>
          <w:lang w:val="zh-CN"/>
        </w:rPr>
      </w:pPr>
      <w:r>
        <w:rPr>
          <w:rFonts w:hint="eastAsia" w:ascii="宋体" w:hAnsi="宋体" w:cs="宋体"/>
          <w:b/>
          <w:color w:val="auto"/>
          <w:kern w:val="20"/>
          <w:sz w:val="24"/>
          <w:szCs w:val="24"/>
          <w:highlight w:val="none"/>
          <w:lang w:val="zh-CN"/>
        </w:rPr>
        <w:t>质疑函范本</w:t>
      </w:r>
    </w:p>
    <w:p w14:paraId="4A208903">
      <w:pPr>
        <w:adjustRightInd w:val="0"/>
        <w:snapToGrid w:val="0"/>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一、质疑供应商基本信息</w:t>
      </w:r>
    </w:p>
    <w:p w14:paraId="5D35172C">
      <w:pPr>
        <w:adjustRightInd w:val="0"/>
        <w:snapToGrid w:val="0"/>
        <w:spacing w:line="360" w:lineRule="auto"/>
        <w:rPr>
          <w:rFonts w:hint="eastAsia" w:ascii="宋体" w:hAnsi="宋体" w:cs="宋体"/>
          <w:color w:val="auto"/>
          <w:szCs w:val="21"/>
          <w:highlight w:val="none"/>
          <w:u w:val="dotted"/>
        </w:rPr>
      </w:pPr>
      <w:r>
        <w:rPr>
          <w:rFonts w:hint="eastAsia" w:ascii="宋体" w:hAnsi="宋体" w:cs="宋体"/>
          <w:color w:val="auto"/>
          <w:szCs w:val="21"/>
          <w:highlight w:val="none"/>
        </w:rPr>
        <w:t>质疑供应商：</w:t>
      </w:r>
    </w:p>
    <w:p w14:paraId="58C6E014">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地址：邮编：</w:t>
      </w:r>
    </w:p>
    <w:p w14:paraId="608F4B16">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联系人：联系电话：</w:t>
      </w:r>
    </w:p>
    <w:p w14:paraId="74407370">
      <w:pPr>
        <w:adjustRightInd w:val="0"/>
        <w:snapToGrid w:val="0"/>
        <w:spacing w:line="360" w:lineRule="auto"/>
        <w:rPr>
          <w:rFonts w:hint="eastAsia" w:ascii="宋体" w:hAnsi="宋体" w:cs="宋体"/>
          <w:color w:val="auto"/>
          <w:szCs w:val="21"/>
          <w:highlight w:val="none"/>
          <w:u w:val="dotted"/>
        </w:rPr>
      </w:pPr>
      <w:r>
        <w:rPr>
          <w:rFonts w:hint="eastAsia" w:ascii="宋体" w:hAnsi="宋体" w:cs="宋体"/>
          <w:color w:val="auto"/>
          <w:szCs w:val="21"/>
          <w:highlight w:val="none"/>
        </w:rPr>
        <w:t>授权代表：</w:t>
      </w:r>
    </w:p>
    <w:p w14:paraId="679997D5">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联系电话：</w:t>
      </w:r>
    </w:p>
    <w:p w14:paraId="0A62A1DF">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地址：邮编：</w:t>
      </w:r>
    </w:p>
    <w:p w14:paraId="04E8932D">
      <w:pPr>
        <w:adjustRightInd w:val="0"/>
        <w:snapToGrid w:val="0"/>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二、质疑项目基本情况</w:t>
      </w:r>
    </w:p>
    <w:p w14:paraId="6962CA6F">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质疑项目的名称：</w:t>
      </w:r>
    </w:p>
    <w:p w14:paraId="0DFD0128">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质疑项目的编号：包号：</w:t>
      </w:r>
    </w:p>
    <w:p w14:paraId="3E222689">
      <w:pPr>
        <w:adjustRightInd w:val="0"/>
        <w:snapToGrid w:val="0"/>
        <w:spacing w:line="360" w:lineRule="auto"/>
        <w:rPr>
          <w:rFonts w:hint="eastAsia" w:ascii="宋体" w:hAnsi="宋体" w:cs="宋体"/>
          <w:color w:val="auto"/>
          <w:szCs w:val="21"/>
          <w:highlight w:val="none"/>
          <w:u w:val="dotted"/>
        </w:rPr>
      </w:pPr>
      <w:r>
        <w:rPr>
          <w:rFonts w:hint="eastAsia" w:ascii="宋体" w:hAnsi="宋体" w:cs="宋体"/>
          <w:color w:val="auto"/>
          <w:szCs w:val="21"/>
          <w:highlight w:val="none"/>
        </w:rPr>
        <w:t>采购人名称：</w:t>
      </w:r>
    </w:p>
    <w:p w14:paraId="3F2D28CA">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采购文件获取日期：</w:t>
      </w:r>
    </w:p>
    <w:p w14:paraId="4282B11D">
      <w:pPr>
        <w:adjustRightInd w:val="0"/>
        <w:snapToGrid w:val="0"/>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三、质疑事项具体内容</w:t>
      </w:r>
    </w:p>
    <w:p w14:paraId="2AD1764F">
      <w:pPr>
        <w:adjustRightInd w:val="0"/>
        <w:snapToGrid w:val="0"/>
        <w:spacing w:line="360" w:lineRule="auto"/>
        <w:rPr>
          <w:rFonts w:hint="eastAsia" w:ascii="宋体" w:hAnsi="宋体" w:cs="宋体"/>
          <w:color w:val="auto"/>
          <w:szCs w:val="21"/>
          <w:highlight w:val="none"/>
          <w:u w:val="dotted"/>
        </w:rPr>
      </w:pPr>
      <w:r>
        <w:rPr>
          <w:rFonts w:hint="eastAsia" w:ascii="宋体" w:hAnsi="宋体" w:cs="宋体"/>
          <w:color w:val="auto"/>
          <w:szCs w:val="21"/>
          <w:highlight w:val="none"/>
        </w:rPr>
        <w:t>质疑事项1：</w:t>
      </w:r>
    </w:p>
    <w:p w14:paraId="40B48732">
      <w:pPr>
        <w:adjustRightInd w:val="0"/>
        <w:snapToGrid w:val="0"/>
        <w:spacing w:line="360" w:lineRule="auto"/>
        <w:rPr>
          <w:rFonts w:hint="eastAsia" w:ascii="宋体" w:hAnsi="宋体" w:cs="宋体"/>
          <w:color w:val="auto"/>
          <w:szCs w:val="21"/>
          <w:highlight w:val="none"/>
          <w:u w:val="dotted"/>
        </w:rPr>
      </w:pPr>
      <w:r>
        <w:rPr>
          <w:rFonts w:hint="eastAsia" w:ascii="宋体" w:hAnsi="宋体" w:cs="宋体"/>
          <w:color w:val="auto"/>
          <w:szCs w:val="21"/>
          <w:highlight w:val="none"/>
        </w:rPr>
        <w:t>事实依据：</w:t>
      </w:r>
    </w:p>
    <w:p w14:paraId="68B3627A">
      <w:pPr>
        <w:adjustRightInd w:val="0"/>
        <w:snapToGrid w:val="0"/>
        <w:spacing w:line="360" w:lineRule="auto"/>
        <w:rPr>
          <w:rFonts w:hint="eastAsia" w:ascii="宋体" w:hAnsi="宋体" w:cs="宋体"/>
          <w:color w:val="auto"/>
          <w:szCs w:val="21"/>
          <w:highlight w:val="none"/>
        </w:rPr>
      </w:pPr>
    </w:p>
    <w:p w14:paraId="44D5CFF1">
      <w:pPr>
        <w:adjustRightInd w:val="0"/>
        <w:snapToGrid w:val="0"/>
        <w:spacing w:line="360" w:lineRule="auto"/>
        <w:rPr>
          <w:rFonts w:hint="eastAsia" w:ascii="宋体" w:hAnsi="宋体" w:cs="宋体"/>
          <w:color w:val="auto"/>
          <w:szCs w:val="21"/>
          <w:highlight w:val="none"/>
          <w:u w:val="dotted"/>
        </w:rPr>
      </w:pPr>
      <w:r>
        <w:rPr>
          <w:rFonts w:hint="eastAsia" w:ascii="宋体" w:hAnsi="宋体" w:cs="宋体"/>
          <w:color w:val="auto"/>
          <w:szCs w:val="21"/>
          <w:highlight w:val="none"/>
        </w:rPr>
        <w:t>法律依据：</w:t>
      </w:r>
    </w:p>
    <w:p w14:paraId="5997206C">
      <w:pPr>
        <w:adjustRightInd w:val="0"/>
        <w:snapToGrid w:val="0"/>
        <w:spacing w:line="360" w:lineRule="auto"/>
        <w:rPr>
          <w:rFonts w:hint="eastAsia" w:ascii="宋体" w:hAnsi="宋体" w:cs="宋体"/>
          <w:color w:val="auto"/>
          <w:szCs w:val="21"/>
          <w:highlight w:val="none"/>
          <w:u w:val="dotted"/>
        </w:rPr>
      </w:pPr>
    </w:p>
    <w:p w14:paraId="15C3C134">
      <w:pPr>
        <w:adjustRightInd w:val="0"/>
        <w:snapToGrid w:val="0"/>
        <w:spacing w:line="360" w:lineRule="auto"/>
        <w:rPr>
          <w:rFonts w:hint="eastAsia" w:ascii="宋体" w:hAnsi="宋体" w:cs="宋体"/>
          <w:color w:val="auto"/>
          <w:szCs w:val="21"/>
          <w:highlight w:val="none"/>
          <w:u w:val="dotted"/>
        </w:rPr>
      </w:pPr>
      <w:r>
        <w:rPr>
          <w:rFonts w:hint="eastAsia" w:ascii="宋体" w:hAnsi="宋体" w:cs="宋体"/>
          <w:color w:val="auto"/>
          <w:szCs w:val="21"/>
          <w:highlight w:val="none"/>
        </w:rPr>
        <w:t>质疑事项2</w:t>
      </w:r>
    </w:p>
    <w:p w14:paraId="11D7A5EF">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p w14:paraId="19058497">
      <w:pPr>
        <w:adjustRightInd w:val="0"/>
        <w:snapToGrid w:val="0"/>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四、与质疑事项相关的质疑请求</w:t>
      </w:r>
    </w:p>
    <w:p w14:paraId="03BC4244">
      <w:pPr>
        <w:adjustRightInd w:val="0"/>
        <w:snapToGrid w:val="0"/>
        <w:spacing w:line="360" w:lineRule="auto"/>
        <w:rPr>
          <w:rFonts w:hint="eastAsia" w:ascii="宋体" w:hAnsi="宋体" w:cs="宋体"/>
          <w:color w:val="auto"/>
          <w:szCs w:val="21"/>
          <w:highlight w:val="none"/>
          <w:u w:val="dotted"/>
        </w:rPr>
      </w:pPr>
      <w:r>
        <w:rPr>
          <w:rFonts w:hint="eastAsia" w:ascii="宋体" w:hAnsi="宋体" w:cs="宋体"/>
          <w:color w:val="auto"/>
          <w:szCs w:val="21"/>
          <w:highlight w:val="none"/>
        </w:rPr>
        <w:t>请求：</w:t>
      </w:r>
    </w:p>
    <w:p w14:paraId="6846E10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签字(签章)：                   公章：                      </w:t>
      </w:r>
    </w:p>
    <w:p w14:paraId="0233977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日期：    </w:t>
      </w:r>
    </w:p>
    <w:p w14:paraId="1046ACD7">
      <w:pPr>
        <w:spacing w:line="360" w:lineRule="auto"/>
        <w:rPr>
          <w:rFonts w:hint="eastAsia" w:ascii="宋体" w:hAnsi="宋体" w:cs="宋体"/>
          <w:b/>
          <w:color w:val="auto"/>
          <w:szCs w:val="21"/>
          <w:highlight w:val="none"/>
        </w:rPr>
      </w:pPr>
    </w:p>
    <w:p w14:paraId="02616A36">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质疑函制作说明：</w:t>
      </w:r>
    </w:p>
    <w:p w14:paraId="6E344346">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1.供应商提出质疑时，应提交质疑函和必要的证明材料。</w:t>
      </w:r>
    </w:p>
    <w:p w14:paraId="6605D455">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2.质疑供应商若委托代理人进行质疑的，质疑函应按要求列明“授权代表”的有关内容，并在附件中提交由质疑</w:t>
      </w:r>
      <w:r>
        <w:rPr>
          <w:rFonts w:hint="eastAsia" w:ascii="宋体" w:hAnsi="宋体" w:cs="宋体"/>
          <w:color w:val="auto"/>
          <w:kern w:val="0"/>
          <w:szCs w:val="21"/>
          <w:highlight w:val="none"/>
        </w:rPr>
        <w:t>供应商签署的授权委托书。授权委托书应载明代理人的姓名或者名称、代理事项、具体权限、期限和相关事项。</w:t>
      </w:r>
    </w:p>
    <w:p w14:paraId="08AFB40C">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3.质疑供应商若对项目的某一分包进行质疑，质疑函中应列明具体分包号。</w:t>
      </w:r>
    </w:p>
    <w:p w14:paraId="579AEACD">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4.质疑函的质疑事项应具体、明确，并有必要的事实依据和法律依据。</w:t>
      </w:r>
    </w:p>
    <w:p w14:paraId="6D2EAE62">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5.质疑函的质疑请求应与质疑事项相关。</w:t>
      </w:r>
    </w:p>
    <w:p w14:paraId="32E4E5BB">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6.质疑供应商为自然人的，质疑函应由本人签字；质疑供应商为法人或者其他组织的，质疑函应由法定代表人、主要负责人，或者其授权代表签字或者盖章，并加电子签章。</w:t>
      </w:r>
    </w:p>
    <w:p w14:paraId="124E01CA">
      <w:pPr>
        <w:pStyle w:val="33"/>
        <w:shd w:val="clear" w:color="auto" w:fill="FFFFFF"/>
        <w:spacing w:before="0" w:beforeAutospacing="0" w:after="0" w:afterAutospacing="0" w:line="360" w:lineRule="auto"/>
        <w:ind w:firstLine="420" w:firstLineChars="200"/>
        <w:jc w:val="both"/>
        <w:textAlignment w:val="baseline"/>
        <w:rPr>
          <w:rFonts w:hint="eastAsia"/>
          <w:b/>
          <w:snapToGrid w:val="0"/>
          <w:color w:val="auto"/>
          <w:sz w:val="21"/>
          <w:szCs w:val="21"/>
          <w:highlight w:val="none"/>
        </w:rPr>
      </w:pPr>
      <w:r>
        <w:rPr>
          <w:rFonts w:hint="eastAsia"/>
          <w:b/>
          <w:snapToGrid w:val="0"/>
          <w:color w:val="auto"/>
          <w:sz w:val="21"/>
          <w:szCs w:val="21"/>
          <w:highlight w:val="none"/>
        </w:rPr>
        <w:t>13.1.4采购人、采购代理机构不得拒收质疑申请人在法定质疑期内发出的质疑函，应当在收到质疑函后7个工作日内作出答复，并以书面形式通知质疑申请人和其他有关申请人。质疑答复的内容不得涉及商业秘密。</w:t>
      </w:r>
    </w:p>
    <w:p w14:paraId="55A76777">
      <w:pPr>
        <w:pStyle w:val="33"/>
        <w:shd w:val="clear" w:color="auto" w:fill="FFFFFF"/>
        <w:spacing w:before="0" w:beforeAutospacing="0" w:after="0" w:afterAutospacing="0" w:line="360" w:lineRule="auto"/>
        <w:ind w:firstLine="420" w:firstLineChars="200"/>
        <w:jc w:val="both"/>
        <w:textAlignment w:val="baseline"/>
        <w:rPr>
          <w:rFonts w:hint="eastAsia"/>
          <w:b/>
          <w:snapToGrid w:val="0"/>
          <w:color w:val="auto"/>
          <w:sz w:val="21"/>
          <w:szCs w:val="21"/>
          <w:highlight w:val="none"/>
        </w:rPr>
      </w:pPr>
      <w:r>
        <w:rPr>
          <w:rFonts w:hint="eastAsia"/>
          <w:b/>
          <w:snapToGrid w:val="0"/>
          <w:color w:val="auto"/>
          <w:sz w:val="21"/>
          <w:szCs w:val="21"/>
          <w:highlight w:val="none"/>
        </w:rPr>
        <w:t>13.1.5参与政府采购活动的申请人对评审过程或者结果提出质疑的，采购人或采购代理机构可以组织原评标委员会协助处理质疑事项，并依据评标委员会出具的意见进行答复。</w:t>
      </w:r>
      <w:r>
        <w:rPr>
          <w:rFonts w:hint="eastAsia"/>
          <w:b/>
          <w:snapToGrid w:val="0"/>
          <w:color w:val="auto"/>
          <w:sz w:val="21"/>
          <w:szCs w:val="21"/>
          <w:highlight w:val="none"/>
          <w:shd w:val="clear" w:color="auto" w:fill="FFFFFF"/>
        </w:rPr>
        <w:t>质疑答复导致中标、中标结果改变的，采购人或者采购代理机构应当将有关情况书面报告本级财政部门。</w:t>
      </w:r>
    </w:p>
    <w:p w14:paraId="12392C35">
      <w:pPr>
        <w:pStyle w:val="33"/>
        <w:shd w:val="clear" w:color="auto" w:fill="FFFFFF"/>
        <w:spacing w:before="0" w:beforeAutospacing="0" w:after="0" w:afterAutospacing="0" w:line="360" w:lineRule="auto"/>
        <w:ind w:firstLine="420" w:firstLineChars="200"/>
        <w:jc w:val="both"/>
        <w:textAlignment w:val="baseline"/>
        <w:rPr>
          <w:rFonts w:hint="eastAsia"/>
          <w:snapToGrid w:val="0"/>
          <w:color w:val="auto"/>
          <w:sz w:val="21"/>
          <w:szCs w:val="21"/>
          <w:highlight w:val="none"/>
        </w:rPr>
      </w:pPr>
      <w:bookmarkStart w:id="96" w:name="_Toc321836357"/>
      <w:r>
        <w:rPr>
          <w:rFonts w:hint="eastAsia"/>
          <w:b/>
          <w:snapToGrid w:val="0"/>
          <w:color w:val="auto"/>
          <w:sz w:val="21"/>
          <w:szCs w:val="21"/>
          <w:highlight w:val="none"/>
        </w:rPr>
        <w:t>13.1</w:t>
      </w:r>
      <w:r>
        <w:rPr>
          <w:rFonts w:hint="eastAsia"/>
          <w:snapToGrid w:val="0"/>
          <w:color w:val="auto"/>
          <w:sz w:val="21"/>
          <w:szCs w:val="21"/>
          <w:highlight w:val="none"/>
        </w:rPr>
        <w:t>.6投诉</w:t>
      </w:r>
      <w:bookmarkEnd w:id="96"/>
    </w:p>
    <w:p w14:paraId="366196EA">
      <w:pPr>
        <w:spacing w:line="360" w:lineRule="auto"/>
        <w:rPr>
          <w:rFonts w:hint="eastAsia" w:ascii="宋体" w:hAnsi="宋体" w:cs="宋体"/>
          <w:color w:val="auto"/>
          <w:szCs w:val="21"/>
          <w:highlight w:val="none"/>
        </w:rPr>
      </w:pPr>
      <w:r>
        <w:rPr>
          <w:rFonts w:hint="eastAsia" w:ascii="宋体" w:hAnsi="宋体" w:cs="宋体"/>
          <w:b/>
          <w:bCs/>
          <w:snapToGrid w:val="0"/>
          <w:color w:val="auto"/>
          <w:kern w:val="0"/>
          <w:szCs w:val="21"/>
          <w:highlight w:val="none"/>
          <w:u w:val="single"/>
        </w:rPr>
        <w:t>申请人提供的投诉书应符合中华人民共和国财政部令第94号--政府采购质疑和投诉办法的规定。</w:t>
      </w:r>
      <w:r>
        <w:rPr>
          <w:rFonts w:hint="eastAsia" w:ascii="宋体" w:hAnsi="宋体" w:cs="宋体"/>
          <w:snapToGrid w:val="0"/>
          <w:color w:val="auto"/>
          <w:kern w:val="0"/>
          <w:szCs w:val="21"/>
          <w:highlight w:val="none"/>
        </w:rPr>
        <w:t>投诉必须首先经过质疑程序。质疑人对采购人、采购代理机构的答复不满意，或者采购人、采购代理机构未在规定的时间内做出答复的，可以在答复期满后十五个工作日内书面向同级财政部门提出投诉。</w:t>
      </w:r>
    </w:p>
    <w:p w14:paraId="58E7688C">
      <w:pPr>
        <w:rPr>
          <w:rFonts w:hint="eastAsia" w:ascii="宋体" w:hAnsi="宋体" w:cs="宋体"/>
          <w:color w:val="auto"/>
          <w:highlight w:val="none"/>
        </w:rPr>
      </w:pPr>
    </w:p>
    <w:p w14:paraId="40A29F05">
      <w:pPr>
        <w:rPr>
          <w:rFonts w:hint="eastAsia" w:ascii="宋体" w:hAnsi="宋体" w:cs="宋体"/>
          <w:color w:val="auto"/>
          <w:highlight w:val="none"/>
        </w:rPr>
      </w:pPr>
    </w:p>
    <w:p w14:paraId="39BB6CB1">
      <w:pPr>
        <w:rPr>
          <w:rFonts w:hint="eastAsia" w:ascii="宋体" w:hAnsi="宋体" w:cs="宋体"/>
          <w:color w:val="auto"/>
          <w:highlight w:val="none"/>
        </w:rPr>
      </w:pPr>
    </w:p>
    <w:p w14:paraId="66458F06">
      <w:pPr>
        <w:rPr>
          <w:rFonts w:hint="eastAsia" w:ascii="宋体" w:hAnsi="宋体" w:cs="宋体"/>
          <w:color w:val="auto"/>
          <w:highlight w:val="none"/>
        </w:rPr>
      </w:pPr>
    </w:p>
    <w:p w14:paraId="158CD963">
      <w:pPr>
        <w:rPr>
          <w:rFonts w:hint="eastAsia" w:ascii="宋体" w:hAnsi="宋体" w:cs="宋体"/>
          <w:color w:val="auto"/>
          <w:highlight w:val="none"/>
        </w:rPr>
      </w:pPr>
    </w:p>
    <w:p w14:paraId="577C5646">
      <w:pPr>
        <w:widowControl/>
        <w:jc w:val="left"/>
        <w:rPr>
          <w:rFonts w:hint="eastAsia" w:ascii="宋体" w:hAnsi="宋体" w:cs="宋体"/>
          <w:bCs/>
          <w:color w:val="auto"/>
          <w:spacing w:val="10"/>
          <w:kern w:val="0"/>
          <w:sz w:val="44"/>
          <w:szCs w:val="44"/>
          <w:highlight w:val="none"/>
        </w:rPr>
      </w:pPr>
      <w:r>
        <w:rPr>
          <w:rFonts w:hint="eastAsia" w:ascii="宋体" w:hAnsi="宋体" w:cs="宋体"/>
          <w:color w:val="auto"/>
          <w:sz w:val="44"/>
          <w:szCs w:val="44"/>
          <w:highlight w:val="none"/>
        </w:rPr>
        <w:br w:type="page"/>
      </w:r>
    </w:p>
    <w:p w14:paraId="580694D1">
      <w:pPr>
        <w:pStyle w:val="47"/>
        <w:rPr>
          <w:rFonts w:hint="eastAsia" w:ascii="宋体" w:hAnsi="宋体" w:cs="宋体"/>
          <w:color w:val="auto"/>
          <w:sz w:val="44"/>
          <w:szCs w:val="44"/>
          <w:highlight w:val="none"/>
        </w:rPr>
      </w:pPr>
    </w:p>
    <w:p w14:paraId="0F880A84">
      <w:pPr>
        <w:pStyle w:val="47"/>
        <w:rPr>
          <w:rFonts w:hint="eastAsia" w:ascii="宋体" w:hAnsi="宋体" w:cs="宋体"/>
          <w:color w:val="auto"/>
          <w:sz w:val="44"/>
          <w:szCs w:val="44"/>
          <w:highlight w:val="none"/>
        </w:rPr>
      </w:pPr>
    </w:p>
    <w:p w14:paraId="710835B4">
      <w:pPr>
        <w:pStyle w:val="47"/>
        <w:rPr>
          <w:rFonts w:hint="eastAsia" w:ascii="宋体" w:hAnsi="宋体" w:cs="宋体"/>
          <w:color w:val="auto"/>
          <w:sz w:val="44"/>
          <w:szCs w:val="44"/>
          <w:highlight w:val="none"/>
        </w:rPr>
      </w:pPr>
    </w:p>
    <w:p w14:paraId="63012CBB">
      <w:pPr>
        <w:pStyle w:val="47"/>
        <w:rPr>
          <w:rFonts w:hint="eastAsia" w:ascii="宋体" w:hAnsi="宋体" w:cs="宋体"/>
          <w:color w:val="auto"/>
          <w:sz w:val="44"/>
          <w:szCs w:val="44"/>
          <w:highlight w:val="none"/>
        </w:rPr>
      </w:pPr>
    </w:p>
    <w:p w14:paraId="3F1DE2F7">
      <w:pPr>
        <w:pStyle w:val="47"/>
        <w:rPr>
          <w:rFonts w:hint="eastAsia" w:ascii="宋体" w:hAnsi="宋体" w:cs="宋体"/>
          <w:color w:val="auto"/>
          <w:sz w:val="44"/>
          <w:szCs w:val="44"/>
          <w:highlight w:val="none"/>
        </w:rPr>
      </w:pPr>
    </w:p>
    <w:p w14:paraId="7899002F">
      <w:pPr>
        <w:pStyle w:val="47"/>
        <w:rPr>
          <w:rFonts w:hint="eastAsia" w:ascii="宋体" w:hAnsi="宋体" w:cs="宋体"/>
          <w:color w:val="auto"/>
          <w:sz w:val="44"/>
          <w:szCs w:val="44"/>
          <w:highlight w:val="none"/>
        </w:rPr>
      </w:pPr>
    </w:p>
    <w:p w14:paraId="20A8FED7">
      <w:pPr>
        <w:pStyle w:val="47"/>
        <w:rPr>
          <w:rFonts w:hint="eastAsia" w:ascii="宋体" w:hAnsi="宋体" w:cs="宋体"/>
          <w:color w:val="auto"/>
          <w:sz w:val="44"/>
          <w:szCs w:val="44"/>
          <w:highlight w:val="none"/>
        </w:rPr>
      </w:pPr>
    </w:p>
    <w:p w14:paraId="0E454A03">
      <w:pPr>
        <w:pStyle w:val="47"/>
        <w:rPr>
          <w:rFonts w:hint="eastAsia" w:ascii="宋体" w:hAnsi="宋体" w:cs="宋体"/>
          <w:color w:val="auto"/>
          <w:sz w:val="44"/>
          <w:szCs w:val="44"/>
          <w:highlight w:val="none"/>
        </w:rPr>
      </w:pPr>
    </w:p>
    <w:p w14:paraId="133508A5">
      <w:pPr>
        <w:pStyle w:val="2"/>
        <w:rPr>
          <w:rFonts w:hint="eastAsia" w:ascii="宋体" w:hAnsi="宋体" w:cs="宋体"/>
          <w:color w:val="auto"/>
          <w:sz w:val="44"/>
          <w:szCs w:val="44"/>
          <w:highlight w:val="none"/>
        </w:rPr>
      </w:pPr>
      <w:bookmarkStart w:id="97" w:name="_Toc228982321"/>
      <w:r>
        <w:rPr>
          <w:rFonts w:hint="eastAsia" w:ascii="宋体" w:hAnsi="宋体" w:cs="宋体"/>
          <w:color w:val="auto"/>
          <w:sz w:val="44"/>
          <w:szCs w:val="44"/>
          <w:highlight w:val="none"/>
        </w:rPr>
        <w:t>第三章  项目需求</w:t>
      </w:r>
      <w:bookmarkEnd w:id="97"/>
    </w:p>
    <w:p w14:paraId="74995437">
      <w:pPr>
        <w:spacing w:line="500" w:lineRule="exact"/>
        <w:rPr>
          <w:rFonts w:hint="eastAsia" w:ascii="宋体" w:hAnsi="宋体" w:cs="宋体"/>
          <w:color w:val="auto"/>
          <w:sz w:val="24"/>
          <w:highlight w:val="none"/>
        </w:rPr>
      </w:pPr>
      <w:bookmarkStart w:id="98" w:name="_Toc292983024"/>
    </w:p>
    <w:p w14:paraId="3940BD9D">
      <w:pPr>
        <w:spacing w:line="500" w:lineRule="exact"/>
        <w:rPr>
          <w:rFonts w:hint="eastAsia" w:ascii="宋体" w:hAnsi="宋体" w:cs="宋体"/>
          <w:color w:val="auto"/>
          <w:sz w:val="24"/>
          <w:highlight w:val="none"/>
        </w:rPr>
      </w:pPr>
    </w:p>
    <w:p w14:paraId="03B6FECA">
      <w:pPr>
        <w:spacing w:line="500" w:lineRule="exact"/>
        <w:rPr>
          <w:rFonts w:hint="eastAsia" w:ascii="宋体" w:hAnsi="宋体" w:cs="宋体"/>
          <w:color w:val="auto"/>
          <w:sz w:val="24"/>
          <w:highlight w:val="none"/>
        </w:rPr>
      </w:pPr>
    </w:p>
    <w:p w14:paraId="1E593B30">
      <w:pPr>
        <w:spacing w:line="500" w:lineRule="exact"/>
        <w:rPr>
          <w:rFonts w:hint="eastAsia" w:ascii="宋体" w:hAnsi="宋体" w:cs="宋体"/>
          <w:color w:val="auto"/>
          <w:sz w:val="24"/>
          <w:highlight w:val="none"/>
        </w:rPr>
      </w:pPr>
    </w:p>
    <w:p w14:paraId="604075EE">
      <w:pPr>
        <w:spacing w:line="500" w:lineRule="exact"/>
        <w:rPr>
          <w:rFonts w:hint="eastAsia" w:ascii="宋体" w:hAnsi="宋体" w:cs="宋体"/>
          <w:color w:val="auto"/>
          <w:sz w:val="24"/>
          <w:highlight w:val="none"/>
        </w:rPr>
      </w:pPr>
    </w:p>
    <w:p w14:paraId="23F90EF8">
      <w:pPr>
        <w:spacing w:line="500" w:lineRule="exact"/>
        <w:rPr>
          <w:rFonts w:hint="eastAsia" w:ascii="宋体" w:hAnsi="宋体" w:cs="宋体"/>
          <w:color w:val="auto"/>
          <w:sz w:val="24"/>
          <w:highlight w:val="none"/>
        </w:rPr>
      </w:pPr>
    </w:p>
    <w:p w14:paraId="24BFFBF7">
      <w:pPr>
        <w:spacing w:line="500" w:lineRule="exact"/>
        <w:rPr>
          <w:rFonts w:hint="eastAsia" w:ascii="宋体" w:hAnsi="宋体" w:cs="宋体"/>
          <w:color w:val="auto"/>
          <w:sz w:val="24"/>
          <w:highlight w:val="none"/>
        </w:rPr>
      </w:pPr>
    </w:p>
    <w:p w14:paraId="7431EB39">
      <w:pPr>
        <w:spacing w:line="500" w:lineRule="exact"/>
        <w:rPr>
          <w:rFonts w:hint="eastAsia" w:ascii="宋体" w:hAnsi="宋体" w:cs="宋体"/>
          <w:color w:val="auto"/>
          <w:sz w:val="24"/>
          <w:highlight w:val="none"/>
        </w:rPr>
      </w:pPr>
    </w:p>
    <w:p w14:paraId="3A19E843">
      <w:pPr>
        <w:spacing w:line="500" w:lineRule="exact"/>
        <w:rPr>
          <w:rFonts w:hint="eastAsia" w:ascii="宋体" w:hAnsi="宋体" w:cs="宋体"/>
          <w:color w:val="auto"/>
          <w:sz w:val="24"/>
          <w:highlight w:val="none"/>
        </w:rPr>
      </w:pPr>
    </w:p>
    <w:p w14:paraId="0EF0243D">
      <w:pPr>
        <w:widowControl/>
        <w:jc w:val="left"/>
        <w:rPr>
          <w:rFonts w:hint="eastAsia" w:ascii="宋体" w:hAnsi="宋体" w:cs="宋体"/>
          <w:color w:val="auto"/>
          <w:sz w:val="24"/>
          <w:highlight w:val="none"/>
        </w:rPr>
      </w:pPr>
      <w:r>
        <w:rPr>
          <w:rFonts w:hint="eastAsia" w:ascii="宋体" w:hAnsi="宋体" w:cs="宋体"/>
          <w:color w:val="auto"/>
          <w:sz w:val="24"/>
          <w:highlight w:val="none"/>
        </w:rPr>
        <w:br w:type="page"/>
      </w:r>
    </w:p>
    <w:p w14:paraId="2DAB0018">
      <w:pPr>
        <w:spacing w:line="500" w:lineRule="exact"/>
        <w:rPr>
          <w:rFonts w:hint="eastAsia" w:ascii="宋体" w:hAnsi="宋体" w:cs="宋体"/>
          <w:color w:val="auto"/>
          <w:sz w:val="24"/>
          <w:highlight w:val="none"/>
        </w:rPr>
      </w:pPr>
      <w:bookmarkStart w:id="99" w:name="OLE_LINK5"/>
      <w:r>
        <w:rPr>
          <w:rFonts w:hint="eastAsia" w:ascii="宋体" w:hAnsi="宋体" w:cs="宋体"/>
          <w:color w:val="auto"/>
          <w:sz w:val="24"/>
          <w:highlight w:val="none"/>
        </w:rPr>
        <w:t>一、采购清单</w:t>
      </w:r>
    </w:p>
    <w:tbl>
      <w:tblPr>
        <w:tblStyle w:val="36"/>
        <w:tblW w:w="10241" w:type="dxa"/>
        <w:jc w:val="center"/>
        <w:tblLayout w:type="fixed"/>
        <w:tblCellMar>
          <w:top w:w="0" w:type="dxa"/>
          <w:left w:w="108" w:type="dxa"/>
          <w:bottom w:w="0" w:type="dxa"/>
          <w:right w:w="108" w:type="dxa"/>
        </w:tblCellMar>
      </w:tblPr>
      <w:tblGrid>
        <w:gridCol w:w="425"/>
        <w:gridCol w:w="1231"/>
        <w:gridCol w:w="5980"/>
        <w:gridCol w:w="491"/>
        <w:gridCol w:w="696"/>
        <w:gridCol w:w="682"/>
        <w:gridCol w:w="736"/>
      </w:tblGrid>
      <w:tr w14:paraId="75C45431">
        <w:tblPrEx>
          <w:tblCellMar>
            <w:top w:w="0" w:type="dxa"/>
            <w:left w:w="108" w:type="dxa"/>
            <w:bottom w:w="0" w:type="dxa"/>
            <w:right w:w="108" w:type="dxa"/>
          </w:tblCellMar>
        </w:tblPrEx>
        <w:trPr>
          <w:trHeight w:val="20"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14:paraId="142F5A95">
            <w:pPr>
              <w:widowControl/>
              <w:jc w:val="center"/>
              <w:rPr>
                <w:color w:val="auto"/>
                <w:sz w:val="16"/>
                <w:highlight w:val="none"/>
              </w:rPr>
            </w:pPr>
            <w:r>
              <w:rPr>
                <w:rFonts w:hint="eastAsia" w:ascii="宋体" w:hAnsi="宋体" w:cs="宋体"/>
                <w:color w:val="auto"/>
                <w:sz w:val="24"/>
                <w:highlight w:val="none"/>
              </w:rPr>
              <w:br w:type="page"/>
            </w:r>
            <w:r>
              <w:rPr>
                <w:rFonts w:hint="eastAsia" w:ascii="Calibri" w:hAnsi="Calibri"/>
                <w:color w:val="auto"/>
                <w:sz w:val="16"/>
                <w:szCs w:val="21"/>
                <w:highlight w:val="none"/>
                <w:lang w:bidi="ar"/>
              </w:rPr>
              <w:t>序号</w:t>
            </w:r>
          </w:p>
        </w:tc>
        <w:tc>
          <w:tcPr>
            <w:tcW w:w="1231" w:type="dxa"/>
            <w:tcBorders>
              <w:top w:val="single" w:color="000000" w:sz="4" w:space="0"/>
              <w:left w:val="nil"/>
              <w:bottom w:val="single" w:color="000000" w:sz="4" w:space="0"/>
              <w:right w:val="single" w:color="000000" w:sz="4" w:space="0"/>
            </w:tcBorders>
            <w:shd w:val="clear" w:color="auto" w:fill="FFFFFF"/>
            <w:vAlign w:val="center"/>
          </w:tcPr>
          <w:p w14:paraId="77B2D301">
            <w:pPr>
              <w:widowControl/>
              <w:jc w:val="center"/>
              <w:rPr>
                <w:color w:val="auto"/>
                <w:sz w:val="16"/>
                <w:highlight w:val="none"/>
              </w:rPr>
            </w:pPr>
            <w:r>
              <w:rPr>
                <w:rFonts w:hint="eastAsia" w:ascii="Calibri" w:hAnsi="Calibri"/>
                <w:color w:val="auto"/>
                <w:sz w:val="16"/>
                <w:szCs w:val="21"/>
                <w:highlight w:val="none"/>
                <w:lang w:bidi="ar"/>
              </w:rPr>
              <w:t>产品（项目）名称</w:t>
            </w:r>
          </w:p>
        </w:tc>
        <w:tc>
          <w:tcPr>
            <w:tcW w:w="5980" w:type="dxa"/>
            <w:tcBorders>
              <w:top w:val="single" w:color="000000" w:sz="4" w:space="0"/>
              <w:left w:val="nil"/>
              <w:bottom w:val="single" w:color="000000" w:sz="4" w:space="0"/>
              <w:right w:val="single" w:color="000000" w:sz="4" w:space="0"/>
            </w:tcBorders>
            <w:vAlign w:val="center"/>
          </w:tcPr>
          <w:p w14:paraId="2255B524">
            <w:pPr>
              <w:widowControl/>
              <w:jc w:val="left"/>
              <w:rPr>
                <w:color w:val="auto"/>
                <w:kern w:val="0"/>
                <w:sz w:val="20"/>
                <w:highlight w:val="none"/>
                <w:lang w:bidi="ar"/>
              </w:rPr>
            </w:pPr>
            <w:r>
              <w:rPr>
                <w:rFonts w:hint="eastAsia" w:ascii="Calibri" w:hAnsi="Calibri"/>
                <w:color w:val="auto"/>
                <w:sz w:val="16"/>
                <w:szCs w:val="21"/>
                <w:highlight w:val="none"/>
                <w:lang w:bidi="ar"/>
              </w:rPr>
              <w:t>规格（技术参数、性能要求）</w:t>
            </w:r>
          </w:p>
          <w:p w14:paraId="4D12EF95">
            <w:pPr>
              <w:widowControl/>
              <w:jc w:val="left"/>
              <w:rPr>
                <w:color w:val="auto"/>
                <w:sz w:val="16"/>
                <w:highlight w:val="none"/>
              </w:rPr>
            </w:pPr>
            <w:r>
              <w:rPr>
                <w:rFonts w:hint="eastAsia" w:ascii="宋体" w:hAnsi="宋体" w:cs="宋体"/>
                <w:color w:val="auto"/>
                <w:sz w:val="16"/>
                <w:szCs w:val="21"/>
                <w:highlight w:val="none"/>
                <w:lang w:bidi="ar"/>
              </w:rPr>
              <w:t>（每行最多</w:t>
            </w:r>
            <w:r>
              <w:rPr>
                <w:rFonts w:ascii="Calibri" w:hAnsi="Calibri" w:cs="Calibri"/>
                <w:color w:val="auto"/>
                <w:sz w:val="16"/>
                <w:szCs w:val="21"/>
                <w:highlight w:val="none"/>
                <w:lang w:bidi="ar"/>
              </w:rPr>
              <w:t>1000</w:t>
            </w:r>
            <w:r>
              <w:rPr>
                <w:rFonts w:hint="eastAsia" w:ascii="宋体" w:hAnsi="宋体" w:cs="宋体"/>
                <w:color w:val="auto"/>
                <w:sz w:val="16"/>
                <w:szCs w:val="21"/>
                <w:highlight w:val="none"/>
                <w:lang w:bidi="ar"/>
              </w:rPr>
              <w:t>个汉字）</w:t>
            </w:r>
          </w:p>
        </w:tc>
        <w:tc>
          <w:tcPr>
            <w:tcW w:w="491" w:type="dxa"/>
            <w:tcBorders>
              <w:top w:val="single" w:color="000000" w:sz="4" w:space="0"/>
              <w:left w:val="nil"/>
              <w:bottom w:val="single" w:color="000000" w:sz="4" w:space="0"/>
              <w:right w:val="single" w:color="000000" w:sz="4" w:space="0"/>
            </w:tcBorders>
            <w:shd w:val="clear" w:color="auto" w:fill="FFFFFF"/>
            <w:noWrap/>
            <w:vAlign w:val="center"/>
          </w:tcPr>
          <w:p w14:paraId="6A7E083C">
            <w:pPr>
              <w:widowControl/>
              <w:jc w:val="center"/>
              <w:rPr>
                <w:color w:val="auto"/>
                <w:sz w:val="16"/>
                <w:highlight w:val="none"/>
              </w:rPr>
            </w:pPr>
            <w:r>
              <w:rPr>
                <w:rFonts w:hint="eastAsia" w:ascii="Calibri" w:hAnsi="Calibri"/>
                <w:color w:val="auto"/>
                <w:sz w:val="16"/>
                <w:szCs w:val="21"/>
                <w:highlight w:val="none"/>
                <w:lang w:bidi="ar"/>
              </w:rPr>
              <w:t>数量</w:t>
            </w:r>
          </w:p>
        </w:tc>
        <w:tc>
          <w:tcPr>
            <w:tcW w:w="696" w:type="dxa"/>
            <w:tcBorders>
              <w:top w:val="single" w:color="000000" w:sz="4" w:space="0"/>
              <w:left w:val="nil"/>
              <w:bottom w:val="single" w:color="000000" w:sz="4" w:space="0"/>
              <w:right w:val="single" w:color="000000" w:sz="4" w:space="0"/>
            </w:tcBorders>
            <w:shd w:val="clear" w:color="auto" w:fill="FFFFFF"/>
            <w:vAlign w:val="center"/>
          </w:tcPr>
          <w:p w14:paraId="000ECF3A">
            <w:pPr>
              <w:widowControl/>
              <w:jc w:val="center"/>
              <w:rPr>
                <w:color w:val="auto"/>
                <w:kern w:val="0"/>
                <w:sz w:val="20"/>
                <w:highlight w:val="none"/>
                <w:lang w:bidi="ar"/>
              </w:rPr>
            </w:pPr>
            <w:r>
              <w:rPr>
                <w:rFonts w:hint="eastAsia" w:ascii="Calibri" w:hAnsi="Calibri"/>
                <w:color w:val="auto"/>
                <w:sz w:val="16"/>
                <w:szCs w:val="21"/>
                <w:highlight w:val="none"/>
                <w:lang w:bidi="ar"/>
              </w:rPr>
              <w:t>计量</w:t>
            </w:r>
          </w:p>
          <w:p w14:paraId="533086FC">
            <w:pPr>
              <w:widowControl/>
              <w:jc w:val="center"/>
              <w:rPr>
                <w:color w:val="auto"/>
                <w:sz w:val="16"/>
                <w:highlight w:val="none"/>
              </w:rPr>
            </w:pPr>
            <w:r>
              <w:rPr>
                <w:rFonts w:hint="eastAsia" w:ascii="Calibri" w:hAnsi="Calibri"/>
                <w:color w:val="auto"/>
                <w:sz w:val="16"/>
                <w:szCs w:val="21"/>
                <w:highlight w:val="none"/>
                <w:lang w:bidi="ar"/>
              </w:rPr>
              <w:t>单位</w:t>
            </w:r>
          </w:p>
        </w:tc>
        <w:tc>
          <w:tcPr>
            <w:tcW w:w="682" w:type="dxa"/>
            <w:tcBorders>
              <w:top w:val="single" w:color="000000" w:sz="4" w:space="0"/>
              <w:left w:val="nil"/>
              <w:bottom w:val="single" w:color="000000" w:sz="4" w:space="0"/>
              <w:right w:val="single" w:color="000000" w:sz="4" w:space="0"/>
            </w:tcBorders>
            <w:shd w:val="clear" w:color="auto" w:fill="FFFFFF"/>
            <w:vAlign w:val="center"/>
          </w:tcPr>
          <w:p w14:paraId="07B7641E">
            <w:pPr>
              <w:widowControl/>
              <w:jc w:val="center"/>
              <w:rPr>
                <w:color w:val="auto"/>
                <w:kern w:val="0"/>
                <w:sz w:val="20"/>
                <w:highlight w:val="none"/>
                <w:lang w:bidi="ar"/>
              </w:rPr>
            </w:pPr>
            <w:r>
              <w:rPr>
                <w:rFonts w:hint="eastAsia" w:ascii="Calibri" w:hAnsi="Calibri"/>
                <w:color w:val="auto"/>
                <w:sz w:val="16"/>
                <w:szCs w:val="21"/>
                <w:highlight w:val="none"/>
                <w:lang w:bidi="ar"/>
              </w:rPr>
              <w:t>预算单价</w:t>
            </w:r>
          </w:p>
          <w:p w14:paraId="21888999">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（元）</w:t>
            </w:r>
          </w:p>
        </w:tc>
        <w:tc>
          <w:tcPr>
            <w:tcW w:w="736" w:type="dxa"/>
            <w:tcBorders>
              <w:top w:val="single" w:color="000000" w:sz="4" w:space="0"/>
              <w:left w:val="nil"/>
              <w:bottom w:val="single" w:color="000000" w:sz="4" w:space="0"/>
              <w:right w:val="single" w:color="000000" w:sz="4" w:space="0"/>
            </w:tcBorders>
            <w:shd w:val="clear" w:color="auto" w:fill="FFFFFF"/>
            <w:vAlign w:val="center"/>
          </w:tcPr>
          <w:p w14:paraId="0E137CFD">
            <w:pPr>
              <w:widowControl/>
              <w:jc w:val="center"/>
              <w:rPr>
                <w:color w:val="auto"/>
                <w:kern w:val="0"/>
                <w:sz w:val="20"/>
                <w:highlight w:val="none"/>
                <w:lang w:bidi="ar"/>
              </w:rPr>
            </w:pPr>
            <w:r>
              <w:rPr>
                <w:rFonts w:hint="eastAsia" w:ascii="Calibri" w:hAnsi="Calibri"/>
                <w:color w:val="auto"/>
                <w:sz w:val="16"/>
                <w:szCs w:val="21"/>
                <w:highlight w:val="none"/>
                <w:lang w:bidi="ar"/>
              </w:rPr>
              <w:t>金额</w:t>
            </w:r>
          </w:p>
          <w:p w14:paraId="1CAEB78D">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（元）</w:t>
            </w:r>
          </w:p>
        </w:tc>
      </w:tr>
      <w:tr w14:paraId="2FEA482E">
        <w:tblPrEx>
          <w:tblCellMar>
            <w:top w:w="0" w:type="dxa"/>
            <w:left w:w="108" w:type="dxa"/>
            <w:bottom w:w="0" w:type="dxa"/>
            <w:right w:w="108" w:type="dxa"/>
          </w:tblCellMar>
        </w:tblPrEx>
        <w:trPr>
          <w:trHeight w:val="20"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14:paraId="07DECFF2">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w:t>
            </w:r>
          </w:p>
        </w:tc>
        <w:tc>
          <w:tcPr>
            <w:tcW w:w="1231" w:type="dxa"/>
            <w:tcBorders>
              <w:top w:val="single" w:color="000000" w:sz="4" w:space="0"/>
              <w:left w:val="nil"/>
              <w:bottom w:val="single" w:color="000000" w:sz="4" w:space="0"/>
              <w:right w:val="single" w:color="000000" w:sz="4" w:space="0"/>
            </w:tcBorders>
            <w:shd w:val="clear" w:color="auto" w:fill="FFFFFF"/>
            <w:vAlign w:val="center"/>
          </w:tcPr>
          <w:p w14:paraId="09DC1903">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接收/发送卡</w:t>
            </w:r>
          </w:p>
        </w:tc>
        <w:tc>
          <w:tcPr>
            <w:tcW w:w="5980" w:type="dxa"/>
            <w:tcBorders>
              <w:top w:val="single" w:color="000000" w:sz="4" w:space="0"/>
              <w:left w:val="nil"/>
              <w:bottom w:val="single" w:color="000000" w:sz="4" w:space="0"/>
              <w:right w:val="single" w:color="000000" w:sz="4" w:space="0"/>
            </w:tcBorders>
            <w:vAlign w:val="center"/>
          </w:tcPr>
          <w:p w14:paraId="5BB82E01">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带载128x1536；输出:12xHUB75；支持32扫、支持固件程序版本回读。</w:t>
            </w:r>
          </w:p>
        </w:tc>
        <w:tc>
          <w:tcPr>
            <w:tcW w:w="491" w:type="dxa"/>
            <w:tcBorders>
              <w:top w:val="single" w:color="000000" w:sz="4" w:space="0"/>
              <w:left w:val="nil"/>
              <w:bottom w:val="single" w:color="000000" w:sz="4" w:space="0"/>
              <w:right w:val="single" w:color="000000" w:sz="4" w:space="0"/>
            </w:tcBorders>
            <w:shd w:val="clear" w:color="auto" w:fill="FFFFFF"/>
            <w:vAlign w:val="center"/>
          </w:tcPr>
          <w:p w14:paraId="43C9B2C1">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13</w:t>
            </w:r>
          </w:p>
        </w:tc>
        <w:tc>
          <w:tcPr>
            <w:tcW w:w="696" w:type="dxa"/>
            <w:tcBorders>
              <w:top w:val="single" w:color="000000" w:sz="4" w:space="0"/>
              <w:left w:val="nil"/>
              <w:bottom w:val="single" w:color="000000" w:sz="4" w:space="0"/>
              <w:right w:val="single" w:color="000000" w:sz="4" w:space="0"/>
            </w:tcBorders>
            <w:shd w:val="clear" w:color="auto" w:fill="FFFFFF"/>
            <w:vAlign w:val="center"/>
          </w:tcPr>
          <w:p w14:paraId="2BDB8083">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张</w:t>
            </w:r>
          </w:p>
        </w:tc>
        <w:tc>
          <w:tcPr>
            <w:tcW w:w="682" w:type="dxa"/>
            <w:tcBorders>
              <w:top w:val="single" w:color="000000" w:sz="4" w:space="0"/>
              <w:left w:val="nil"/>
              <w:bottom w:val="single" w:color="000000" w:sz="4" w:space="0"/>
              <w:right w:val="single" w:color="000000" w:sz="4" w:space="0"/>
            </w:tcBorders>
            <w:shd w:val="clear" w:color="auto" w:fill="FFFFFF"/>
            <w:vAlign w:val="center"/>
          </w:tcPr>
          <w:p w14:paraId="1EDDF8BC">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150</w:t>
            </w:r>
          </w:p>
        </w:tc>
        <w:tc>
          <w:tcPr>
            <w:tcW w:w="736" w:type="dxa"/>
            <w:tcBorders>
              <w:top w:val="single" w:color="000000" w:sz="4" w:space="0"/>
              <w:left w:val="nil"/>
              <w:bottom w:val="single" w:color="000000" w:sz="4" w:space="0"/>
              <w:right w:val="single" w:color="000000" w:sz="4" w:space="0"/>
            </w:tcBorders>
            <w:shd w:val="clear" w:color="auto" w:fill="FFFFFF"/>
            <w:vAlign w:val="center"/>
          </w:tcPr>
          <w:p w14:paraId="449C014A">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1950</w:t>
            </w:r>
          </w:p>
        </w:tc>
      </w:tr>
      <w:tr w14:paraId="534C97D4">
        <w:tblPrEx>
          <w:tblCellMar>
            <w:top w:w="0" w:type="dxa"/>
            <w:left w:w="108" w:type="dxa"/>
            <w:bottom w:w="0" w:type="dxa"/>
            <w:right w:w="108" w:type="dxa"/>
          </w:tblCellMar>
        </w:tblPrEx>
        <w:trPr>
          <w:trHeight w:val="20"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14:paraId="49DFCD73">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2</w:t>
            </w:r>
          </w:p>
        </w:tc>
        <w:tc>
          <w:tcPr>
            <w:tcW w:w="1231" w:type="dxa"/>
            <w:tcBorders>
              <w:top w:val="single" w:color="000000" w:sz="4" w:space="0"/>
              <w:left w:val="nil"/>
              <w:bottom w:val="single" w:color="000000" w:sz="4" w:space="0"/>
              <w:right w:val="single" w:color="000000" w:sz="4" w:space="0"/>
            </w:tcBorders>
            <w:shd w:val="clear" w:color="auto" w:fill="FFFFFF"/>
            <w:vAlign w:val="center"/>
          </w:tcPr>
          <w:p w14:paraId="29D98C38">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VR头盔</w:t>
            </w:r>
          </w:p>
        </w:tc>
        <w:tc>
          <w:tcPr>
            <w:tcW w:w="5980" w:type="dxa"/>
            <w:tcBorders>
              <w:top w:val="single" w:color="000000" w:sz="4" w:space="0"/>
              <w:left w:val="nil"/>
              <w:bottom w:val="single" w:color="000000" w:sz="4" w:space="0"/>
              <w:right w:val="single" w:color="000000" w:sz="4" w:space="0"/>
            </w:tcBorders>
            <w:vAlign w:val="center"/>
          </w:tcPr>
          <w:p w14:paraId="19E51936">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计算平台技术要求：</w:t>
            </w:r>
          </w:p>
          <w:p w14:paraId="0504F06E">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CPU：≥585核心，8核64位，最高主频 2.84GHz，7nm制程工艺</w:t>
            </w:r>
          </w:p>
          <w:p w14:paraId="29886E33">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存储：≥256GB</w:t>
            </w:r>
          </w:p>
          <w:p w14:paraId="71F863E1">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连接方式：支持wifi6和蓝牙5.1</w:t>
            </w:r>
          </w:p>
          <w:p w14:paraId="611CA845">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显示要求：≥5.12 inch（2.56x2）</w:t>
            </w:r>
          </w:p>
          <w:p w14:paraId="237050E2">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刷新率：≥72/90Hz</w:t>
            </w:r>
          </w:p>
          <w:p w14:paraId="26DBC492">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空间定位支持：自研 6DoF 空间定位方案</w:t>
            </w:r>
          </w:p>
          <w:p w14:paraId="5810E00B">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电池：≥5300mAh</w:t>
            </w:r>
          </w:p>
        </w:tc>
        <w:tc>
          <w:tcPr>
            <w:tcW w:w="491" w:type="dxa"/>
            <w:tcBorders>
              <w:top w:val="single" w:color="000000" w:sz="4" w:space="0"/>
              <w:left w:val="nil"/>
              <w:bottom w:val="single" w:color="000000" w:sz="4" w:space="0"/>
              <w:right w:val="single" w:color="000000" w:sz="4" w:space="0"/>
            </w:tcBorders>
            <w:shd w:val="clear" w:color="auto" w:fill="FFFFFF"/>
            <w:vAlign w:val="center"/>
          </w:tcPr>
          <w:p w14:paraId="1A6FD905">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25</w:t>
            </w:r>
          </w:p>
        </w:tc>
        <w:tc>
          <w:tcPr>
            <w:tcW w:w="696" w:type="dxa"/>
            <w:tcBorders>
              <w:top w:val="single" w:color="000000" w:sz="4" w:space="0"/>
              <w:left w:val="nil"/>
              <w:bottom w:val="single" w:color="000000" w:sz="4" w:space="0"/>
              <w:right w:val="single" w:color="000000" w:sz="4" w:space="0"/>
            </w:tcBorders>
            <w:shd w:val="clear" w:color="auto" w:fill="FFFFFF"/>
            <w:vAlign w:val="center"/>
          </w:tcPr>
          <w:p w14:paraId="4FE5522F">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套</w:t>
            </w:r>
          </w:p>
        </w:tc>
        <w:tc>
          <w:tcPr>
            <w:tcW w:w="682" w:type="dxa"/>
            <w:tcBorders>
              <w:top w:val="single" w:color="000000" w:sz="4" w:space="0"/>
              <w:left w:val="nil"/>
              <w:bottom w:val="single" w:color="000000" w:sz="4" w:space="0"/>
              <w:right w:val="single" w:color="000000" w:sz="4" w:space="0"/>
            </w:tcBorders>
            <w:shd w:val="clear" w:color="auto" w:fill="FFFFFF"/>
            <w:vAlign w:val="center"/>
          </w:tcPr>
          <w:p w14:paraId="2B8EA5D9">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4300</w:t>
            </w:r>
          </w:p>
        </w:tc>
        <w:tc>
          <w:tcPr>
            <w:tcW w:w="736" w:type="dxa"/>
            <w:tcBorders>
              <w:top w:val="single" w:color="000000" w:sz="4" w:space="0"/>
              <w:left w:val="nil"/>
              <w:bottom w:val="single" w:color="000000" w:sz="4" w:space="0"/>
              <w:right w:val="single" w:color="000000" w:sz="4" w:space="0"/>
            </w:tcBorders>
            <w:shd w:val="clear" w:color="auto" w:fill="FFFFFF"/>
            <w:vAlign w:val="center"/>
          </w:tcPr>
          <w:p w14:paraId="1A7D4855">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107500</w:t>
            </w:r>
          </w:p>
        </w:tc>
      </w:tr>
      <w:tr w14:paraId="2EC048B4">
        <w:tblPrEx>
          <w:tblCellMar>
            <w:top w:w="0" w:type="dxa"/>
            <w:left w:w="108" w:type="dxa"/>
            <w:bottom w:w="0" w:type="dxa"/>
            <w:right w:w="108" w:type="dxa"/>
          </w:tblCellMar>
        </w:tblPrEx>
        <w:trPr>
          <w:trHeight w:val="20"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14:paraId="3C698DA3">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3</w:t>
            </w:r>
          </w:p>
        </w:tc>
        <w:tc>
          <w:tcPr>
            <w:tcW w:w="1231" w:type="dxa"/>
            <w:tcBorders>
              <w:top w:val="single" w:color="000000" w:sz="4" w:space="0"/>
              <w:left w:val="nil"/>
              <w:bottom w:val="single" w:color="000000" w:sz="4" w:space="0"/>
              <w:right w:val="single" w:color="000000" w:sz="4" w:space="0"/>
            </w:tcBorders>
            <w:shd w:val="clear" w:color="auto" w:fill="FFFFFF"/>
            <w:vAlign w:val="center"/>
          </w:tcPr>
          <w:p w14:paraId="386B7617">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机柜</w:t>
            </w:r>
          </w:p>
        </w:tc>
        <w:tc>
          <w:tcPr>
            <w:tcW w:w="5980" w:type="dxa"/>
            <w:tcBorders>
              <w:top w:val="single" w:color="000000" w:sz="4" w:space="0"/>
              <w:left w:val="nil"/>
              <w:bottom w:val="single" w:color="000000" w:sz="4" w:space="0"/>
              <w:right w:val="single" w:color="000000" w:sz="4" w:space="0"/>
            </w:tcBorders>
            <w:vAlign w:val="center"/>
          </w:tcPr>
          <w:p w14:paraId="0D9E1BF6">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 xml:space="preserve">1. 标准42U机柜； </w:t>
            </w:r>
          </w:p>
          <w:p w14:paraId="05A36A69">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2.门及门锁：网状冷轧钢前门或侧通风钢化玻璃主体前门，弹式免匙锁；后门：冷轧钢网孔后门，钢质圆锁</w:t>
            </w:r>
          </w:p>
          <w:p w14:paraId="693600E7">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3.优质冷轧钢板制作，表面处理：脱脂，酸洗，磷化，静电喷塑；</w:t>
            </w:r>
          </w:p>
          <w:p w14:paraId="57CD980D">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4.速拆卸式双侧板；</w:t>
            </w:r>
          </w:p>
          <w:p w14:paraId="054F076A">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5.走线：上，下预留走线孔位（可开、关），底部可完全敞开；</w:t>
            </w:r>
          </w:p>
          <w:p w14:paraId="43DC1512">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6.通风：置顶式风机散热单元，底部进风口（可开，关）；</w:t>
            </w:r>
          </w:p>
          <w:p w14:paraId="6D2129C7">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7.提供第三方机构出具的检测报告复印件或产品宣传彩页或官方截图或技术白皮书</w:t>
            </w:r>
          </w:p>
        </w:tc>
        <w:tc>
          <w:tcPr>
            <w:tcW w:w="491" w:type="dxa"/>
            <w:tcBorders>
              <w:top w:val="single" w:color="000000" w:sz="4" w:space="0"/>
              <w:left w:val="nil"/>
              <w:bottom w:val="single" w:color="000000" w:sz="4" w:space="0"/>
              <w:right w:val="single" w:color="000000" w:sz="4" w:space="0"/>
            </w:tcBorders>
            <w:shd w:val="clear" w:color="auto" w:fill="FFFFFF"/>
            <w:vAlign w:val="center"/>
          </w:tcPr>
          <w:p w14:paraId="2C4CBA1F">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w:t>
            </w:r>
          </w:p>
        </w:tc>
        <w:tc>
          <w:tcPr>
            <w:tcW w:w="696" w:type="dxa"/>
            <w:tcBorders>
              <w:top w:val="single" w:color="000000" w:sz="4" w:space="0"/>
              <w:left w:val="nil"/>
              <w:bottom w:val="single" w:color="000000" w:sz="4" w:space="0"/>
              <w:right w:val="single" w:color="000000" w:sz="4" w:space="0"/>
            </w:tcBorders>
            <w:shd w:val="clear" w:color="auto" w:fill="FFFFFF"/>
            <w:vAlign w:val="center"/>
          </w:tcPr>
          <w:p w14:paraId="168CF06F">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台</w:t>
            </w:r>
          </w:p>
        </w:tc>
        <w:tc>
          <w:tcPr>
            <w:tcW w:w="682" w:type="dxa"/>
            <w:tcBorders>
              <w:top w:val="single" w:color="000000" w:sz="4" w:space="0"/>
              <w:left w:val="nil"/>
              <w:bottom w:val="single" w:color="000000" w:sz="4" w:space="0"/>
              <w:right w:val="single" w:color="000000" w:sz="4" w:space="0"/>
            </w:tcBorders>
            <w:shd w:val="clear" w:color="auto" w:fill="FFFFFF"/>
            <w:vAlign w:val="center"/>
          </w:tcPr>
          <w:p w14:paraId="37F09C81">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2000</w:t>
            </w:r>
          </w:p>
        </w:tc>
        <w:tc>
          <w:tcPr>
            <w:tcW w:w="736" w:type="dxa"/>
            <w:tcBorders>
              <w:top w:val="single" w:color="000000" w:sz="4" w:space="0"/>
              <w:left w:val="nil"/>
              <w:bottom w:val="single" w:color="000000" w:sz="4" w:space="0"/>
              <w:right w:val="single" w:color="000000" w:sz="4" w:space="0"/>
            </w:tcBorders>
            <w:shd w:val="clear" w:color="auto" w:fill="FFFFFF"/>
            <w:vAlign w:val="center"/>
          </w:tcPr>
          <w:p w14:paraId="24B0D3F6">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2000</w:t>
            </w:r>
          </w:p>
        </w:tc>
      </w:tr>
      <w:tr w14:paraId="3BB20C91">
        <w:tblPrEx>
          <w:tblCellMar>
            <w:top w:w="0" w:type="dxa"/>
            <w:left w:w="108" w:type="dxa"/>
            <w:bottom w:w="0" w:type="dxa"/>
            <w:right w:w="108" w:type="dxa"/>
          </w:tblCellMar>
        </w:tblPrEx>
        <w:trPr>
          <w:trHeight w:val="20"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14:paraId="21B1EE0B">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4</w:t>
            </w:r>
          </w:p>
        </w:tc>
        <w:tc>
          <w:tcPr>
            <w:tcW w:w="1231" w:type="dxa"/>
            <w:tcBorders>
              <w:top w:val="single" w:color="000000" w:sz="4" w:space="0"/>
              <w:left w:val="nil"/>
              <w:bottom w:val="single" w:color="000000" w:sz="4" w:space="0"/>
              <w:right w:val="single" w:color="000000" w:sz="4" w:space="0"/>
            </w:tcBorders>
            <w:shd w:val="clear" w:color="auto" w:fill="FFFFFF"/>
            <w:vAlign w:val="center"/>
          </w:tcPr>
          <w:p w14:paraId="4205EEDE">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AI智能共享导游实验设备</w:t>
            </w:r>
          </w:p>
        </w:tc>
        <w:tc>
          <w:tcPr>
            <w:tcW w:w="5980" w:type="dxa"/>
            <w:tcBorders>
              <w:top w:val="single" w:color="000000" w:sz="4" w:space="0"/>
              <w:left w:val="nil"/>
              <w:bottom w:val="single" w:color="000000" w:sz="4" w:space="0"/>
              <w:right w:val="single" w:color="000000" w:sz="4" w:space="0"/>
            </w:tcBorders>
            <w:vAlign w:val="center"/>
          </w:tcPr>
          <w:p w14:paraId="78A99070">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AI智能共享导游亭实训设备，要求以钢化玻璃隔间为载体，内部配置控制系统、显示系统、音视频输入采集系统、安全系统等核心设备，可支持1-2名学生同时使用AI智能共享导游亭实训设备完成模拟导游、技能大赛、导游考试、旅游英语等日常教学及实训任务。</w:t>
            </w:r>
          </w:p>
          <w:p w14:paraId="1C171811">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一、整机构成及功能要求：</w:t>
            </w:r>
          </w:p>
          <w:p w14:paraId="3D0315EC">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1.设备主体：设备主体采用≧1.5MM的碳钢及不低于500兆帕强度四级钢材作为设备主体框架，其中三个立面采用钢化玻璃，整体呈一个隔音、封闭的学习空间。</w:t>
            </w:r>
          </w:p>
          <w:p w14:paraId="3A6CDF18">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▲2.输入控制设备1台：设备内部须集成嵌入式触摸控输入设备1台，屏幕尺寸：≧21.5寸,分辨率不低于1920×1080；（提供第三方机构出具的检测报告复印件或产品宣传彩页或官方截图或技术白皮书）</w:t>
            </w:r>
          </w:p>
          <w:p w14:paraId="7DB765D2">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▲3.教学内容显示设备1台：设备内部须集成嵌入式影像字幕显示屏1台，屏幕尺寸: ≧32寸,分辨率不低于1920×1080；（提供第三方机构出具的检测报告复印件或产品宣传彩页或官方截图或技术白皮书）</w:t>
            </w:r>
          </w:p>
          <w:p w14:paraId="7FCA1BC7">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▲5.内置视频采集设备，并具有补光灯。（提供第三方机构出具的检测报告复印件或产品宣传彩页或官方截图或技术白皮书）</w:t>
            </w:r>
          </w:p>
          <w:p w14:paraId="0798901E">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▲6.设备支撑轮采用可调节水平的福马轮设计，支撑块采用耐磨材质，便于设备短距离移动和固定。（提供第三方机构出具的检测报告复印件或产品宣传彩页或官方截图或技术白皮书）</w:t>
            </w:r>
          </w:p>
          <w:p w14:paraId="02DD74E4">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7.设备具备通风系统。</w:t>
            </w:r>
          </w:p>
          <w:p w14:paraId="04DA05D4">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8.物联网门禁系统：设备整机支持外部扫码开门，内部按钮开门，配有≥280KG磁力锁。设备内包含闭门器，可自动缓冲以保持关门状态。（提供第三方机构出具的检测报告复印件或产品宣传彩页或官方截图或技术白皮书）</w:t>
            </w:r>
          </w:p>
          <w:p w14:paraId="3B1E55EF">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二、设备控制主机配置：</w:t>
            </w:r>
          </w:p>
          <w:p w14:paraId="15D379F9">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1.设备外观参考尺寸：1.5×1.5×2.6m（长*宽*高），尺寸偏差±3cm以内；</w:t>
            </w:r>
          </w:p>
          <w:p w14:paraId="6CFB0CF0">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2.配置设备主控系统1套，要求CPU核心数量：不低于六核心，线程数：不低于十二线程，内存:≥8GB DDR4 2400MHz，硬盘容量:≥128G固态硬盘+1T机械硬盘，显卡要求独立显卡，显存≥4GB，支持网络唤醒功能；</w:t>
            </w:r>
          </w:p>
          <w:p w14:paraId="762C37F7">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3.设备额定电源：AC220V~50HZ，额定功率：整机≤800W；</w:t>
            </w:r>
          </w:p>
          <w:p w14:paraId="196BE469">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4.网络：支持无线网络和有线网络，可支持定时开关机；</w:t>
            </w:r>
          </w:p>
          <w:p w14:paraId="5B26565A">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三、设备控制系统要求：</w:t>
            </w:r>
          </w:p>
          <w:p w14:paraId="68CB9C1A">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16"/>
                <w:highlight w:val="none"/>
                <w:lang w:bidi="ar"/>
              </w:rPr>
              <w:t>▲1.</w:t>
            </w:r>
            <w:r>
              <w:rPr>
                <w:rFonts w:ascii="宋体" w:hAnsi="宋体" w:cs="宋体"/>
                <w:color w:val="auto"/>
                <w:kern w:val="0"/>
                <w:sz w:val="16"/>
                <w:szCs w:val="16"/>
                <w:highlight w:val="none"/>
                <w:lang w:bidi="ar"/>
              </w:rPr>
              <w:t>配套提供教学管理与实训移动端应用，移动端应用应具备用户管理、学情数据分析、设备管控、实训预约、实训排期、成绩管理、教学成果汇总管理等功能。</w:t>
            </w:r>
            <w:r>
              <w:rPr>
                <w:rFonts w:hint="eastAsia" w:ascii="宋体" w:hAnsi="宋体" w:cs="宋体"/>
                <w:color w:val="auto"/>
                <w:sz w:val="16"/>
                <w:szCs w:val="21"/>
                <w:highlight w:val="none"/>
                <w:lang w:bidi="ar"/>
              </w:rPr>
              <w:t>（提供第三方机构出具的检测报告复印件或产品宣传彩页或官方截图或技术白皮书）</w:t>
            </w:r>
          </w:p>
          <w:p w14:paraId="66307061">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16"/>
                <w:highlight w:val="none"/>
                <w:lang w:bidi="ar"/>
              </w:rPr>
              <w:t>▲2.</w:t>
            </w:r>
            <w:r>
              <w:rPr>
                <w:rFonts w:ascii="宋体" w:hAnsi="宋体" w:cs="宋体"/>
                <w:color w:val="auto"/>
                <w:kern w:val="0"/>
                <w:sz w:val="16"/>
                <w:szCs w:val="16"/>
                <w:highlight w:val="none"/>
                <w:lang w:bidi="ar"/>
              </w:rPr>
              <w:t>系统支持设备故障自助检测与报修功能。设备可自动识别运行异常状态，支持线上提交报修申请，同时提供故障自查指引，方便操作人员自主排查处置。</w:t>
            </w:r>
            <w:r>
              <w:rPr>
                <w:rFonts w:hint="eastAsia" w:ascii="宋体" w:hAnsi="宋体" w:cs="宋体"/>
                <w:color w:val="auto"/>
                <w:sz w:val="16"/>
                <w:szCs w:val="21"/>
                <w:highlight w:val="none"/>
                <w:lang w:bidi="ar"/>
              </w:rPr>
              <w:t>（提供第三方机构出具的检测报告复印件或产品宣传彩页或官方截图或技术白皮书）</w:t>
            </w:r>
          </w:p>
          <w:p w14:paraId="6B541865">
            <w:pPr>
              <w:widowControl/>
              <w:jc w:val="left"/>
              <w:rPr>
                <w:rFonts w:hint="eastAsia" w:ascii="宋体" w:hAnsi="宋体" w:cs="宋体"/>
                <w:color w:val="auto"/>
                <w:sz w:val="16"/>
                <w:szCs w:val="16"/>
                <w:highlight w:val="none"/>
                <w:lang w:bidi="ar"/>
              </w:rPr>
            </w:pPr>
            <w:r>
              <w:rPr>
                <w:rFonts w:hint="eastAsia" w:ascii="宋体" w:hAnsi="宋体" w:cs="宋体"/>
                <w:color w:val="auto"/>
                <w:sz w:val="16"/>
                <w:szCs w:val="16"/>
                <w:highlight w:val="none"/>
                <w:lang w:bidi="ar"/>
              </w:rPr>
              <w:t>▲3.要求设备具备设备使用数据统计功能，数据统计维度包括：设备基本信息、设备在线情况、总用户数、新增用户数、用户使用情况、优秀作品排行榜等用户数据统计分析功能。（提供第三方机构出具的检测报告复印件或产品宣传彩页或官方截图或技术白皮书）</w:t>
            </w:r>
          </w:p>
          <w:p w14:paraId="1438CEC2">
            <w:pPr>
              <w:widowControl/>
              <w:jc w:val="left"/>
              <w:rPr>
                <w:rFonts w:hint="eastAsia" w:ascii="宋体" w:hAnsi="宋体" w:cs="宋体"/>
                <w:color w:val="auto"/>
                <w:sz w:val="16"/>
                <w:szCs w:val="16"/>
                <w:highlight w:val="none"/>
                <w:lang w:bidi="ar"/>
              </w:rPr>
            </w:pPr>
            <w:r>
              <w:rPr>
                <w:rFonts w:hint="eastAsia" w:ascii="宋体" w:hAnsi="宋体" w:cs="宋体"/>
                <w:color w:val="auto"/>
                <w:sz w:val="16"/>
                <w:szCs w:val="16"/>
                <w:highlight w:val="none"/>
                <w:lang w:bidi="ar"/>
              </w:rPr>
              <w:t>▲4.为了保证设备的合理使用，避免被部分用户长期占用，要求后台支持最长使用时间设置以及使用间隔设置，可根据用户需求进行灵活设置。（提供第三方机构出具的检测报告复印件或产品宣传彩页或官方截图或技术白皮书）</w:t>
            </w:r>
          </w:p>
          <w:p w14:paraId="6260A9E3">
            <w:pPr>
              <w:widowControl/>
              <w:jc w:val="left"/>
              <w:rPr>
                <w:color w:val="auto"/>
                <w:sz w:val="16"/>
                <w:szCs w:val="16"/>
                <w:highlight w:val="none"/>
              </w:rPr>
            </w:pPr>
            <w:r>
              <w:rPr>
                <w:rFonts w:hint="eastAsia" w:ascii="宋体" w:hAnsi="宋体" w:cs="宋体"/>
                <w:color w:val="auto"/>
                <w:sz w:val="16"/>
                <w:szCs w:val="16"/>
                <w:highlight w:val="none"/>
                <w:lang w:bidi="ar"/>
              </w:rPr>
              <w:t>5.</w:t>
            </w:r>
            <w:r>
              <w:rPr>
                <w:rFonts w:ascii="宋体" w:hAnsi="宋体" w:cs="宋体"/>
                <w:color w:val="auto"/>
                <w:kern w:val="0"/>
                <w:sz w:val="16"/>
                <w:szCs w:val="16"/>
                <w:highlight w:val="none"/>
                <w:lang w:bidi="ar"/>
              </w:rPr>
              <w:t>教学管理系统需具备多媒体课堂管控能力，包含屏幕实时巡查、远程控制、画面广播、音视频点播、统一锁屏肃静、电子举手、远程开机/关机等功能。</w:t>
            </w:r>
            <w:r>
              <w:rPr>
                <w:rFonts w:hint="eastAsia" w:ascii="宋体" w:hAnsi="宋体" w:cs="宋体"/>
                <w:color w:val="auto"/>
                <w:sz w:val="16"/>
                <w:szCs w:val="21"/>
                <w:highlight w:val="none"/>
                <w:lang w:bidi="ar"/>
              </w:rPr>
              <w:t>（提供第三方机构出具的检测报告复印件或产品宣传彩页或官方截图或技术白皮书）</w:t>
            </w:r>
          </w:p>
          <w:p w14:paraId="31625942">
            <w:pPr>
              <w:widowControl/>
              <w:jc w:val="left"/>
              <w:rPr>
                <w:rFonts w:hint="eastAsia" w:ascii="宋体" w:hAnsi="宋体" w:cs="宋体"/>
                <w:color w:val="auto"/>
                <w:sz w:val="16"/>
                <w:szCs w:val="16"/>
                <w:highlight w:val="none"/>
                <w:lang w:bidi="ar"/>
              </w:rPr>
            </w:pPr>
            <w:r>
              <w:rPr>
                <w:rFonts w:hint="eastAsia" w:ascii="宋体" w:hAnsi="宋体" w:cs="宋体"/>
                <w:color w:val="auto"/>
                <w:sz w:val="16"/>
                <w:szCs w:val="16"/>
                <w:highlight w:val="none"/>
                <w:lang w:bidi="ar"/>
              </w:rPr>
              <w:t>四、设备安全性要求：</w:t>
            </w:r>
          </w:p>
          <w:p w14:paraId="2507131E">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▲1.申请人所投产品必须经过设备硬件类及软件功能测试，满足国家相关硬件兼容性及软件质量通用标准要求。（提供第三方机构出具的检测报告复印件或产品宣传彩页或官方截图或技术白皮书）</w:t>
            </w:r>
          </w:p>
          <w:p w14:paraId="1B752D15">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▲2.申请人所投产品必须满足整体防尘防水IPX5测试，外壳防护等级(IP代码)符合GBT4208-2017的规范要求（提供第三方机构出具的检测报告复印件或产品宣传彩页或官方截图或技术白皮书）</w:t>
            </w:r>
          </w:p>
          <w:p w14:paraId="794F4788">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3.申请人所投产品必须满足浪涌(冲击)抗扰度测试，结果符合GB/T17626.5-2019《电磁兼容试验和测试技术浪涌(冲击)抗扰度试验》，同时达到性能判据A的要求。（提供第三方机构出具的检测报告复印件或产品宣传彩页或官方截图或技术白皮书）</w:t>
            </w:r>
          </w:p>
          <w:p w14:paraId="7178227E">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4.设备承重底板：具备防滑防潮底部承重底板且最大承重不低于1000KG。（提供第三方机构出具的检测报告复印件或产品宣传彩页或官方截图或技术白皮书）</w:t>
            </w:r>
          </w:p>
          <w:p w14:paraId="28D01FCE">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五、【其他要求】</w:t>
            </w:r>
          </w:p>
          <w:p w14:paraId="5360E831">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上述参数中标▲的技术参数要求为重要参数，申请人应逐条按要求予以响应。</w:t>
            </w:r>
          </w:p>
        </w:tc>
        <w:tc>
          <w:tcPr>
            <w:tcW w:w="491" w:type="dxa"/>
            <w:tcBorders>
              <w:top w:val="single" w:color="000000" w:sz="4" w:space="0"/>
              <w:left w:val="nil"/>
              <w:bottom w:val="single" w:color="000000" w:sz="4" w:space="0"/>
              <w:right w:val="single" w:color="000000" w:sz="4" w:space="0"/>
            </w:tcBorders>
            <w:shd w:val="clear" w:color="auto" w:fill="FFFFFF"/>
            <w:vAlign w:val="center"/>
          </w:tcPr>
          <w:p w14:paraId="47B88F25">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2</w:t>
            </w:r>
          </w:p>
        </w:tc>
        <w:tc>
          <w:tcPr>
            <w:tcW w:w="696" w:type="dxa"/>
            <w:tcBorders>
              <w:top w:val="single" w:color="000000" w:sz="4" w:space="0"/>
              <w:left w:val="nil"/>
              <w:bottom w:val="single" w:color="000000" w:sz="4" w:space="0"/>
              <w:right w:val="single" w:color="000000" w:sz="4" w:space="0"/>
            </w:tcBorders>
            <w:shd w:val="clear" w:color="auto" w:fill="FFFFFF"/>
            <w:vAlign w:val="center"/>
          </w:tcPr>
          <w:p w14:paraId="0E585523">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套</w:t>
            </w:r>
          </w:p>
        </w:tc>
        <w:tc>
          <w:tcPr>
            <w:tcW w:w="682" w:type="dxa"/>
            <w:tcBorders>
              <w:top w:val="single" w:color="000000" w:sz="4" w:space="0"/>
              <w:left w:val="nil"/>
              <w:bottom w:val="single" w:color="000000" w:sz="4" w:space="0"/>
              <w:right w:val="single" w:color="000000" w:sz="4" w:space="0"/>
            </w:tcBorders>
            <w:shd w:val="clear" w:color="auto" w:fill="FFFFFF"/>
            <w:vAlign w:val="center"/>
          </w:tcPr>
          <w:p w14:paraId="6DC6D942">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90000</w:t>
            </w:r>
          </w:p>
        </w:tc>
        <w:tc>
          <w:tcPr>
            <w:tcW w:w="736" w:type="dxa"/>
            <w:tcBorders>
              <w:top w:val="single" w:color="000000" w:sz="4" w:space="0"/>
              <w:left w:val="nil"/>
              <w:bottom w:val="single" w:color="000000" w:sz="4" w:space="0"/>
              <w:right w:val="single" w:color="000000" w:sz="4" w:space="0"/>
            </w:tcBorders>
            <w:shd w:val="clear" w:color="auto" w:fill="FFFFFF"/>
            <w:vAlign w:val="center"/>
          </w:tcPr>
          <w:p w14:paraId="0089A600">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180000</w:t>
            </w:r>
          </w:p>
        </w:tc>
      </w:tr>
      <w:tr w14:paraId="7782AFD3">
        <w:tblPrEx>
          <w:tblCellMar>
            <w:top w:w="0" w:type="dxa"/>
            <w:left w:w="108" w:type="dxa"/>
            <w:bottom w:w="0" w:type="dxa"/>
            <w:right w:w="108" w:type="dxa"/>
          </w:tblCellMar>
        </w:tblPrEx>
        <w:trPr>
          <w:trHeight w:val="20"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14:paraId="3898E3DB">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5</w:t>
            </w:r>
          </w:p>
        </w:tc>
        <w:tc>
          <w:tcPr>
            <w:tcW w:w="1231" w:type="dxa"/>
            <w:tcBorders>
              <w:top w:val="single" w:color="000000" w:sz="4" w:space="0"/>
              <w:left w:val="nil"/>
              <w:bottom w:val="single" w:color="000000" w:sz="4" w:space="0"/>
              <w:right w:val="single" w:color="000000" w:sz="4" w:space="0"/>
            </w:tcBorders>
            <w:shd w:val="clear" w:color="auto" w:fill="FFFFFF"/>
            <w:vAlign w:val="center"/>
          </w:tcPr>
          <w:p w14:paraId="5C6A0AF2">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24口交换机</w:t>
            </w:r>
          </w:p>
        </w:tc>
        <w:tc>
          <w:tcPr>
            <w:tcW w:w="5980" w:type="dxa"/>
            <w:tcBorders>
              <w:top w:val="single" w:color="000000" w:sz="4" w:space="0"/>
              <w:left w:val="nil"/>
              <w:bottom w:val="single" w:color="000000" w:sz="4" w:space="0"/>
              <w:right w:val="single" w:color="000000" w:sz="4" w:space="0"/>
            </w:tcBorders>
            <w:vAlign w:val="center"/>
          </w:tcPr>
          <w:p w14:paraId="6B32BD34">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1.下行端口：24个10/100/1000Base-T以太网端口</w:t>
            </w:r>
          </w:p>
          <w:p w14:paraId="1491652F">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2.上行端口：与下行口共用</w:t>
            </w:r>
          </w:p>
          <w:p w14:paraId="28E38821">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3.形态：机架型</w:t>
            </w:r>
          </w:p>
          <w:p w14:paraId="3BEA1B7A">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4.供电：交流电源输入供电</w:t>
            </w:r>
          </w:p>
        </w:tc>
        <w:tc>
          <w:tcPr>
            <w:tcW w:w="491" w:type="dxa"/>
            <w:tcBorders>
              <w:top w:val="single" w:color="000000" w:sz="4" w:space="0"/>
              <w:left w:val="nil"/>
              <w:bottom w:val="single" w:color="000000" w:sz="4" w:space="0"/>
              <w:right w:val="single" w:color="000000" w:sz="4" w:space="0"/>
            </w:tcBorders>
            <w:shd w:val="clear" w:color="auto" w:fill="FFFFFF"/>
            <w:vAlign w:val="center"/>
          </w:tcPr>
          <w:p w14:paraId="1F2CE7B8">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2</w:t>
            </w:r>
          </w:p>
        </w:tc>
        <w:tc>
          <w:tcPr>
            <w:tcW w:w="696" w:type="dxa"/>
            <w:tcBorders>
              <w:top w:val="single" w:color="000000" w:sz="4" w:space="0"/>
              <w:left w:val="nil"/>
              <w:bottom w:val="single" w:color="000000" w:sz="4" w:space="0"/>
              <w:right w:val="single" w:color="000000" w:sz="4" w:space="0"/>
            </w:tcBorders>
            <w:shd w:val="clear" w:color="auto" w:fill="FFFFFF"/>
            <w:vAlign w:val="center"/>
          </w:tcPr>
          <w:p w14:paraId="18C253DD">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台</w:t>
            </w:r>
          </w:p>
        </w:tc>
        <w:tc>
          <w:tcPr>
            <w:tcW w:w="682" w:type="dxa"/>
            <w:tcBorders>
              <w:top w:val="single" w:color="000000" w:sz="4" w:space="0"/>
              <w:left w:val="nil"/>
              <w:bottom w:val="single" w:color="000000" w:sz="4" w:space="0"/>
              <w:right w:val="single" w:color="000000" w:sz="4" w:space="0"/>
            </w:tcBorders>
            <w:shd w:val="clear" w:color="auto" w:fill="FFFFFF"/>
            <w:vAlign w:val="center"/>
          </w:tcPr>
          <w:p w14:paraId="72180CD7">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3500</w:t>
            </w:r>
          </w:p>
        </w:tc>
        <w:tc>
          <w:tcPr>
            <w:tcW w:w="736" w:type="dxa"/>
            <w:tcBorders>
              <w:top w:val="single" w:color="000000" w:sz="4" w:space="0"/>
              <w:left w:val="nil"/>
              <w:bottom w:val="single" w:color="000000" w:sz="4" w:space="0"/>
              <w:right w:val="single" w:color="000000" w:sz="4" w:space="0"/>
            </w:tcBorders>
            <w:shd w:val="clear" w:color="auto" w:fill="FFFFFF"/>
            <w:vAlign w:val="center"/>
          </w:tcPr>
          <w:p w14:paraId="1FB17FDB">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7000</w:t>
            </w:r>
          </w:p>
        </w:tc>
      </w:tr>
      <w:tr w14:paraId="0B5FF625">
        <w:tblPrEx>
          <w:tblCellMar>
            <w:top w:w="0" w:type="dxa"/>
            <w:left w:w="108" w:type="dxa"/>
            <w:bottom w:w="0" w:type="dxa"/>
            <w:right w:w="108" w:type="dxa"/>
          </w:tblCellMar>
        </w:tblPrEx>
        <w:trPr>
          <w:trHeight w:val="20"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14:paraId="6BA0257D">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6</w:t>
            </w:r>
          </w:p>
        </w:tc>
        <w:tc>
          <w:tcPr>
            <w:tcW w:w="1231" w:type="dxa"/>
            <w:tcBorders>
              <w:top w:val="single" w:color="000000" w:sz="4" w:space="0"/>
              <w:left w:val="nil"/>
              <w:bottom w:val="single" w:color="000000" w:sz="4" w:space="0"/>
              <w:right w:val="single" w:color="000000" w:sz="4" w:space="0"/>
            </w:tcBorders>
            <w:shd w:val="clear" w:color="auto" w:fill="FFFFFF"/>
            <w:vAlign w:val="center"/>
          </w:tcPr>
          <w:p w14:paraId="79CB25B7">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路由器</w:t>
            </w:r>
          </w:p>
        </w:tc>
        <w:tc>
          <w:tcPr>
            <w:tcW w:w="5980" w:type="dxa"/>
            <w:tcBorders>
              <w:top w:val="single" w:color="000000" w:sz="4" w:space="0"/>
              <w:left w:val="nil"/>
              <w:bottom w:val="single" w:color="000000" w:sz="4" w:space="0"/>
              <w:right w:val="single" w:color="000000" w:sz="4" w:space="0"/>
            </w:tcBorders>
            <w:vAlign w:val="center"/>
          </w:tcPr>
          <w:p w14:paraId="0172E0AF">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1.网口：提供不低于4个1000M自适应速率的以太网接口，支持WAN/LAN自适应（网口盲插）；</w:t>
            </w:r>
          </w:p>
          <w:p w14:paraId="2F224F26">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2.支持APP端控制；</w:t>
            </w:r>
          </w:p>
          <w:p w14:paraId="524339C6">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3.传输频段：2.4GHz+5GHz；</w:t>
            </w:r>
          </w:p>
          <w:p w14:paraId="780C4585">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4.无线速率：不低于3000M；</w:t>
            </w:r>
          </w:p>
        </w:tc>
        <w:tc>
          <w:tcPr>
            <w:tcW w:w="491" w:type="dxa"/>
            <w:tcBorders>
              <w:top w:val="single" w:color="000000" w:sz="4" w:space="0"/>
              <w:left w:val="nil"/>
              <w:bottom w:val="single" w:color="000000" w:sz="4" w:space="0"/>
              <w:right w:val="single" w:color="000000" w:sz="4" w:space="0"/>
            </w:tcBorders>
            <w:shd w:val="clear" w:color="auto" w:fill="FFFFFF"/>
            <w:vAlign w:val="center"/>
          </w:tcPr>
          <w:p w14:paraId="09D3E6B9">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w:t>
            </w:r>
          </w:p>
        </w:tc>
        <w:tc>
          <w:tcPr>
            <w:tcW w:w="696" w:type="dxa"/>
            <w:tcBorders>
              <w:top w:val="single" w:color="000000" w:sz="4" w:space="0"/>
              <w:left w:val="nil"/>
              <w:bottom w:val="single" w:color="000000" w:sz="4" w:space="0"/>
              <w:right w:val="single" w:color="000000" w:sz="4" w:space="0"/>
            </w:tcBorders>
            <w:shd w:val="clear" w:color="auto" w:fill="FFFFFF"/>
            <w:vAlign w:val="center"/>
          </w:tcPr>
          <w:p w14:paraId="2146EDCC">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台</w:t>
            </w:r>
          </w:p>
        </w:tc>
        <w:tc>
          <w:tcPr>
            <w:tcW w:w="682" w:type="dxa"/>
            <w:tcBorders>
              <w:top w:val="single" w:color="000000" w:sz="4" w:space="0"/>
              <w:left w:val="nil"/>
              <w:bottom w:val="single" w:color="000000" w:sz="4" w:space="0"/>
              <w:right w:val="single" w:color="000000" w:sz="4" w:space="0"/>
            </w:tcBorders>
            <w:shd w:val="clear" w:color="auto" w:fill="FFFFFF"/>
            <w:vAlign w:val="center"/>
          </w:tcPr>
          <w:p w14:paraId="391D737E">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550</w:t>
            </w:r>
          </w:p>
        </w:tc>
        <w:tc>
          <w:tcPr>
            <w:tcW w:w="736" w:type="dxa"/>
            <w:tcBorders>
              <w:top w:val="single" w:color="000000" w:sz="4" w:space="0"/>
              <w:left w:val="nil"/>
              <w:bottom w:val="single" w:color="000000" w:sz="4" w:space="0"/>
              <w:right w:val="single" w:color="000000" w:sz="4" w:space="0"/>
            </w:tcBorders>
            <w:shd w:val="clear" w:color="auto" w:fill="FFFFFF"/>
            <w:vAlign w:val="center"/>
          </w:tcPr>
          <w:p w14:paraId="39E46E15">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550</w:t>
            </w:r>
          </w:p>
        </w:tc>
      </w:tr>
      <w:tr w14:paraId="43E0B23F">
        <w:tblPrEx>
          <w:tblCellMar>
            <w:top w:w="0" w:type="dxa"/>
            <w:left w:w="108" w:type="dxa"/>
            <w:bottom w:w="0" w:type="dxa"/>
            <w:right w:w="108" w:type="dxa"/>
          </w:tblCellMar>
        </w:tblPrEx>
        <w:trPr>
          <w:trHeight w:val="319"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14:paraId="7B72AD19">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7</w:t>
            </w:r>
          </w:p>
        </w:tc>
        <w:tc>
          <w:tcPr>
            <w:tcW w:w="1231" w:type="dxa"/>
            <w:tcBorders>
              <w:top w:val="single" w:color="000000" w:sz="4" w:space="0"/>
              <w:left w:val="nil"/>
              <w:bottom w:val="single" w:color="000000" w:sz="4" w:space="0"/>
              <w:right w:val="single" w:color="000000" w:sz="4" w:space="0"/>
            </w:tcBorders>
            <w:shd w:val="clear" w:color="auto" w:fill="FFFFFF"/>
            <w:vAlign w:val="center"/>
          </w:tcPr>
          <w:p w14:paraId="7967991B">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视频处理器</w:t>
            </w:r>
          </w:p>
        </w:tc>
        <w:tc>
          <w:tcPr>
            <w:tcW w:w="5980" w:type="dxa"/>
            <w:tcBorders>
              <w:top w:val="single" w:color="000000" w:sz="4" w:space="0"/>
              <w:left w:val="nil"/>
              <w:bottom w:val="single" w:color="000000" w:sz="4" w:space="0"/>
              <w:right w:val="single" w:color="000000" w:sz="4" w:space="0"/>
            </w:tcBorders>
            <w:vAlign w:val="center"/>
          </w:tcPr>
          <w:p w14:paraId="166998EC">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 xml:space="preserve">1.集成视频处理、发送卡功能，不低于6个千兆网口输出，总像素≥390万点； </w:t>
            </w:r>
          </w:p>
          <w:p w14:paraId="6C1C4FCD">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2.5通道高清数字和模拟视频输入，最高支持4K@60Hz输入；</w:t>
            </w:r>
          </w:p>
          <w:p w14:paraId="152E62E9">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3.多路音频输入输出；</w:t>
            </w:r>
          </w:p>
          <w:p w14:paraId="2F954CCD">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4.支持双画面PIP、POP；</w:t>
            </w:r>
          </w:p>
          <w:p w14:paraId="0DB02B3E">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5.任意通道快速切换；</w:t>
            </w:r>
          </w:p>
          <w:p w14:paraId="3A77AA0A">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6.参数即设即保存功能，场景预设保存和调用；</w:t>
            </w:r>
          </w:p>
          <w:p w14:paraId="1BC3042C">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7.“导航设置”功能，方便用于进行快捷设置；</w:t>
            </w:r>
          </w:p>
          <w:p w14:paraId="2383CADA">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8.“连接设置”功能，不需要电脑控制，直接通过面板按键设置各个箱体的连接参数；</w:t>
            </w:r>
          </w:p>
          <w:p w14:paraId="1209CFE2">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9.可通过面板按键、USB、Wi-Fi（手机APP）调试及控制设备；</w:t>
            </w:r>
          </w:p>
        </w:tc>
        <w:tc>
          <w:tcPr>
            <w:tcW w:w="491" w:type="dxa"/>
            <w:tcBorders>
              <w:top w:val="single" w:color="000000" w:sz="4" w:space="0"/>
              <w:left w:val="nil"/>
              <w:bottom w:val="single" w:color="000000" w:sz="4" w:space="0"/>
              <w:right w:val="single" w:color="000000" w:sz="4" w:space="0"/>
            </w:tcBorders>
            <w:shd w:val="clear" w:color="auto" w:fill="FFFFFF"/>
            <w:vAlign w:val="center"/>
          </w:tcPr>
          <w:p w14:paraId="1D78DDE8">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w:t>
            </w:r>
          </w:p>
        </w:tc>
        <w:tc>
          <w:tcPr>
            <w:tcW w:w="696" w:type="dxa"/>
            <w:tcBorders>
              <w:top w:val="single" w:color="000000" w:sz="4" w:space="0"/>
              <w:left w:val="nil"/>
              <w:bottom w:val="single" w:color="000000" w:sz="4" w:space="0"/>
              <w:right w:val="single" w:color="000000" w:sz="4" w:space="0"/>
            </w:tcBorders>
            <w:shd w:val="clear" w:color="auto" w:fill="FFFFFF"/>
            <w:vAlign w:val="center"/>
          </w:tcPr>
          <w:p w14:paraId="40E5C7BA">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台</w:t>
            </w:r>
          </w:p>
        </w:tc>
        <w:tc>
          <w:tcPr>
            <w:tcW w:w="682" w:type="dxa"/>
            <w:tcBorders>
              <w:top w:val="single" w:color="000000" w:sz="4" w:space="0"/>
              <w:left w:val="nil"/>
              <w:bottom w:val="single" w:color="000000" w:sz="4" w:space="0"/>
              <w:right w:val="single" w:color="000000" w:sz="4" w:space="0"/>
            </w:tcBorders>
            <w:shd w:val="clear" w:color="auto" w:fill="FFFFFF"/>
            <w:vAlign w:val="center"/>
          </w:tcPr>
          <w:p w14:paraId="4A2BF81F">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7000</w:t>
            </w:r>
          </w:p>
        </w:tc>
        <w:tc>
          <w:tcPr>
            <w:tcW w:w="736" w:type="dxa"/>
            <w:tcBorders>
              <w:top w:val="single" w:color="000000" w:sz="4" w:space="0"/>
              <w:left w:val="nil"/>
              <w:bottom w:val="single" w:color="000000" w:sz="4" w:space="0"/>
              <w:right w:val="single" w:color="000000" w:sz="4" w:space="0"/>
            </w:tcBorders>
            <w:shd w:val="clear" w:color="auto" w:fill="FFFFFF"/>
            <w:vAlign w:val="center"/>
          </w:tcPr>
          <w:p w14:paraId="13DA9707">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7000</w:t>
            </w:r>
          </w:p>
        </w:tc>
      </w:tr>
      <w:tr w14:paraId="2532B2E3">
        <w:tblPrEx>
          <w:tblCellMar>
            <w:top w:w="0" w:type="dxa"/>
            <w:left w:w="108" w:type="dxa"/>
            <w:bottom w:w="0" w:type="dxa"/>
            <w:right w:w="108" w:type="dxa"/>
          </w:tblCellMar>
        </w:tblPrEx>
        <w:trPr>
          <w:trHeight w:val="20"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14:paraId="1E22F866">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8</w:t>
            </w:r>
          </w:p>
        </w:tc>
        <w:tc>
          <w:tcPr>
            <w:tcW w:w="1231" w:type="dxa"/>
            <w:tcBorders>
              <w:top w:val="single" w:color="000000" w:sz="4" w:space="0"/>
              <w:left w:val="nil"/>
              <w:bottom w:val="single" w:color="000000" w:sz="4" w:space="0"/>
              <w:right w:val="single" w:color="000000" w:sz="4" w:space="0"/>
            </w:tcBorders>
            <w:shd w:val="clear" w:color="auto" w:fill="FFFFFF"/>
            <w:vAlign w:val="center"/>
          </w:tcPr>
          <w:p w14:paraId="3EA02EE8">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无线话筒</w:t>
            </w:r>
          </w:p>
        </w:tc>
        <w:tc>
          <w:tcPr>
            <w:tcW w:w="5980" w:type="dxa"/>
            <w:tcBorders>
              <w:top w:val="single" w:color="000000" w:sz="4" w:space="0"/>
              <w:left w:val="nil"/>
              <w:bottom w:val="single" w:color="000000" w:sz="4" w:space="0"/>
              <w:right w:val="single" w:color="000000" w:sz="4" w:space="0"/>
            </w:tcBorders>
            <w:vAlign w:val="center"/>
          </w:tcPr>
          <w:p w14:paraId="2234498F">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一台主机+四个无线话筒+二个耳麦</w:t>
            </w:r>
          </w:p>
          <w:p w14:paraId="4AF6AD2B">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使用UHF640-690MHz频段，避免干扰频率</w:t>
            </w:r>
          </w:p>
          <w:p w14:paraId="745E29A1">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操作灵活简便</w:t>
            </w:r>
          </w:p>
          <w:p w14:paraId="5B6FEB9D">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全自动红外线对频，使发射机与接收机自动同步收发</w:t>
            </w:r>
          </w:p>
          <w:p w14:paraId="6FAED60D">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采用锁相环PLL频率合成稳定系统，提供≥200个通道</w:t>
            </w:r>
          </w:p>
          <w:p w14:paraId="21569FC5">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多重静噪控制电路，拒绝外部干扰</w:t>
            </w:r>
          </w:p>
          <w:p w14:paraId="133C038A">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动态大，频响宽，噪音小</w:t>
            </w:r>
          </w:p>
          <w:p w14:paraId="006076BD">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时尚大屏设计，内置60组频率模组，简化用户调频程序</w:t>
            </w:r>
          </w:p>
          <w:p w14:paraId="0FB7ED95">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背面设有2个平衡输出和1个混合非平衡输出，适合连接各种外置设备；</w:t>
            </w:r>
          </w:p>
          <w:p w14:paraId="1E221418">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频率范围：UHF640-690MHz</w:t>
            </w:r>
          </w:p>
          <w:p w14:paraId="1C69AFF3">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调制方式：宽频FM</w:t>
            </w:r>
          </w:p>
          <w:p w14:paraId="1D8FB10E">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可调范围：50MHz</w:t>
            </w:r>
          </w:p>
          <w:p w14:paraId="2C882D45">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通道数目：2×100</w:t>
            </w:r>
          </w:p>
          <w:p w14:paraId="7F3D78F8">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通道间隔：250KHz</w:t>
            </w:r>
          </w:p>
          <w:p w14:paraId="7456B82E">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频率稳定度：±0.005%以内</w:t>
            </w:r>
          </w:p>
          <w:p w14:paraId="3DE4A0BE">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动态范围：100dB</w:t>
            </w:r>
          </w:p>
          <w:p w14:paraId="06F75F63">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最大频偏：±45KHz</w:t>
            </w:r>
          </w:p>
          <w:p w14:paraId="5B12FB95">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频率响应：80Hz-18Khz</w:t>
            </w:r>
          </w:p>
          <w:p w14:paraId="024A59D3">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综合信噪比：&gt;105dB</w:t>
            </w:r>
          </w:p>
          <w:p w14:paraId="7964AD32">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综合失真：≤0.5%</w:t>
            </w:r>
          </w:p>
          <w:p w14:paraId="26554430">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工作温度：-10℃～50℃</w:t>
            </w:r>
          </w:p>
          <w:p w14:paraId="3025BAEF">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工作距离：≥100米</w:t>
            </w:r>
          </w:p>
          <w:p w14:paraId="32811FF8">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接收机指标</w:t>
            </w:r>
          </w:p>
          <w:p w14:paraId="1EB428F7">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灵敏度：12dBμV（80dBS/N）</w:t>
            </w:r>
          </w:p>
          <w:p w14:paraId="0094443B">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无线接口：BNC/50Ω</w:t>
            </w:r>
          </w:p>
          <w:p w14:paraId="530A3D43">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灵敏度调节范围：12-32dBμV</w:t>
            </w:r>
          </w:p>
          <w:p w14:paraId="4ADD052A">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离散抑制：≥75dB</w:t>
            </w:r>
          </w:p>
          <w:p w14:paraId="1C1BE8B0">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最大输出电平：+10dBV</w:t>
            </w:r>
          </w:p>
          <w:p w14:paraId="75BA65E6">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供电方式直流：12-18V500mV输入</w:t>
            </w:r>
          </w:p>
          <w:p w14:paraId="0AE43114">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发射机指标</w:t>
            </w:r>
          </w:p>
          <w:p w14:paraId="6F3B7DF1">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天线：手持麦克内置螺旋天线，挂机采用1/4波长鞭状天线</w:t>
            </w:r>
          </w:p>
          <w:p w14:paraId="585B70CC">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输出功率：高功率30mW，低功率3mW</w:t>
            </w:r>
          </w:p>
          <w:p w14:paraId="470331D4">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音头：动圈式麦克风、电容式（领夹话筒、头戴话筒）</w:t>
            </w:r>
          </w:p>
          <w:p w14:paraId="609B652F">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离散抑制：≥60dB</w:t>
            </w:r>
          </w:p>
          <w:p w14:paraId="4485ADBE">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供电：2节5号1.5V电池</w:t>
            </w:r>
          </w:p>
        </w:tc>
        <w:tc>
          <w:tcPr>
            <w:tcW w:w="491" w:type="dxa"/>
            <w:tcBorders>
              <w:top w:val="single" w:color="000000" w:sz="4" w:space="0"/>
              <w:left w:val="nil"/>
              <w:bottom w:val="single" w:color="000000" w:sz="4" w:space="0"/>
              <w:right w:val="single" w:color="000000" w:sz="4" w:space="0"/>
            </w:tcBorders>
            <w:shd w:val="clear" w:color="auto" w:fill="FFFFFF"/>
            <w:vAlign w:val="center"/>
          </w:tcPr>
          <w:p w14:paraId="57671A8E">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w:t>
            </w:r>
          </w:p>
        </w:tc>
        <w:tc>
          <w:tcPr>
            <w:tcW w:w="696" w:type="dxa"/>
            <w:tcBorders>
              <w:top w:val="single" w:color="000000" w:sz="4" w:space="0"/>
              <w:left w:val="nil"/>
              <w:bottom w:val="single" w:color="000000" w:sz="4" w:space="0"/>
              <w:right w:val="single" w:color="000000" w:sz="4" w:space="0"/>
            </w:tcBorders>
            <w:shd w:val="clear" w:color="auto" w:fill="FFFFFF"/>
            <w:vAlign w:val="center"/>
          </w:tcPr>
          <w:p w14:paraId="29728CD5">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套</w:t>
            </w:r>
          </w:p>
        </w:tc>
        <w:tc>
          <w:tcPr>
            <w:tcW w:w="682" w:type="dxa"/>
            <w:tcBorders>
              <w:top w:val="single" w:color="000000" w:sz="4" w:space="0"/>
              <w:left w:val="nil"/>
              <w:bottom w:val="single" w:color="000000" w:sz="4" w:space="0"/>
              <w:right w:val="single" w:color="000000" w:sz="4" w:space="0"/>
            </w:tcBorders>
            <w:shd w:val="clear" w:color="auto" w:fill="FFFFFF"/>
            <w:vAlign w:val="center"/>
          </w:tcPr>
          <w:p w14:paraId="2A9199A7">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4000</w:t>
            </w:r>
          </w:p>
        </w:tc>
        <w:tc>
          <w:tcPr>
            <w:tcW w:w="736" w:type="dxa"/>
            <w:tcBorders>
              <w:top w:val="single" w:color="000000" w:sz="4" w:space="0"/>
              <w:left w:val="nil"/>
              <w:bottom w:val="single" w:color="000000" w:sz="4" w:space="0"/>
              <w:right w:val="single" w:color="000000" w:sz="4" w:space="0"/>
            </w:tcBorders>
            <w:shd w:val="clear" w:color="auto" w:fill="FFFFFF"/>
            <w:vAlign w:val="center"/>
          </w:tcPr>
          <w:p w14:paraId="2EC06014">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4000</w:t>
            </w:r>
          </w:p>
        </w:tc>
      </w:tr>
      <w:tr w14:paraId="2AE15662">
        <w:tblPrEx>
          <w:tblCellMar>
            <w:top w:w="0" w:type="dxa"/>
            <w:left w:w="108" w:type="dxa"/>
            <w:bottom w:w="0" w:type="dxa"/>
            <w:right w:w="108" w:type="dxa"/>
          </w:tblCellMar>
        </w:tblPrEx>
        <w:trPr>
          <w:trHeight w:val="20"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14:paraId="25057D37">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9</w:t>
            </w:r>
          </w:p>
        </w:tc>
        <w:tc>
          <w:tcPr>
            <w:tcW w:w="1231" w:type="dxa"/>
            <w:tcBorders>
              <w:top w:val="single" w:color="000000" w:sz="4" w:space="0"/>
              <w:left w:val="nil"/>
              <w:bottom w:val="single" w:color="000000" w:sz="4" w:space="0"/>
              <w:right w:val="single" w:color="000000" w:sz="4" w:space="0"/>
            </w:tcBorders>
            <w:shd w:val="clear" w:color="auto" w:fill="FFFFFF"/>
            <w:vAlign w:val="center"/>
          </w:tcPr>
          <w:p w14:paraId="5EA17D25">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数字音频处理器（含反馈）</w:t>
            </w:r>
          </w:p>
        </w:tc>
        <w:tc>
          <w:tcPr>
            <w:tcW w:w="5980" w:type="dxa"/>
            <w:tcBorders>
              <w:top w:val="single" w:color="000000" w:sz="4" w:space="0"/>
              <w:left w:val="nil"/>
              <w:bottom w:val="single" w:color="000000" w:sz="4" w:space="0"/>
              <w:right w:val="single" w:color="000000" w:sz="4" w:space="0"/>
            </w:tcBorders>
            <w:vAlign w:val="center"/>
          </w:tcPr>
          <w:p w14:paraId="744AF04C">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产品描述</w:t>
            </w:r>
          </w:p>
          <w:p w14:paraId="79F1771C">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 xml:space="preserve">    通用型数字音频处理器，频率450M Hz，支持8路MIC/Line输入，支持48V幻象供电，≥8个平衡线路输出。DSP具有强大的处理能力，每个输入通道均有反馈抑制器、高通滤波、低通滤波、延时器、压限器、参量均衡（PEQ/HighShelf/LowShelf），每个输出通道具有高通滤波、低通滤波、参量均衡（PEQ/HighShelf/LowShelf）、压限器、延时器。内置正弦波、粉红噪声、白噪声信号发生器。存储多个场景预设，可自定义标签，1个UDP/IP通讯端口，1个RS-232通讯端口，1个RS-485通讯端口，开放第三方控制协议。支持扩展墙面安装触摸屏控制面板，可以通过墙面控制屏设定音量、调用模式预设。用于会议室、多功能厅、现场演出。</w:t>
            </w:r>
          </w:p>
          <w:p w14:paraId="3F7375C4">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功能特点</w:t>
            </w:r>
          </w:p>
          <w:p w14:paraId="4B79BF23">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40bitDSP处理芯片，24bitA/D及D/A转换，音频采样率达到48KHz。</w:t>
            </w:r>
          </w:p>
          <w:p w14:paraId="18A680E0">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提供8路平衡式话筒／线路输入，采用裸线接口端子，8路平衡式输出，采用裸线接口端子，4路GPIO逻辑接口。</w:t>
            </w:r>
          </w:p>
          <w:p w14:paraId="46AADF13">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内置USB声卡，支持播放USB音频文件，支持录播和远程会议。</w:t>
            </w:r>
          </w:p>
          <w:p w14:paraId="243CC39B">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输入：前级放大、信号发生器、扩展器、压缩器、参量均衡、自动增益、反馈抑制器等。</w:t>
            </w:r>
          </w:p>
          <w:p w14:paraId="4A28D3C5">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输出：参量均衡、高低通、延时器、限幅器、输出正反向、增益调节。</w:t>
            </w:r>
          </w:p>
          <w:p w14:paraId="1B510AD4">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内置话筒自适应反馈消除（AFC）、数字矩阵、自动混音、回声消除、噪声抑制。</w:t>
            </w:r>
          </w:p>
          <w:p w14:paraId="0F192DD4">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支持编组控制功能、多组场景预设、远程管理功能，支持通道拷贝、粘贴、联控功能。</w:t>
            </w:r>
          </w:p>
          <w:p w14:paraId="53FFC414">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输入输出通道支持LINK联调和分组联动调试功能。</w:t>
            </w:r>
          </w:p>
          <w:p w14:paraId="16121799">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设备支持APP控制，支持IOS、安卓、WINDOWS等，APP软件支持用户自定义，通过APP可实现对处理器进行控制，如音量大小、预设调用、外控第三方设备(支持RS232、RS485、UDP等)、矩阵切换等。</w:t>
            </w:r>
          </w:p>
          <w:p w14:paraId="4F200460">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系统集成中控功能，支持RS232、RS485、UDP控制，简单地控制投影、幕布、灯光、窗帘、电源时序器等第三方设备。</w:t>
            </w:r>
          </w:p>
          <w:p w14:paraId="1A54AEC5">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产品支持扩展外接控制面板功能，面板类型至少两种以上，可实现远端对处理器进行控制，如音量大小、预设调用、外控第三方设备(支持RS232、RS485、UDP等)、矩阵切换等。</w:t>
            </w:r>
          </w:p>
          <w:p w14:paraId="3DC17184">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RS-232双向串行控制接口用于控制外部其它设备如：视频矩阵等RS-232设备，或接收第三方RS－232控制，如AMX.Crestron。</w:t>
            </w:r>
          </w:p>
          <w:p w14:paraId="412CA667">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自带中英文操作软件，直观、图形化软件控制界面，可工作在Windows2000/XP/Windows7/Windows10系统环境下。</w:t>
            </w:r>
          </w:p>
          <w:p w14:paraId="68F881E6">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技术参数</w:t>
            </w:r>
          </w:p>
          <w:p w14:paraId="209C5582">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音频输入：8通道平衡输入，凤凰插头</w:t>
            </w:r>
          </w:p>
          <w:p w14:paraId="288926DB">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最大输入电平：12dBu/Line，-9dBu/Mic</w:t>
            </w:r>
          </w:p>
          <w:p w14:paraId="30A4761A">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输入增益：0/10/20/30/40/43dB</w:t>
            </w:r>
          </w:p>
          <w:p w14:paraId="3053956B">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输入阻抗：平衡9.4KΩ</w:t>
            </w:r>
          </w:p>
          <w:p w14:paraId="1197F8C6">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幻象电源：+48VDC</w:t>
            </w:r>
          </w:p>
          <w:p w14:paraId="0E2F81AD">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音频输出：8通道平衡线路电平，凤凰插头</w:t>
            </w:r>
          </w:p>
          <w:p w14:paraId="4F8E70BC">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输出阻抗：平衡102Ω</w:t>
            </w:r>
          </w:p>
          <w:p w14:paraId="2687C08E">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信号处理：32-bitADISHARC21489频率450MHz</w:t>
            </w:r>
          </w:p>
          <w:p w14:paraId="40F2BC69">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采样频率/量化：48kHz，24BitADC，24BitDAC</w:t>
            </w:r>
          </w:p>
          <w:p w14:paraId="3B32E428">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频率响应：20～20kHz(±0.2dB)</w:t>
            </w:r>
          </w:p>
          <w:p w14:paraId="2A67AE78">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总谐波失真+噪声：0.003%@4dBu</w:t>
            </w:r>
          </w:p>
          <w:p w14:paraId="669D068F">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本底噪声(A-计权-模拟)：-89dBu</w:t>
            </w:r>
          </w:p>
          <w:p w14:paraId="31119B67">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电源：AC190~240V，50Hz/60Hz，25W</w:t>
            </w:r>
          </w:p>
          <w:p w14:paraId="0B839723">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工作温度：-20℃--80℃</w:t>
            </w:r>
          </w:p>
        </w:tc>
        <w:tc>
          <w:tcPr>
            <w:tcW w:w="491" w:type="dxa"/>
            <w:tcBorders>
              <w:top w:val="single" w:color="000000" w:sz="4" w:space="0"/>
              <w:left w:val="nil"/>
              <w:bottom w:val="single" w:color="000000" w:sz="4" w:space="0"/>
              <w:right w:val="single" w:color="000000" w:sz="4" w:space="0"/>
            </w:tcBorders>
            <w:shd w:val="clear" w:color="auto" w:fill="FFFFFF"/>
            <w:vAlign w:val="center"/>
          </w:tcPr>
          <w:p w14:paraId="5249CF96">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w:t>
            </w:r>
          </w:p>
        </w:tc>
        <w:tc>
          <w:tcPr>
            <w:tcW w:w="696" w:type="dxa"/>
            <w:tcBorders>
              <w:top w:val="single" w:color="000000" w:sz="4" w:space="0"/>
              <w:left w:val="nil"/>
              <w:bottom w:val="single" w:color="000000" w:sz="4" w:space="0"/>
              <w:right w:val="single" w:color="000000" w:sz="4" w:space="0"/>
            </w:tcBorders>
            <w:shd w:val="clear" w:color="auto" w:fill="FFFFFF"/>
            <w:vAlign w:val="center"/>
          </w:tcPr>
          <w:p w14:paraId="74AD9E55">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台</w:t>
            </w:r>
          </w:p>
        </w:tc>
        <w:tc>
          <w:tcPr>
            <w:tcW w:w="682" w:type="dxa"/>
            <w:tcBorders>
              <w:top w:val="single" w:color="000000" w:sz="4" w:space="0"/>
              <w:left w:val="nil"/>
              <w:bottom w:val="single" w:color="000000" w:sz="4" w:space="0"/>
              <w:right w:val="single" w:color="000000" w:sz="4" w:space="0"/>
            </w:tcBorders>
            <w:shd w:val="clear" w:color="auto" w:fill="FFFFFF"/>
            <w:vAlign w:val="center"/>
          </w:tcPr>
          <w:p w14:paraId="43A011D9">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3700</w:t>
            </w:r>
          </w:p>
        </w:tc>
        <w:tc>
          <w:tcPr>
            <w:tcW w:w="736" w:type="dxa"/>
            <w:tcBorders>
              <w:top w:val="single" w:color="000000" w:sz="4" w:space="0"/>
              <w:left w:val="nil"/>
              <w:bottom w:val="single" w:color="000000" w:sz="4" w:space="0"/>
              <w:right w:val="single" w:color="000000" w:sz="4" w:space="0"/>
            </w:tcBorders>
            <w:shd w:val="clear" w:color="auto" w:fill="FFFFFF"/>
            <w:vAlign w:val="center"/>
          </w:tcPr>
          <w:p w14:paraId="6ED98C1E">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3700</w:t>
            </w:r>
          </w:p>
        </w:tc>
      </w:tr>
      <w:tr w14:paraId="00B11D0E">
        <w:tblPrEx>
          <w:tblCellMar>
            <w:top w:w="0" w:type="dxa"/>
            <w:left w:w="108" w:type="dxa"/>
            <w:bottom w:w="0" w:type="dxa"/>
            <w:right w:w="108" w:type="dxa"/>
          </w:tblCellMar>
        </w:tblPrEx>
        <w:trPr>
          <w:trHeight w:val="20"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14:paraId="21BBAE44">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10</w:t>
            </w:r>
          </w:p>
        </w:tc>
        <w:tc>
          <w:tcPr>
            <w:tcW w:w="1231" w:type="dxa"/>
            <w:tcBorders>
              <w:top w:val="single" w:color="000000" w:sz="4" w:space="0"/>
              <w:left w:val="nil"/>
              <w:bottom w:val="single" w:color="000000" w:sz="4" w:space="0"/>
              <w:right w:val="single" w:color="000000" w:sz="4" w:space="0"/>
            </w:tcBorders>
            <w:shd w:val="clear" w:color="auto" w:fill="FFFFFF"/>
            <w:vAlign w:val="center"/>
          </w:tcPr>
          <w:p w14:paraId="3819372D">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专业功放</w:t>
            </w:r>
          </w:p>
        </w:tc>
        <w:tc>
          <w:tcPr>
            <w:tcW w:w="5980" w:type="dxa"/>
            <w:tcBorders>
              <w:top w:val="single" w:color="000000" w:sz="4" w:space="0"/>
              <w:left w:val="nil"/>
              <w:bottom w:val="single" w:color="000000" w:sz="4" w:space="0"/>
              <w:right w:val="single" w:color="000000" w:sz="4" w:space="0"/>
            </w:tcBorders>
            <w:vAlign w:val="center"/>
          </w:tcPr>
          <w:p w14:paraId="3A669656">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此系列功放为高效率TD类功放，既有传统AB类的音质，又有数字D类的效率，两者完美结合；整机省电的同时，出来的声音干净圆润，低频控制力又好。</w:t>
            </w:r>
          </w:p>
          <w:p w14:paraId="0CA224AE">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高速光电隔离限幅，改变了传统限幅压缩模式，限幅压缩失真大、动作慢等问题；整机大动态下限幅启控保证失真1%以下。</w:t>
            </w:r>
          </w:p>
          <w:p w14:paraId="4365ECF8">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小信号输入采用高频电压，低失真、低噪声电路，保证了整机放大输出噪声低、失真小。</w:t>
            </w:r>
          </w:p>
          <w:p w14:paraId="3840C40E">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整机采用风道散热结构，配合全新高效率铲齿散热，恒温风扇电路，整机温升控制在70度以下。</w:t>
            </w:r>
          </w:p>
          <w:p w14:paraId="27AE1E63">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具有独特的保护电路设计，保护功能：直流、过热、过载以及限幅，过压、欠压有效保设备长期使用。</w:t>
            </w:r>
          </w:p>
          <w:p w14:paraId="5DD07283">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具有立体声、并联多种模式选择，输入灵敏度选择。</w:t>
            </w:r>
          </w:p>
          <w:p w14:paraId="20C5EE6C">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立体声功率：8Ω 2×250W；4Ω 2×400W</w:t>
            </w:r>
          </w:p>
          <w:p w14:paraId="64586F1D">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信噪比：＞113dB</w:t>
            </w:r>
          </w:p>
          <w:p w14:paraId="2FAB891F">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转换速率：80V/us</w:t>
            </w:r>
          </w:p>
          <w:p w14:paraId="62B83F14">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阻尼系数：400：1</w:t>
            </w:r>
          </w:p>
          <w:p w14:paraId="5158D3C8">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频率响应：20Hz-20KHz，＜+/-0.1dB</w:t>
            </w:r>
          </w:p>
          <w:p w14:paraId="57C1809D">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总谐波失真：＜0.02%Ratedpower@8欧1kHZ</w:t>
            </w:r>
          </w:p>
          <w:p w14:paraId="356FE286">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互调失真：≦0.01%Ratedpower@8欧</w:t>
            </w:r>
          </w:p>
          <w:p w14:paraId="20520034">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输入灵敏度：0.775V，1.0V，1.4V</w:t>
            </w:r>
          </w:p>
          <w:p w14:paraId="04DE9659">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输入阻抗：10K/20Kohous，unbalancedor balanced</w:t>
            </w:r>
          </w:p>
          <w:p w14:paraId="6A3A846F">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共模拟制比：≦-75db</w:t>
            </w:r>
          </w:p>
          <w:p w14:paraId="61F787B0">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串音衰减：≦-70db</w:t>
            </w:r>
          </w:p>
          <w:p w14:paraId="701D6452">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电源：220V 50/60HZ</w:t>
            </w:r>
          </w:p>
        </w:tc>
        <w:tc>
          <w:tcPr>
            <w:tcW w:w="491" w:type="dxa"/>
            <w:tcBorders>
              <w:top w:val="single" w:color="000000" w:sz="4" w:space="0"/>
              <w:left w:val="nil"/>
              <w:bottom w:val="single" w:color="000000" w:sz="4" w:space="0"/>
              <w:right w:val="single" w:color="000000" w:sz="4" w:space="0"/>
            </w:tcBorders>
            <w:shd w:val="clear" w:color="auto" w:fill="FFFFFF"/>
            <w:vAlign w:val="center"/>
          </w:tcPr>
          <w:p w14:paraId="329E8185">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2</w:t>
            </w:r>
          </w:p>
        </w:tc>
        <w:tc>
          <w:tcPr>
            <w:tcW w:w="696" w:type="dxa"/>
            <w:tcBorders>
              <w:top w:val="single" w:color="000000" w:sz="4" w:space="0"/>
              <w:left w:val="nil"/>
              <w:bottom w:val="single" w:color="000000" w:sz="4" w:space="0"/>
              <w:right w:val="single" w:color="000000" w:sz="4" w:space="0"/>
            </w:tcBorders>
            <w:shd w:val="clear" w:color="auto" w:fill="FFFFFF"/>
            <w:vAlign w:val="center"/>
          </w:tcPr>
          <w:p w14:paraId="05DB9C2B">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台</w:t>
            </w:r>
          </w:p>
        </w:tc>
        <w:tc>
          <w:tcPr>
            <w:tcW w:w="682" w:type="dxa"/>
            <w:tcBorders>
              <w:top w:val="single" w:color="000000" w:sz="4" w:space="0"/>
              <w:left w:val="nil"/>
              <w:bottom w:val="single" w:color="000000" w:sz="4" w:space="0"/>
              <w:right w:val="single" w:color="000000" w:sz="4" w:space="0"/>
            </w:tcBorders>
            <w:shd w:val="clear" w:color="auto" w:fill="FFFFFF"/>
            <w:vAlign w:val="center"/>
          </w:tcPr>
          <w:p w14:paraId="5502D0B9">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3460</w:t>
            </w:r>
          </w:p>
        </w:tc>
        <w:tc>
          <w:tcPr>
            <w:tcW w:w="736" w:type="dxa"/>
            <w:tcBorders>
              <w:top w:val="single" w:color="000000" w:sz="4" w:space="0"/>
              <w:left w:val="nil"/>
              <w:bottom w:val="single" w:color="000000" w:sz="4" w:space="0"/>
              <w:right w:val="single" w:color="000000" w:sz="4" w:space="0"/>
            </w:tcBorders>
            <w:shd w:val="clear" w:color="auto" w:fill="FFFFFF"/>
            <w:vAlign w:val="center"/>
          </w:tcPr>
          <w:p w14:paraId="680E1E66">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6920</w:t>
            </w:r>
          </w:p>
        </w:tc>
      </w:tr>
      <w:tr w14:paraId="068DCDDC">
        <w:tblPrEx>
          <w:tblCellMar>
            <w:top w:w="0" w:type="dxa"/>
            <w:left w:w="108" w:type="dxa"/>
            <w:bottom w:w="0" w:type="dxa"/>
            <w:right w:w="108" w:type="dxa"/>
          </w:tblCellMar>
        </w:tblPrEx>
        <w:trPr>
          <w:trHeight w:val="20"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14:paraId="25B44814">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11</w:t>
            </w:r>
          </w:p>
        </w:tc>
        <w:tc>
          <w:tcPr>
            <w:tcW w:w="1231" w:type="dxa"/>
            <w:tcBorders>
              <w:top w:val="single" w:color="000000" w:sz="4" w:space="0"/>
              <w:left w:val="nil"/>
              <w:bottom w:val="single" w:color="000000" w:sz="4" w:space="0"/>
              <w:right w:val="single" w:color="000000" w:sz="4" w:space="0"/>
            </w:tcBorders>
            <w:shd w:val="clear" w:color="auto" w:fill="FFFFFF"/>
            <w:vAlign w:val="center"/>
          </w:tcPr>
          <w:p w14:paraId="103DDE44">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专业音箱</w:t>
            </w:r>
          </w:p>
        </w:tc>
        <w:tc>
          <w:tcPr>
            <w:tcW w:w="5980" w:type="dxa"/>
            <w:tcBorders>
              <w:top w:val="single" w:color="000000" w:sz="4" w:space="0"/>
              <w:left w:val="nil"/>
              <w:bottom w:val="single" w:color="000000" w:sz="4" w:space="0"/>
              <w:right w:val="single" w:color="000000" w:sz="4" w:space="0"/>
            </w:tcBorders>
            <w:vAlign w:val="center"/>
          </w:tcPr>
          <w:p w14:paraId="3084A21F">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高音：1x25mm高音单元，25芯音圈，1寸口径</w:t>
            </w:r>
          </w:p>
          <w:p w14:paraId="6B4C3F10">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低音：1x6寸低音单元，25芯音圈，100磁</w:t>
            </w:r>
          </w:p>
          <w:p w14:paraId="671C290E">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频响响应：75Hz-20KHz</w:t>
            </w:r>
          </w:p>
          <w:p w14:paraId="3E5FF765">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额定功率：120W</w:t>
            </w:r>
          </w:p>
          <w:p w14:paraId="02A2BA75">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峰值功率：480W</w:t>
            </w:r>
          </w:p>
          <w:p w14:paraId="37D7C909">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灵敏度：93dB</w:t>
            </w:r>
          </w:p>
          <w:p w14:paraId="6C483064">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阻抗：8ohm</w:t>
            </w:r>
          </w:p>
          <w:p w14:paraId="2875602B">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辐射角度：80°(H)×80°(V)</w:t>
            </w:r>
          </w:p>
          <w:p w14:paraId="39F72491">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参考尺寸（宽×深×高）：200×220×350mm</w:t>
            </w:r>
          </w:p>
        </w:tc>
        <w:tc>
          <w:tcPr>
            <w:tcW w:w="491" w:type="dxa"/>
            <w:tcBorders>
              <w:top w:val="single" w:color="000000" w:sz="4" w:space="0"/>
              <w:left w:val="nil"/>
              <w:bottom w:val="single" w:color="000000" w:sz="4" w:space="0"/>
              <w:right w:val="single" w:color="000000" w:sz="4" w:space="0"/>
            </w:tcBorders>
            <w:shd w:val="clear" w:color="auto" w:fill="FFFFFF"/>
            <w:vAlign w:val="center"/>
          </w:tcPr>
          <w:p w14:paraId="5942AB70">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4</w:t>
            </w:r>
          </w:p>
        </w:tc>
        <w:tc>
          <w:tcPr>
            <w:tcW w:w="696" w:type="dxa"/>
            <w:tcBorders>
              <w:top w:val="single" w:color="000000" w:sz="4" w:space="0"/>
              <w:left w:val="nil"/>
              <w:bottom w:val="single" w:color="000000" w:sz="4" w:space="0"/>
              <w:right w:val="single" w:color="000000" w:sz="4" w:space="0"/>
            </w:tcBorders>
            <w:shd w:val="clear" w:color="auto" w:fill="FFFFFF"/>
            <w:vAlign w:val="center"/>
          </w:tcPr>
          <w:p w14:paraId="6DB7BC94">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只</w:t>
            </w:r>
          </w:p>
        </w:tc>
        <w:tc>
          <w:tcPr>
            <w:tcW w:w="682" w:type="dxa"/>
            <w:tcBorders>
              <w:top w:val="single" w:color="000000" w:sz="4" w:space="0"/>
              <w:left w:val="nil"/>
              <w:bottom w:val="single" w:color="000000" w:sz="4" w:space="0"/>
              <w:right w:val="single" w:color="000000" w:sz="4" w:space="0"/>
            </w:tcBorders>
            <w:shd w:val="clear" w:color="auto" w:fill="FFFFFF"/>
            <w:vAlign w:val="center"/>
          </w:tcPr>
          <w:p w14:paraId="3CCA7240">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1500</w:t>
            </w:r>
          </w:p>
        </w:tc>
        <w:tc>
          <w:tcPr>
            <w:tcW w:w="736" w:type="dxa"/>
            <w:tcBorders>
              <w:top w:val="single" w:color="000000" w:sz="4" w:space="0"/>
              <w:left w:val="nil"/>
              <w:bottom w:val="single" w:color="000000" w:sz="4" w:space="0"/>
              <w:right w:val="single" w:color="000000" w:sz="4" w:space="0"/>
            </w:tcBorders>
            <w:shd w:val="clear" w:color="auto" w:fill="FFFFFF"/>
            <w:vAlign w:val="center"/>
          </w:tcPr>
          <w:p w14:paraId="3D8DDE16">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6000</w:t>
            </w:r>
          </w:p>
        </w:tc>
      </w:tr>
      <w:tr w14:paraId="7ED7FB92">
        <w:tblPrEx>
          <w:tblCellMar>
            <w:top w:w="0" w:type="dxa"/>
            <w:left w:w="108" w:type="dxa"/>
            <w:bottom w:w="0" w:type="dxa"/>
            <w:right w:w="108" w:type="dxa"/>
          </w:tblCellMar>
        </w:tblPrEx>
        <w:trPr>
          <w:trHeight w:val="20"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14:paraId="091F1890">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12</w:t>
            </w:r>
          </w:p>
        </w:tc>
        <w:tc>
          <w:tcPr>
            <w:tcW w:w="1231" w:type="dxa"/>
            <w:tcBorders>
              <w:top w:val="single" w:color="000000" w:sz="4" w:space="0"/>
              <w:left w:val="nil"/>
              <w:bottom w:val="single" w:color="000000" w:sz="4" w:space="0"/>
              <w:right w:val="single" w:color="000000" w:sz="4" w:space="0"/>
            </w:tcBorders>
            <w:shd w:val="clear" w:color="auto" w:fill="FFFFFF"/>
            <w:vAlign w:val="center"/>
          </w:tcPr>
          <w:p w14:paraId="08FE032A">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音箱壁挂支架</w:t>
            </w:r>
          </w:p>
        </w:tc>
        <w:tc>
          <w:tcPr>
            <w:tcW w:w="5980" w:type="dxa"/>
            <w:tcBorders>
              <w:top w:val="single" w:color="000000" w:sz="4" w:space="0"/>
              <w:left w:val="nil"/>
              <w:bottom w:val="single" w:color="000000" w:sz="4" w:space="0"/>
              <w:right w:val="single" w:color="000000" w:sz="4" w:space="0"/>
            </w:tcBorders>
            <w:vAlign w:val="center"/>
          </w:tcPr>
          <w:p w14:paraId="13CC143D">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黑色、全钢制作、表面喷漆处理；</w:t>
            </w:r>
          </w:p>
          <w:p w14:paraId="1731218F">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可往左右上下方调节音箱的角度；</w:t>
            </w:r>
          </w:p>
          <w:p w14:paraId="52E123AB">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下方倾斜角度：30度</w:t>
            </w:r>
          </w:p>
          <w:p w14:paraId="22224438">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左右转动角度：180度</w:t>
            </w:r>
          </w:p>
        </w:tc>
        <w:tc>
          <w:tcPr>
            <w:tcW w:w="491" w:type="dxa"/>
            <w:tcBorders>
              <w:top w:val="single" w:color="000000" w:sz="4" w:space="0"/>
              <w:left w:val="nil"/>
              <w:bottom w:val="single" w:color="000000" w:sz="4" w:space="0"/>
              <w:right w:val="single" w:color="000000" w:sz="4" w:space="0"/>
            </w:tcBorders>
            <w:shd w:val="clear" w:color="auto" w:fill="FFFFFF"/>
            <w:vAlign w:val="center"/>
          </w:tcPr>
          <w:p w14:paraId="179FDDCE">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4</w:t>
            </w:r>
          </w:p>
        </w:tc>
        <w:tc>
          <w:tcPr>
            <w:tcW w:w="696" w:type="dxa"/>
            <w:tcBorders>
              <w:top w:val="single" w:color="000000" w:sz="4" w:space="0"/>
              <w:left w:val="nil"/>
              <w:bottom w:val="single" w:color="000000" w:sz="4" w:space="0"/>
              <w:right w:val="single" w:color="000000" w:sz="4" w:space="0"/>
            </w:tcBorders>
            <w:shd w:val="clear" w:color="auto" w:fill="FFFFFF"/>
            <w:vAlign w:val="center"/>
          </w:tcPr>
          <w:p w14:paraId="6B0CE9EC">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只</w:t>
            </w:r>
          </w:p>
        </w:tc>
        <w:tc>
          <w:tcPr>
            <w:tcW w:w="682" w:type="dxa"/>
            <w:tcBorders>
              <w:top w:val="single" w:color="000000" w:sz="4" w:space="0"/>
              <w:left w:val="nil"/>
              <w:bottom w:val="single" w:color="000000" w:sz="4" w:space="0"/>
              <w:right w:val="single" w:color="000000" w:sz="4" w:space="0"/>
            </w:tcBorders>
            <w:shd w:val="clear" w:color="auto" w:fill="FFFFFF"/>
            <w:vAlign w:val="center"/>
          </w:tcPr>
          <w:p w14:paraId="6976E483">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100</w:t>
            </w:r>
          </w:p>
        </w:tc>
        <w:tc>
          <w:tcPr>
            <w:tcW w:w="736" w:type="dxa"/>
            <w:tcBorders>
              <w:top w:val="single" w:color="000000" w:sz="4" w:space="0"/>
              <w:left w:val="nil"/>
              <w:bottom w:val="single" w:color="000000" w:sz="4" w:space="0"/>
              <w:right w:val="single" w:color="000000" w:sz="4" w:space="0"/>
            </w:tcBorders>
            <w:shd w:val="clear" w:color="auto" w:fill="FFFFFF"/>
            <w:vAlign w:val="center"/>
          </w:tcPr>
          <w:p w14:paraId="11297772">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400</w:t>
            </w:r>
          </w:p>
        </w:tc>
      </w:tr>
      <w:tr w14:paraId="06DC8F05">
        <w:tblPrEx>
          <w:tblCellMar>
            <w:top w:w="0" w:type="dxa"/>
            <w:left w:w="108" w:type="dxa"/>
            <w:bottom w:w="0" w:type="dxa"/>
            <w:right w:w="108" w:type="dxa"/>
          </w:tblCellMar>
        </w:tblPrEx>
        <w:trPr>
          <w:trHeight w:val="20"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14:paraId="3EDB01DB">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13</w:t>
            </w:r>
          </w:p>
        </w:tc>
        <w:tc>
          <w:tcPr>
            <w:tcW w:w="1231" w:type="dxa"/>
            <w:tcBorders>
              <w:top w:val="single" w:color="000000" w:sz="4" w:space="0"/>
              <w:left w:val="nil"/>
              <w:bottom w:val="single" w:color="000000" w:sz="4" w:space="0"/>
              <w:right w:val="single" w:color="000000" w:sz="4" w:space="0"/>
            </w:tcBorders>
            <w:shd w:val="clear" w:color="auto" w:fill="FFFFFF"/>
            <w:vAlign w:val="center"/>
          </w:tcPr>
          <w:p w14:paraId="72E30519">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电源时序器</w:t>
            </w:r>
          </w:p>
        </w:tc>
        <w:tc>
          <w:tcPr>
            <w:tcW w:w="5980" w:type="dxa"/>
            <w:tcBorders>
              <w:top w:val="single" w:color="000000" w:sz="4" w:space="0"/>
              <w:left w:val="nil"/>
              <w:bottom w:val="single" w:color="000000" w:sz="4" w:space="0"/>
              <w:right w:val="single" w:color="000000" w:sz="4" w:space="0"/>
            </w:tcBorders>
            <w:vAlign w:val="center"/>
          </w:tcPr>
          <w:p w14:paraId="0A47886C">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≥8路通道电源（220V/13A）时序打开/关闭。</w:t>
            </w:r>
          </w:p>
          <w:p w14:paraId="75493FEB">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前面2组电源输出接口（220V/16A），前面板USB电源口，可接USB LED灯，</w:t>
            </w:r>
          </w:p>
          <w:p w14:paraId="16260C6A">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通道电源开关状态可由面板显示；</w:t>
            </w:r>
          </w:p>
          <w:p w14:paraId="4CB703AB">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前面板显示屏幕，实时显示当前电压；</w:t>
            </w:r>
          </w:p>
          <w:p w14:paraId="241483B3">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通过面板一键开关，可时序关启通道，实现时序功能；</w:t>
            </w:r>
          </w:p>
          <w:p w14:paraId="420D35EE">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带232接口，可受中控设备控制，支持联机控制，支持≥9台设备同时联机使用；</w:t>
            </w:r>
          </w:p>
          <w:p w14:paraId="0FDAC561">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远程控制（上电+24V直流信号）通道电源时序打开/关闭--当电源开关锁处于off位置时有效。</w:t>
            </w:r>
          </w:p>
          <w:p w14:paraId="56D2CC84">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总输出功率：7kW</w:t>
            </w:r>
          </w:p>
          <w:p w14:paraId="6FFCB938">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每步时间：1s</w:t>
            </w:r>
          </w:p>
          <w:p w14:paraId="4D5A8E4E">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电源：AC 220V 50-60Hz</w:t>
            </w:r>
          </w:p>
        </w:tc>
        <w:tc>
          <w:tcPr>
            <w:tcW w:w="491" w:type="dxa"/>
            <w:tcBorders>
              <w:top w:val="single" w:color="000000" w:sz="4" w:space="0"/>
              <w:left w:val="nil"/>
              <w:bottom w:val="single" w:color="000000" w:sz="4" w:space="0"/>
              <w:right w:val="single" w:color="000000" w:sz="4" w:space="0"/>
            </w:tcBorders>
            <w:shd w:val="clear" w:color="auto" w:fill="FFFFFF"/>
            <w:vAlign w:val="center"/>
          </w:tcPr>
          <w:p w14:paraId="26123502">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w:t>
            </w:r>
          </w:p>
        </w:tc>
        <w:tc>
          <w:tcPr>
            <w:tcW w:w="696" w:type="dxa"/>
            <w:tcBorders>
              <w:top w:val="single" w:color="000000" w:sz="4" w:space="0"/>
              <w:left w:val="nil"/>
              <w:bottom w:val="single" w:color="000000" w:sz="4" w:space="0"/>
              <w:right w:val="single" w:color="000000" w:sz="4" w:space="0"/>
            </w:tcBorders>
            <w:shd w:val="clear" w:color="auto" w:fill="FFFFFF"/>
            <w:vAlign w:val="center"/>
          </w:tcPr>
          <w:p w14:paraId="23884C12">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台</w:t>
            </w:r>
          </w:p>
        </w:tc>
        <w:tc>
          <w:tcPr>
            <w:tcW w:w="682" w:type="dxa"/>
            <w:tcBorders>
              <w:top w:val="single" w:color="000000" w:sz="4" w:space="0"/>
              <w:left w:val="nil"/>
              <w:bottom w:val="single" w:color="000000" w:sz="4" w:space="0"/>
              <w:right w:val="single" w:color="000000" w:sz="4" w:space="0"/>
            </w:tcBorders>
            <w:shd w:val="clear" w:color="auto" w:fill="FFFFFF"/>
            <w:vAlign w:val="center"/>
          </w:tcPr>
          <w:p w14:paraId="3EDB06D0">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1200</w:t>
            </w:r>
          </w:p>
        </w:tc>
        <w:tc>
          <w:tcPr>
            <w:tcW w:w="736" w:type="dxa"/>
            <w:tcBorders>
              <w:top w:val="single" w:color="000000" w:sz="4" w:space="0"/>
              <w:left w:val="nil"/>
              <w:bottom w:val="single" w:color="000000" w:sz="4" w:space="0"/>
              <w:right w:val="single" w:color="000000" w:sz="4" w:space="0"/>
            </w:tcBorders>
            <w:shd w:val="clear" w:color="auto" w:fill="FFFFFF"/>
            <w:vAlign w:val="center"/>
          </w:tcPr>
          <w:p w14:paraId="73A11CD8">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1200</w:t>
            </w:r>
          </w:p>
        </w:tc>
      </w:tr>
      <w:tr w14:paraId="74B16407">
        <w:tblPrEx>
          <w:tblCellMar>
            <w:top w:w="0" w:type="dxa"/>
            <w:left w:w="108" w:type="dxa"/>
            <w:bottom w:w="0" w:type="dxa"/>
            <w:right w:w="108" w:type="dxa"/>
          </w:tblCellMar>
        </w:tblPrEx>
        <w:trPr>
          <w:trHeight w:val="20"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14:paraId="566772BB">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14</w:t>
            </w:r>
          </w:p>
        </w:tc>
        <w:tc>
          <w:tcPr>
            <w:tcW w:w="1231" w:type="dxa"/>
            <w:tcBorders>
              <w:top w:val="single" w:color="000000" w:sz="4" w:space="0"/>
              <w:left w:val="nil"/>
              <w:bottom w:val="single" w:color="000000" w:sz="4" w:space="0"/>
              <w:right w:val="single" w:color="000000" w:sz="4" w:space="0"/>
            </w:tcBorders>
            <w:shd w:val="clear" w:color="auto" w:fill="FFFFFF"/>
            <w:vAlign w:val="center"/>
          </w:tcPr>
          <w:p w14:paraId="59A94773">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配电柜</w:t>
            </w:r>
          </w:p>
        </w:tc>
        <w:tc>
          <w:tcPr>
            <w:tcW w:w="5980" w:type="dxa"/>
            <w:tcBorders>
              <w:top w:val="single" w:color="000000" w:sz="4" w:space="0"/>
              <w:left w:val="nil"/>
              <w:bottom w:val="single" w:color="000000" w:sz="4" w:space="0"/>
              <w:right w:val="single" w:color="000000" w:sz="4" w:space="0"/>
            </w:tcBorders>
            <w:vAlign w:val="center"/>
          </w:tcPr>
          <w:p w14:paraId="4E26E69C">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1. ≥20KW配电柜，配电柜内须装有空气开关、熔断器、交流接触器、电流互感器、电压互感器、电源防雷器等；</w:t>
            </w:r>
          </w:p>
          <w:p w14:paraId="4569D4B9">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2.含多功能卡智能上电系统，具有过流、过压、欠压、短路、断路、超温、超负荷、断电、等保护功能。</w:t>
            </w:r>
          </w:p>
        </w:tc>
        <w:tc>
          <w:tcPr>
            <w:tcW w:w="491" w:type="dxa"/>
            <w:tcBorders>
              <w:top w:val="single" w:color="000000" w:sz="4" w:space="0"/>
              <w:left w:val="nil"/>
              <w:bottom w:val="single" w:color="000000" w:sz="4" w:space="0"/>
              <w:right w:val="single" w:color="000000" w:sz="4" w:space="0"/>
            </w:tcBorders>
            <w:shd w:val="clear" w:color="auto" w:fill="FFFFFF"/>
            <w:vAlign w:val="center"/>
          </w:tcPr>
          <w:p w14:paraId="0812A62F">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w:t>
            </w:r>
          </w:p>
        </w:tc>
        <w:tc>
          <w:tcPr>
            <w:tcW w:w="696" w:type="dxa"/>
            <w:tcBorders>
              <w:top w:val="single" w:color="000000" w:sz="4" w:space="0"/>
              <w:left w:val="nil"/>
              <w:bottom w:val="single" w:color="000000" w:sz="4" w:space="0"/>
              <w:right w:val="single" w:color="000000" w:sz="4" w:space="0"/>
            </w:tcBorders>
            <w:shd w:val="clear" w:color="auto" w:fill="FFFFFF"/>
            <w:vAlign w:val="center"/>
          </w:tcPr>
          <w:p w14:paraId="4E7E1EE8">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个</w:t>
            </w:r>
          </w:p>
        </w:tc>
        <w:tc>
          <w:tcPr>
            <w:tcW w:w="682" w:type="dxa"/>
            <w:tcBorders>
              <w:top w:val="single" w:color="000000" w:sz="4" w:space="0"/>
              <w:left w:val="nil"/>
              <w:bottom w:val="single" w:color="000000" w:sz="4" w:space="0"/>
              <w:right w:val="single" w:color="000000" w:sz="4" w:space="0"/>
            </w:tcBorders>
            <w:shd w:val="clear" w:color="auto" w:fill="FFFFFF"/>
            <w:vAlign w:val="center"/>
          </w:tcPr>
          <w:p w14:paraId="57748F35">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1600</w:t>
            </w:r>
          </w:p>
        </w:tc>
        <w:tc>
          <w:tcPr>
            <w:tcW w:w="736" w:type="dxa"/>
            <w:tcBorders>
              <w:top w:val="single" w:color="000000" w:sz="4" w:space="0"/>
              <w:left w:val="nil"/>
              <w:bottom w:val="single" w:color="000000" w:sz="4" w:space="0"/>
              <w:right w:val="single" w:color="000000" w:sz="4" w:space="0"/>
            </w:tcBorders>
            <w:shd w:val="clear" w:color="auto" w:fill="FFFFFF"/>
            <w:vAlign w:val="center"/>
          </w:tcPr>
          <w:p w14:paraId="2DA6D7CB">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1600</w:t>
            </w:r>
          </w:p>
        </w:tc>
      </w:tr>
      <w:tr w14:paraId="1D3AADAB">
        <w:tblPrEx>
          <w:tblCellMar>
            <w:top w:w="0" w:type="dxa"/>
            <w:left w:w="108" w:type="dxa"/>
            <w:bottom w:w="0" w:type="dxa"/>
            <w:right w:w="108" w:type="dxa"/>
          </w:tblCellMar>
        </w:tblPrEx>
        <w:trPr>
          <w:trHeight w:val="20"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14:paraId="54576637">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15</w:t>
            </w:r>
          </w:p>
        </w:tc>
        <w:tc>
          <w:tcPr>
            <w:tcW w:w="1231" w:type="dxa"/>
            <w:tcBorders>
              <w:top w:val="single" w:color="000000" w:sz="4" w:space="0"/>
              <w:left w:val="nil"/>
              <w:bottom w:val="single" w:color="000000" w:sz="4" w:space="0"/>
              <w:right w:val="single" w:color="000000" w:sz="4" w:space="0"/>
            </w:tcBorders>
            <w:shd w:val="clear" w:color="auto" w:fill="FFFFFF"/>
            <w:vAlign w:val="center"/>
          </w:tcPr>
          <w:p w14:paraId="37F9279E">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钢结构</w:t>
            </w:r>
          </w:p>
        </w:tc>
        <w:tc>
          <w:tcPr>
            <w:tcW w:w="5980" w:type="dxa"/>
            <w:tcBorders>
              <w:top w:val="single" w:color="000000" w:sz="4" w:space="0"/>
              <w:left w:val="nil"/>
              <w:bottom w:val="single" w:color="000000" w:sz="4" w:space="0"/>
              <w:right w:val="single" w:color="000000" w:sz="4" w:space="0"/>
            </w:tcBorders>
            <w:vAlign w:val="center"/>
          </w:tcPr>
          <w:p w14:paraId="6C71B7DB">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1.镀锌钢材（槽钢、角铁、方通等）制作和安装；</w:t>
            </w:r>
          </w:p>
        </w:tc>
        <w:tc>
          <w:tcPr>
            <w:tcW w:w="491" w:type="dxa"/>
            <w:tcBorders>
              <w:top w:val="single" w:color="000000" w:sz="4" w:space="0"/>
              <w:left w:val="nil"/>
              <w:bottom w:val="single" w:color="000000" w:sz="4" w:space="0"/>
              <w:right w:val="single" w:color="000000" w:sz="4" w:space="0"/>
            </w:tcBorders>
            <w:shd w:val="clear" w:color="auto" w:fill="FFFFFF"/>
            <w:vAlign w:val="center"/>
          </w:tcPr>
          <w:p w14:paraId="61A73621">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w:t>
            </w:r>
          </w:p>
        </w:tc>
        <w:tc>
          <w:tcPr>
            <w:tcW w:w="696" w:type="dxa"/>
            <w:tcBorders>
              <w:top w:val="single" w:color="000000" w:sz="4" w:space="0"/>
              <w:left w:val="nil"/>
              <w:bottom w:val="single" w:color="000000" w:sz="4" w:space="0"/>
              <w:right w:val="single" w:color="000000" w:sz="4" w:space="0"/>
            </w:tcBorders>
            <w:shd w:val="clear" w:color="auto" w:fill="FFFFFF"/>
            <w:vAlign w:val="center"/>
          </w:tcPr>
          <w:p w14:paraId="66D48DA4">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项</w:t>
            </w:r>
          </w:p>
        </w:tc>
        <w:tc>
          <w:tcPr>
            <w:tcW w:w="682" w:type="dxa"/>
            <w:tcBorders>
              <w:top w:val="single" w:color="000000" w:sz="4" w:space="0"/>
              <w:left w:val="nil"/>
              <w:bottom w:val="single" w:color="000000" w:sz="4" w:space="0"/>
              <w:right w:val="single" w:color="000000" w:sz="4" w:space="0"/>
            </w:tcBorders>
            <w:shd w:val="clear" w:color="auto" w:fill="FFFFFF"/>
            <w:vAlign w:val="center"/>
          </w:tcPr>
          <w:p w14:paraId="034ABDE0">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6000</w:t>
            </w:r>
          </w:p>
        </w:tc>
        <w:tc>
          <w:tcPr>
            <w:tcW w:w="736" w:type="dxa"/>
            <w:tcBorders>
              <w:top w:val="single" w:color="000000" w:sz="4" w:space="0"/>
              <w:left w:val="nil"/>
              <w:bottom w:val="single" w:color="000000" w:sz="4" w:space="0"/>
              <w:right w:val="single" w:color="000000" w:sz="4" w:space="0"/>
            </w:tcBorders>
            <w:shd w:val="clear" w:color="auto" w:fill="FFFFFF"/>
            <w:vAlign w:val="center"/>
          </w:tcPr>
          <w:p w14:paraId="6562E010">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6000</w:t>
            </w:r>
          </w:p>
        </w:tc>
      </w:tr>
      <w:tr w14:paraId="777741E7">
        <w:tblPrEx>
          <w:tblCellMar>
            <w:top w:w="0" w:type="dxa"/>
            <w:left w:w="108" w:type="dxa"/>
            <w:bottom w:w="0" w:type="dxa"/>
            <w:right w:w="108" w:type="dxa"/>
          </w:tblCellMar>
        </w:tblPrEx>
        <w:trPr>
          <w:trHeight w:val="329"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14:paraId="6F253A28">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16</w:t>
            </w:r>
          </w:p>
        </w:tc>
        <w:tc>
          <w:tcPr>
            <w:tcW w:w="1231" w:type="dxa"/>
            <w:tcBorders>
              <w:top w:val="single" w:color="000000" w:sz="4" w:space="0"/>
              <w:left w:val="nil"/>
              <w:bottom w:val="single" w:color="000000" w:sz="4" w:space="0"/>
              <w:right w:val="single" w:color="000000" w:sz="4" w:space="0"/>
            </w:tcBorders>
            <w:shd w:val="clear" w:color="auto" w:fill="FFFFFF"/>
            <w:vAlign w:val="center"/>
          </w:tcPr>
          <w:p w14:paraId="023503DA">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AI智能模拟导游综合教学实训软件</w:t>
            </w:r>
          </w:p>
        </w:tc>
        <w:tc>
          <w:tcPr>
            <w:tcW w:w="5980" w:type="dxa"/>
            <w:tcBorders>
              <w:top w:val="single" w:color="000000" w:sz="4" w:space="0"/>
              <w:left w:val="nil"/>
              <w:bottom w:val="single" w:color="000000" w:sz="4" w:space="0"/>
              <w:right w:val="single" w:color="000000" w:sz="4" w:space="0"/>
            </w:tcBorders>
            <w:vAlign w:val="center"/>
          </w:tcPr>
          <w:p w14:paraId="46E1644A">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【运行环境】</w:t>
            </w:r>
          </w:p>
          <w:p w14:paraId="4FD13729">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 xml:space="preserve">  1、系统支持多数主流Windows、Linux、平台，客户端支持WindowsXP/7/8/10等；支持主流数据库平台。</w:t>
            </w:r>
          </w:p>
          <w:p w14:paraId="283E0D4B">
            <w:pPr>
              <w:widowControl/>
              <w:jc w:val="left"/>
              <w:rPr>
                <w:rFonts w:hint="eastAsia" w:ascii="宋体" w:hAnsi="宋体" w:cs="宋体"/>
                <w:strike/>
                <w:color w:val="auto"/>
                <w:sz w:val="16"/>
                <w:szCs w:val="21"/>
                <w:highlight w:val="none"/>
                <w:lang w:bidi="ar"/>
              </w:rPr>
            </w:pPr>
            <w:r>
              <w:rPr>
                <w:rFonts w:hint="eastAsia" w:ascii="宋体" w:hAnsi="宋体" w:cs="宋体"/>
                <w:color w:val="auto"/>
                <w:sz w:val="16"/>
                <w:szCs w:val="21"/>
                <w:highlight w:val="none"/>
                <w:lang w:bidi="ar"/>
              </w:rPr>
              <w:t>▲2、平台适应PC端、手机端，可以适配市面上的主流移动设备，且移动端学习进度与PC端保持同步。</w:t>
            </w:r>
          </w:p>
          <w:p w14:paraId="6F90B136">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【系统架构】（提供第三方机构出具的检测报告复印件或产品宣传彩页或官方截图或技术白皮书）</w:t>
            </w:r>
          </w:p>
          <w:p w14:paraId="1CEB62F3">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 xml:space="preserve">  1、系统角色可按权限进行定制，分为学校管理员、教师、学生，由学校管理员根据学校情况赋予教师和学生登录使用该系统的账号信息。</w:t>
            </w:r>
          </w:p>
          <w:p w14:paraId="0D3FC159">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 xml:space="preserve">  2、要求管理员操作平台主要包括： 学生管理、教师管理、班级管理功能模块；</w:t>
            </w:r>
          </w:p>
          <w:p w14:paraId="61E9283B">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 xml:space="preserve">  4、要求教师操作平台主要包括：学生管理功能模块，微实训任务发布模块，成绩分析模块；</w:t>
            </w:r>
          </w:p>
          <w:p w14:paraId="48B9426A">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【功能模块】</w:t>
            </w:r>
          </w:p>
          <w:p w14:paraId="0635B454">
            <w:pPr>
              <w:widowControl/>
              <w:jc w:val="left"/>
              <w:rPr>
                <w:rFonts w:hint="eastAsia" w:ascii="宋体" w:hAnsi="宋体" w:cs="宋体"/>
                <w:strike/>
                <w:color w:val="auto"/>
                <w:sz w:val="16"/>
                <w:szCs w:val="21"/>
                <w:highlight w:val="none"/>
                <w:lang w:bidi="ar"/>
              </w:rPr>
            </w:pPr>
            <w:r>
              <w:rPr>
                <w:rFonts w:hint="eastAsia" w:ascii="宋体" w:hAnsi="宋体" w:cs="宋体"/>
                <w:color w:val="auto"/>
                <w:sz w:val="16"/>
                <w:szCs w:val="21"/>
                <w:highlight w:val="none"/>
                <w:lang w:bidi="ar"/>
              </w:rPr>
              <w:t>一、用户登录功能</w:t>
            </w:r>
          </w:p>
          <w:p w14:paraId="5553A97F">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1、平台支持多种合规登录、注册方式，具备账号密码自主登录注册能力，同时可兼容主流第三方合规授权登录注册模式，满足不同用户便捷登录使用需求。（提供第三方机构出具的检测报告复印件或产品宣传彩页或官方截图或技术白皮书）</w:t>
            </w:r>
          </w:p>
          <w:p w14:paraId="059A42B5">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 xml:space="preserve">  2、平台具备校园统一身份认证管理功能，支持管理员通过后台批量导入、维护在校学生用户信息，依托账号密码完成合规身份核验，实现用户统一、规范、安全的权限准入管理。</w:t>
            </w:r>
          </w:p>
          <w:p w14:paraId="09FDDDDE">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二、平台主页</w:t>
            </w:r>
          </w:p>
          <w:p w14:paraId="6B354565">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 xml:space="preserve">  1、要求平台主页提供包括平台运营数据、最新课程展现、经典实训推荐、竞赛资讯、云资讯、合作院校统计及展示、消息中心、个人中心等。</w:t>
            </w:r>
          </w:p>
          <w:p w14:paraId="75B412EC">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 xml:space="preserve">  2、要求平台主页对平台运营数据（含服务院校、在校学生、高校名师、课程资源等）。</w:t>
            </w:r>
          </w:p>
          <w:p w14:paraId="1846E2D8">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 xml:space="preserve">  3、要求平台主页提供各模块入口。</w:t>
            </w:r>
          </w:p>
          <w:p w14:paraId="72793CBA">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三、智慧学习</w:t>
            </w:r>
          </w:p>
          <w:p w14:paraId="301B979E">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1、要求平台对所有课程按照旅游管理和酒店管理专业、课程分类进行分类列表展示，支持根据发布时间、学习人数、评分等进行排序，支持根据课程名称搜索功能。（提供第三方机构出具的检测报告复印件或产品宣传彩页或官方截图或技术白皮书）</w:t>
            </w:r>
          </w:p>
          <w:p w14:paraId="2D945F8B">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2、支持课程介绍页可查看课程详情、课程评价、授课教师、相关课程推荐等。课程详情介绍内容包括课程概述、授课目标、课程大纲、常见问题等，</w:t>
            </w:r>
          </w:p>
          <w:p w14:paraId="3022147D">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3、平台课程资源支持多渠道社交分享功能，可通过主流合规社交媒介完成课程分享传播，支持好友点对点分享、社群及朋友圈类公域分享场景，满足课程资源推广与互助学习需求。（提供第三方机构出具的检测报告复印件或产品宣传彩页或官方截图或技术白皮书）。</w:t>
            </w:r>
          </w:p>
          <w:p w14:paraId="2678D3B5">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4、用户登录课程主页后，可在线查阅课程教案、教学课件，完成章节检测作业；支持课堂笔记在线查看、导出、权限属性设置，系统自动记录用户学习数据、统计学习时长、跟踪学习进度。支持用户对课程进行评分与文字评价，实现教学互评。检测作业需依据课程章节大纲分层布置，支持用户在规定时限内完成作答；作业题型包含客观题（单选题、多选题、判断题），具备成绩查询、测验复盘、错题汇总分析等学情纠错功能。（提供第三方机构出具的检测报告复印件或产品宣传彩页或官方截图或技术白皮书）</w:t>
            </w:r>
          </w:p>
          <w:p w14:paraId="045E877F">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 xml:space="preserve"> 5、平台内置完善的智慧学习课件资源库，用户完成小节资源学习后，系统可实时展示用户最新学习状态与学习进度。资源库需全面覆盖旅游管理、酒店管理专业核心教学资源，包含导游业务、地方导游基础、全国导游基础、旅游政策法规、客户关系管理、研学安全、旅游产品设计、导游法律法规案例、英语口语实训等多维视频、动漫、图文教学资源。所有资源需贴合职业教育教学大纲与行业岗位实操标准，适配日常教学、实训训练、考前模拟等场景，资源内容详实、贴合行业最新规范。</w:t>
            </w:r>
          </w:p>
          <w:p w14:paraId="3980C437">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5.1 导游业务视频课件</w:t>
            </w:r>
          </w:p>
          <w:p w14:paraId="1BF44AD9">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课件内容全面覆盖导游岗位核心业务知识与实操技能，包含导游职业认知、职业礼仪、全流程服务规范、带团技巧、讲解技能、游客诉求处理、突发事故处置、出行相关综合常识等核心教学内容。</w:t>
            </w:r>
          </w:p>
          <w:p w14:paraId="05E82AA5">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5.2 地方导游基础知识视频课件</w:t>
            </w:r>
          </w:p>
          <w:p w14:paraId="36B8BE2E">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课件涵盖全国七大地理分区及港澳台地区地域文化、民俗风情、地理风貌、地方特色文旅相关基础知识，形成系统化区域导游知识教学体系。</w:t>
            </w:r>
          </w:p>
          <w:p w14:paraId="6864B410">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5.3 全国导游基础知识视频课件</w:t>
            </w:r>
          </w:p>
          <w:p w14:paraId="7A5CC358">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课件包含国家发展成就、旅游行业概况、历史文化、文学艺术、古建园林、饮食工艺、民族宗教、旅游景观、主要客源国概况等专业基础内容。</w:t>
            </w:r>
          </w:p>
          <w:p w14:paraId="53BEF8A2">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5.4 旅游政策法律法规视频课件</w:t>
            </w:r>
          </w:p>
          <w:p w14:paraId="60554DD2">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课件围绕法治建设、国家大政方针、文旅行业专项政策、通用法律常识、旅游专项法规、合同制度、安全管理、出入境管理、资源保护、纠纷处置等内容展开教学。</w:t>
            </w:r>
          </w:p>
          <w:p w14:paraId="43974B81">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5.5 导游基础知识动漫教学资源</w:t>
            </w:r>
          </w:p>
          <w:p w14:paraId="1E386204">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配备趣味化动漫教学课件，以动画形式讲解旅游业发展、传统节日、饮食文化、茶文化、传统工艺、历史名人、地域民俗、山水建筑、特色文化等文旅通识内容，提升学习趣味性。</w:t>
            </w:r>
          </w:p>
          <w:p w14:paraId="7414F83C">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5.6 专项动漫教学资源</w:t>
            </w:r>
          </w:p>
          <w:p w14:paraId="63840C42">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5.6.1 导游业务知识动漫教学资源</w:t>
            </w:r>
          </w:p>
          <w:p w14:paraId="5BD7208F">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以动画形式讲解导游人员素养、岗位职责、接团、入住、行程游览、餐饮购物、送站等全流程服务实操内容。</w:t>
            </w:r>
          </w:p>
          <w:p w14:paraId="6708ECF5">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5.6.2 国际文旅及特色物产动漫教学资源</w:t>
            </w:r>
          </w:p>
          <w:p w14:paraId="5C775921">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配备 “一带一路” 沿线国家及国内各地特色物产、文旅风情类动画课件，拓展学生国际视野与地域文旅认知。</w:t>
            </w:r>
          </w:p>
          <w:p w14:paraId="69A336EE">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16"/>
                <w:highlight w:val="none"/>
                <w:lang w:bidi="ar"/>
              </w:rPr>
              <w:t>▲</w:t>
            </w:r>
            <w:r>
              <w:rPr>
                <w:rFonts w:hint="eastAsia" w:ascii="宋体" w:hAnsi="宋体" w:cs="宋体"/>
                <w:color w:val="auto"/>
                <w:sz w:val="16"/>
                <w:szCs w:val="21"/>
                <w:highlight w:val="none"/>
                <w:lang w:bidi="ar"/>
              </w:rPr>
              <w:t>5.6.3 客户关系管理资源库</w:t>
            </w:r>
          </w:p>
          <w:p w14:paraId="357F308A">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配备旅游行业客户关系管理相关动漫教学资源，涵盖基础概念、行业应用、信息收集、营销模式、服务规范等内容。</w:t>
            </w:r>
          </w:p>
          <w:p w14:paraId="6B75DD12">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16"/>
                <w:highlight w:val="none"/>
                <w:lang w:bidi="ar"/>
              </w:rPr>
              <w:t>▲</w:t>
            </w:r>
            <w:r>
              <w:rPr>
                <w:rFonts w:hint="eastAsia" w:ascii="宋体" w:hAnsi="宋体" w:cs="宋体"/>
                <w:color w:val="auto"/>
                <w:sz w:val="16"/>
                <w:szCs w:val="21"/>
                <w:highlight w:val="none"/>
                <w:lang w:bidi="ar"/>
              </w:rPr>
              <w:t>5.6.4 研学旅途安全事故预防与处理</w:t>
            </w:r>
          </w:p>
          <w:p w14:paraId="23AEEB8F">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配备研学出行安全主题动漫课件，覆盖自然灾害、人身伤害、突发疾病、财物遗失、交通事故、地震等各类常见突发事件的预防与应急处置知识。</w:t>
            </w:r>
          </w:p>
          <w:p w14:paraId="088F95B5">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16"/>
                <w:highlight w:val="none"/>
                <w:lang w:bidi="ar"/>
              </w:rPr>
              <w:t>▲</w:t>
            </w:r>
            <w:r>
              <w:rPr>
                <w:rFonts w:hint="eastAsia" w:ascii="宋体" w:hAnsi="宋体" w:cs="宋体"/>
                <w:color w:val="auto"/>
                <w:sz w:val="16"/>
                <w:szCs w:val="21"/>
                <w:highlight w:val="none"/>
                <w:lang w:bidi="ar"/>
              </w:rPr>
              <w:t>5.6.5 旅游产品设计案例资源</w:t>
            </w:r>
          </w:p>
          <w:p w14:paraId="076F028B">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配备不同客群、不同类型旅游产品的设计与运营案例类动漫教学资源。</w:t>
            </w:r>
          </w:p>
          <w:p w14:paraId="48C15467">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16"/>
                <w:highlight w:val="none"/>
                <w:lang w:bidi="ar"/>
              </w:rPr>
              <w:t>▲</w:t>
            </w:r>
            <w:r>
              <w:rPr>
                <w:rFonts w:hint="eastAsia" w:ascii="宋体" w:hAnsi="宋体" w:cs="宋体"/>
                <w:color w:val="auto"/>
                <w:sz w:val="16"/>
                <w:szCs w:val="21"/>
                <w:highlight w:val="none"/>
                <w:lang w:bidi="ar"/>
              </w:rPr>
              <w:t>5.6.6 导游法律法规案例分析教学动画资源</w:t>
            </w:r>
          </w:p>
          <w:p w14:paraId="3BCFDF51">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结合旅游行业真实场景，制作法律纠纷、权责判定、合同履约等典型案例动画教学资源，强化法规实操应用能力。</w:t>
            </w:r>
          </w:p>
          <w:p w14:paraId="30B6EF7B">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四、智慧实训</w:t>
            </w:r>
          </w:p>
          <w:p w14:paraId="750E1F57">
            <w:pPr>
              <w:widowControl/>
              <w:jc w:val="left"/>
              <w:rPr>
                <w:rFonts w:hint="eastAsia" w:ascii="宋体" w:hAnsi="宋体" w:cs="宋体"/>
                <w:color w:val="auto"/>
                <w:kern w:val="0"/>
                <w:sz w:val="16"/>
                <w:szCs w:val="16"/>
                <w:highlight w:val="none"/>
                <w:lang w:bidi="ar"/>
              </w:rPr>
            </w:pPr>
            <w:r>
              <w:rPr>
                <w:rFonts w:hint="eastAsia" w:ascii="宋体" w:hAnsi="宋体" w:cs="宋体"/>
                <w:color w:val="auto"/>
                <w:sz w:val="16"/>
                <w:szCs w:val="16"/>
                <w:highlight w:val="none"/>
              </w:rPr>
              <w:t>1、</w:t>
            </w:r>
            <w:r>
              <w:rPr>
                <w:rFonts w:hint="eastAsia" w:ascii="宋体" w:hAnsi="宋体" w:cs="宋体"/>
                <w:color w:val="auto"/>
                <w:kern w:val="0"/>
                <w:sz w:val="16"/>
                <w:szCs w:val="16"/>
                <w:highlight w:val="none"/>
                <w:lang w:bidi="ar"/>
              </w:rPr>
              <w:t>平台实训体系分为微实训、综合实训两大模块，可按照旅游管理、酒店管理等对应专业完成分类归集展示。</w:t>
            </w:r>
          </w:p>
          <w:p w14:paraId="39D54EC2">
            <w:pPr>
              <w:widowControl/>
              <w:jc w:val="left"/>
              <w:rPr>
                <w:rFonts w:hint="eastAsia" w:ascii="宋体" w:hAnsi="宋体" w:cs="宋体"/>
                <w:color w:val="auto"/>
                <w:kern w:val="0"/>
                <w:sz w:val="16"/>
                <w:szCs w:val="16"/>
                <w:highlight w:val="none"/>
                <w:lang w:bidi="ar"/>
              </w:rPr>
            </w:pPr>
            <w:r>
              <w:rPr>
                <w:rFonts w:hint="eastAsia" w:ascii="宋体" w:hAnsi="宋体" w:cs="宋体"/>
                <w:color w:val="auto"/>
                <w:sz w:val="16"/>
                <w:szCs w:val="16"/>
                <w:highlight w:val="none"/>
                <w:lang w:bidi="ar"/>
              </w:rPr>
              <w:t>▲</w:t>
            </w:r>
            <w:r>
              <w:rPr>
                <w:rFonts w:hint="eastAsia" w:ascii="宋体" w:hAnsi="宋体" w:cs="宋体"/>
                <w:color w:val="auto"/>
                <w:kern w:val="0"/>
                <w:sz w:val="16"/>
                <w:szCs w:val="16"/>
                <w:highlight w:val="none"/>
                <w:lang w:bidi="ar"/>
              </w:rPr>
              <w:t>2、微实训支持按专业、实训类型、岗位类型多维度分类呈现，支持按发布时间、学习热度、用户评分排序及关键词检索。</w:t>
            </w:r>
          </w:p>
          <w:p w14:paraId="473B2F95">
            <w:pPr>
              <w:widowControl/>
              <w:jc w:val="left"/>
              <w:rPr>
                <w:rFonts w:hint="eastAsia"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3、微实训详情页可展示实训简介、用户评价、相关实训推荐内容。综合实训详情页展示实训简介、关联实训资源，支持一键跳转对应实训系统开展实训。</w:t>
            </w:r>
          </w:p>
          <w:p w14:paraId="449D4F6E">
            <w:pPr>
              <w:widowControl/>
              <w:jc w:val="left"/>
              <w:rPr>
                <w:rFonts w:hint="eastAsia" w:ascii="宋体" w:hAnsi="宋体" w:cs="宋体"/>
                <w:color w:val="auto"/>
                <w:kern w:val="0"/>
                <w:sz w:val="16"/>
                <w:szCs w:val="16"/>
                <w:highlight w:val="none"/>
                <w:lang w:bidi="ar"/>
              </w:rPr>
            </w:pPr>
            <w:r>
              <w:rPr>
                <w:rFonts w:hint="eastAsia" w:ascii="宋体" w:hAnsi="宋体" w:cs="宋体"/>
                <w:color w:val="auto"/>
                <w:sz w:val="16"/>
                <w:szCs w:val="16"/>
                <w:highlight w:val="none"/>
                <w:lang w:bidi="ar"/>
              </w:rPr>
              <w:t>▲</w:t>
            </w:r>
            <w:r>
              <w:rPr>
                <w:rFonts w:hint="eastAsia" w:ascii="宋体" w:hAnsi="宋体" w:cs="宋体"/>
                <w:color w:val="auto"/>
                <w:kern w:val="0"/>
                <w:sz w:val="16"/>
                <w:szCs w:val="16"/>
                <w:highlight w:val="none"/>
                <w:lang w:bidi="ar"/>
              </w:rPr>
              <w:t>4、实训入口支持展示实训简介、实训指南，适配多角色身份验证登录，支持师生账号便捷切换使用。</w:t>
            </w:r>
            <w:r>
              <w:rPr>
                <w:rFonts w:hint="eastAsia" w:ascii="宋体" w:hAnsi="宋体" w:cs="宋体"/>
                <w:color w:val="auto"/>
                <w:sz w:val="16"/>
                <w:szCs w:val="21"/>
                <w:highlight w:val="none"/>
                <w:lang w:bidi="ar"/>
              </w:rPr>
              <w:t>（提供第三方机构出具的检测报告复印件或产品宣传彩页或官方截图或技术白皮书）</w:t>
            </w:r>
          </w:p>
          <w:p w14:paraId="61FD02CE">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5、学生端功能模块</w:t>
            </w:r>
          </w:p>
          <w:p w14:paraId="42617C7E">
            <w:pPr>
              <w:widowControl/>
              <w:jc w:val="left"/>
              <w:rPr>
                <w:rFonts w:hint="eastAsia" w:ascii="宋体" w:hAnsi="宋体" w:cs="宋体"/>
                <w:color w:val="auto"/>
                <w:sz w:val="16"/>
                <w:szCs w:val="16"/>
                <w:highlight w:val="none"/>
                <w:lang w:bidi="ar"/>
              </w:rPr>
            </w:pPr>
            <w:r>
              <w:rPr>
                <w:rFonts w:hint="eastAsia" w:ascii="宋体" w:hAnsi="宋体" w:cs="宋体"/>
                <w:color w:val="auto"/>
                <w:sz w:val="16"/>
                <w:szCs w:val="16"/>
                <w:highlight w:val="none"/>
                <w:lang w:bidi="ar"/>
              </w:rPr>
              <w:t>5.1</w:t>
            </w:r>
            <w:r>
              <w:rPr>
                <w:rFonts w:ascii="宋体" w:hAnsi="宋体" w:cs="宋体"/>
                <w:color w:val="auto"/>
                <w:kern w:val="0"/>
                <w:sz w:val="16"/>
                <w:szCs w:val="16"/>
                <w:highlight w:val="none"/>
                <w:lang w:bidi="ar"/>
              </w:rPr>
              <w:t>学生端支持可视化地图教学展示，可展示全国地市级行政区城市文旅资源名片，内容涵盖城市概况、人文历史、自然资源、科教文旅、城市荣誉等多维度图文、视频教学资料，内容真实详实、贴合教学需求。</w:t>
            </w:r>
          </w:p>
          <w:p w14:paraId="30F1B794">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5.2要求教师端空间应至少包括课件、检测作业、教案、课堂笔记等功能模块。</w:t>
            </w:r>
          </w:p>
          <w:p w14:paraId="441C7F62">
            <w:pPr>
              <w:widowControl/>
              <w:jc w:val="left"/>
              <w:rPr>
                <w:rFonts w:hint="eastAsia" w:ascii="宋体" w:hAnsi="宋体" w:cs="宋体"/>
                <w:color w:val="auto"/>
                <w:sz w:val="16"/>
                <w:szCs w:val="16"/>
                <w:highlight w:val="none"/>
                <w:lang w:bidi="ar"/>
              </w:rPr>
            </w:pPr>
            <w:r>
              <w:rPr>
                <w:rFonts w:hint="eastAsia" w:ascii="宋体" w:hAnsi="宋体" w:cs="宋体"/>
                <w:color w:val="auto"/>
                <w:sz w:val="16"/>
                <w:szCs w:val="16"/>
                <w:highlight w:val="none"/>
                <w:lang w:bidi="ar"/>
              </w:rPr>
              <w:t>▲5.3</w:t>
            </w:r>
            <w:r>
              <w:rPr>
                <w:rFonts w:ascii="宋体" w:hAnsi="宋体" w:cs="宋体"/>
                <w:color w:val="auto"/>
                <w:kern w:val="0"/>
                <w:sz w:val="16"/>
                <w:szCs w:val="16"/>
                <w:highlight w:val="none"/>
                <w:lang w:bidi="ar"/>
              </w:rPr>
              <w:t>教师端配套配备课件管理、作业管理、教案管理、课堂笔记管理等基础教学功能模块，满足日常教学管控需求。教师端具备全维度教学与实训管理能力，包含作品管理、实训统筹、竞赛管理、教学资源管理、学情数据分析、AI智能实训设备管理等核心功能；支持题库维护、导游词创作、知识问答、口语测评、试卷全流程管理、题目资源运维、团型案例管理、班级学情统计（成绩、排名、学习时长）等教学配套功能，全面适配专业实训教学管控场景。</w:t>
            </w:r>
            <w:r>
              <w:rPr>
                <w:rFonts w:hint="eastAsia" w:ascii="宋体" w:hAnsi="宋体" w:cs="宋体"/>
                <w:color w:val="auto"/>
                <w:sz w:val="16"/>
                <w:szCs w:val="21"/>
                <w:highlight w:val="none"/>
                <w:lang w:bidi="ar"/>
              </w:rPr>
              <w:t>（提供第三方机构出具的检测报告复印件或产品宣传彩页或官方截图或技术白皮书）</w:t>
            </w:r>
          </w:p>
          <w:p w14:paraId="144FAB8B">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5.4系统内置导游讲解专项实训模块，支持学生学习标准导游讲解范本后，自主创作导游词并开展模拟讲解训练。支持景区VR场景适配展示，可灵活控制讲解字幕显示状态；支持全程讲解过程录制，可同步留存讲解肢体画面、语音、字幕及VR全景场景内容。学生可将实训作品提交教师考评，或推送至优秀作品展示模块开展互评点评。</w:t>
            </w:r>
          </w:p>
          <w:p w14:paraId="4F74BE46">
            <w:pPr>
              <w:widowControl/>
              <w:jc w:val="left"/>
              <w:rPr>
                <w:rFonts w:hint="eastAsia" w:ascii="宋体" w:hAnsi="宋体" w:cs="宋体"/>
                <w:color w:val="auto"/>
                <w:kern w:val="0"/>
                <w:sz w:val="16"/>
                <w:szCs w:val="16"/>
                <w:highlight w:val="none"/>
                <w:lang w:bidi="ar"/>
              </w:rPr>
            </w:pPr>
            <w:r>
              <w:rPr>
                <w:rFonts w:hint="eastAsia" w:ascii="宋体" w:hAnsi="宋体" w:cs="宋体"/>
                <w:color w:val="auto"/>
                <w:sz w:val="16"/>
                <w:szCs w:val="21"/>
                <w:highlight w:val="none"/>
                <w:lang w:bidi="ar"/>
              </w:rPr>
              <w:t>5.5</w:t>
            </w:r>
            <w:r>
              <w:rPr>
                <w:rFonts w:ascii="宋体" w:hAnsi="宋体" w:cs="宋体"/>
                <w:color w:val="auto"/>
                <w:kern w:val="0"/>
                <w:sz w:val="16"/>
                <w:szCs w:val="16"/>
                <w:highlight w:val="none"/>
                <w:lang w:bidi="ar"/>
              </w:rPr>
              <w:t>系统具备中英文导游讲解AI智能评测能力，可对学生模拟讲解的准确度、流利度、完整度等核心维度进行智能分析、量化评分与效果评价，辅助学生持续优化讲解能力。</w:t>
            </w:r>
          </w:p>
          <w:p w14:paraId="4CB467E8">
            <w:pPr>
              <w:widowControl/>
              <w:jc w:val="left"/>
              <w:rPr>
                <w:rFonts w:hint="eastAsia"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5.6</w:t>
            </w:r>
            <w:r>
              <w:rPr>
                <w:rFonts w:ascii="宋体" w:hAnsi="宋体" w:cs="宋体"/>
                <w:color w:val="auto"/>
                <w:kern w:val="0"/>
                <w:sz w:val="16"/>
                <w:szCs w:val="16"/>
                <w:highlight w:val="none"/>
                <w:lang w:bidi="ar"/>
              </w:rPr>
              <w:t>系统支持分学段导游词创作实训，适配中职、高职教学组别要求。系统内置丰富的旅游文化元素与旅游团型资源库，支持随机抽取组合开展限时导游词创作与讲解训练；配备多风格优质导游词范例库，支持学生参考引用并自主二次创作，提升实训创作能力。</w:t>
            </w:r>
          </w:p>
          <w:p w14:paraId="40031F60">
            <w:pPr>
              <w:widowControl/>
              <w:jc w:val="left"/>
              <w:rPr>
                <w:rFonts w:hint="eastAsia" w:ascii="宋体" w:hAnsi="宋体" w:cs="宋体"/>
                <w:color w:val="auto"/>
                <w:sz w:val="16"/>
                <w:szCs w:val="21"/>
                <w:highlight w:val="none"/>
                <w:lang w:bidi="ar"/>
              </w:rPr>
            </w:pPr>
            <w:r>
              <w:rPr>
                <w:rFonts w:hint="eastAsia" w:ascii="宋体" w:hAnsi="宋体" w:cs="宋体"/>
                <w:color w:val="auto"/>
                <w:kern w:val="0"/>
                <w:sz w:val="16"/>
                <w:szCs w:val="16"/>
                <w:highlight w:val="none"/>
                <w:lang w:bidi="ar"/>
              </w:rPr>
              <w:t>▲5.7</w:t>
            </w:r>
            <w:r>
              <w:rPr>
                <w:rFonts w:ascii="宋体" w:hAnsi="宋体" w:cs="宋体"/>
                <w:color w:val="auto"/>
                <w:kern w:val="0"/>
                <w:sz w:val="16"/>
                <w:szCs w:val="16"/>
                <w:highlight w:val="none"/>
                <w:lang w:bidi="ar"/>
              </w:rPr>
              <w:t>系统具备专业旅游英语口语实训与测评功能，覆盖职业技能大赛核心实训场景，支持跟读训练、人机智能对话、角色互换演练；可从发音准确度、音节完整度、表达流利度等多维度，对学生口语实训成果进行智能化综合测评。</w:t>
            </w:r>
            <w:r>
              <w:rPr>
                <w:rFonts w:hint="eastAsia" w:ascii="宋体" w:hAnsi="宋体" w:cs="宋体"/>
                <w:color w:val="auto"/>
                <w:sz w:val="16"/>
                <w:szCs w:val="21"/>
                <w:highlight w:val="none"/>
                <w:lang w:bidi="ar"/>
              </w:rPr>
              <w:t>（提供第三方机构出具的检测报告复印件或产品宣传彩页或官方截图或技术白皮书）</w:t>
            </w:r>
          </w:p>
          <w:p w14:paraId="52D77586">
            <w:pPr>
              <w:widowControl/>
              <w:jc w:val="left"/>
              <w:rPr>
                <w:rFonts w:hint="eastAsia"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5.8</w:t>
            </w:r>
            <w:r>
              <w:rPr>
                <w:rFonts w:ascii="宋体" w:hAnsi="宋体" w:cs="宋体"/>
                <w:color w:val="auto"/>
                <w:kern w:val="0"/>
                <w:sz w:val="16"/>
                <w:szCs w:val="16"/>
                <w:highlight w:val="none"/>
                <w:lang w:bidi="ar"/>
              </w:rPr>
              <w:t>系统支持自定义景点讲解实训，支持本地教学文档、演示素材上传适配讲解录制场景。学生可依托上传素材开展模拟讲解并完成录制，实训作品可在线分享供师生点评交流，也可保存存档，便于后续复盘优化。</w:t>
            </w:r>
          </w:p>
          <w:p w14:paraId="2EC472BE">
            <w:pPr>
              <w:widowControl/>
              <w:jc w:val="left"/>
              <w:rPr>
                <w:rFonts w:hint="eastAsia"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▲5.9</w:t>
            </w:r>
            <w:r>
              <w:rPr>
                <w:rFonts w:ascii="宋体" w:hAnsi="宋体" w:cs="宋体"/>
                <w:color w:val="auto"/>
                <w:kern w:val="0"/>
                <w:sz w:val="16"/>
                <w:szCs w:val="16"/>
                <w:highlight w:val="none"/>
                <w:lang w:bidi="ar"/>
              </w:rPr>
              <w:t>系统适配地方导游服务能力考核标准，内置对应知识问答题库资源，支持随机抽题、顺序练习等多种模拟考试模式，学生完成作答后可查看标准答案与详细解析，满足考前实训备考需求。</w:t>
            </w:r>
            <w:r>
              <w:rPr>
                <w:rFonts w:hint="eastAsia" w:ascii="宋体" w:hAnsi="宋体" w:cs="宋体"/>
                <w:color w:val="auto"/>
                <w:sz w:val="16"/>
                <w:szCs w:val="21"/>
                <w:highlight w:val="none"/>
                <w:lang w:bidi="ar"/>
              </w:rPr>
              <w:t>（提供第三方机构出具的检测报告复印件或产品宣传彩页或官方截图或技术白皮书）</w:t>
            </w:r>
          </w:p>
          <w:p w14:paraId="4172AD6D">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5.10系统具备导游讲解视频编辑的功能，学生可通过借助系统自带工具提取全景图片或从本地上传图片与视频的方式制作DIY图集，可对图集内的图片进行时间上单独设置或整体设置，精准的确定每个图片的展示时长，对单个图片或视频上传对应的导游词生成字幕，选择合适的背景音乐与转场样式，全部设置完成后可进行预览，生成完整视频文件，进行模拟讲解，整个讲解过程可通过录制功能进行录音录像，并可将整个讲解过程生成完整的讲解视频。（提供第三方机构出具的检测报告复印件或产品宣传彩页或官方截图或技术白皮书）</w:t>
            </w:r>
          </w:p>
          <w:p w14:paraId="67741699">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五、个人中心</w:t>
            </w:r>
          </w:p>
          <w:p w14:paraId="6B93C9EA">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 xml:space="preserve">  1、要求平台个人中心包括我的课程、我的微实训、任务实训、个人信息、账号安全等模块。</w:t>
            </w:r>
          </w:p>
          <w:p w14:paraId="1FB60A26">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 xml:space="preserve">  2、我的课程，支持用户查看学习的课程，课程按专业、类型分类，根据最新学习时间进行排序，显示当前课程的学习进度，点击继续上次学习。</w:t>
            </w:r>
          </w:p>
          <w:p w14:paraId="25B01C43">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 xml:space="preserve">  3、我的实训，支持用户查看拥有权限的微实训，按照专业、类型、岗位分类，显示当前实训的实训进度，可查看实训记录，点击继续完成实训。</w:t>
            </w:r>
          </w:p>
          <w:p w14:paraId="7039029D">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▲4、支持教师端的学生管理，教师可邀请学生参与到班级中，邀请方式可分为复制链接邀请和二维码扫码邀请。（提供第三方机构出具的检测报告复印件或产品宣传彩页或官方截图或技术白皮书）</w:t>
            </w:r>
          </w:p>
          <w:p w14:paraId="56263DCA">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 xml:space="preserve">  5、任务实训，支持学生查看教师发布的任务实训，点击进入实训模块，显示当前任务完成进度，实训任务根据状态分为进行中、未开始、已结束，教师批阅后，学生可查看实训成绩。</w:t>
            </w:r>
          </w:p>
          <w:p w14:paraId="141D58DC">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 xml:space="preserve">  6、个人信息，支持用户更改个人基础信息，包括头像、姓名、性别、出生日期等。</w:t>
            </w:r>
          </w:p>
          <w:p w14:paraId="44E6A7AB">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 xml:space="preserve">  7、账号安全，支持用户修改登录密码。</w:t>
            </w:r>
          </w:p>
          <w:p w14:paraId="5FBB2A5A">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六、消息中心</w:t>
            </w:r>
            <w:bookmarkStart w:id="237" w:name="_GoBack"/>
            <w:bookmarkEnd w:id="237"/>
          </w:p>
          <w:p w14:paraId="2A54B9BB">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 xml:space="preserve">  1、要求平台消息中心集合各实训系统消息，实现云消息集。</w:t>
            </w:r>
          </w:p>
          <w:p w14:paraId="0F65F827">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 xml:space="preserve">  2、可查看平台消息公告，内容不限于文字、图片等。 </w:t>
            </w:r>
          </w:p>
          <w:p w14:paraId="55EDB301">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七、全景资源</w:t>
            </w:r>
          </w:p>
          <w:p w14:paraId="1AF9081B">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平台配备完善的全景VR实景教学资源库，全方位适配旅游专业教学实训需求，资源体系包含四大类：一是云南区域特色文旅景区VR教学资源，覆盖省内知名自然景区、人文古镇、历史遗迹、特色文旅点位；二是中国世界文化遗产VR资源，涵盖国内各类世界级文化遗产、古建筑、古聚落等教学场景；三是中国世界自然遗产及双重遗产VR资源，覆盖国内知名自然保护景区、特色地貌景观；四是国内重点红色教育基地三维实景互动教学资源。所有全景资源需画质清晰、场景完整，适配课堂教学、实景实训、研学教育、思政育人等多元教学场景。</w:t>
            </w:r>
          </w:p>
          <w:p w14:paraId="5EB8A602">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【其他要求】</w:t>
            </w:r>
          </w:p>
          <w:p w14:paraId="6CC58F63">
            <w:pPr>
              <w:widowControl/>
              <w:jc w:val="left"/>
              <w:rPr>
                <w:rFonts w:hint="eastAsia" w:ascii="宋体" w:hAnsi="宋体" w:cs="宋体"/>
                <w:color w:val="auto"/>
                <w:sz w:val="16"/>
                <w:szCs w:val="21"/>
                <w:highlight w:val="none"/>
                <w:lang w:bidi="ar"/>
              </w:rPr>
            </w:pPr>
            <w:r>
              <w:rPr>
                <w:rFonts w:hint="eastAsia" w:ascii="宋体" w:hAnsi="宋体" w:cs="宋体"/>
                <w:color w:val="auto"/>
                <w:sz w:val="16"/>
                <w:szCs w:val="21"/>
                <w:highlight w:val="none"/>
                <w:lang w:bidi="ar"/>
              </w:rPr>
              <w:t>1、供应商需提供本项目所投AI智能模拟导游教学综合实训系统对应的国家版权中心计算机软件著作权证书、第三方软件产品检测报告复印件，证明所投产品为合规自主研发、功能完善、质量达标的成熟产品。</w:t>
            </w:r>
          </w:p>
          <w:p w14:paraId="721AC20C">
            <w:pPr>
              <w:widowControl/>
              <w:jc w:val="left"/>
              <w:rPr>
                <w:rFonts w:hint="eastAsia" w:ascii="宋体" w:hAnsi="宋体" w:cs="宋体"/>
                <w:color w:val="auto"/>
                <w:sz w:val="16"/>
                <w:szCs w:val="21"/>
                <w:highlight w:val="none"/>
                <w:lang w:bidi="ar"/>
              </w:rPr>
            </w:pPr>
            <w:r>
              <w:rPr>
                <w:rFonts w:hint="eastAsia"/>
                <w:color w:val="auto"/>
                <w:sz w:val="16"/>
                <w:szCs w:val="16"/>
                <w:highlight w:val="none"/>
              </w:rPr>
              <w:t>2、</w:t>
            </w:r>
            <w:r>
              <w:rPr>
                <w:rFonts w:eastAsia="Segoe UI Emoji"/>
                <w:color w:val="auto"/>
                <w:sz w:val="16"/>
                <w:szCs w:val="16"/>
                <w:highlight w:val="none"/>
              </w:rPr>
              <w:t>系统</w:t>
            </w:r>
            <w:r>
              <w:rPr>
                <w:rFonts w:hint="eastAsia"/>
                <w:color w:val="auto"/>
                <w:sz w:val="16"/>
                <w:szCs w:val="16"/>
                <w:highlight w:val="none"/>
              </w:rPr>
              <w:t>需</w:t>
            </w:r>
            <w:r>
              <w:rPr>
                <w:rFonts w:eastAsia="Segoe UI Emoji"/>
                <w:color w:val="auto"/>
                <w:sz w:val="16"/>
                <w:szCs w:val="16"/>
                <w:highlight w:val="none"/>
              </w:rPr>
              <w:t>包含云南省导游考试科目五导游服务能力考试大纲规定的知识问答题库，并提供至少1年的免费题库更新服务</w:t>
            </w:r>
            <w:r>
              <w:rPr>
                <w:rFonts w:hint="eastAsia"/>
                <w:color w:val="auto"/>
                <w:sz w:val="16"/>
                <w:szCs w:val="16"/>
                <w:highlight w:val="none"/>
              </w:rPr>
              <w:t>。</w:t>
            </w:r>
          </w:p>
        </w:tc>
        <w:tc>
          <w:tcPr>
            <w:tcW w:w="491" w:type="dxa"/>
            <w:tcBorders>
              <w:top w:val="single" w:color="000000" w:sz="4" w:space="0"/>
              <w:left w:val="nil"/>
              <w:bottom w:val="single" w:color="000000" w:sz="4" w:space="0"/>
              <w:right w:val="single" w:color="000000" w:sz="4" w:space="0"/>
            </w:tcBorders>
            <w:shd w:val="clear" w:color="auto" w:fill="FFFFFF"/>
            <w:vAlign w:val="center"/>
          </w:tcPr>
          <w:p w14:paraId="07933495">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1</w:t>
            </w:r>
          </w:p>
        </w:tc>
        <w:tc>
          <w:tcPr>
            <w:tcW w:w="696" w:type="dxa"/>
            <w:tcBorders>
              <w:top w:val="single" w:color="000000" w:sz="4" w:space="0"/>
              <w:left w:val="nil"/>
              <w:bottom w:val="single" w:color="000000" w:sz="4" w:space="0"/>
              <w:right w:val="single" w:color="000000" w:sz="4" w:space="0"/>
            </w:tcBorders>
            <w:shd w:val="clear" w:color="auto" w:fill="FFFFFF"/>
            <w:vAlign w:val="center"/>
          </w:tcPr>
          <w:p w14:paraId="3554F319">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套</w:t>
            </w:r>
          </w:p>
        </w:tc>
        <w:tc>
          <w:tcPr>
            <w:tcW w:w="682" w:type="dxa"/>
            <w:tcBorders>
              <w:top w:val="single" w:color="000000" w:sz="4" w:space="0"/>
              <w:left w:val="nil"/>
              <w:bottom w:val="single" w:color="000000" w:sz="4" w:space="0"/>
              <w:right w:val="single" w:color="000000" w:sz="4" w:space="0"/>
            </w:tcBorders>
            <w:shd w:val="clear" w:color="auto" w:fill="FFFFFF"/>
            <w:vAlign w:val="center"/>
          </w:tcPr>
          <w:p w14:paraId="16FEDE0D">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280000</w:t>
            </w:r>
          </w:p>
        </w:tc>
        <w:tc>
          <w:tcPr>
            <w:tcW w:w="736" w:type="dxa"/>
            <w:tcBorders>
              <w:top w:val="single" w:color="000000" w:sz="4" w:space="0"/>
              <w:left w:val="nil"/>
              <w:bottom w:val="single" w:color="000000" w:sz="4" w:space="0"/>
              <w:right w:val="single" w:color="000000" w:sz="4" w:space="0"/>
            </w:tcBorders>
            <w:shd w:val="clear" w:color="auto" w:fill="FFFFFF"/>
            <w:vAlign w:val="center"/>
          </w:tcPr>
          <w:p w14:paraId="4A9955A4">
            <w:pPr>
              <w:widowControl/>
              <w:jc w:val="center"/>
              <w:rPr>
                <w:rFonts w:ascii="Calibri" w:hAnsi="Calibri"/>
                <w:color w:val="auto"/>
                <w:sz w:val="16"/>
                <w:szCs w:val="21"/>
                <w:highlight w:val="none"/>
                <w:lang w:bidi="ar"/>
              </w:rPr>
            </w:pPr>
            <w:r>
              <w:rPr>
                <w:rFonts w:hint="eastAsia" w:ascii="Calibri" w:hAnsi="Calibri"/>
                <w:color w:val="auto"/>
                <w:sz w:val="16"/>
                <w:szCs w:val="21"/>
                <w:highlight w:val="none"/>
                <w:lang w:bidi="ar"/>
              </w:rPr>
              <w:t>280000</w:t>
            </w:r>
          </w:p>
        </w:tc>
      </w:tr>
    </w:tbl>
    <w:p w14:paraId="35282624">
      <w:pPr>
        <w:spacing w:line="500" w:lineRule="exact"/>
        <w:rPr>
          <w:rFonts w:hint="eastAsia" w:ascii="宋体" w:hAnsi="宋体" w:cs="宋体"/>
          <w:color w:val="auto"/>
          <w:sz w:val="24"/>
          <w:highlight w:val="none"/>
        </w:rPr>
      </w:pPr>
    </w:p>
    <w:bookmarkEnd w:id="99"/>
    <w:p w14:paraId="604C0A38">
      <w:pPr>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备注：1.具体数量以实际采购量为准，以具体量进行实际结算，申请人应充分评判相应风险，合理报价</w:t>
      </w:r>
      <w:r>
        <w:rPr>
          <w:rFonts w:hint="eastAsia" w:ascii="宋体" w:hAnsi="宋体" w:cs="宋体"/>
          <w:bCs/>
          <w:color w:val="auto"/>
          <w:szCs w:val="21"/>
          <w:highlight w:val="none"/>
        </w:rPr>
        <w:t>；</w:t>
      </w:r>
    </w:p>
    <w:p w14:paraId="6030E9B2">
      <w:pPr>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申请人在报投标单价时结合预算、采购限价、市场等总体情况进行报价，但所报的品种单价不得超过采购限价，执行过程中，成交单价不可变更，所报的单价即为合同执行单价（注：所报价格的风险由申请人自行承担）；</w:t>
      </w:r>
    </w:p>
    <w:p w14:paraId="4F824C52">
      <w:pPr>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szCs w:val="21"/>
          <w:highlight w:val="none"/>
        </w:rPr>
        <w:t>申请人本次报价不得出现不平衡报价或不得低于成本报价，若出现不平衡报价或低成本报价，由此产生的风险须申请人自行承担；</w:t>
      </w:r>
    </w:p>
    <w:p w14:paraId="54B6CCE4">
      <w:pPr>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4.</w:t>
      </w:r>
      <w:bookmarkStart w:id="100" w:name="_Hlk230952722"/>
      <w:r>
        <w:rPr>
          <w:rFonts w:ascii="宋体" w:hAnsi="宋体" w:cs="宋体"/>
          <w:bCs/>
          <w:color w:val="auto"/>
          <w:kern w:val="0"/>
          <w:szCs w:val="21"/>
          <w:highlight w:val="none"/>
        </w:rPr>
        <w:t>履约验收时，</w:t>
      </w:r>
      <w:r>
        <w:rPr>
          <w:rFonts w:hint="eastAsia" w:ascii="宋体" w:hAnsi="宋体" w:cs="宋体"/>
          <w:bCs/>
          <w:color w:val="auto"/>
          <w:kern w:val="0"/>
          <w:szCs w:val="21"/>
          <w:highlight w:val="none"/>
        </w:rPr>
        <w:t>成交</w:t>
      </w:r>
      <w:r>
        <w:rPr>
          <w:rFonts w:ascii="宋体" w:hAnsi="宋体" w:cs="宋体"/>
          <w:bCs/>
          <w:color w:val="auto"/>
          <w:kern w:val="0"/>
          <w:szCs w:val="21"/>
          <w:highlight w:val="none"/>
        </w:rPr>
        <w:t>供应商需提交符合</w:t>
      </w:r>
      <w:r>
        <w:rPr>
          <w:rFonts w:hint="eastAsia" w:ascii="宋体" w:hAnsi="宋体" w:cs="宋体"/>
          <w:bCs/>
          <w:color w:val="auto"/>
          <w:kern w:val="0"/>
          <w:szCs w:val="21"/>
          <w:highlight w:val="none"/>
        </w:rPr>
        <w:t>谈判</w:t>
      </w:r>
      <w:r>
        <w:rPr>
          <w:rFonts w:ascii="宋体" w:hAnsi="宋体" w:cs="宋体"/>
          <w:bCs/>
          <w:color w:val="auto"/>
          <w:kern w:val="0"/>
          <w:szCs w:val="21"/>
          <w:highlight w:val="none"/>
        </w:rPr>
        <w:t>文件要求的检测报告，作为验收依据之一</w:t>
      </w:r>
      <w:bookmarkEnd w:id="100"/>
      <w:r>
        <w:rPr>
          <w:rFonts w:hint="eastAsia" w:ascii="宋体" w:hAnsi="宋体" w:cs="宋体"/>
          <w:bCs/>
          <w:color w:val="auto"/>
          <w:kern w:val="0"/>
          <w:szCs w:val="21"/>
          <w:highlight w:val="none"/>
        </w:rPr>
        <w:t>。</w:t>
      </w:r>
    </w:p>
    <w:p w14:paraId="03DF1E46">
      <w:pPr>
        <w:spacing w:line="360" w:lineRule="auto"/>
        <w:ind w:firstLine="420" w:firstLineChars="200"/>
        <w:rPr>
          <w:rFonts w:hint="eastAsia" w:ascii="宋体" w:hAnsi="宋体" w:cs="宋体"/>
          <w:bCs/>
          <w:color w:val="auto"/>
          <w:szCs w:val="21"/>
          <w:highlight w:val="none"/>
        </w:rPr>
      </w:pPr>
    </w:p>
    <w:p w14:paraId="219915EF">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二、其它要求</w:t>
      </w:r>
    </w:p>
    <w:p w14:paraId="08EB35A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1.交货时间及地点：交货时间为</w:t>
      </w:r>
      <w:bookmarkStart w:id="101" w:name="OLE_LINK1"/>
      <w:r>
        <w:rPr>
          <w:rFonts w:hint="eastAsia" w:ascii="宋体" w:hAnsi="宋体" w:cs="宋体"/>
          <w:bCs/>
          <w:color w:val="auto"/>
          <w:szCs w:val="21"/>
          <w:highlight w:val="none"/>
        </w:rPr>
        <w:t>签订合同30个工作日内完成安装及调试</w:t>
      </w:r>
      <w:bookmarkEnd w:id="101"/>
      <w:r>
        <w:rPr>
          <w:rFonts w:hint="eastAsia" w:ascii="宋体" w:hAnsi="宋体" w:cs="宋体"/>
          <w:bCs/>
          <w:color w:val="auto"/>
          <w:szCs w:val="21"/>
          <w:highlight w:val="none"/>
        </w:rPr>
        <w:t>，并交付甲方使用；交货地点为校方指定安装地点。</w:t>
      </w:r>
    </w:p>
    <w:p w14:paraId="4275707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2.验收方式：设备完成安装调试后，由甲方按照项目参数组织验收。</w:t>
      </w:r>
    </w:p>
    <w:p w14:paraId="2E67DB7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3.付款条件： 签订合同后支付合同额30%作为预付款，完成供货验收合格后支付合同额70%尾款。</w:t>
      </w:r>
    </w:p>
    <w:p w14:paraId="615C6A4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4.安装要求：符合国家相关要求，保质保量安装。</w:t>
      </w:r>
    </w:p>
    <w:p w14:paraId="3167240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5.履约保证金：</w:t>
      </w:r>
    </w:p>
    <w:p w14:paraId="5CDD02E4">
      <w:pPr>
        <w:autoSpaceDE w:val="0"/>
        <w:autoSpaceDN w:val="0"/>
        <w:spacing w:line="360" w:lineRule="auto"/>
        <w:ind w:left="195" w:leftChars="93" w:firstLine="405" w:firstLineChars="193"/>
        <w:jc w:val="left"/>
        <w:rPr>
          <w:rFonts w:hint="eastAsia" w:hAnsi="宋体" w:cs="宋体"/>
          <w:color w:val="auto"/>
          <w:szCs w:val="21"/>
          <w:highlight w:val="none"/>
        </w:rPr>
      </w:pPr>
      <w:r>
        <w:rPr>
          <w:rFonts w:hint="eastAsia" w:hAnsi="宋体" w:cs="宋体"/>
          <w:color w:val="auto"/>
          <w:szCs w:val="21"/>
          <w:highlight w:val="none"/>
        </w:rPr>
        <w:t>履约保证金金额：成交价的3%。</w:t>
      </w:r>
    </w:p>
    <w:p w14:paraId="25C4DE70">
      <w:pPr>
        <w:autoSpaceDE w:val="0"/>
        <w:autoSpaceDN w:val="0"/>
        <w:spacing w:line="360" w:lineRule="auto"/>
        <w:ind w:left="195" w:leftChars="93" w:firstLine="405" w:firstLineChars="193"/>
        <w:jc w:val="left"/>
        <w:rPr>
          <w:rFonts w:hint="eastAsia" w:hAnsi="宋体" w:cs="宋体"/>
          <w:color w:val="auto"/>
          <w:szCs w:val="21"/>
          <w:highlight w:val="none"/>
        </w:rPr>
      </w:pPr>
      <w:r>
        <w:rPr>
          <w:rFonts w:hint="eastAsia" w:hAnsi="宋体" w:cs="宋体"/>
          <w:color w:val="auto"/>
          <w:szCs w:val="21"/>
          <w:highlight w:val="none"/>
        </w:rPr>
        <w:t>履约保证金的形式：</w:t>
      </w:r>
      <w:r>
        <w:rPr>
          <w:rFonts w:hint="eastAsia" w:hAnsi="宋体" w:cs="宋体"/>
          <w:color w:val="auto"/>
          <w:szCs w:val="21"/>
          <w:highlight w:val="none"/>
          <w:lang w:val="en-US" w:eastAsia="zh-CN"/>
        </w:rPr>
        <w:t>银行转账、</w:t>
      </w:r>
      <w:r>
        <w:rPr>
          <w:rFonts w:hint="eastAsia" w:hAnsi="宋体" w:cs="宋体"/>
          <w:color w:val="auto"/>
          <w:szCs w:val="21"/>
          <w:highlight w:val="none"/>
        </w:rPr>
        <w:t>支票、汇票、本票、保函。</w:t>
      </w:r>
    </w:p>
    <w:p w14:paraId="0C9640F6">
      <w:pPr>
        <w:spacing w:line="360" w:lineRule="auto"/>
        <w:ind w:firstLine="630" w:firstLineChars="300"/>
        <w:rPr>
          <w:rFonts w:hint="eastAsia" w:ascii="宋体" w:hAnsi="宋体" w:cs="宋体"/>
          <w:bCs/>
          <w:color w:val="auto"/>
          <w:szCs w:val="21"/>
          <w:highlight w:val="none"/>
        </w:rPr>
      </w:pPr>
      <w:r>
        <w:rPr>
          <w:rFonts w:hint="eastAsia" w:hAnsi="宋体" w:cs="宋体"/>
          <w:color w:val="auto"/>
          <w:szCs w:val="21"/>
          <w:highlight w:val="none"/>
        </w:rPr>
        <w:t>履约保证金提交时间：成交通知书收到之日起15天内。</w:t>
      </w:r>
    </w:p>
    <w:p w14:paraId="7B46E1C6">
      <w:pPr>
        <w:spacing w:line="360" w:lineRule="auto"/>
        <w:ind w:firstLine="420" w:firstLineChars="200"/>
        <w:rPr>
          <w:rFonts w:hint="eastAsia" w:ascii="宋体" w:hAnsi="宋体" w:cs="宋体"/>
          <w:bCs/>
          <w:color w:val="auto"/>
          <w:szCs w:val="21"/>
          <w:highlight w:val="none"/>
        </w:rPr>
      </w:pPr>
      <w:r>
        <w:rPr>
          <w:rFonts w:ascii="宋体" w:hAnsi="宋体" w:cs="宋体"/>
          <w:bCs/>
          <w:color w:val="auto"/>
          <w:szCs w:val="21"/>
          <w:highlight w:val="none"/>
        </w:rPr>
        <w:t>6</w:t>
      </w:r>
      <w:r>
        <w:rPr>
          <w:rFonts w:hint="eastAsia" w:ascii="宋体" w:hAnsi="宋体" w:cs="宋体"/>
          <w:bCs/>
          <w:color w:val="auto"/>
          <w:szCs w:val="21"/>
          <w:highlight w:val="none"/>
        </w:rPr>
        <w:t>.售后要求：（1）提供7*24小时服务，如产品发生故障或损坏时申请人在接收到采购人通知内2个小时之内须作出反应，采购人遇到使用及技术问题，电话咨询不能解决的，申请人应在48小时内提供上门服务，并在48小时内维修工程师到达维修现场，如无法按时处理、解决的，需提供解决方案。申请人拖延或拒绝履行售后服务或履行售后服务不符合合同约定要求的，采购人有权另行委托第三方进行维修、维护、更换，所产生的费用由申请人承担。</w:t>
      </w:r>
    </w:p>
    <w:p w14:paraId="695062E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（2）在质保期内，供应商应承担因产品质量问题导致的免费维修、更换零部件等服务费用。</w:t>
      </w:r>
    </w:p>
    <w:p w14:paraId="4BEF79C2">
      <w:pPr>
        <w:spacing w:line="360" w:lineRule="auto"/>
        <w:ind w:firstLine="420" w:firstLineChars="200"/>
        <w:rPr>
          <w:bCs/>
          <w:color w:val="auto"/>
          <w:highlight w:val="none"/>
        </w:rPr>
        <w:sectPr>
          <w:pgSz w:w="11906" w:h="16838"/>
          <w:pgMar w:top="1440" w:right="1080" w:bottom="1440" w:left="1080" w:header="851" w:footer="850" w:gutter="567"/>
          <w:cols w:space="720" w:num="1"/>
          <w:titlePg/>
          <w:docGrid w:type="linesAndChars" w:linePitch="321" w:charSpace="195"/>
        </w:sectPr>
      </w:pPr>
      <w:r>
        <w:rPr>
          <w:rFonts w:hint="eastAsia" w:ascii="宋体" w:hAnsi="宋体" w:cs="宋体"/>
          <w:bCs/>
          <w:color w:val="auto"/>
          <w:szCs w:val="21"/>
          <w:highlight w:val="none"/>
        </w:rPr>
        <w:t>（3）本项目</w:t>
      </w:r>
      <w:bookmarkStart w:id="102" w:name="OLE_LINK3"/>
      <w:r>
        <w:rPr>
          <w:rFonts w:hint="eastAsia" w:ascii="宋体" w:hAnsi="宋体" w:cs="宋体"/>
          <w:bCs/>
          <w:color w:val="auto"/>
          <w:szCs w:val="21"/>
          <w:highlight w:val="none"/>
        </w:rPr>
        <w:t>所有产品质保期限为完成验收后三年</w:t>
      </w:r>
      <w:bookmarkEnd w:id="102"/>
      <w:r>
        <w:rPr>
          <w:rFonts w:hint="eastAsia" w:ascii="宋体" w:hAnsi="宋体" w:cs="宋体"/>
          <w:bCs/>
          <w:color w:val="auto"/>
          <w:szCs w:val="21"/>
          <w:highlight w:val="none"/>
        </w:rPr>
        <w:t>。</w:t>
      </w:r>
    </w:p>
    <w:p w14:paraId="3D1EDDA5">
      <w:pPr>
        <w:adjustRightInd w:val="0"/>
        <w:spacing w:line="360" w:lineRule="auto"/>
        <w:jc w:val="center"/>
        <w:rPr>
          <w:rFonts w:hint="eastAsia" w:ascii="宋体" w:hAnsi="宋体" w:cs="宋体"/>
          <w:b/>
          <w:color w:val="auto"/>
          <w:sz w:val="44"/>
          <w:szCs w:val="44"/>
          <w:highlight w:val="none"/>
        </w:rPr>
      </w:pPr>
    </w:p>
    <w:p w14:paraId="6429D86F">
      <w:pPr>
        <w:adjustRightInd w:val="0"/>
        <w:spacing w:line="360" w:lineRule="auto"/>
        <w:jc w:val="center"/>
        <w:rPr>
          <w:rFonts w:hint="eastAsia" w:ascii="宋体" w:hAnsi="宋体" w:cs="宋体"/>
          <w:color w:val="auto"/>
          <w:sz w:val="44"/>
          <w:szCs w:val="44"/>
          <w:highlight w:val="none"/>
        </w:rPr>
      </w:pPr>
    </w:p>
    <w:p w14:paraId="3460FDD4">
      <w:pPr>
        <w:rPr>
          <w:rFonts w:hint="eastAsia" w:ascii="宋体" w:hAnsi="宋体" w:cs="宋体"/>
          <w:color w:val="auto"/>
          <w:highlight w:val="none"/>
        </w:rPr>
      </w:pPr>
    </w:p>
    <w:p w14:paraId="07F69040">
      <w:pPr>
        <w:adjustRightInd w:val="0"/>
        <w:spacing w:line="360" w:lineRule="auto"/>
        <w:jc w:val="center"/>
        <w:rPr>
          <w:rFonts w:hint="eastAsia" w:ascii="宋体" w:hAnsi="宋体" w:cs="宋体"/>
          <w:b/>
          <w:color w:val="auto"/>
          <w:sz w:val="44"/>
          <w:szCs w:val="44"/>
          <w:highlight w:val="none"/>
        </w:rPr>
      </w:pPr>
    </w:p>
    <w:p w14:paraId="19089FC0">
      <w:pPr>
        <w:adjustRightInd w:val="0"/>
        <w:spacing w:line="360" w:lineRule="auto"/>
        <w:jc w:val="center"/>
        <w:rPr>
          <w:rFonts w:hint="eastAsia" w:ascii="宋体" w:hAnsi="宋体" w:cs="宋体"/>
          <w:b/>
          <w:color w:val="auto"/>
          <w:sz w:val="44"/>
          <w:szCs w:val="44"/>
          <w:highlight w:val="none"/>
        </w:rPr>
      </w:pPr>
    </w:p>
    <w:p w14:paraId="7AE53A93">
      <w:pPr>
        <w:adjustRightInd w:val="0"/>
        <w:spacing w:line="360" w:lineRule="auto"/>
        <w:jc w:val="center"/>
        <w:rPr>
          <w:rFonts w:hint="eastAsia" w:ascii="宋体" w:hAnsi="宋体" w:cs="宋体"/>
          <w:b/>
          <w:color w:val="auto"/>
          <w:sz w:val="44"/>
          <w:szCs w:val="44"/>
          <w:highlight w:val="none"/>
        </w:rPr>
      </w:pPr>
    </w:p>
    <w:p w14:paraId="47051196">
      <w:pPr>
        <w:adjustRightInd w:val="0"/>
        <w:spacing w:line="360" w:lineRule="auto"/>
        <w:jc w:val="center"/>
        <w:rPr>
          <w:rFonts w:hint="eastAsia" w:ascii="宋体" w:hAnsi="宋体" w:cs="宋体"/>
          <w:b/>
          <w:color w:val="auto"/>
          <w:sz w:val="44"/>
          <w:szCs w:val="44"/>
          <w:highlight w:val="none"/>
        </w:rPr>
      </w:pPr>
    </w:p>
    <w:p w14:paraId="28808ED2">
      <w:pPr>
        <w:adjustRightInd w:val="0"/>
        <w:spacing w:line="360" w:lineRule="auto"/>
        <w:jc w:val="center"/>
        <w:rPr>
          <w:rFonts w:hint="eastAsia" w:ascii="宋体" w:hAnsi="宋体" w:cs="宋体"/>
          <w:b/>
          <w:color w:val="auto"/>
          <w:sz w:val="44"/>
          <w:szCs w:val="44"/>
          <w:highlight w:val="none"/>
        </w:rPr>
      </w:pPr>
    </w:p>
    <w:p w14:paraId="66F3D445">
      <w:pPr>
        <w:adjustRightInd w:val="0"/>
        <w:spacing w:line="360" w:lineRule="auto"/>
        <w:jc w:val="center"/>
        <w:rPr>
          <w:rFonts w:hint="eastAsia" w:ascii="宋体" w:hAnsi="宋体" w:cs="宋体"/>
          <w:b/>
          <w:color w:val="auto"/>
          <w:sz w:val="44"/>
          <w:szCs w:val="44"/>
          <w:highlight w:val="none"/>
        </w:rPr>
      </w:pPr>
    </w:p>
    <w:p w14:paraId="33234DEF">
      <w:pPr>
        <w:adjustRightInd w:val="0"/>
        <w:spacing w:line="360" w:lineRule="auto"/>
        <w:jc w:val="center"/>
        <w:rPr>
          <w:rFonts w:hint="eastAsia" w:ascii="宋体" w:hAnsi="宋体" w:cs="宋体"/>
          <w:b/>
          <w:color w:val="auto"/>
          <w:sz w:val="44"/>
          <w:szCs w:val="44"/>
          <w:highlight w:val="none"/>
        </w:rPr>
      </w:pPr>
    </w:p>
    <w:p w14:paraId="6C718EC2">
      <w:pPr>
        <w:adjustRightInd w:val="0"/>
        <w:spacing w:line="360" w:lineRule="auto"/>
        <w:jc w:val="center"/>
        <w:outlineLvl w:val="0"/>
        <w:rPr>
          <w:rFonts w:hint="eastAsia" w:ascii="宋体" w:hAnsi="宋体" w:cs="宋体"/>
          <w:color w:val="auto"/>
          <w:sz w:val="44"/>
          <w:szCs w:val="44"/>
          <w:highlight w:val="none"/>
        </w:rPr>
      </w:pPr>
      <w:bookmarkStart w:id="103" w:name="_Toc228982322"/>
      <w:r>
        <w:rPr>
          <w:rFonts w:hint="eastAsia" w:ascii="宋体" w:hAnsi="宋体" w:cs="宋体"/>
          <w:b/>
          <w:color w:val="auto"/>
          <w:sz w:val="44"/>
          <w:szCs w:val="44"/>
          <w:highlight w:val="none"/>
        </w:rPr>
        <w:t>第四章  合同条款</w:t>
      </w:r>
      <w:bookmarkEnd w:id="103"/>
    </w:p>
    <w:p w14:paraId="5B7E8683">
      <w:pPr>
        <w:adjustRightInd w:val="0"/>
        <w:spacing w:line="360" w:lineRule="auto"/>
        <w:jc w:val="center"/>
        <w:rPr>
          <w:rFonts w:hint="eastAsia" w:ascii="宋体" w:hAnsi="宋体" w:cs="宋体"/>
          <w:b/>
          <w:bCs/>
          <w:color w:val="auto"/>
          <w:sz w:val="30"/>
          <w:szCs w:val="30"/>
          <w:highlight w:val="none"/>
        </w:rPr>
        <w:sectPr>
          <w:pgSz w:w="11906" w:h="16838"/>
          <w:pgMar w:top="1440" w:right="1080" w:bottom="1440" w:left="1080" w:header="851" w:footer="850" w:gutter="567"/>
          <w:cols w:space="720" w:num="1"/>
          <w:titlePg/>
          <w:docGrid w:type="linesAndChars" w:linePitch="321" w:charSpace="195"/>
        </w:sectPr>
      </w:pPr>
    </w:p>
    <w:p w14:paraId="1FFB27EF">
      <w:pPr>
        <w:adjustRightInd w:val="0"/>
        <w:spacing w:line="360" w:lineRule="auto"/>
        <w:jc w:val="center"/>
        <w:outlineLvl w:val="1"/>
        <w:rPr>
          <w:rFonts w:hint="eastAsia" w:ascii="宋体" w:hAnsi="宋体" w:cs="宋体"/>
          <w:b/>
          <w:bCs/>
          <w:color w:val="auto"/>
          <w:sz w:val="24"/>
          <w:szCs w:val="24"/>
          <w:highlight w:val="none"/>
        </w:rPr>
      </w:pPr>
      <w:bookmarkStart w:id="104" w:name="_Toc228982323"/>
      <w:r>
        <w:rPr>
          <w:rFonts w:hint="eastAsia" w:ascii="宋体" w:hAnsi="宋体" w:cs="宋体"/>
          <w:b/>
          <w:bCs/>
          <w:color w:val="auto"/>
          <w:sz w:val="30"/>
          <w:szCs w:val="30"/>
          <w:highlight w:val="none"/>
        </w:rPr>
        <w:t>一、合同条款前附表</w:t>
      </w:r>
      <w:bookmarkEnd w:id="98"/>
      <w:bookmarkEnd w:id="104"/>
    </w:p>
    <w:p w14:paraId="0137B539">
      <w:pPr>
        <w:rPr>
          <w:rFonts w:hint="eastAsia" w:ascii="宋体" w:hAnsi="宋体" w:cs="宋体"/>
          <w:color w:val="auto"/>
          <w:highlight w:val="none"/>
        </w:rPr>
      </w:pPr>
    </w:p>
    <w:tbl>
      <w:tblPr>
        <w:tblStyle w:val="36"/>
        <w:tblW w:w="9180" w:type="dxa"/>
        <w:tblInd w:w="5" w:type="dxa"/>
        <w:tblLayout w:type="fixed"/>
        <w:tblCellMar>
          <w:top w:w="0" w:type="dxa"/>
          <w:left w:w="0" w:type="dxa"/>
          <w:bottom w:w="0" w:type="dxa"/>
          <w:right w:w="0" w:type="dxa"/>
        </w:tblCellMar>
      </w:tblPr>
      <w:tblGrid>
        <w:gridCol w:w="1080"/>
        <w:gridCol w:w="8100"/>
      </w:tblGrid>
      <w:tr w14:paraId="7A3B9B95">
        <w:tblPrEx>
          <w:tblCellMar>
            <w:top w:w="0" w:type="dxa"/>
            <w:left w:w="0" w:type="dxa"/>
            <w:bottom w:w="0" w:type="dxa"/>
            <w:right w:w="0" w:type="dxa"/>
          </w:tblCellMar>
        </w:tblPrEx>
        <w:trPr>
          <w:trHeight w:val="771" w:hRule="atLeast"/>
        </w:trPr>
        <w:tc>
          <w:tcPr>
            <w:tcW w:w="1080" w:type="dxa"/>
            <w:tcBorders>
              <w:top w:val="single" w:color="auto" w:sz="4" w:space="0"/>
              <w:left w:val="single" w:color="auto" w:sz="4" w:space="0"/>
              <w:bottom w:val="single" w:color="auto" w:sz="4" w:space="0"/>
              <w:right w:val="single" w:color="auto" w:sz="4" w:space="0"/>
            </w:tcBorders>
            <w:vAlign w:val="center"/>
          </w:tcPr>
          <w:p w14:paraId="5130046D">
            <w:pPr>
              <w:autoSpaceDE w:val="0"/>
              <w:autoSpaceDN w:val="0"/>
              <w:spacing w:before="60" w:after="60"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项号</w:t>
            </w:r>
          </w:p>
        </w:tc>
        <w:tc>
          <w:tcPr>
            <w:tcW w:w="8100" w:type="dxa"/>
            <w:tcBorders>
              <w:top w:val="single" w:color="auto" w:sz="4" w:space="0"/>
              <w:left w:val="single" w:color="auto" w:sz="4" w:space="0"/>
              <w:bottom w:val="single" w:color="auto" w:sz="4" w:space="0"/>
              <w:right w:val="single" w:color="auto" w:sz="4" w:space="0"/>
            </w:tcBorders>
            <w:vAlign w:val="center"/>
          </w:tcPr>
          <w:p w14:paraId="3A26B6B2">
            <w:pPr>
              <w:autoSpaceDE w:val="0"/>
              <w:autoSpaceDN w:val="0"/>
              <w:spacing w:before="60" w:after="60" w:line="360" w:lineRule="auto"/>
              <w:ind w:left="2" w:leftChars="-7" w:hanging="16" w:hangingChars="8"/>
              <w:jc w:val="center"/>
              <w:rPr>
                <w:rFonts w:hint="eastAsia" w:ascii="宋体" w:hAnsi="宋体" w:cs="宋体"/>
                <w:b/>
                <w:color w:val="auto"/>
                <w:szCs w:val="21"/>
                <w:highlight w:val="none"/>
              </w:rPr>
            </w:pPr>
            <w:r>
              <w:rPr>
                <w:rFonts w:hint="eastAsia" w:ascii="宋体" w:hAnsi="宋体" w:cs="宋体"/>
                <w:b/>
                <w:color w:val="auto"/>
                <w:szCs w:val="21"/>
                <w:highlight w:val="none"/>
              </w:rPr>
              <w:t>编    列    内    容</w:t>
            </w:r>
          </w:p>
        </w:tc>
      </w:tr>
      <w:tr w14:paraId="3FD332D8">
        <w:tblPrEx>
          <w:tblCellMar>
            <w:top w:w="0" w:type="dxa"/>
            <w:left w:w="0" w:type="dxa"/>
            <w:bottom w:w="0" w:type="dxa"/>
            <w:right w:w="0" w:type="dxa"/>
          </w:tblCellMar>
        </w:tblPrEx>
        <w:trPr>
          <w:trHeight w:val="918" w:hRule="atLeast"/>
        </w:trPr>
        <w:tc>
          <w:tcPr>
            <w:tcW w:w="1080" w:type="dxa"/>
            <w:tcBorders>
              <w:top w:val="single" w:color="auto" w:sz="4" w:space="0"/>
              <w:left w:val="single" w:color="auto" w:sz="4" w:space="0"/>
              <w:right w:val="single" w:color="auto" w:sz="4" w:space="0"/>
            </w:tcBorders>
            <w:vAlign w:val="center"/>
          </w:tcPr>
          <w:p w14:paraId="5BCCA9EC">
            <w:pPr>
              <w:autoSpaceDE w:val="0"/>
              <w:autoSpaceDN w:val="0"/>
              <w:spacing w:before="60" w:after="6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8100" w:type="dxa"/>
            <w:tcBorders>
              <w:top w:val="single" w:color="auto" w:sz="4" w:space="0"/>
              <w:left w:val="single" w:color="auto" w:sz="4" w:space="0"/>
              <w:bottom w:val="single" w:color="auto" w:sz="4" w:space="0"/>
              <w:right w:val="single" w:color="auto" w:sz="4" w:space="0"/>
            </w:tcBorders>
            <w:vAlign w:val="center"/>
          </w:tcPr>
          <w:p w14:paraId="559FBA3E">
            <w:pPr>
              <w:spacing w:line="360" w:lineRule="auto"/>
              <w:rPr>
                <w:rFonts w:hint="eastAsia" w:ascii="宋体" w:hAnsi="宋体" w:cs="宋体"/>
                <w:snapToGrid w:val="0"/>
                <w:color w:val="auto"/>
                <w:kern w:val="0"/>
                <w:highlight w:val="none"/>
              </w:rPr>
            </w:pPr>
            <w:r>
              <w:rPr>
                <w:rFonts w:hint="eastAsia" w:ascii="宋体" w:hAnsi="宋体" w:cs="宋体"/>
                <w:snapToGrid w:val="0"/>
                <w:color w:val="auto"/>
                <w:kern w:val="0"/>
                <w:highlight w:val="none"/>
              </w:rPr>
              <w:t>服务期限：</w:t>
            </w:r>
            <w:r>
              <w:rPr>
                <w:rFonts w:hint="eastAsia" w:ascii="宋体" w:hAnsi="宋体" w:cs="宋体"/>
                <w:bCs/>
                <w:snapToGrid w:val="0"/>
                <w:color w:val="auto"/>
                <w:kern w:val="0"/>
                <w:highlight w:val="none"/>
              </w:rPr>
              <w:t>签订合同30个工作日内完成安装及调试</w:t>
            </w:r>
            <w:r>
              <w:rPr>
                <w:rFonts w:hint="eastAsia" w:ascii="宋体" w:hAnsi="宋体" w:cs="宋体"/>
                <w:snapToGrid w:val="0"/>
                <w:color w:val="auto"/>
                <w:kern w:val="0"/>
                <w:highlight w:val="none"/>
              </w:rPr>
              <w:t>。</w:t>
            </w:r>
          </w:p>
          <w:p w14:paraId="6BB8D1DC">
            <w:pPr>
              <w:spacing w:line="360" w:lineRule="auto"/>
              <w:rPr>
                <w:color w:val="auto"/>
                <w:highlight w:val="none"/>
              </w:rPr>
            </w:pPr>
            <w:r>
              <w:rPr>
                <w:rFonts w:hint="eastAsia" w:ascii="宋体" w:hAnsi="宋体" w:cs="宋体"/>
                <w:bCs/>
                <w:color w:val="auto"/>
                <w:szCs w:val="21"/>
                <w:highlight w:val="none"/>
              </w:rPr>
              <w:t>质量标准：所有产品质保期限为完成验收后三年</w:t>
            </w:r>
            <w:r>
              <w:rPr>
                <w:rFonts w:hint="eastAsia" w:ascii="宋体" w:hAnsi="宋体" w:cs="宋体"/>
                <w:snapToGrid w:val="0"/>
                <w:color w:val="auto"/>
                <w:kern w:val="0"/>
                <w:highlight w:val="none"/>
              </w:rPr>
              <w:t>。</w:t>
            </w:r>
          </w:p>
          <w:p w14:paraId="2C57CFF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服务地点：昆明市旅游职业中学指定地点。</w:t>
            </w:r>
          </w:p>
        </w:tc>
      </w:tr>
      <w:tr w14:paraId="1B654FF9">
        <w:tblPrEx>
          <w:tblCellMar>
            <w:top w:w="0" w:type="dxa"/>
            <w:left w:w="0" w:type="dxa"/>
            <w:bottom w:w="0" w:type="dxa"/>
            <w:right w:w="0" w:type="dxa"/>
          </w:tblCellMar>
        </w:tblPrEx>
        <w:trPr>
          <w:trHeight w:val="898" w:hRule="atLeast"/>
        </w:trPr>
        <w:tc>
          <w:tcPr>
            <w:tcW w:w="1080" w:type="dxa"/>
            <w:tcBorders>
              <w:top w:val="single" w:color="auto" w:sz="4" w:space="0"/>
              <w:left w:val="single" w:color="auto" w:sz="4" w:space="0"/>
              <w:bottom w:val="single" w:color="auto" w:sz="4" w:space="0"/>
              <w:right w:val="single" w:color="auto" w:sz="4" w:space="0"/>
            </w:tcBorders>
            <w:vAlign w:val="center"/>
          </w:tcPr>
          <w:p w14:paraId="24524DB4">
            <w:pPr>
              <w:autoSpaceDE w:val="0"/>
              <w:autoSpaceDN w:val="0"/>
              <w:spacing w:before="60" w:after="6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8100" w:type="dxa"/>
            <w:tcBorders>
              <w:top w:val="single" w:color="auto" w:sz="4" w:space="0"/>
              <w:left w:val="single" w:color="auto" w:sz="4" w:space="0"/>
              <w:bottom w:val="single" w:color="auto" w:sz="4" w:space="0"/>
              <w:right w:val="single" w:color="auto" w:sz="4" w:space="0"/>
            </w:tcBorders>
            <w:vAlign w:val="center"/>
          </w:tcPr>
          <w:p w14:paraId="047BC5F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双方签字盖章后合同即生效。</w:t>
            </w:r>
          </w:p>
        </w:tc>
      </w:tr>
      <w:tr w14:paraId="18AB1CDF">
        <w:tblPrEx>
          <w:tblCellMar>
            <w:top w:w="0" w:type="dxa"/>
            <w:left w:w="0" w:type="dxa"/>
            <w:bottom w:w="0" w:type="dxa"/>
            <w:right w:w="0" w:type="dxa"/>
          </w:tblCellMar>
        </w:tblPrEx>
        <w:trPr>
          <w:trHeight w:val="929" w:hRule="atLeast"/>
        </w:trPr>
        <w:tc>
          <w:tcPr>
            <w:tcW w:w="1080" w:type="dxa"/>
            <w:tcBorders>
              <w:top w:val="single" w:color="auto" w:sz="4" w:space="0"/>
              <w:left w:val="single" w:color="auto" w:sz="4" w:space="0"/>
              <w:bottom w:val="single" w:color="auto" w:sz="4" w:space="0"/>
              <w:right w:val="single" w:color="auto" w:sz="4" w:space="0"/>
            </w:tcBorders>
            <w:vAlign w:val="center"/>
          </w:tcPr>
          <w:p w14:paraId="18B9B763">
            <w:pPr>
              <w:autoSpaceDE w:val="0"/>
              <w:autoSpaceDN w:val="0"/>
              <w:spacing w:before="60" w:after="6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8100" w:type="dxa"/>
            <w:tcBorders>
              <w:top w:val="single" w:color="auto" w:sz="4" w:space="0"/>
              <w:left w:val="single" w:color="auto" w:sz="4" w:space="0"/>
              <w:bottom w:val="single" w:color="auto" w:sz="4" w:space="0"/>
              <w:right w:val="single" w:color="auto" w:sz="4" w:space="0"/>
            </w:tcBorders>
            <w:vAlign w:val="center"/>
          </w:tcPr>
          <w:p w14:paraId="27BCFFB9">
            <w:pPr>
              <w:autoSpaceDE w:val="0"/>
              <w:autoSpaceDN w:val="0"/>
              <w:spacing w:before="60" w:after="60" w:line="360" w:lineRule="auto"/>
              <w:ind w:left="2" w:leftChars="-7" w:hanging="16" w:hangingChars="8"/>
              <w:rPr>
                <w:rFonts w:hint="eastAsia" w:ascii="宋体" w:hAnsi="宋体" w:cs="宋体"/>
                <w:color w:val="auto"/>
                <w:szCs w:val="21"/>
                <w:highlight w:val="none"/>
              </w:rPr>
            </w:pPr>
            <w:r>
              <w:rPr>
                <w:rFonts w:hint="eastAsia" w:ascii="宋体" w:hAnsi="宋体" w:cs="宋体"/>
                <w:color w:val="auto"/>
                <w:szCs w:val="21"/>
                <w:highlight w:val="none"/>
              </w:rPr>
              <w:t>特殊包装要求：按货物标准包装</w:t>
            </w:r>
          </w:p>
        </w:tc>
      </w:tr>
      <w:tr w14:paraId="5B7965C7">
        <w:tblPrEx>
          <w:tblCellMar>
            <w:top w:w="0" w:type="dxa"/>
            <w:left w:w="0" w:type="dxa"/>
            <w:bottom w:w="0" w:type="dxa"/>
            <w:right w:w="0" w:type="dxa"/>
          </w:tblCellMar>
        </w:tblPrEx>
        <w:trPr>
          <w:trHeight w:val="1177" w:hRule="atLeast"/>
        </w:trPr>
        <w:tc>
          <w:tcPr>
            <w:tcW w:w="1080" w:type="dxa"/>
            <w:tcBorders>
              <w:top w:val="single" w:color="auto" w:sz="4" w:space="0"/>
              <w:left w:val="single" w:color="auto" w:sz="4" w:space="0"/>
              <w:bottom w:val="single" w:color="auto" w:sz="4" w:space="0"/>
              <w:right w:val="single" w:color="auto" w:sz="4" w:space="0"/>
            </w:tcBorders>
            <w:vAlign w:val="center"/>
          </w:tcPr>
          <w:p w14:paraId="777F677B">
            <w:pPr>
              <w:autoSpaceDE w:val="0"/>
              <w:autoSpaceDN w:val="0"/>
              <w:spacing w:before="60" w:after="6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8100" w:type="dxa"/>
            <w:tcBorders>
              <w:top w:val="single" w:color="auto" w:sz="4" w:space="0"/>
              <w:left w:val="single" w:color="auto" w:sz="4" w:space="0"/>
              <w:bottom w:val="single" w:color="auto" w:sz="4" w:space="0"/>
              <w:right w:val="single" w:color="auto" w:sz="4" w:space="0"/>
            </w:tcBorders>
            <w:vAlign w:val="center"/>
          </w:tcPr>
          <w:p w14:paraId="6DB1DD08">
            <w:pPr>
              <w:autoSpaceDE w:val="0"/>
              <w:autoSpaceDN w:val="0"/>
              <w:spacing w:before="60" w:after="60" w:line="360" w:lineRule="auto"/>
              <w:ind w:left="2" w:leftChars="-7" w:hanging="16" w:hangingChars="8"/>
              <w:rPr>
                <w:rFonts w:hint="eastAsia" w:ascii="宋体" w:hAnsi="宋体" w:cs="宋体"/>
                <w:color w:val="auto"/>
                <w:szCs w:val="21"/>
                <w:highlight w:val="none"/>
              </w:rPr>
            </w:pPr>
            <w:r>
              <w:rPr>
                <w:rFonts w:hint="eastAsia" w:ascii="宋体" w:hAnsi="宋体" w:cs="宋体"/>
                <w:color w:val="auto"/>
                <w:szCs w:val="21"/>
                <w:highlight w:val="none"/>
              </w:rPr>
              <w:t>本合同一式四份，甲方二份，乙方二份</w:t>
            </w:r>
          </w:p>
        </w:tc>
      </w:tr>
      <w:bookmarkEnd w:id="90"/>
    </w:tbl>
    <w:p w14:paraId="5B427675">
      <w:pPr>
        <w:autoSpaceDE w:val="0"/>
        <w:autoSpaceDN w:val="0"/>
        <w:adjustRightInd w:val="0"/>
        <w:spacing w:line="400" w:lineRule="atLeast"/>
        <w:ind w:firstLine="600" w:firstLineChars="200"/>
        <w:jc w:val="center"/>
        <w:outlineLvl w:val="1"/>
        <w:rPr>
          <w:rFonts w:hint="eastAsia" w:ascii="宋体" w:hAnsi="宋体" w:cs="宋体"/>
          <w:b/>
          <w:bCs/>
          <w:color w:val="auto"/>
          <w:sz w:val="30"/>
          <w:szCs w:val="30"/>
          <w:highlight w:val="none"/>
        </w:rPr>
        <w:sectPr>
          <w:pgSz w:w="11906" w:h="16838"/>
          <w:pgMar w:top="1440" w:right="1080" w:bottom="1440" w:left="1080" w:header="851" w:footer="850" w:gutter="567"/>
          <w:cols w:space="720" w:num="1"/>
          <w:titlePg/>
          <w:docGrid w:type="linesAndChars" w:linePitch="321" w:charSpace="195"/>
        </w:sectPr>
      </w:pPr>
      <w:bookmarkStart w:id="105" w:name="_Toc292983025"/>
    </w:p>
    <w:p w14:paraId="1FC74750">
      <w:pPr>
        <w:autoSpaceDE w:val="0"/>
        <w:autoSpaceDN w:val="0"/>
        <w:adjustRightInd w:val="0"/>
        <w:spacing w:line="400" w:lineRule="atLeast"/>
        <w:ind w:firstLine="600" w:firstLineChars="200"/>
        <w:jc w:val="center"/>
        <w:outlineLvl w:val="1"/>
        <w:rPr>
          <w:rFonts w:hint="eastAsia" w:ascii="宋体" w:hAnsi="宋体" w:cs="宋体"/>
          <w:b/>
          <w:bCs/>
          <w:color w:val="auto"/>
          <w:sz w:val="24"/>
          <w:szCs w:val="24"/>
          <w:highlight w:val="none"/>
        </w:rPr>
      </w:pPr>
      <w:bookmarkStart w:id="106" w:name="_Toc228982324"/>
      <w:bookmarkStart w:id="107" w:name="_Toc28294"/>
      <w:r>
        <w:rPr>
          <w:rFonts w:hint="eastAsia" w:ascii="宋体" w:hAnsi="宋体" w:cs="宋体"/>
          <w:b/>
          <w:bCs/>
          <w:color w:val="auto"/>
          <w:sz w:val="30"/>
          <w:szCs w:val="30"/>
          <w:highlight w:val="none"/>
        </w:rPr>
        <w:t>二、合同书样式及主要条款</w:t>
      </w:r>
      <w:bookmarkEnd w:id="105"/>
      <w:bookmarkEnd w:id="106"/>
      <w:bookmarkEnd w:id="107"/>
    </w:p>
    <w:p w14:paraId="3B07959D">
      <w:pPr>
        <w:autoSpaceDE w:val="0"/>
        <w:autoSpaceDN w:val="0"/>
        <w:adjustRightInd w:val="0"/>
        <w:snapToGrid w:val="0"/>
        <w:spacing w:line="360" w:lineRule="auto"/>
        <w:ind w:firstLine="480" w:firstLineChars="20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（参考文本）</w:t>
      </w:r>
    </w:p>
    <w:p w14:paraId="2D0381CD">
      <w:pPr>
        <w:spacing w:line="560" w:lineRule="exact"/>
        <w:ind w:firstLine="424" w:firstLineChars="202"/>
        <w:jc w:val="center"/>
        <w:rPr>
          <w:rFonts w:hint="eastAsia" w:ascii="宋体" w:hAnsi="宋体" w:cs="宋体"/>
          <w:b/>
          <w:color w:val="auto"/>
          <w:szCs w:val="21"/>
          <w:highlight w:val="none"/>
        </w:rPr>
      </w:pPr>
      <w:bookmarkStart w:id="108" w:name="_Toc29357077"/>
      <w:r>
        <w:rPr>
          <w:rFonts w:hint="eastAsia" w:ascii="宋体" w:hAnsi="宋体" w:cs="宋体"/>
          <w:b/>
          <w:color w:val="auto"/>
          <w:szCs w:val="21"/>
          <w:highlight w:val="none"/>
        </w:rPr>
        <w:t>（合同内容仅供参考，具体条款以采购人要求及申请人承诺为基础，最终以双方实际签订内容为准）</w:t>
      </w:r>
    </w:p>
    <w:p w14:paraId="7A97602C">
      <w:pPr>
        <w:shd w:val="clear" w:color="auto" w:fill="FFFFFF"/>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甲乙双方根据《中华人民共和国政府采购法》、《中华人民共和国民法典》及相关法律法规的规定就</w:t>
      </w:r>
      <w:r>
        <w:rPr>
          <w:rFonts w:hint="eastAsia" w:ascii="宋体" w:hAnsi="宋体" w:cs="宋体"/>
          <w:color w:val="auto"/>
          <w:szCs w:val="21"/>
          <w:highlight w:val="none"/>
          <w:u w:val="single"/>
          <w:shd w:val="clear" w:color="auto" w:fill="FFFFFF"/>
        </w:rPr>
        <w:t xml:space="preserve"> （项目名称）</w:t>
      </w: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”竞争性谈判采购结果，经双方协定达成一致，签订以下内容：</w:t>
      </w:r>
    </w:p>
    <w:p w14:paraId="1C517BDC">
      <w:pPr>
        <w:shd w:val="clear" w:color="auto" w:fill="FFFFFF"/>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一、项目名称：昆明市旅游职业中学导游虚拟仿真实训室项目（设备购置）-非集采货物</w:t>
      </w:r>
    </w:p>
    <w:p w14:paraId="7D0974C5">
      <w:pPr>
        <w:shd w:val="clear" w:color="auto" w:fill="FFFFFF"/>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二、配送地点：</w:t>
      </w:r>
      <w:r>
        <w:rPr>
          <w:rFonts w:hint="eastAsia" w:ascii="宋体" w:hAnsi="宋体" w:cs="宋体"/>
          <w:color w:val="auto"/>
          <w:szCs w:val="21"/>
          <w:highlight w:val="none"/>
          <w:shd w:val="clear" w:color="auto" w:fill="FFFFFF"/>
        </w:rPr>
        <w:t>昆明市旅游职业中学指定地点。</w:t>
      </w:r>
    </w:p>
    <w:p w14:paraId="6ED19F34">
      <w:pPr>
        <w:shd w:val="clear" w:color="auto" w:fill="FFFFFF"/>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三、采购内容： </w:t>
      </w:r>
    </w:p>
    <w:tbl>
      <w:tblPr>
        <w:tblStyle w:val="36"/>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2"/>
        <w:gridCol w:w="1158"/>
        <w:gridCol w:w="2806"/>
        <w:gridCol w:w="695"/>
        <w:gridCol w:w="854"/>
        <w:gridCol w:w="1676"/>
        <w:gridCol w:w="1681"/>
      </w:tblGrid>
      <w:tr w14:paraId="7ECAA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 w:type="pct"/>
            <w:vAlign w:val="center"/>
          </w:tcPr>
          <w:p w14:paraId="7AD56E9F">
            <w:pPr>
              <w:shd w:val="clear" w:color="auto" w:fill="FFFFFF"/>
              <w:spacing w:line="48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617" w:type="pct"/>
            <w:vAlign w:val="center"/>
          </w:tcPr>
          <w:p w14:paraId="6901B6C8">
            <w:pPr>
              <w:shd w:val="clear" w:color="auto" w:fill="FFFFFF"/>
              <w:spacing w:line="48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产品</w:t>
            </w:r>
          </w:p>
          <w:p w14:paraId="01CDFB97">
            <w:pPr>
              <w:shd w:val="clear" w:color="auto" w:fill="FFFFFF"/>
              <w:spacing w:line="480" w:lineRule="exact"/>
              <w:jc w:val="center"/>
              <w:rPr>
                <w:rFonts w:hint="eastAsia" w:ascii="宋体" w:hAnsi="宋体" w:cs="宋体"/>
                <w:b/>
                <w:bCs/>
                <w:color w:val="auto"/>
                <w:szCs w:val="21"/>
                <w:highlight w:val="none"/>
              </w:rPr>
            </w:pPr>
            <w:r>
              <w:rPr>
                <w:rFonts w:hint="eastAsia" w:ascii="宋体" w:hAnsi="宋体" w:cs="宋体"/>
                <w:b/>
                <w:bCs/>
                <w:color w:val="auto"/>
                <w:kern w:val="0"/>
                <w:szCs w:val="21"/>
                <w:highlight w:val="none"/>
              </w:rPr>
              <w:t>名称</w:t>
            </w:r>
          </w:p>
        </w:tc>
        <w:tc>
          <w:tcPr>
            <w:tcW w:w="1495" w:type="pct"/>
            <w:vAlign w:val="center"/>
          </w:tcPr>
          <w:p w14:paraId="563976AB">
            <w:pPr>
              <w:shd w:val="clear" w:color="auto" w:fill="FFFFFF"/>
              <w:spacing w:line="48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生厂商名称</w:t>
            </w:r>
          </w:p>
        </w:tc>
        <w:tc>
          <w:tcPr>
            <w:tcW w:w="370" w:type="pct"/>
            <w:vAlign w:val="center"/>
          </w:tcPr>
          <w:p w14:paraId="758A5B68">
            <w:pPr>
              <w:shd w:val="clear" w:color="auto" w:fill="FFFFFF"/>
              <w:spacing w:line="48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数量</w:t>
            </w:r>
          </w:p>
        </w:tc>
        <w:tc>
          <w:tcPr>
            <w:tcW w:w="455" w:type="pct"/>
            <w:vAlign w:val="center"/>
          </w:tcPr>
          <w:p w14:paraId="57E19B18">
            <w:pPr>
              <w:shd w:val="clear" w:color="auto" w:fill="FFFFFF"/>
              <w:spacing w:line="480" w:lineRule="exact"/>
              <w:jc w:val="center"/>
              <w:rPr>
                <w:rFonts w:hint="eastAsia" w:ascii="宋体" w:hAnsi="宋体" w:cs="宋体"/>
                <w:b/>
                <w:bCs/>
                <w:color w:val="auto"/>
                <w:szCs w:val="21"/>
                <w:highlight w:val="none"/>
              </w:rPr>
            </w:pPr>
            <w:r>
              <w:rPr>
                <w:rFonts w:hint="eastAsia" w:ascii="宋体" w:hAnsi="宋体" w:cs="宋体"/>
                <w:b/>
                <w:bCs/>
                <w:color w:val="auto"/>
                <w:kern w:val="0"/>
                <w:szCs w:val="21"/>
                <w:highlight w:val="none"/>
              </w:rPr>
              <w:t>计量单位</w:t>
            </w:r>
          </w:p>
        </w:tc>
        <w:tc>
          <w:tcPr>
            <w:tcW w:w="893" w:type="pct"/>
            <w:vAlign w:val="center"/>
          </w:tcPr>
          <w:p w14:paraId="0507BA5E">
            <w:pPr>
              <w:spacing w:line="48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投标单价(含税、元)</w:t>
            </w:r>
          </w:p>
        </w:tc>
        <w:tc>
          <w:tcPr>
            <w:tcW w:w="895" w:type="pct"/>
            <w:vAlign w:val="center"/>
          </w:tcPr>
          <w:p w14:paraId="1485690A">
            <w:pPr>
              <w:spacing w:line="48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合计</w:t>
            </w:r>
          </w:p>
          <w:p w14:paraId="5D1B63A5">
            <w:pPr>
              <w:spacing w:line="48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(含税、元)</w:t>
            </w:r>
          </w:p>
        </w:tc>
      </w:tr>
      <w:tr w14:paraId="158C6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73" w:type="pct"/>
            <w:vAlign w:val="center"/>
          </w:tcPr>
          <w:p w14:paraId="3F991A05">
            <w:pPr>
              <w:shd w:val="clear" w:color="auto" w:fill="FFFFFF"/>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617" w:type="pct"/>
            <w:vAlign w:val="center"/>
          </w:tcPr>
          <w:p w14:paraId="6F881372">
            <w:pPr>
              <w:widowControl/>
              <w:shd w:val="clear" w:color="auto" w:fill="FFFFFF"/>
              <w:spacing w:line="360" w:lineRule="auto"/>
              <w:jc w:val="center"/>
              <w:rPr>
                <w:rFonts w:hint="eastAsia" w:ascii="宋体" w:hAnsi="宋体" w:cs="宋体"/>
                <w:color w:val="auto"/>
                <w:kern w:val="0"/>
                <w:szCs w:val="21"/>
                <w:highlight w:val="none"/>
              </w:rPr>
            </w:pPr>
          </w:p>
        </w:tc>
        <w:tc>
          <w:tcPr>
            <w:tcW w:w="1495" w:type="pct"/>
            <w:vAlign w:val="center"/>
          </w:tcPr>
          <w:p w14:paraId="525EF041">
            <w:pPr>
              <w:widowControl/>
              <w:shd w:val="clear" w:color="auto" w:fill="FFFFFF"/>
              <w:spacing w:line="360" w:lineRule="auto"/>
              <w:jc w:val="center"/>
              <w:rPr>
                <w:rFonts w:hint="eastAsia" w:ascii="宋体" w:hAnsi="宋体" w:cs="宋体"/>
                <w:color w:val="auto"/>
                <w:kern w:val="0"/>
                <w:szCs w:val="21"/>
                <w:highlight w:val="none"/>
              </w:rPr>
            </w:pPr>
          </w:p>
        </w:tc>
        <w:tc>
          <w:tcPr>
            <w:tcW w:w="370" w:type="pct"/>
            <w:vAlign w:val="center"/>
          </w:tcPr>
          <w:p w14:paraId="1F33C090">
            <w:pPr>
              <w:widowControl/>
              <w:shd w:val="clear" w:color="auto" w:fill="FFFFFF"/>
              <w:spacing w:line="360" w:lineRule="auto"/>
              <w:jc w:val="center"/>
              <w:rPr>
                <w:rFonts w:hint="eastAsia" w:ascii="宋体" w:hAnsi="宋体" w:cs="宋体"/>
                <w:color w:val="auto"/>
                <w:kern w:val="0"/>
                <w:szCs w:val="21"/>
                <w:highlight w:val="none"/>
              </w:rPr>
            </w:pPr>
          </w:p>
        </w:tc>
        <w:tc>
          <w:tcPr>
            <w:tcW w:w="455" w:type="pct"/>
            <w:vAlign w:val="center"/>
          </w:tcPr>
          <w:p w14:paraId="1F6F0AB6">
            <w:pPr>
              <w:widowControl/>
              <w:shd w:val="clear" w:color="auto" w:fill="FFFFFF"/>
              <w:spacing w:line="360" w:lineRule="auto"/>
              <w:jc w:val="center"/>
              <w:rPr>
                <w:rFonts w:hint="eastAsia" w:ascii="宋体" w:hAnsi="宋体" w:cs="宋体"/>
                <w:color w:val="auto"/>
                <w:kern w:val="0"/>
                <w:szCs w:val="21"/>
                <w:highlight w:val="none"/>
              </w:rPr>
            </w:pPr>
          </w:p>
        </w:tc>
        <w:tc>
          <w:tcPr>
            <w:tcW w:w="893" w:type="pct"/>
            <w:vAlign w:val="center"/>
          </w:tcPr>
          <w:p w14:paraId="01FABD04">
            <w:pPr>
              <w:shd w:val="clear" w:color="auto" w:fill="FFFFFF"/>
              <w:spacing w:line="360" w:lineRule="auto"/>
              <w:jc w:val="center"/>
              <w:rPr>
                <w:rFonts w:hint="eastAsia" w:ascii="宋体" w:hAnsi="宋体" w:cs="宋体"/>
                <w:color w:val="auto"/>
                <w:szCs w:val="21"/>
                <w:highlight w:val="none"/>
              </w:rPr>
            </w:pPr>
          </w:p>
        </w:tc>
        <w:tc>
          <w:tcPr>
            <w:tcW w:w="895" w:type="pct"/>
            <w:vAlign w:val="center"/>
          </w:tcPr>
          <w:p w14:paraId="0B31EE37">
            <w:pPr>
              <w:shd w:val="clear" w:color="auto" w:fill="FFFFFF"/>
              <w:spacing w:line="360" w:lineRule="auto"/>
              <w:jc w:val="center"/>
              <w:rPr>
                <w:rFonts w:hint="eastAsia" w:ascii="宋体" w:hAnsi="宋体" w:cs="宋体"/>
                <w:color w:val="auto"/>
                <w:szCs w:val="21"/>
                <w:highlight w:val="none"/>
              </w:rPr>
            </w:pPr>
          </w:p>
        </w:tc>
      </w:tr>
      <w:tr w14:paraId="61D39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273" w:type="pct"/>
            <w:vAlign w:val="center"/>
          </w:tcPr>
          <w:p w14:paraId="46DCD6FF">
            <w:pPr>
              <w:shd w:val="clear" w:color="auto" w:fill="FFFFFF"/>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617" w:type="pct"/>
            <w:vAlign w:val="center"/>
          </w:tcPr>
          <w:p w14:paraId="2130D0B0">
            <w:pPr>
              <w:widowControl/>
              <w:shd w:val="clear" w:color="auto" w:fill="FFFFFF"/>
              <w:spacing w:line="360" w:lineRule="auto"/>
              <w:jc w:val="center"/>
              <w:rPr>
                <w:rFonts w:hint="eastAsia" w:ascii="宋体" w:hAnsi="宋体" w:cs="宋体"/>
                <w:color w:val="auto"/>
                <w:kern w:val="0"/>
                <w:szCs w:val="21"/>
                <w:highlight w:val="none"/>
              </w:rPr>
            </w:pPr>
          </w:p>
        </w:tc>
        <w:tc>
          <w:tcPr>
            <w:tcW w:w="1495" w:type="pct"/>
            <w:vAlign w:val="center"/>
          </w:tcPr>
          <w:p w14:paraId="68C2BC36">
            <w:pPr>
              <w:widowControl/>
              <w:shd w:val="clear" w:color="auto" w:fill="FFFFFF"/>
              <w:spacing w:line="360" w:lineRule="auto"/>
              <w:jc w:val="center"/>
              <w:rPr>
                <w:rFonts w:hint="eastAsia" w:ascii="宋体" w:hAnsi="宋体" w:cs="宋体"/>
                <w:color w:val="auto"/>
                <w:kern w:val="0"/>
                <w:szCs w:val="21"/>
                <w:highlight w:val="none"/>
              </w:rPr>
            </w:pPr>
          </w:p>
        </w:tc>
        <w:tc>
          <w:tcPr>
            <w:tcW w:w="370" w:type="pct"/>
            <w:vAlign w:val="center"/>
          </w:tcPr>
          <w:p w14:paraId="11BB6060">
            <w:pPr>
              <w:widowControl/>
              <w:shd w:val="clear" w:color="auto" w:fill="FFFFFF"/>
              <w:spacing w:line="360" w:lineRule="auto"/>
              <w:jc w:val="center"/>
              <w:rPr>
                <w:rFonts w:hint="eastAsia" w:ascii="宋体" w:hAnsi="宋体" w:cs="宋体"/>
                <w:color w:val="auto"/>
                <w:kern w:val="0"/>
                <w:szCs w:val="21"/>
                <w:highlight w:val="none"/>
              </w:rPr>
            </w:pPr>
          </w:p>
        </w:tc>
        <w:tc>
          <w:tcPr>
            <w:tcW w:w="455" w:type="pct"/>
            <w:vAlign w:val="center"/>
          </w:tcPr>
          <w:p w14:paraId="5C6D06E9">
            <w:pPr>
              <w:widowControl/>
              <w:shd w:val="clear" w:color="auto" w:fill="FFFFFF"/>
              <w:spacing w:line="360" w:lineRule="auto"/>
              <w:jc w:val="center"/>
              <w:rPr>
                <w:rFonts w:hint="eastAsia" w:ascii="宋体" w:hAnsi="宋体" w:cs="宋体"/>
                <w:color w:val="auto"/>
                <w:kern w:val="0"/>
                <w:szCs w:val="21"/>
                <w:highlight w:val="none"/>
              </w:rPr>
            </w:pPr>
          </w:p>
        </w:tc>
        <w:tc>
          <w:tcPr>
            <w:tcW w:w="893" w:type="pct"/>
            <w:vAlign w:val="center"/>
          </w:tcPr>
          <w:p w14:paraId="5DAEEFC9">
            <w:pPr>
              <w:shd w:val="clear" w:color="auto" w:fill="FFFFFF"/>
              <w:spacing w:line="360" w:lineRule="auto"/>
              <w:jc w:val="center"/>
              <w:rPr>
                <w:rFonts w:hint="eastAsia" w:ascii="宋体" w:hAnsi="宋体" w:cs="宋体"/>
                <w:color w:val="auto"/>
                <w:szCs w:val="21"/>
                <w:highlight w:val="none"/>
              </w:rPr>
            </w:pPr>
          </w:p>
        </w:tc>
        <w:tc>
          <w:tcPr>
            <w:tcW w:w="895" w:type="pct"/>
            <w:vAlign w:val="center"/>
          </w:tcPr>
          <w:p w14:paraId="1B31D561">
            <w:pPr>
              <w:shd w:val="clear" w:color="auto" w:fill="FFFFFF"/>
              <w:spacing w:line="360" w:lineRule="auto"/>
              <w:jc w:val="center"/>
              <w:rPr>
                <w:rFonts w:hint="eastAsia" w:ascii="宋体" w:hAnsi="宋体" w:cs="宋体"/>
                <w:color w:val="auto"/>
                <w:szCs w:val="21"/>
                <w:highlight w:val="none"/>
              </w:rPr>
            </w:pPr>
          </w:p>
        </w:tc>
      </w:tr>
      <w:tr w14:paraId="73F7E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73" w:type="pct"/>
            <w:vAlign w:val="center"/>
          </w:tcPr>
          <w:p w14:paraId="0D8190BA">
            <w:pPr>
              <w:shd w:val="clear" w:color="auto" w:fill="FFFFFF"/>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617" w:type="pct"/>
            <w:vAlign w:val="center"/>
          </w:tcPr>
          <w:p w14:paraId="3E99E0A6">
            <w:pPr>
              <w:widowControl/>
              <w:shd w:val="clear" w:color="auto" w:fill="FFFFFF"/>
              <w:spacing w:line="360" w:lineRule="auto"/>
              <w:jc w:val="center"/>
              <w:rPr>
                <w:rFonts w:hint="eastAsia" w:ascii="宋体" w:hAnsi="宋体" w:cs="宋体"/>
                <w:color w:val="auto"/>
                <w:kern w:val="0"/>
                <w:szCs w:val="21"/>
                <w:highlight w:val="none"/>
              </w:rPr>
            </w:pPr>
          </w:p>
        </w:tc>
        <w:tc>
          <w:tcPr>
            <w:tcW w:w="1495" w:type="pct"/>
            <w:vAlign w:val="center"/>
          </w:tcPr>
          <w:p w14:paraId="304C192C">
            <w:pPr>
              <w:widowControl/>
              <w:shd w:val="clear" w:color="auto" w:fill="FFFFFF"/>
              <w:spacing w:line="360" w:lineRule="auto"/>
              <w:jc w:val="center"/>
              <w:rPr>
                <w:rFonts w:hint="eastAsia" w:ascii="宋体" w:hAnsi="宋体" w:cs="宋体"/>
                <w:color w:val="auto"/>
                <w:kern w:val="0"/>
                <w:szCs w:val="21"/>
                <w:highlight w:val="none"/>
              </w:rPr>
            </w:pPr>
          </w:p>
        </w:tc>
        <w:tc>
          <w:tcPr>
            <w:tcW w:w="370" w:type="pct"/>
            <w:vAlign w:val="center"/>
          </w:tcPr>
          <w:p w14:paraId="726E70CB">
            <w:pPr>
              <w:widowControl/>
              <w:shd w:val="clear" w:color="auto" w:fill="FFFFFF"/>
              <w:spacing w:line="360" w:lineRule="auto"/>
              <w:jc w:val="center"/>
              <w:rPr>
                <w:rFonts w:hint="eastAsia" w:ascii="宋体" w:hAnsi="宋体" w:cs="宋体"/>
                <w:color w:val="auto"/>
                <w:kern w:val="0"/>
                <w:szCs w:val="21"/>
                <w:highlight w:val="none"/>
              </w:rPr>
            </w:pPr>
          </w:p>
        </w:tc>
        <w:tc>
          <w:tcPr>
            <w:tcW w:w="455" w:type="pct"/>
            <w:vAlign w:val="center"/>
          </w:tcPr>
          <w:p w14:paraId="11EA0459">
            <w:pPr>
              <w:widowControl/>
              <w:shd w:val="clear" w:color="auto" w:fill="FFFFFF"/>
              <w:spacing w:line="360" w:lineRule="auto"/>
              <w:jc w:val="center"/>
              <w:rPr>
                <w:rFonts w:hint="eastAsia" w:ascii="宋体" w:hAnsi="宋体" w:cs="宋体"/>
                <w:color w:val="auto"/>
                <w:kern w:val="0"/>
                <w:szCs w:val="21"/>
                <w:highlight w:val="none"/>
              </w:rPr>
            </w:pPr>
          </w:p>
        </w:tc>
        <w:tc>
          <w:tcPr>
            <w:tcW w:w="893" w:type="pct"/>
            <w:vAlign w:val="center"/>
          </w:tcPr>
          <w:p w14:paraId="59B593B0">
            <w:pPr>
              <w:shd w:val="clear" w:color="auto" w:fill="FFFFFF"/>
              <w:spacing w:line="360" w:lineRule="auto"/>
              <w:jc w:val="center"/>
              <w:rPr>
                <w:rFonts w:hint="eastAsia" w:ascii="宋体" w:hAnsi="宋体" w:cs="宋体"/>
                <w:color w:val="auto"/>
                <w:szCs w:val="21"/>
                <w:highlight w:val="none"/>
              </w:rPr>
            </w:pPr>
          </w:p>
        </w:tc>
        <w:tc>
          <w:tcPr>
            <w:tcW w:w="895" w:type="pct"/>
            <w:vAlign w:val="center"/>
          </w:tcPr>
          <w:p w14:paraId="25EF9A1C">
            <w:pPr>
              <w:shd w:val="clear" w:color="auto" w:fill="FFFFFF"/>
              <w:spacing w:line="360" w:lineRule="auto"/>
              <w:jc w:val="center"/>
              <w:rPr>
                <w:rFonts w:hint="eastAsia" w:ascii="宋体" w:hAnsi="宋体" w:cs="宋体"/>
                <w:color w:val="auto"/>
                <w:szCs w:val="21"/>
                <w:highlight w:val="none"/>
              </w:rPr>
            </w:pPr>
          </w:p>
        </w:tc>
      </w:tr>
    </w:tbl>
    <w:p w14:paraId="09AAE3DB">
      <w:pPr>
        <w:shd w:val="clear" w:color="auto" w:fill="FFFFFF"/>
        <w:spacing w:line="480" w:lineRule="exact"/>
        <w:ind w:firstLine="420" w:firstLineChars="200"/>
        <w:rPr>
          <w:rFonts w:hint="eastAsia" w:ascii="宋体" w:hAnsi="宋体" w:cs="宋体"/>
          <w:b/>
          <w:color w:val="auto"/>
          <w:szCs w:val="21"/>
          <w:highlight w:val="none"/>
          <w:u w:val="single"/>
        </w:rPr>
      </w:pPr>
      <w:r>
        <w:rPr>
          <w:rFonts w:hint="eastAsia" w:ascii="宋体" w:hAnsi="宋体" w:cs="宋体"/>
          <w:b/>
          <w:color w:val="auto"/>
          <w:szCs w:val="21"/>
          <w:highlight w:val="none"/>
        </w:rPr>
        <w:t>合同总价：小写：</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元；大写：</w:t>
      </w:r>
      <w:r>
        <w:rPr>
          <w:rFonts w:hint="eastAsia" w:ascii="宋体" w:hAnsi="宋体" w:cs="宋体"/>
          <w:b/>
          <w:color w:val="auto"/>
          <w:szCs w:val="21"/>
          <w:highlight w:val="none"/>
          <w:u w:val="single"/>
        </w:rPr>
        <w:t xml:space="preserve">                        。</w:t>
      </w:r>
    </w:p>
    <w:p w14:paraId="7BF3F570">
      <w:pPr>
        <w:shd w:val="clear" w:color="auto" w:fill="FFFFFF"/>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四、采购服务期限</w:t>
      </w:r>
    </w:p>
    <w:p w14:paraId="591BC252">
      <w:pPr>
        <w:shd w:val="clear" w:color="auto" w:fill="FFFFFF"/>
        <w:spacing w:line="48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自合同签订之日起</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日历天内</w:t>
      </w:r>
      <w:r>
        <w:rPr>
          <w:rFonts w:hint="eastAsia" w:ascii="宋体" w:hAnsi="宋体" w:cs="宋体"/>
          <w:color w:val="auto"/>
          <w:szCs w:val="21"/>
          <w:highlight w:val="none"/>
        </w:rPr>
        <w:t>，由昆明市旅游职业中学与中标人签订采购配送协议，并按照需求发送订单，由成交人按照订单要求配送。甲方可根据日常供应检验结果及终止采购配送协议。</w:t>
      </w:r>
    </w:p>
    <w:p w14:paraId="18FAAEB7">
      <w:pPr>
        <w:pStyle w:val="35"/>
        <w:numPr>
          <w:ilvl w:val="0"/>
          <w:numId w:val="6"/>
        </w:numPr>
        <w:spacing w:line="360" w:lineRule="auto"/>
        <w:ind w:firstLine="420" w:firstLineChars="200"/>
        <w:rPr>
          <w:color w:val="auto"/>
          <w:highlight w:val="none"/>
        </w:rPr>
      </w:pPr>
      <w:r>
        <w:rPr>
          <w:rFonts w:hint="eastAsia" w:ascii="宋体" w:hAnsi="宋体" w:cs="宋体"/>
          <w:color w:val="auto"/>
          <w:sz w:val="21"/>
          <w:szCs w:val="21"/>
          <w:highlight w:val="none"/>
        </w:rPr>
        <w:t>验收、交付标准和方法，质量保修范围和保修期</w:t>
      </w:r>
    </w:p>
    <w:p w14:paraId="640D5DAC">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验收：由采购人对交付产品进行抽样送国家认可的第三方检测，以最终检测报告为准。</w:t>
      </w:r>
    </w:p>
    <w:p w14:paraId="6FCF7C5A">
      <w:pPr>
        <w:pStyle w:val="35"/>
        <w:spacing w:line="360" w:lineRule="auto"/>
        <w:ind w:firstLine="420" w:firstLineChars="200"/>
        <w:rPr>
          <w:color w:val="auto"/>
          <w:highlight w:val="none"/>
        </w:rPr>
      </w:pPr>
      <w:r>
        <w:rPr>
          <w:rFonts w:hint="eastAsia" w:ascii="宋体" w:hAnsi="宋体" w:cs="宋体"/>
          <w:color w:val="auto"/>
          <w:sz w:val="21"/>
          <w:szCs w:val="21"/>
          <w:highlight w:val="none"/>
        </w:rPr>
        <w:t>质保：</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年（所有产品质保期限为完成验收后三年），对尺寸、质量有问题的产品在质保期内免费进行更换。</w:t>
      </w:r>
    </w:p>
    <w:p w14:paraId="05E285FB">
      <w:pPr>
        <w:shd w:val="clear" w:color="auto" w:fill="FFFFFF"/>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五、配送具体要求</w:t>
      </w:r>
    </w:p>
    <w:p w14:paraId="5E3A9645">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1.成交配送企业提供的物资必须按时、按质、按量送货到采购人指定地点，并同时提交质量合格等证明资料，确保物资安全可靠。</w:t>
      </w:r>
    </w:p>
    <w:p w14:paraId="08A3B5BA">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2.成交配送企业在提供物资配送服务过程中，保证配送过程安全，必须设专人服务、跟踪、对账、快速处理突发事件，制定物资安全事故应急处置预案，提高工作人员的质量意识和服务水平。</w:t>
      </w:r>
    </w:p>
    <w:p w14:paraId="0B7F6030">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对存在质量问题的物资不得向甲方配送，甲方收货后发现的，无论是否经过验收，乙方保证无条件退货或召回，并及时按照甲方要求时限更换符合质量标准的物资，退货处理的物资需经乙方销毁，且该部分款项不得再与甲方结算。</w:t>
      </w:r>
    </w:p>
    <w:p w14:paraId="3099CD15">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4.采购人根据订单确认订购物资品种、数量、质量要求后任何一方不得随意更改，如遇甲方临时调整，乙方应当尽可能保证甲方产品供应，并及时联系经双方确认后更改结算。</w:t>
      </w:r>
    </w:p>
    <w:p w14:paraId="175D6896">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六．配送物资的内容和标准：               。</w:t>
      </w:r>
    </w:p>
    <w:p w14:paraId="758200AE">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七、合同价格及收款、付款方式</w:t>
      </w:r>
    </w:p>
    <w:p w14:paraId="17610A46">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1.所采购货物暂估总价为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0D3EB09">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2.合同标的价格均为含税价格，且已经包含乙方完成本合同项下全部工作内容，并配送至甲方指定地点所产生的运输、装卸等全部费用，除此之外，乙方不再向甲方收取任何额外费用。；</w:t>
      </w:r>
    </w:p>
    <w:p w14:paraId="5CEC764F">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3.甲方采购的产品数量以实际销售数量为准办理结算，甲方每次付款前乙方应向甲方出具符合甲方要求的正式税务发票，乙方逾期开具发票的，甲方可逾期付款且不视为违约；</w:t>
      </w:r>
    </w:p>
    <w:p w14:paraId="76839DD2">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乙方完成当月供货订单后，乙方根据核算金额向甲方开具符合甲方要求的等额发票申请支付上月货款，甲方收到申请并核对应付金额后应及时结清货款。货款一律以转账方式付至乙方确定的对公账户。</w:t>
      </w:r>
    </w:p>
    <w:p w14:paraId="324A86E3">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5.根据申请人报的价格进行供货和结算，除市场行情持续发生重大变动的由甲方或乙方提出书面情况说明。</w:t>
      </w:r>
    </w:p>
    <w:p w14:paraId="70258735">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结算价格：申请人在报投标单价时结合预算、采购限价、市场等总体情况进行报价，但所报的品种单价不得超过采购限价，执行过程中，成交单价不可变更。</w:t>
      </w:r>
    </w:p>
    <w:p w14:paraId="6AC0E6CD">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八、特殊规定</w:t>
      </w:r>
    </w:p>
    <w:p w14:paraId="05632BB4">
      <w:pPr>
        <w:spacing w:line="48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                                                        </w:t>
      </w:r>
    </w:p>
    <w:p w14:paraId="48905B14">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九、其他事宜约定</w:t>
      </w:r>
    </w:p>
    <w:p w14:paraId="6502DB11">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 凡有下列情形之一的，甲方有权单方终止该企业物资配送合同，且不免除乙方的违约责任；</w:t>
      </w:r>
    </w:p>
    <w:p w14:paraId="399AFBFC">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1.因配送物资质量问题引发物资安全责任事故的。</w:t>
      </w:r>
    </w:p>
    <w:p w14:paraId="09C1C01A">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2.经采购人日常验收检查累计三次不符合要求的。</w:t>
      </w:r>
    </w:p>
    <w:p w14:paraId="68F358D8">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3.经监管部门检查配送企业存在严重安全隐患期限整改不到位的。</w:t>
      </w:r>
    </w:p>
    <w:p w14:paraId="5AA44789">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4.因配送企业配送假冒伪劣、过期变质物资的。</w:t>
      </w:r>
    </w:p>
    <w:p w14:paraId="6B593047">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5.提供虚假证件证明票据的。</w:t>
      </w:r>
    </w:p>
    <w:p w14:paraId="579E0801">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6.违法违纪及进行商业贿赂的。</w:t>
      </w:r>
    </w:p>
    <w:p w14:paraId="64A60413">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7.经营状况严重恶化，丧失商业信誉的。</w:t>
      </w:r>
    </w:p>
    <w:p w14:paraId="4FF73474">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8.有丧失或者丧失履约能力等其他情形的。</w:t>
      </w:r>
    </w:p>
    <w:p w14:paraId="59A42107">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 如一旦有构成不可抗力的事件发生，或乙方被认为无力履行全部或部分合同中规定的职责，乙方需以书面形式提前一个月通知采购人告知有关细节。因不可抗力造成的损失各自承担。</w:t>
      </w:r>
    </w:p>
    <w:p w14:paraId="0893F00C">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十、甲乙双方的权利和义务</w:t>
      </w:r>
    </w:p>
    <w:p w14:paraId="2E6CC26B">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（一）甲方的权利和义务</w:t>
      </w:r>
    </w:p>
    <w:p w14:paraId="1D6B5658">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1.负责采购合同签订后物资配送实施的配合和监督等工作，对于乙方服务内容提出整改意见；</w:t>
      </w:r>
    </w:p>
    <w:p w14:paraId="39DC2EC8">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2.负责组织成立验收小组对物资配送服务进行考评，并指定人员接收配送物资；</w:t>
      </w:r>
    </w:p>
    <w:p w14:paraId="4EFB8D11">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3.按采购合同规定享有乙方提供的配送服务。</w:t>
      </w:r>
    </w:p>
    <w:p w14:paraId="235F99EC">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﹙二﹚乙方的权利和义务</w:t>
      </w:r>
    </w:p>
    <w:p w14:paraId="25A0B6EC">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1.在国家法律法规规定的范围按时、按质、按量为采购人提供配送服务；</w:t>
      </w:r>
    </w:p>
    <w:p w14:paraId="21963A74">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2.保证甲方采购合同履约期间不受第三方提出的任何起诉、索赔及权益主张；</w:t>
      </w:r>
    </w:p>
    <w:p w14:paraId="1B4D28E5">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3.严格遵守成交所承诺的一切条件和条款；</w:t>
      </w:r>
    </w:p>
    <w:p w14:paraId="7A2687DE">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4.协助甲方对配送服务的日常验收。</w:t>
      </w:r>
    </w:p>
    <w:p w14:paraId="33375612">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乙方应对相关服务人员进行培训，乙方人员应当严格遵守甲方规章制度，且在合同履行过程中，若乙方人员发生任何人身、财产损害事件，或乙方导致甲方或任何第三方人身、财产损害的，乙方应承担赔偿责任，赔偿甲方及相关受害人全部损失及维护权益所支出的全部费用。</w:t>
      </w:r>
    </w:p>
    <w:p w14:paraId="6CEDC548">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十一、责任划分</w:t>
      </w:r>
    </w:p>
    <w:p w14:paraId="78B645B3">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（一）企业责任</w:t>
      </w:r>
    </w:p>
    <w:p w14:paraId="039CEF9F">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对提供的物资及原料因假冒伪劣、过期、不合格等导致人员中毒或损害健康的，经疾病预防控制中心、医疗机构或有关法定检测机构鉴定确为物资质量原因引起的，配送企业必须承担法律责任和赔偿责任，由此产生的一切后果均由企业承担；且甲方有权单方解除本合同。</w:t>
      </w:r>
    </w:p>
    <w:p w14:paraId="36A16986">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配送企业须按采购人要求的时间及有关要求按时、按质、按量将订购的物资送达，如遇到不可抗力导致不能送达，配送企业需在壹个小时前通知采购人，并尽可能采取补救措施，以便采购人及时解决物资供应问题。非不可抗力因素导致物资不能送达的，由配送企业承担采购人相应损失，并承担每次【2000】元的违约责任。</w:t>
      </w:r>
    </w:p>
    <w:p w14:paraId="695A0D73">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3.配送企业员工及车辆在配送物资过程中造成的一切损失由配送企业承担，采购人不承担任何责任。</w:t>
      </w:r>
    </w:p>
    <w:p w14:paraId="3EC2D177">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4.如采购人出现物资安全事故，在双方责任不明确时，所需费用由配送企业先暂付，责任认定后，由责任方承担相应费用，并由乙方向责任方主张。</w:t>
      </w:r>
    </w:p>
    <w:p w14:paraId="52EA9028">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（二）采购人责任</w:t>
      </w:r>
    </w:p>
    <w:p w14:paraId="0BA924C7">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1.因采购人不能按时填报配送计划，导致乙方不能按时配送物资的，乙方免于承担责任。</w:t>
      </w:r>
    </w:p>
    <w:p w14:paraId="72F49C63">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2.采购人无正当理由不得拒绝签收配送物资，因采购人责任造成的损失由采购人承担。</w:t>
      </w:r>
    </w:p>
    <w:p w14:paraId="2D2087B7">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十二、违约责任</w:t>
      </w:r>
    </w:p>
    <w:p w14:paraId="540333CC">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除发生不可抗力事实外，乙方配送物资与采购合同标准不相符合的，甲方有权拒收，并要求乙方按照合同约定标准补货，由此产生的损失由乙方承担，且送货期限不得延迟，否则按照延迟送货承担违约责任。</w:t>
      </w:r>
    </w:p>
    <w:p w14:paraId="19E6FB6B">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（二）甲方无正当理由拒收乙方配送物资时，由此产生的损失乙方不承担责任。</w:t>
      </w:r>
    </w:p>
    <w:p w14:paraId="4D47F756">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乙方迟延送货的，按照该迟延配送批次货品总价款的【2】%向甲方支付违约金，违约金不足以弥补甲方损失的，乙方应当继续赔偿。累计迟延送货【3】次，甲方有权单方解除本合同，并不免除乙方违约责任，同时对于乙方货款按照【2】%结算。</w:t>
      </w:r>
    </w:p>
    <w:p w14:paraId="5CE8724F">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三、甲乙双方在履行采购合同过程中发生纠纷，应及时向有关监督管理部门反映，以便相关部门进行协调或处理；本合同发生争议产生的诉讼，由甲方所在地人民法院管辖。并由败诉方承担因诉讼产生的所有费用（包括但不限于诉讼费、保全费、公告费、评估费、鉴定费、拍卖费、差旅费、律师代理费等）</w:t>
      </w:r>
    </w:p>
    <w:p w14:paraId="5C763942">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十四、本合同未尽事宜，双方签订书面协议补充，也可按国家《民法典》有关规定处理。</w:t>
      </w:r>
    </w:p>
    <w:p w14:paraId="3E7F7CC8">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十五、本合同一式四份，甲方二份，乙方二份。</w:t>
      </w:r>
    </w:p>
    <w:p w14:paraId="3BE2DC66">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十六、本合同自甲方、乙方签字盖章后合同才正式生效。</w:t>
      </w:r>
    </w:p>
    <w:p w14:paraId="092E036F">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十七、本合同不可分割之部分；</w:t>
      </w:r>
    </w:p>
    <w:p w14:paraId="45466CA6">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1.竞争性谈判文件</w:t>
      </w:r>
    </w:p>
    <w:p w14:paraId="39C30667">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2.成交人的谈判申请文件及澄清；</w:t>
      </w:r>
    </w:p>
    <w:p w14:paraId="09D97F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3.成交通知书；</w:t>
      </w:r>
    </w:p>
    <w:p w14:paraId="77EBE33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4.合同书附件；</w:t>
      </w:r>
    </w:p>
    <w:p w14:paraId="2F77EE53">
      <w:pPr>
        <w:pStyle w:val="35"/>
        <w:spacing w:line="360" w:lineRule="auto"/>
        <w:ind w:firstLine="420" w:firstLineChars="200"/>
        <w:rPr>
          <w:color w:val="auto"/>
          <w:highlight w:val="none"/>
        </w:rPr>
      </w:pPr>
      <w:r>
        <w:rPr>
          <w:rFonts w:hint="eastAsia" w:ascii="宋体" w:hAnsi="宋体" w:cs="宋体"/>
          <w:color w:val="auto"/>
          <w:sz w:val="21"/>
          <w:szCs w:val="21"/>
          <w:highlight w:val="none"/>
        </w:rPr>
        <w:t>5.产品检测报告。</w:t>
      </w:r>
    </w:p>
    <w:p w14:paraId="26FEB50E">
      <w:pPr>
        <w:jc w:val="center"/>
        <w:rPr>
          <w:rFonts w:hint="eastAsia" w:ascii="宋体" w:hAnsi="宋体" w:cs="宋体"/>
          <w:b/>
          <w:color w:val="auto"/>
          <w:sz w:val="36"/>
          <w:szCs w:val="36"/>
          <w:highlight w:val="none"/>
        </w:rPr>
      </w:pPr>
      <w:r>
        <w:rPr>
          <w:rFonts w:hint="eastAsia" w:ascii="宋体" w:hAnsi="宋体" w:cs="宋体"/>
          <w:color w:val="auto"/>
          <w:sz w:val="44"/>
          <w:szCs w:val="44"/>
          <w:highlight w:val="none"/>
        </w:rPr>
        <w:br w:type="page"/>
      </w:r>
      <w:r>
        <w:rPr>
          <w:rFonts w:hint="eastAsia" w:ascii="宋体" w:hAnsi="宋体" w:cs="宋体"/>
          <w:b/>
          <w:color w:val="auto"/>
          <w:sz w:val="36"/>
          <w:szCs w:val="36"/>
          <w:highlight w:val="none"/>
        </w:rPr>
        <w:t>廉政协议书</w:t>
      </w:r>
    </w:p>
    <w:p w14:paraId="147497D4">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w:t>
      </w:r>
    </w:p>
    <w:p w14:paraId="57F16D44">
      <w:pPr>
        <w:snapToGrid w:val="0"/>
        <w:spacing w:line="360" w:lineRule="auto"/>
        <w:rPr>
          <w:rFonts w:hint="eastAsia" w:ascii="宋体" w:hAnsi="宋体" w:cs="宋体"/>
          <w:b/>
          <w:bCs/>
          <w:color w:val="auto"/>
          <w:sz w:val="24"/>
          <w:szCs w:val="24"/>
          <w:highlight w:val="none"/>
        </w:rPr>
      </w:pPr>
      <w:r>
        <w:rPr>
          <w:rFonts w:hint="eastAsia" w:ascii="宋体" w:hAnsi="宋体" w:cs="宋体"/>
          <w:b/>
          <w:bCs/>
          <w:color w:val="auto"/>
          <w:kern w:val="0"/>
          <w:sz w:val="24"/>
          <w:highlight w:val="none"/>
        </w:rPr>
        <w:t>甲方</w:t>
      </w:r>
      <w:r>
        <w:rPr>
          <w:rFonts w:hint="eastAsia" w:ascii="宋体" w:hAnsi="宋体" w:cs="宋体"/>
          <w:b/>
          <w:bCs/>
          <w:color w:val="auto"/>
          <w:sz w:val="24"/>
          <w:szCs w:val="24"/>
          <w:highlight w:val="none"/>
        </w:rPr>
        <w:t>（采购单位）：</w:t>
      </w:r>
      <w:r>
        <w:rPr>
          <w:rFonts w:hint="eastAsia" w:ascii="宋体" w:hAnsi="宋体" w:cs="宋体"/>
          <w:b/>
          <w:bCs/>
          <w:color w:val="auto"/>
          <w:sz w:val="24"/>
          <w:szCs w:val="24"/>
          <w:highlight w:val="none"/>
          <w:u w:val="single"/>
        </w:rPr>
        <w:t xml:space="preserve"> 昆明市旅游职业中学　       </w:t>
      </w:r>
      <w:r>
        <w:rPr>
          <w:rFonts w:hint="eastAsia" w:ascii="宋体" w:hAnsi="宋体" w:cs="宋体"/>
          <w:b/>
          <w:bCs/>
          <w:color w:val="auto"/>
          <w:sz w:val="24"/>
          <w:szCs w:val="24"/>
          <w:highlight w:val="none"/>
        </w:rPr>
        <w:t xml:space="preserve">                                  </w:t>
      </w:r>
    </w:p>
    <w:p w14:paraId="63F9ADF5">
      <w:pPr>
        <w:spacing w:line="48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乙方（服务单位）：</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 xml:space="preserve">                </w:t>
      </w:r>
    </w:p>
    <w:p w14:paraId="7C936B30">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甲乙双方于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日签署了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以下简称“原合同”），为了在原合同履行过程中保持廉洁自律的工作作风，防止发生各种谋取不正当利益的违法违纪行为，保护国家、集体和当事人的合法权益，根据国家廉政建设的有关规定，特订立本廉政协议书。</w:t>
      </w:r>
    </w:p>
    <w:p w14:paraId="3E8412D0">
      <w:pPr>
        <w:snapToGrid w:val="0"/>
        <w:spacing w:line="360" w:lineRule="auto"/>
        <w:ind w:firstLine="480" w:firstLineChars="200"/>
        <w:rPr>
          <w:rFonts w:hint="eastAsia" w:ascii="宋体" w:hAnsi="宋体" w:cs="宋体"/>
          <w:b/>
          <w:bCs/>
          <w:color w:val="auto"/>
          <w:sz w:val="24"/>
          <w:szCs w:val="24"/>
          <w:highlight w:val="none"/>
        </w:rPr>
      </w:pPr>
    </w:p>
    <w:p w14:paraId="6BD2917F">
      <w:pPr>
        <w:snapToGrid w:val="0"/>
        <w:spacing w:line="360" w:lineRule="auto"/>
        <w:ind w:firstLine="480"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第一条 甲乙双方责任</w:t>
      </w:r>
    </w:p>
    <w:p w14:paraId="0824B079">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w:t>
      </w:r>
      <w:r>
        <w:rPr>
          <w:rFonts w:hint="eastAsia" w:ascii="宋体" w:hAnsi="宋体" w:cs="宋体"/>
          <w:b/>
          <w:color w:val="auto"/>
          <w:sz w:val="24"/>
          <w:szCs w:val="24"/>
          <w:highlight w:val="none"/>
        </w:rPr>
        <w:t xml:space="preserve">1.1 </w:t>
      </w:r>
      <w:r>
        <w:rPr>
          <w:rFonts w:hint="eastAsia" w:ascii="宋体" w:hAnsi="宋体" w:cs="宋体"/>
          <w:color w:val="auto"/>
          <w:sz w:val="24"/>
          <w:szCs w:val="24"/>
          <w:highlight w:val="none"/>
        </w:rPr>
        <w:t>应严格遵守国家有关法律法规，相关政策，以及廉政建设的各项规定。</w:t>
      </w:r>
    </w:p>
    <w:p w14:paraId="0292C4D6">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w:t>
      </w:r>
      <w:r>
        <w:rPr>
          <w:rFonts w:hint="eastAsia" w:ascii="宋体" w:hAnsi="宋体" w:cs="宋体"/>
          <w:b/>
          <w:color w:val="auto"/>
          <w:sz w:val="24"/>
          <w:szCs w:val="24"/>
          <w:highlight w:val="none"/>
        </w:rPr>
        <w:t xml:space="preserve">1.2 </w:t>
      </w:r>
      <w:r>
        <w:rPr>
          <w:rFonts w:hint="eastAsia" w:ascii="宋体" w:hAnsi="宋体" w:cs="宋体"/>
          <w:color w:val="auto"/>
          <w:sz w:val="24"/>
          <w:szCs w:val="24"/>
          <w:highlight w:val="none"/>
        </w:rPr>
        <w:t>严格执行双方签订的原合同文件，自觉按合同办事。</w:t>
      </w:r>
    </w:p>
    <w:p w14:paraId="53960608">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w:t>
      </w:r>
      <w:r>
        <w:rPr>
          <w:rFonts w:hint="eastAsia" w:ascii="宋体" w:hAnsi="宋体" w:cs="宋体"/>
          <w:b/>
          <w:color w:val="auto"/>
          <w:sz w:val="24"/>
          <w:szCs w:val="24"/>
          <w:highlight w:val="none"/>
        </w:rPr>
        <w:t xml:space="preserve">1.3 </w:t>
      </w:r>
      <w:r>
        <w:rPr>
          <w:rFonts w:hint="eastAsia" w:ascii="宋体" w:hAnsi="宋体" w:cs="宋体"/>
          <w:color w:val="auto"/>
          <w:sz w:val="24"/>
          <w:szCs w:val="24"/>
          <w:highlight w:val="none"/>
        </w:rPr>
        <w:t>业务活动必须坚持公开、公平、公正、诚信、透明的原则（除法律法规另有规定外），不得为获取不正当的利益，损害国家、集体和对方利益，不得违反相关管理规章制度。</w:t>
      </w:r>
    </w:p>
    <w:p w14:paraId="3D7234E7">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w:t>
      </w:r>
      <w:r>
        <w:rPr>
          <w:rFonts w:hint="eastAsia" w:ascii="宋体" w:hAnsi="宋体" w:cs="宋体"/>
          <w:b/>
          <w:color w:val="auto"/>
          <w:sz w:val="24"/>
          <w:szCs w:val="24"/>
          <w:highlight w:val="none"/>
        </w:rPr>
        <w:t xml:space="preserve">1.4 </w:t>
      </w:r>
      <w:r>
        <w:rPr>
          <w:rFonts w:hint="eastAsia" w:ascii="宋体" w:hAnsi="宋体" w:cs="宋体"/>
          <w:color w:val="auto"/>
          <w:sz w:val="24"/>
          <w:szCs w:val="24"/>
          <w:highlight w:val="none"/>
        </w:rPr>
        <w:t>发现对方在业务活动中有违规、违纪、违法行为的，应及时提醒对方，情节严重的，应向其上级主管部门或纪检监察、司法等有关机关举报。</w:t>
      </w:r>
    </w:p>
    <w:p w14:paraId="61646426">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1.5</w:t>
      </w:r>
      <w:r>
        <w:rPr>
          <w:rFonts w:hint="eastAsia" w:ascii="宋体" w:hAnsi="宋体" w:cs="宋体"/>
          <w:color w:val="auto"/>
          <w:sz w:val="24"/>
          <w:szCs w:val="24"/>
          <w:highlight w:val="none"/>
        </w:rPr>
        <w:t xml:space="preserve"> 建立健全廉政教育机制，开展廉政教育，公布监督举报电话，监督并认真查处违法违纪行为。</w:t>
      </w:r>
    </w:p>
    <w:p w14:paraId="6362E4A9">
      <w:pPr>
        <w:snapToGrid w:val="0"/>
        <w:spacing w:line="360" w:lineRule="auto"/>
        <w:ind w:firstLine="480" w:firstLineChars="200"/>
        <w:rPr>
          <w:rFonts w:hint="eastAsia" w:ascii="宋体" w:hAnsi="宋体" w:cs="宋体"/>
          <w:b/>
          <w:bCs/>
          <w:color w:val="auto"/>
          <w:sz w:val="24"/>
          <w:szCs w:val="24"/>
          <w:highlight w:val="none"/>
        </w:rPr>
      </w:pPr>
    </w:p>
    <w:p w14:paraId="63EB25F2">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第二条 甲方责任</w:t>
      </w:r>
    </w:p>
    <w:p w14:paraId="4F1BAD19">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甲方和从事该项目的工作人员，事前、事中、事后应遵守以下规定（包括但不限于）：</w:t>
      </w:r>
    </w:p>
    <w:p w14:paraId="73CC7F68">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w:t>
      </w:r>
      <w:r>
        <w:rPr>
          <w:rFonts w:hint="eastAsia" w:ascii="宋体" w:hAnsi="宋体" w:cs="宋体"/>
          <w:b/>
          <w:color w:val="auto"/>
          <w:sz w:val="24"/>
          <w:szCs w:val="24"/>
          <w:highlight w:val="none"/>
        </w:rPr>
        <w:t xml:space="preserve">2.1 </w:t>
      </w:r>
      <w:r>
        <w:rPr>
          <w:rFonts w:hint="eastAsia" w:ascii="宋体" w:hAnsi="宋体" w:cs="宋体"/>
          <w:color w:val="auto"/>
          <w:sz w:val="24"/>
          <w:szCs w:val="24"/>
          <w:highlight w:val="none"/>
        </w:rPr>
        <w:t>不准以任何方式（包括通过甲方的关联单位或甲方工作人员的近亲属等）向乙方和相关单位索要或接受任何形式的回扣、礼金、有价证券、贵重物品和好处费、感谢费等。</w:t>
      </w:r>
    </w:p>
    <w:p w14:paraId="0740A522">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w:t>
      </w:r>
      <w:r>
        <w:rPr>
          <w:rFonts w:hint="eastAsia" w:ascii="宋体" w:hAnsi="宋体" w:cs="宋体"/>
          <w:b/>
          <w:color w:val="auto"/>
          <w:sz w:val="24"/>
          <w:szCs w:val="24"/>
          <w:highlight w:val="none"/>
        </w:rPr>
        <w:t xml:space="preserve">2.2 </w:t>
      </w:r>
      <w:r>
        <w:rPr>
          <w:rFonts w:hint="eastAsia" w:ascii="宋体" w:hAnsi="宋体" w:cs="宋体"/>
          <w:color w:val="auto"/>
          <w:sz w:val="24"/>
          <w:szCs w:val="24"/>
          <w:highlight w:val="none"/>
        </w:rPr>
        <w:t>不准在乙方和相关单位报销任何应由甲方或个人支付的费用。</w:t>
      </w:r>
    </w:p>
    <w:p w14:paraId="560BAFA4">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w:t>
      </w:r>
      <w:r>
        <w:rPr>
          <w:rFonts w:hint="eastAsia" w:ascii="宋体" w:hAnsi="宋体" w:cs="宋体"/>
          <w:b/>
          <w:color w:val="auto"/>
          <w:sz w:val="24"/>
          <w:szCs w:val="24"/>
          <w:highlight w:val="none"/>
        </w:rPr>
        <w:t xml:space="preserve">2.3 </w:t>
      </w:r>
      <w:r>
        <w:rPr>
          <w:rFonts w:hint="eastAsia" w:ascii="宋体" w:hAnsi="宋体" w:cs="宋体"/>
          <w:color w:val="auto"/>
          <w:sz w:val="24"/>
          <w:szCs w:val="24"/>
          <w:highlight w:val="none"/>
        </w:rPr>
        <w:t>不准要求、暗示和接受乙方和相关单位为个人装修住房、婚丧嫁娶、配偶子女的工作安排以及出国（境）、旅游等提供方便。</w:t>
      </w:r>
    </w:p>
    <w:p w14:paraId="195DF974">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w:t>
      </w:r>
      <w:r>
        <w:rPr>
          <w:rFonts w:hint="eastAsia" w:ascii="宋体" w:hAnsi="宋体" w:cs="宋体"/>
          <w:b/>
          <w:color w:val="auto"/>
          <w:sz w:val="24"/>
          <w:szCs w:val="24"/>
          <w:highlight w:val="none"/>
        </w:rPr>
        <w:t xml:space="preserve">2.4 </w:t>
      </w:r>
      <w:r>
        <w:rPr>
          <w:rFonts w:hint="eastAsia" w:ascii="宋体" w:hAnsi="宋体" w:cs="宋体"/>
          <w:color w:val="auto"/>
          <w:sz w:val="24"/>
          <w:szCs w:val="24"/>
          <w:highlight w:val="none"/>
        </w:rPr>
        <w:t>不准参加有可能影响公正执行公务的乙方和相关单位的宴请和健身、娱乐等活动。</w:t>
      </w:r>
    </w:p>
    <w:p w14:paraId="45378692">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w:t>
      </w:r>
      <w:r>
        <w:rPr>
          <w:rFonts w:hint="eastAsia" w:ascii="宋体" w:hAnsi="宋体" w:cs="宋体"/>
          <w:b/>
          <w:color w:val="auto"/>
          <w:sz w:val="24"/>
          <w:szCs w:val="24"/>
          <w:highlight w:val="none"/>
        </w:rPr>
        <w:t xml:space="preserve">2.5 </w:t>
      </w:r>
      <w:r>
        <w:rPr>
          <w:rFonts w:hint="eastAsia" w:ascii="宋体" w:hAnsi="宋体" w:cs="宋体"/>
          <w:color w:val="auto"/>
          <w:sz w:val="24"/>
          <w:szCs w:val="24"/>
          <w:highlight w:val="none"/>
        </w:rPr>
        <w:t>不准向乙方介绍或为配偶、子女、亲属参与同甲方项目服务合同有关的设备、材料、工程分包、劳务等经济活动。不得以任何理由向乙方和相关单位推荐分包单位和要求乙方购买项目合同规定以外的材料、设备等。</w:t>
      </w:r>
    </w:p>
    <w:p w14:paraId="7E32680D">
      <w:pPr>
        <w:snapToGrid w:val="0"/>
        <w:spacing w:line="360" w:lineRule="auto"/>
        <w:ind w:firstLine="480" w:firstLineChars="200"/>
        <w:rPr>
          <w:rFonts w:hint="eastAsia" w:ascii="宋体" w:hAnsi="宋体" w:cs="宋体"/>
          <w:b/>
          <w:bCs/>
          <w:color w:val="auto"/>
          <w:sz w:val="24"/>
          <w:szCs w:val="24"/>
          <w:highlight w:val="none"/>
        </w:rPr>
      </w:pPr>
    </w:p>
    <w:p w14:paraId="6ECEB2D5">
      <w:pPr>
        <w:snapToGrid w:val="0"/>
        <w:spacing w:line="360" w:lineRule="auto"/>
        <w:ind w:firstLine="480"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第三条 乙方责任</w:t>
      </w:r>
    </w:p>
    <w:p w14:paraId="0AAF75D1">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乙方应保证乙方的工作人员了解甲方的廉政相关规定及本协议内容，并确保其认真尊重执行。</w:t>
      </w:r>
    </w:p>
    <w:p w14:paraId="08477DB7">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乙方及乙方的工作人员应与甲方保持正常的业务交往，按照有关法律法规和程序开展业务工作，严格执行行业强制性标准和规范，并遵守以下规定：</w:t>
      </w:r>
    </w:p>
    <w:p w14:paraId="39AE7E18">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w:t>
      </w:r>
      <w:r>
        <w:rPr>
          <w:rFonts w:hint="eastAsia" w:ascii="宋体" w:hAnsi="宋体" w:cs="宋体"/>
          <w:b/>
          <w:color w:val="auto"/>
          <w:sz w:val="24"/>
          <w:szCs w:val="24"/>
          <w:highlight w:val="none"/>
        </w:rPr>
        <w:t xml:space="preserve">3.1 </w:t>
      </w:r>
      <w:r>
        <w:rPr>
          <w:rFonts w:hint="eastAsia" w:ascii="宋体" w:hAnsi="宋体" w:cs="宋体"/>
          <w:color w:val="auto"/>
          <w:sz w:val="24"/>
          <w:szCs w:val="24"/>
          <w:highlight w:val="none"/>
        </w:rPr>
        <w:t>不准以任何理由向甲方、相关单位及其工作人员和工作人员的近亲属索要、接受或赠送礼金、有价证券、贵重物品和回扣、好处费、感谢费等。</w:t>
      </w:r>
    </w:p>
    <w:p w14:paraId="7628236D">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w:t>
      </w:r>
      <w:r>
        <w:rPr>
          <w:rFonts w:hint="eastAsia" w:ascii="宋体" w:hAnsi="宋体" w:cs="宋体"/>
          <w:b/>
          <w:color w:val="auto"/>
          <w:sz w:val="24"/>
          <w:szCs w:val="24"/>
          <w:highlight w:val="none"/>
        </w:rPr>
        <w:t xml:space="preserve">3.2 </w:t>
      </w:r>
      <w:r>
        <w:rPr>
          <w:rFonts w:hint="eastAsia" w:ascii="宋体" w:hAnsi="宋体" w:cs="宋体"/>
          <w:color w:val="auto"/>
          <w:sz w:val="24"/>
          <w:szCs w:val="24"/>
          <w:highlight w:val="none"/>
        </w:rPr>
        <w:t>不准以任何理由为甲方和相关单位报销应由对方或个人支付的费用。</w:t>
      </w:r>
    </w:p>
    <w:p w14:paraId="7CE3FC16">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w:t>
      </w:r>
      <w:r>
        <w:rPr>
          <w:rFonts w:hint="eastAsia" w:ascii="宋体" w:hAnsi="宋体" w:cs="宋体"/>
          <w:b/>
          <w:color w:val="auto"/>
          <w:sz w:val="24"/>
          <w:szCs w:val="24"/>
          <w:highlight w:val="none"/>
        </w:rPr>
        <w:t xml:space="preserve">3.3 </w:t>
      </w:r>
      <w:r>
        <w:rPr>
          <w:rFonts w:hint="eastAsia" w:ascii="宋体" w:hAnsi="宋体" w:cs="宋体"/>
          <w:color w:val="auto"/>
          <w:sz w:val="24"/>
          <w:szCs w:val="24"/>
          <w:highlight w:val="none"/>
        </w:rPr>
        <w:t>不准接受或暗示为甲方、相关单位或个人装修住房、婚丧嫁娶、配偶子女的工作安排以及出国（境）、旅游等提供方便。</w:t>
      </w:r>
    </w:p>
    <w:p w14:paraId="514AE2FC">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w:t>
      </w:r>
      <w:r>
        <w:rPr>
          <w:rFonts w:hint="eastAsia" w:ascii="宋体" w:hAnsi="宋体" w:cs="宋体"/>
          <w:b/>
          <w:color w:val="auto"/>
          <w:sz w:val="24"/>
          <w:szCs w:val="24"/>
          <w:highlight w:val="none"/>
        </w:rPr>
        <w:t xml:space="preserve">3.4 </w:t>
      </w:r>
      <w:r>
        <w:rPr>
          <w:rFonts w:hint="eastAsia" w:ascii="宋体" w:hAnsi="宋体" w:cs="宋体"/>
          <w:color w:val="auto"/>
          <w:sz w:val="24"/>
          <w:szCs w:val="24"/>
          <w:highlight w:val="none"/>
        </w:rPr>
        <w:t>不准以任何理由为甲方、相关单位或个人组织有可能影响公正执行公务的宴请、健身、娱乐等活动。</w:t>
      </w:r>
    </w:p>
    <w:p w14:paraId="40F2B54A">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3.5</w:t>
      </w:r>
      <w:r>
        <w:rPr>
          <w:rFonts w:hint="eastAsia" w:ascii="宋体" w:hAnsi="宋体" w:cs="宋体"/>
          <w:color w:val="auto"/>
          <w:sz w:val="24"/>
          <w:szCs w:val="24"/>
          <w:highlight w:val="none"/>
        </w:rPr>
        <w:t>不得擅自与甲方的工作人员就原合同的价款、材料供应等进行私下商谈或者达成默契。</w:t>
      </w:r>
    </w:p>
    <w:p w14:paraId="3A21A642">
      <w:pPr>
        <w:snapToGrid w:val="0"/>
        <w:spacing w:line="360" w:lineRule="auto"/>
        <w:ind w:firstLine="480" w:firstLineChars="200"/>
        <w:rPr>
          <w:rFonts w:hint="eastAsia" w:ascii="宋体" w:hAnsi="宋体" w:cs="宋体"/>
          <w:b/>
          <w:bCs/>
          <w:color w:val="auto"/>
          <w:sz w:val="24"/>
          <w:szCs w:val="24"/>
          <w:highlight w:val="none"/>
        </w:rPr>
      </w:pPr>
    </w:p>
    <w:p w14:paraId="37F40BAB">
      <w:pPr>
        <w:snapToGrid w:val="0"/>
        <w:spacing w:line="360" w:lineRule="auto"/>
        <w:ind w:firstLine="480"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第四条 违约责任</w:t>
      </w:r>
    </w:p>
    <w:p w14:paraId="287062DC">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w:t>
      </w:r>
      <w:r>
        <w:rPr>
          <w:rFonts w:hint="eastAsia" w:ascii="宋体" w:hAnsi="宋体" w:cs="宋体"/>
          <w:b/>
          <w:color w:val="auto"/>
          <w:sz w:val="24"/>
          <w:szCs w:val="24"/>
          <w:highlight w:val="none"/>
        </w:rPr>
        <w:t xml:space="preserve">4.1 </w:t>
      </w:r>
      <w:r>
        <w:rPr>
          <w:rFonts w:hint="eastAsia" w:ascii="宋体" w:hAnsi="宋体" w:cs="宋体"/>
          <w:color w:val="auto"/>
          <w:sz w:val="24"/>
          <w:szCs w:val="24"/>
          <w:highlight w:val="none"/>
        </w:rPr>
        <w:t>甲方工作人员有违反本协议书第一、二条责任行为的，按照管理权限，依据有关法律法规和规定给予党纪、政纪处分或组织处理；涉嫌犯罪的，移交公安、司法机关追究刑事责任；给乙方单位造成经济损失的，应予以赔偿。</w:t>
      </w:r>
    </w:p>
    <w:p w14:paraId="7A8D4D30">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 xml:space="preserve">4.2 </w:t>
      </w:r>
      <w:r>
        <w:rPr>
          <w:rFonts w:hint="eastAsia" w:ascii="宋体" w:hAnsi="宋体" w:cs="宋体"/>
          <w:color w:val="auto"/>
          <w:sz w:val="24"/>
          <w:szCs w:val="24"/>
          <w:highlight w:val="none"/>
        </w:rPr>
        <w:t>乙方工作人员有违反本协议书第一、三条责任行为的，按照管理权限，依据有关法律法规和规定给予党纪、政纪处分或组织处理；涉嫌犯罪的，移交公安、司法机关追究刑事责任；给甲方单位造成经济损失的，应予以赔偿。除向甲方赔偿由此给甲方造成的损失外，乙方应向甲方支付合同总价2%的违约金，并对相关人员进行处罚。如乙方违反本协议书，甲方有权解除原合同且无须承担任何违约责任。乙方应当配合。</w:t>
      </w:r>
    </w:p>
    <w:p w14:paraId="19D71E48">
      <w:pPr>
        <w:snapToGrid w:val="0"/>
        <w:spacing w:line="360" w:lineRule="auto"/>
        <w:ind w:firstLine="480" w:firstLineChars="200"/>
        <w:rPr>
          <w:rFonts w:hint="eastAsia" w:ascii="宋体" w:hAnsi="宋体" w:cs="宋体"/>
          <w:color w:val="auto"/>
          <w:sz w:val="24"/>
          <w:szCs w:val="24"/>
          <w:highlight w:val="none"/>
        </w:rPr>
      </w:pPr>
    </w:p>
    <w:p w14:paraId="6CB15CBC">
      <w:pPr>
        <w:snapToGrid w:val="0"/>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第五条  协议有效期</w:t>
      </w:r>
    </w:p>
    <w:p w14:paraId="6B3F9B6B">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本协议书的有效期为双方签署之日起至原合同终止时止。</w:t>
      </w:r>
    </w:p>
    <w:p w14:paraId="023A5348">
      <w:pPr>
        <w:snapToGrid w:val="0"/>
        <w:spacing w:line="360" w:lineRule="auto"/>
        <w:ind w:firstLine="480" w:firstLineChars="200"/>
        <w:rPr>
          <w:rFonts w:hint="eastAsia" w:ascii="宋体" w:hAnsi="宋体" w:cs="宋体"/>
          <w:b/>
          <w:bCs/>
          <w:color w:val="auto"/>
          <w:sz w:val="24"/>
          <w:szCs w:val="24"/>
          <w:highlight w:val="none"/>
        </w:rPr>
      </w:pPr>
    </w:p>
    <w:p w14:paraId="1299AAEE">
      <w:pPr>
        <w:snapToGrid w:val="0"/>
        <w:spacing w:line="360" w:lineRule="auto"/>
        <w:ind w:firstLine="480"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第六条</w:t>
      </w:r>
      <w:r>
        <w:rPr>
          <w:rFonts w:hint="eastAsia" w:ascii="宋体" w:hAnsi="宋体" w:cs="宋体"/>
          <w:color w:val="auto"/>
          <w:sz w:val="24"/>
          <w:szCs w:val="24"/>
          <w:highlight w:val="none"/>
        </w:rPr>
        <w:t> </w:t>
      </w:r>
      <w:r>
        <w:rPr>
          <w:rFonts w:hint="eastAsia" w:ascii="宋体" w:hAnsi="宋体" w:cs="宋体"/>
          <w:b/>
          <w:bCs/>
          <w:color w:val="auto"/>
          <w:sz w:val="24"/>
          <w:szCs w:val="24"/>
          <w:highlight w:val="none"/>
        </w:rPr>
        <w:t>协议生效</w:t>
      </w:r>
    </w:p>
    <w:p w14:paraId="2C3F21AA">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本协议书作为原合同的附件，与原合同具有同等法律效力，经双方签字并电子签章之日起生效。</w:t>
      </w:r>
    </w:p>
    <w:p w14:paraId="0CFB3FE4">
      <w:pPr>
        <w:snapToGrid w:val="0"/>
        <w:spacing w:line="360" w:lineRule="auto"/>
        <w:ind w:firstLine="480" w:firstLineChars="200"/>
        <w:rPr>
          <w:rFonts w:hint="eastAsia" w:ascii="宋体" w:hAnsi="宋体" w:cs="宋体"/>
          <w:color w:val="auto"/>
          <w:sz w:val="24"/>
          <w:szCs w:val="24"/>
          <w:highlight w:val="none"/>
        </w:rPr>
      </w:pPr>
    </w:p>
    <w:p w14:paraId="1DCECC19">
      <w:pPr>
        <w:snapToGrid w:val="0"/>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第七条 补充条款</w:t>
      </w:r>
    </w:p>
    <w:p w14:paraId="21788C63">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双方根据中华人民共和国法律、行政法规规定，经协商一致，对本协议条款具体化、补充或修改如下：</w:t>
      </w:r>
      <w:r>
        <w:rPr>
          <w:rFonts w:hint="eastAsia" w:ascii="宋体" w:hAnsi="宋体" w:cs="宋体"/>
          <w:color w:val="auto"/>
          <w:sz w:val="24"/>
          <w:szCs w:val="24"/>
          <w:highlight w:val="none"/>
          <w:u w:val="single"/>
        </w:rPr>
        <w:t xml:space="preserve">      无                                </w:t>
      </w:r>
      <w:r>
        <w:rPr>
          <w:rFonts w:hint="eastAsia" w:ascii="宋体" w:hAnsi="宋体" w:cs="宋体"/>
          <w:color w:val="auto"/>
          <w:sz w:val="24"/>
          <w:szCs w:val="24"/>
          <w:highlight w:val="none"/>
        </w:rPr>
        <w:t>。</w:t>
      </w:r>
    </w:p>
    <w:p w14:paraId="28AE7960">
      <w:pPr>
        <w:pStyle w:val="13"/>
        <w:tabs>
          <w:tab w:val="left" w:pos="567"/>
        </w:tabs>
        <w:rPr>
          <w:rFonts w:hint="eastAsia" w:cs="宋体"/>
          <w:color w:val="auto"/>
          <w:highlight w:val="none"/>
        </w:rPr>
      </w:pPr>
    </w:p>
    <w:p w14:paraId="48730F52">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第八条</w:t>
      </w:r>
      <w:r>
        <w:rPr>
          <w:rFonts w:hint="eastAsia" w:ascii="宋体" w:hAnsi="宋体" w:cs="宋体"/>
          <w:color w:val="auto"/>
          <w:sz w:val="24"/>
          <w:szCs w:val="24"/>
          <w:highlight w:val="none"/>
        </w:rPr>
        <w:t> </w:t>
      </w:r>
      <w:r>
        <w:rPr>
          <w:rFonts w:hint="eastAsia" w:ascii="宋体" w:hAnsi="宋体" w:cs="宋体"/>
          <w:b/>
          <w:bCs/>
          <w:color w:val="auto"/>
          <w:sz w:val="24"/>
          <w:szCs w:val="24"/>
          <w:highlight w:val="none"/>
        </w:rPr>
        <w:t>协议份数</w:t>
      </w:r>
    </w:p>
    <w:p w14:paraId="011FA684">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本协议书一式</w:t>
      </w:r>
      <w:r>
        <w:rPr>
          <w:rFonts w:hint="eastAsia" w:ascii="宋体" w:hAnsi="宋体" w:cs="宋体"/>
          <w:color w:val="auto"/>
          <w:sz w:val="24"/>
          <w:szCs w:val="24"/>
          <w:highlight w:val="none"/>
          <w:u w:val="single"/>
        </w:rPr>
        <w:t xml:space="preserve"> 4  </w:t>
      </w:r>
      <w:r>
        <w:rPr>
          <w:rFonts w:hint="eastAsia" w:ascii="宋体" w:hAnsi="宋体" w:cs="宋体"/>
          <w:color w:val="auto"/>
          <w:sz w:val="24"/>
          <w:szCs w:val="24"/>
          <w:highlight w:val="none"/>
        </w:rPr>
        <w:t>份，由甲方执</w:t>
      </w:r>
      <w:r>
        <w:rPr>
          <w:rFonts w:hint="eastAsia" w:ascii="宋体" w:hAnsi="宋体" w:cs="宋体"/>
          <w:color w:val="auto"/>
          <w:sz w:val="24"/>
          <w:szCs w:val="24"/>
          <w:highlight w:val="none"/>
          <w:u w:val="single"/>
        </w:rPr>
        <w:t xml:space="preserve"> 2  </w:t>
      </w:r>
      <w:r>
        <w:rPr>
          <w:rFonts w:hint="eastAsia" w:ascii="宋体" w:hAnsi="宋体" w:cs="宋体"/>
          <w:color w:val="auto"/>
          <w:sz w:val="24"/>
          <w:szCs w:val="24"/>
          <w:highlight w:val="none"/>
        </w:rPr>
        <w:t>份，乙方执</w:t>
      </w:r>
      <w:r>
        <w:rPr>
          <w:rFonts w:hint="eastAsia" w:ascii="宋体" w:hAnsi="宋体" w:cs="宋体"/>
          <w:color w:val="auto"/>
          <w:sz w:val="24"/>
          <w:szCs w:val="24"/>
          <w:highlight w:val="none"/>
          <w:u w:val="single"/>
        </w:rPr>
        <w:t xml:space="preserve"> 2  </w:t>
      </w:r>
      <w:r>
        <w:rPr>
          <w:rFonts w:hint="eastAsia" w:ascii="宋体" w:hAnsi="宋体" w:cs="宋体"/>
          <w:color w:val="auto"/>
          <w:sz w:val="24"/>
          <w:szCs w:val="24"/>
          <w:highlight w:val="none"/>
        </w:rPr>
        <w:t>份。</w:t>
      </w:r>
    </w:p>
    <w:p w14:paraId="3643D4BE">
      <w:pPr>
        <w:rPr>
          <w:rFonts w:hint="eastAsia" w:ascii="宋体" w:hAnsi="宋体" w:cs="宋体"/>
          <w:color w:val="auto"/>
          <w:sz w:val="44"/>
          <w:szCs w:val="44"/>
          <w:highlight w:val="none"/>
        </w:rPr>
      </w:pPr>
    </w:p>
    <w:p w14:paraId="63455F1B">
      <w:pPr>
        <w:rPr>
          <w:rFonts w:hint="eastAsia" w:ascii="宋体" w:hAnsi="宋体" w:cs="宋体"/>
          <w:color w:val="auto"/>
          <w:sz w:val="44"/>
          <w:szCs w:val="44"/>
          <w:highlight w:val="none"/>
        </w:rPr>
      </w:pPr>
    </w:p>
    <w:p w14:paraId="775E6B31">
      <w:pPr>
        <w:widowControl/>
        <w:jc w:val="left"/>
        <w:rPr>
          <w:rFonts w:hint="eastAsia" w:ascii="宋体" w:hAnsi="宋体" w:cs="宋体"/>
          <w:b/>
          <w:color w:val="auto"/>
          <w:spacing w:val="20"/>
          <w:kern w:val="44"/>
          <w:sz w:val="44"/>
          <w:szCs w:val="44"/>
          <w:highlight w:val="none"/>
        </w:rPr>
      </w:pPr>
      <w:r>
        <w:rPr>
          <w:rFonts w:hint="eastAsia" w:ascii="宋体" w:hAnsi="宋体" w:cs="宋体"/>
          <w:color w:val="auto"/>
          <w:sz w:val="44"/>
          <w:szCs w:val="44"/>
          <w:highlight w:val="none"/>
        </w:rPr>
        <w:br w:type="page"/>
      </w:r>
    </w:p>
    <w:p w14:paraId="7C433593">
      <w:pPr>
        <w:pStyle w:val="2"/>
        <w:rPr>
          <w:rFonts w:hint="eastAsia" w:ascii="宋体" w:hAnsi="宋体" w:cs="宋体"/>
          <w:color w:val="auto"/>
          <w:sz w:val="44"/>
          <w:szCs w:val="44"/>
          <w:highlight w:val="none"/>
        </w:rPr>
      </w:pPr>
      <w:bookmarkStart w:id="109" w:name="_Toc228982325"/>
      <w:r>
        <w:rPr>
          <w:rFonts w:hint="eastAsia" w:ascii="宋体" w:hAnsi="宋体" w:cs="宋体"/>
          <w:color w:val="auto"/>
          <w:sz w:val="44"/>
          <w:szCs w:val="44"/>
          <w:highlight w:val="none"/>
        </w:rPr>
        <w:t xml:space="preserve">第五章  </w:t>
      </w:r>
      <w:bookmarkEnd w:id="108"/>
      <w:r>
        <w:rPr>
          <w:rFonts w:hint="eastAsia" w:ascii="宋体" w:hAnsi="宋体" w:cs="宋体"/>
          <w:color w:val="auto"/>
          <w:sz w:val="44"/>
          <w:szCs w:val="44"/>
          <w:highlight w:val="none"/>
        </w:rPr>
        <w:t>谈判申请文件格式</w:t>
      </w:r>
      <w:bookmarkEnd w:id="109"/>
    </w:p>
    <w:p w14:paraId="396B557E">
      <w:pPr>
        <w:spacing w:line="360" w:lineRule="auto"/>
        <w:jc w:val="center"/>
        <w:rPr>
          <w:rFonts w:hint="eastAsia" w:ascii="宋体" w:hAnsi="宋体" w:cs="宋体"/>
          <w:b/>
          <w:color w:val="auto"/>
          <w:sz w:val="44"/>
          <w:szCs w:val="44"/>
          <w:highlight w:val="none"/>
        </w:rPr>
      </w:pPr>
      <w:bookmarkStart w:id="110" w:name="_Toc292983027"/>
      <w:r>
        <w:rPr>
          <w:rFonts w:hint="eastAsia" w:ascii="宋体" w:hAnsi="宋体" w:cs="宋体"/>
          <w:b/>
          <w:color w:val="auto"/>
          <w:sz w:val="36"/>
          <w:szCs w:val="36"/>
          <w:highlight w:val="none"/>
        </w:rPr>
        <w:t>封面</w:t>
      </w:r>
    </w:p>
    <w:p w14:paraId="65BB9DCF">
      <w:pPr>
        <w:spacing w:line="360" w:lineRule="auto"/>
        <w:jc w:val="center"/>
        <w:rPr>
          <w:rFonts w:hint="eastAsia" w:ascii="宋体" w:hAnsi="宋体" w:cs="宋体"/>
          <w:b/>
          <w:color w:val="auto"/>
          <w:sz w:val="44"/>
          <w:szCs w:val="44"/>
          <w:highlight w:val="none"/>
        </w:rPr>
      </w:pPr>
    </w:p>
    <w:p w14:paraId="69A202A3">
      <w:pPr>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昆明市旅游职业中学导游虚拟仿真实训室项目（设备购置）-非集采货物</w:t>
      </w:r>
    </w:p>
    <w:p w14:paraId="074C0B66">
      <w:pPr>
        <w:spacing w:line="360" w:lineRule="auto"/>
        <w:jc w:val="center"/>
        <w:rPr>
          <w:rFonts w:hint="eastAsia" w:ascii="宋体" w:hAnsi="宋体" w:cs="宋体"/>
          <w:color w:val="auto"/>
          <w:sz w:val="32"/>
          <w:highlight w:val="none"/>
        </w:rPr>
      </w:pPr>
    </w:p>
    <w:p w14:paraId="0B5DF5EA">
      <w:pPr>
        <w:spacing w:line="360" w:lineRule="auto"/>
        <w:jc w:val="center"/>
        <w:rPr>
          <w:rFonts w:hint="eastAsia" w:ascii="宋体" w:hAnsi="宋体" w:cs="宋体"/>
          <w:color w:val="auto"/>
          <w:sz w:val="32"/>
          <w:highlight w:val="none"/>
        </w:rPr>
      </w:pPr>
    </w:p>
    <w:p w14:paraId="2EAFCBC7">
      <w:pPr>
        <w:spacing w:line="360" w:lineRule="auto"/>
        <w:jc w:val="center"/>
        <w:rPr>
          <w:rFonts w:hint="eastAsia" w:ascii="宋体" w:hAnsi="宋体" w:cs="宋体"/>
          <w:color w:val="auto"/>
          <w:sz w:val="32"/>
          <w:highlight w:val="none"/>
        </w:rPr>
      </w:pPr>
    </w:p>
    <w:p w14:paraId="29296CDB">
      <w:pPr>
        <w:spacing w:line="360" w:lineRule="auto"/>
        <w:jc w:val="center"/>
        <w:rPr>
          <w:rFonts w:hint="eastAsia" w:ascii="宋体" w:hAnsi="宋体" w:cs="宋体"/>
          <w:color w:val="auto"/>
          <w:sz w:val="32"/>
          <w:highlight w:val="none"/>
        </w:rPr>
      </w:pPr>
    </w:p>
    <w:p w14:paraId="3541E60D">
      <w:pPr>
        <w:spacing w:line="360" w:lineRule="auto"/>
        <w:jc w:val="center"/>
        <w:rPr>
          <w:rFonts w:hint="eastAsia" w:ascii="宋体" w:hAnsi="宋体" w:cs="宋体"/>
          <w:color w:val="auto"/>
          <w:sz w:val="32"/>
          <w:highlight w:val="none"/>
        </w:rPr>
      </w:pPr>
    </w:p>
    <w:p w14:paraId="3C23480E">
      <w:pPr>
        <w:spacing w:line="360" w:lineRule="auto"/>
        <w:jc w:val="center"/>
        <w:rPr>
          <w:rFonts w:hint="eastAsia" w:ascii="宋体" w:hAnsi="宋体" w:cs="宋体"/>
          <w:color w:val="auto"/>
          <w:sz w:val="72"/>
          <w:szCs w:val="72"/>
          <w:highlight w:val="none"/>
        </w:rPr>
      </w:pPr>
      <w:r>
        <w:rPr>
          <w:rFonts w:hint="eastAsia" w:ascii="宋体" w:hAnsi="宋体" w:cs="宋体"/>
          <w:color w:val="auto"/>
          <w:sz w:val="72"/>
          <w:szCs w:val="72"/>
          <w:highlight w:val="none"/>
        </w:rPr>
        <w:t>谈判申请文件</w:t>
      </w:r>
    </w:p>
    <w:p w14:paraId="309017EE">
      <w:pPr>
        <w:spacing w:line="360" w:lineRule="auto"/>
        <w:ind w:firstLine="2820" w:firstLineChars="940"/>
        <w:rPr>
          <w:rFonts w:hint="eastAsia" w:ascii="宋体" w:hAnsi="宋体" w:cs="宋体"/>
          <w:color w:val="auto"/>
          <w:sz w:val="30"/>
          <w:szCs w:val="30"/>
          <w:highlight w:val="none"/>
        </w:rPr>
      </w:pPr>
    </w:p>
    <w:p w14:paraId="22F2CCF2">
      <w:pPr>
        <w:spacing w:line="360" w:lineRule="auto"/>
        <w:rPr>
          <w:rFonts w:hint="eastAsia" w:ascii="宋体" w:hAnsi="宋体" w:cs="宋体"/>
          <w:b/>
          <w:color w:val="auto"/>
          <w:sz w:val="48"/>
          <w:highlight w:val="none"/>
        </w:rPr>
      </w:pPr>
    </w:p>
    <w:p w14:paraId="57AD1E54">
      <w:pPr>
        <w:spacing w:line="360" w:lineRule="auto"/>
        <w:rPr>
          <w:rFonts w:hint="eastAsia" w:ascii="宋体" w:hAnsi="宋体" w:cs="宋体"/>
          <w:b/>
          <w:color w:val="auto"/>
          <w:sz w:val="48"/>
          <w:highlight w:val="none"/>
        </w:rPr>
      </w:pPr>
    </w:p>
    <w:p w14:paraId="2771621F">
      <w:pPr>
        <w:spacing w:line="360" w:lineRule="auto"/>
        <w:rPr>
          <w:rFonts w:hint="eastAsia" w:ascii="宋体" w:hAnsi="宋体" w:cs="宋体"/>
          <w:b/>
          <w:color w:val="auto"/>
          <w:sz w:val="48"/>
          <w:highlight w:val="none"/>
        </w:rPr>
      </w:pPr>
    </w:p>
    <w:p w14:paraId="43CDFE6D">
      <w:pPr>
        <w:spacing w:line="360" w:lineRule="auto"/>
        <w:rPr>
          <w:rFonts w:hint="eastAsia" w:ascii="宋体" w:hAnsi="宋体" w:cs="宋体"/>
          <w:b/>
          <w:color w:val="auto"/>
          <w:sz w:val="48"/>
          <w:highlight w:val="none"/>
        </w:rPr>
      </w:pPr>
    </w:p>
    <w:p w14:paraId="50A67A28">
      <w:pPr>
        <w:spacing w:line="360" w:lineRule="auto"/>
        <w:rPr>
          <w:rFonts w:hint="eastAsia" w:ascii="宋体" w:hAnsi="宋体" w:cs="宋体"/>
          <w:b/>
          <w:color w:val="auto"/>
          <w:sz w:val="48"/>
          <w:highlight w:val="none"/>
        </w:rPr>
      </w:pPr>
    </w:p>
    <w:p w14:paraId="1DA93337">
      <w:pPr>
        <w:snapToGrid w:val="0"/>
        <w:spacing w:line="360" w:lineRule="auto"/>
        <w:ind w:firstLine="420" w:firstLineChars="150"/>
        <w:rPr>
          <w:rFonts w:hint="eastAsia" w:ascii="宋体" w:hAnsi="宋体" w:cs="宋体"/>
          <w:color w:val="auto"/>
          <w:sz w:val="28"/>
          <w:szCs w:val="28"/>
          <w:highlight w:val="none"/>
        </w:rPr>
      </w:pPr>
      <w:r>
        <w:rPr>
          <w:rFonts w:hint="eastAsia" w:ascii="宋体" w:hAnsi="宋体" w:cs="宋体"/>
          <w:color w:val="auto"/>
          <w:sz w:val="28"/>
          <w:szCs w:val="28"/>
          <w:highlight w:val="none"/>
        </w:rPr>
        <w:t>谈判申请人（电子签章）：</w:t>
      </w:r>
    </w:p>
    <w:p w14:paraId="7F1E80EB">
      <w:pPr>
        <w:snapToGrid w:val="0"/>
        <w:spacing w:line="360" w:lineRule="auto"/>
        <w:ind w:firstLine="420" w:firstLineChars="150"/>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法 定 代 表 人</w:t>
      </w:r>
    </w:p>
    <w:p w14:paraId="5044C390">
      <w:pPr>
        <w:snapToGrid w:val="0"/>
        <w:spacing w:line="360" w:lineRule="auto"/>
        <w:ind w:firstLine="420" w:firstLineChars="150"/>
        <w:rPr>
          <w:rFonts w:hint="eastAsia" w:ascii="宋体" w:hAnsi="宋体" w:cs="宋体"/>
          <w:color w:val="auto"/>
          <w:sz w:val="28"/>
          <w:szCs w:val="28"/>
          <w:highlight w:val="none"/>
        </w:rPr>
      </w:pPr>
      <w:r>
        <w:rPr>
          <w:rFonts w:hint="eastAsia" w:ascii="宋体" w:hAnsi="宋体" w:cs="宋体"/>
          <w:color w:val="auto"/>
          <w:sz w:val="28"/>
          <w:szCs w:val="28"/>
          <w:highlight w:val="none"/>
        </w:rPr>
        <w:t>或其委托代理人（电子签章）：</w:t>
      </w:r>
    </w:p>
    <w:p w14:paraId="790F3F74">
      <w:pPr>
        <w:spacing w:line="360" w:lineRule="auto"/>
        <w:ind w:firstLine="420" w:firstLineChars="150"/>
        <w:rPr>
          <w:rFonts w:hint="eastAsia" w:ascii="宋体" w:hAnsi="宋体" w:cs="宋体"/>
          <w:color w:val="auto"/>
          <w:sz w:val="28"/>
          <w:szCs w:val="28"/>
          <w:highlight w:val="none"/>
        </w:rPr>
      </w:pPr>
      <w:r>
        <w:rPr>
          <w:rFonts w:hint="eastAsia" w:ascii="宋体" w:hAnsi="宋体" w:cs="宋体"/>
          <w:color w:val="auto"/>
          <w:sz w:val="28"/>
          <w:szCs w:val="28"/>
          <w:highlight w:val="none"/>
        </w:rPr>
        <w:t>日  期：  年  月  日</w:t>
      </w:r>
    </w:p>
    <w:p w14:paraId="590244AB">
      <w:pPr>
        <w:snapToGrid w:val="0"/>
        <w:spacing w:line="360" w:lineRule="auto"/>
        <w:ind w:right="-241"/>
        <w:outlineLvl w:val="1"/>
        <w:rPr>
          <w:rFonts w:hint="eastAsia" w:ascii="宋体" w:hAnsi="宋体" w:cs="宋体"/>
          <w:b/>
          <w:color w:val="auto"/>
          <w:sz w:val="24"/>
          <w:szCs w:val="24"/>
          <w:highlight w:val="none"/>
        </w:rPr>
        <w:sectPr>
          <w:pgSz w:w="11906" w:h="16838"/>
          <w:pgMar w:top="1440" w:right="1080" w:bottom="1440" w:left="1080" w:header="851" w:footer="850" w:gutter="567"/>
          <w:cols w:space="720" w:num="1"/>
          <w:titlePg/>
          <w:docGrid w:type="linesAndChars" w:linePitch="321" w:charSpace="195"/>
        </w:sectPr>
      </w:pPr>
    </w:p>
    <w:p w14:paraId="471133F4">
      <w:pPr>
        <w:snapToGrid w:val="0"/>
        <w:spacing w:line="360" w:lineRule="auto"/>
        <w:ind w:right="-241"/>
        <w:outlineLvl w:val="1"/>
        <w:rPr>
          <w:rFonts w:hint="eastAsia" w:ascii="宋体" w:hAnsi="宋体" w:cs="宋体"/>
          <w:b/>
          <w:color w:val="auto"/>
          <w:sz w:val="24"/>
          <w:szCs w:val="24"/>
          <w:highlight w:val="none"/>
        </w:rPr>
      </w:pPr>
      <w:bookmarkStart w:id="111" w:name="_Toc16455"/>
      <w:bookmarkStart w:id="112" w:name="_Toc228982107"/>
      <w:bookmarkStart w:id="113" w:name="_Toc228982326"/>
      <w:r>
        <w:rPr>
          <w:rFonts w:hint="eastAsia" w:ascii="宋体" w:hAnsi="宋体" w:cs="宋体"/>
          <w:b/>
          <w:color w:val="auto"/>
          <w:sz w:val="24"/>
          <w:szCs w:val="24"/>
          <w:highlight w:val="none"/>
        </w:rPr>
        <w:t>附件一</w:t>
      </w:r>
      <w:bookmarkEnd w:id="110"/>
      <w:bookmarkEnd w:id="111"/>
      <w:bookmarkEnd w:id="112"/>
      <w:bookmarkEnd w:id="113"/>
    </w:p>
    <w:p w14:paraId="7A02FDB1">
      <w:pPr>
        <w:rPr>
          <w:rFonts w:hint="eastAsia" w:ascii="宋体" w:hAnsi="宋体" w:cs="宋体"/>
          <w:color w:val="auto"/>
          <w:highlight w:val="none"/>
        </w:rPr>
      </w:pPr>
    </w:p>
    <w:p w14:paraId="5FCB5846">
      <w:pPr>
        <w:ind w:right="-244"/>
        <w:jc w:val="center"/>
        <w:outlineLvl w:val="1"/>
        <w:rPr>
          <w:rFonts w:hint="eastAsia" w:ascii="宋体" w:hAnsi="宋体" w:cs="宋体"/>
          <w:b/>
          <w:color w:val="auto"/>
          <w:sz w:val="30"/>
          <w:szCs w:val="30"/>
          <w:highlight w:val="none"/>
        </w:rPr>
      </w:pPr>
      <w:bookmarkStart w:id="114" w:name="_Toc228982108"/>
      <w:bookmarkStart w:id="115" w:name="_Toc228982327"/>
      <w:bookmarkStart w:id="116" w:name="_Toc25323"/>
      <w:bookmarkStart w:id="117" w:name="_Toc186354393"/>
      <w:bookmarkStart w:id="118" w:name="_Toc292983029"/>
      <w:bookmarkStart w:id="119" w:name="_Toc265766858"/>
      <w:r>
        <w:rPr>
          <w:rFonts w:hint="eastAsia" w:ascii="宋体" w:hAnsi="宋体" w:cs="宋体"/>
          <w:b/>
          <w:color w:val="auto"/>
          <w:sz w:val="30"/>
          <w:szCs w:val="30"/>
          <w:highlight w:val="none"/>
        </w:rPr>
        <w:t>谈判（报价）一览表</w:t>
      </w:r>
      <w:bookmarkEnd w:id="114"/>
      <w:bookmarkEnd w:id="115"/>
      <w:bookmarkEnd w:id="116"/>
    </w:p>
    <w:p w14:paraId="170661B4">
      <w:pPr>
        <w:jc w:val="center"/>
        <w:rPr>
          <w:rFonts w:hint="eastAsia" w:ascii="宋体" w:hAnsi="宋体" w:cs="宋体"/>
          <w:color w:val="auto"/>
          <w:sz w:val="24"/>
          <w:szCs w:val="24"/>
          <w:highlight w:val="none"/>
        </w:rPr>
      </w:pPr>
    </w:p>
    <w:p w14:paraId="6ADEFBEC">
      <w:pPr>
        <w:pStyle w:val="80"/>
        <w:snapToGrid w:val="0"/>
        <w:spacing w:line="360" w:lineRule="auto"/>
        <w:rPr>
          <w:rFonts w:hint="eastAsia" w:ascii="宋体" w:hAnsi="宋体" w:eastAsia="宋体" w:cs="宋体"/>
          <w:color w:val="auto"/>
          <w:kern w:val="2"/>
          <w:szCs w:val="24"/>
          <w:highlight w:val="none"/>
          <w:lang w:val="en-US"/>
        </w:rPr>
      </w:pPr>
      <w:r>
        <w:rPr>
          <w:rFonts w:hint="eastAsia" w:ascii="宋体" w:hAnsi="宋体" w:eastAsia="宋体" w:cs="宋体"/>
          <w:color w:val="auto"/>
          <w:kern w:val="2"/>
          <w:szCs w:val="24"/>
          <w:highlight w:val="none"/>
          <w:lang w:val="en-US"/>
        </w:rPr>
        <w:t>项目名称：昆明市旅游职业中学导游虚拟仿真实训室项目（设备购置）-非集采货物</w:t>
      </w:r>
    </w:p>
    <w:p w14:paraId="07737C28">
      <w:pPr>
        <w:pStyle w:val="80"/>
        <w:snapToGrid w:val="0"/>
        <w:spacing w:line="360" w:lineRule="auto"/>
        <w:rPr>
          <w:rFonts w:hint="eastAsia" w:ascii="宋体" w:hAnsi="宋体" w:eastAsia="宋体" w:cs="宋体"/>
          <w:color w:val="auto"/>
          <w:kern w:val="2"/>
          <w:szCs w:val="24"/>
          <w:highlight w:val="none"/>
          <w:lang w:val="en-US"/>
        </w:rPr>
      </w:pPr>
      <w:r>
        <w:rPr>
          <w:rFonts w:hint="eastAsia" w:ascii="宋体" w:hAnsi="宋体" w:eastAsia="宋体" w:cs="宋体"/>
          <w:color w:val="auto"/>
          <w:kern w:val="2"/>
          <w:szCs w:val="24"/>
          <w:highlight w:val="none"/>
          <w:lang w:val="en-US"/>
        </w:rPr>
        <w:t xml:space="preserve">项目编号： </w:t>
      </w:r>
    </w:p>
    <w:tbl>
      <w:tblPr>
        <w:tblStyle w:val="36"/>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0"/>
        <w:gridCol w:w="6870"/>
      </w:tblGrid>
      <w:tr w14:paraId="36DAB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2310" w:type="dxa"/>
            <w:vAlign w:val="center"/>
          </w:tcPr>
          <w:p w14:paraId="746EC1E6">
            <w:pPr>
              <w:spacing w:before="120" w:after="120" w:line="240" w:lineRule="atLeas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申请人名称</w:t>
            </w:r>
          </w:p>
        </w:tc>
        <w:tc>
          <w:tcPr>
            <w:tcW w:w="6870" w:type="dxa"/>
            <w:vAlign w:val="center"/>
          </w:tcPr>
          <w:p w14:paraId="58119DAC">
            <w:pPr>
              <w:spacing w:before="120" w:after="120" w:line="240" w:lineRule="atLeast"/>
              <w:jc w:val="center"/>
              <w:rPr>
                <w:rFonts w:hint="eastAsia" w:ascii="宋体" w:hAnsi="宋体" w:cs="宋体"/>
                <w:color w:val="auto"/>
                <w:sz w:val="24"/>
                <w:szCs w:val="24"/>
                <w:highlight w:val="none"/>
              </w:rPr>
            </w:pPr>
          </w:p>
        </w:tc>
      </w:tr>
      <w:tr w14:paraId="5E258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2310" w:type="dxa"/>
            <w:vAlign w:val="center"/>
          </w:tcPr>
          <w:p w14:paraId="7FF48BEC">
            <w:pPr>
              <w:spacing w:before="120" w:after="120" w:line="240" w:lineRule="atLeas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总报价（元）</w:t>
            </w:r>
          </w:p>
        </w:tc>
        <w:tc>
          <w:tcPr>
            <w:tcW w:w="6870" w:type="dxa"/>
            <w:vAlign w:val="center"/>
          </w:tcPr>
          <w:p w14:paraId="63A8CF4C">
            <w:pPr>
              <w:spacing w:before="120" w:after="120" w:line="480" w:lineRule="auto"/>
              <w:rPr>
                <w:rFonts w:hint="eastAsia" w:ascii="宋体" w:hAnsi="宋体" w:cs="宋体"/>
                <w:color w:val="auto"/>
                <w:sz w:val="24"/>
                <w:szCs w:val="24"/>
                <w:highlight w:val="none"/>
              </w:rPr>
            </w:pPr>
            <w:r>
              <w:rPr>
                <w:rFonts w:hint="eastAsia" w:ascii="宋体" w:hAnsi="宋体"/>
                <w:color w:val="auto"/>
                <w:highlight w:val="none"/>
                <w:u w:val="single"/>
              </w:rPr>
              <w:t xml:space="preserve">¥            </w:t>
            </w:r>
            <w:r>
              <w:rPr>
                <w:rFonts w:hint="eastAsia" w:ascii="宋体" w:hAnsi="宋体"/>
                <w:color w:val="auto"/>
                <w:highlight w:val="none"/>
              </w:rPr>
              <w:t>元（大写：人民币        ）</w:t>
            </w:r>
          </w:p>
        </w:tc>
      </w:tr>
      <w:tr w14:paraId="51087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310" w:type="dxa"/>
            <w:vAlign w:val="center"/>
          </w:tcPr>
          <w:p w14:paraId="618ACD14">
            <w:pPr>
              <w:spacing w:before="120" w:after="120" w:line="240" w:lineRule="atLeas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服务期限</w:t>
            </w:r>
          </w:p>
        </w:tc>
        <w:tc>
          <w:tcPr>
            <w:tcW w:w="6870" w:type="dxa"/>
            <w:vAlign w:val="center"/>
          </w:tcPr>
          <w:p w14:paraId="24EA7147">
            <w:pPr>
              <w:spacing w:before="120" w:after="120" w:line="240" w:lineRule="atLeast"/>
              <w:rPr>
                <w:rFonts w:hint="eastAsia" w:ascii="宋体" w:hAnsi="宋体" w:cs="宋体"/>
                <w:color w:val="auto"/>
                <w:sz w:val="24"/>
                <w:szCs w:val="24"/>
                <w:highlight w:val="none"/>
              </w:rPr>
            </w:pPr>
          </w:p>
        </w:tc>
      </w:tr>
      <w:tr w14:paraId="28E82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310" w:type="dxa"/>
            <w:vAlign w:val="center"/>
          </w:tcPr>
          <w:p w14:paraId="4BFE0597">
            <w:pPr>
              <w:spacing w:before="120" w:after="120" w:line="240" w:lineRule="atLeas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质量标准</w:t>
            </w:r>
          </w:p>
        </w:tc>
        <w:tc>
          <w:tcPr>
            <w:tcW w:w="6870" w:type="dxa"/>
            <w:vAlign w:val="center"/>
          </w:tcPr>
          <w:p w14:paraId="6B29427A">
            <w:pPr>
              <w:spacing w:before="120" w:after="120" w:line="240" w:lineRule="atLeast"/>
              <w:rPr>
                <w:rFonts w:hint="eastAsia" w:ascii="宋体" w:hAnsi="宋体" w:cs="宋体"/>
                <w:color w:val="auto"/>
                <w:sz w:val="24"/>
                <w:szCs w:val="24"/>
                <w:highlight w:val="none"/>
              </w:rPr>
            </w:pPr>
          </w:p>
        </w:tc>
      </w:tr>
      <w:tr w14:paraId="572D1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9180" w:type="dxa"/>
            <w:gridSpan w:val="2"/>
            <w:vAlign w:val="center"/>
          </w:tcPr>
          <w:p w14:paraId="6E1C8527">
            <w:pPr>
              <w:spacing w:before="120" w:after="120" w:line="240" w:lineRule="atLeast"/>
              <w:ind w:right="480"/>
              <w:rPr>
                <w:rFonts w:hint="eastAsia" w:ascii="宋体" w:hAnsi="宋体" w:cs="宋体"/>
                <w:color w:val="auto"/>
                <w:sz w:val="24"/>
                <w:szCs w:val="24"/>
                <w:highlight w:val="none"/>
              </w:rPr>
            </w:pPr>
            <w:r>
              <w:rPr>
                <w:rFonts w:hint="eastAsia" w:ascii="宋体" w:hAnsi="宋体" w:cs="宋体"/>
                <w:color w:val="auto"/>
                <w:sz w:val="24"/>
                <w:szCs w:val="24"/>
                <w:highlight w:val="none"/>
              </w:rPr>
              <w:t>申请人：（电子签章）</w:t>
            </w:r>
          </w:p>
        </w:tc>
      </w:tr>
      <w:tr w14:paraId="7C2BD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9180" w:type="dxa"/>
            <w:gridSpan w:val="2"/>
            <w:vAlign w:val="bottom"/>
          </w:tcPr>
          <w:p w14:paraId="78BEA8AB">
            <w:pPr>
              <w:spacing w:before="120" w:after="120" w:line="240" w:lineRule="atLeast"/>
              <w:ind w:right="48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法定代表人或被授权人（电子签章）：</w:t>
            </w:r>
          </w:p>
          <w:p w14:paraId="4559AB3F">
            <w:pPr>
              <w:spacing w:before="120" w:after="120" w:line="240" w:lineRule="atLeast"/>
              <w:ind w:right="480"/>
              <w:rPr>
                <w:rFonts w:hint="eastAsia" w:ascii="宋体" w:hAnsi="宋体" w:cs="宋体"/>
                <w:color w:val="auto"/>
                <w:sz w:val="24"/>
                <w:szCs w:val="24"/>
                <w:highlight w:val="none"/>
              </w:rPr>
            </w:pPr>
          </w:p>
          <w:p w14:paraId="1C0B64EF">
            <w:pPr>
              <w:spacing w:before="120" w:after="120" w:line="240" w:lineRule="atLeast"/>
              <w:ind w:right="480"/>
              <w:rPr>
                <w:rFonts w:hint="eastAsia" w:ascii="宋体" w:hAnsi="宋体" w:cs="宋体"/>
                <w:color w:val="auto"/>
                <w:sz w:val="24"/>
                <w:szCs w:val="24"/>
                <w:highlight w:val="none"/>
              </w:rPr>
            </w:pPr>
            <w:r>
              <w:rPr>
                <w:rFonts w:hint="eastAsia" w:ascii="宋体" w:hAnsi="宋体" w:cs="宋体"/>
                <w:color w:val="auto"/>
                <w:sz w:val="24"/>
                <w:szCs w:val="24"/>
                <w:highlight w:val="none"/>
              </w:rPr>
              <w:t>日期：    年    月    日</w:t>
            </w:r>
          </w:p>
        </w:tc>
      </w:tr>
    </w:tbl>
    <w:p w14:paraId="3A0468E9">
      <w:pPr>
        <w:snapToGrid w:val="0"/>
        <w:spacing w:line="360" w:lineRule="auto"/>
        <w:rPr>
          <w:rFonts w:hint="eastAsia" w:ascii="宋体" w:hAnsi="宋体" w:cs="宋体"/>
          <w:color w:val="auto"/>
          <w:sz w:val="24"/>
          <w:szCs w:val="24"/>
          <w:highlight w:val="none"/>
        </w:rPr>
      </w:pPr>
    </w:p>
    <w:p w14:paraId="56398F54">
      <w:pPr>
        <w:spacing w:line="400" w:lineRule="exact"/>
        <w:ind w:firstLine="510"/>
        <w:rPr>
          <w:rFonts w:hint="eastAsia" w:ascii="宋体" w:hAnsi="宋体" w:cs="宋体"/>
          <w:color w:val="auto"/>
          <w:sz w:val="24"/>
          <w:szCs w:val="24"/>
          <w:highlight w:val="none"/>
        </w:rPr>
      </w:pPr>
    </w:p>
    <w:p w14:paraId="793C7DCD">
      <w:pPr>
        <w:spacing w:line="400" w:lineRule="exact"/>
        <w:ind w:firstLine="510"/>
        <w:rPr>
          <w:rFonts w:hint="eastAsia" w:ascii="宋体" w:hAnsi="宋体" w:cs="宋体"/>
          <w:b/>
          <w:bCs/>
          <w:color w:val="auto"/>
          <w:sz w:val="24"/>
          <w:szCs w:val="24"/>
          <w:highlight w:val="none"/>
        </w:rPr>
      </w:pPr>
      <w:bookmarkStart w:id="120" w:name="_Toc19419"/>
      <w:r>
        <w:rPr>
          <w:rFonts w:hint="eastAsia" w:ascii="宋体" w:hAnsi="宋体" w:cs="宋体"/>
          <w:b/>
          <w:color w:val="auto"/>
          <w:sz w:val="24"/>
          <w:szCs w:val="24"/>
          <w:highlight w:val="none"/>
        </w:rPr>
        <w:t>注：</w:t>
      </w:r>
      <w:r>
        <w:rPr>
          <w:rFonts w:hint="eastAsia" w:ascii="宋体" w:hAnsi="宋体" w:cs="宋体"/>
          <w:b/>
          <w:bCs/>
          <w:color w:val="auto"/>
          <w:sz w:val="24"/>
          <w:szCs w:val="24"/>
          <w:highlight w:val="none"/>
        </w:rPr>
        <w:t>谈判报价一览表，谈判申请人应放在谈判申请文件的扉页。</w:t>
      </w:r>
      <w:bookmarkEnd w:id="120"/>
    </w:p>
    <w:p w14:paraId="20B31E15">
      <w:pPr>
        <w:pStyle w:val="3"/>
        <w:jc w:val="both"/>
        <w:rPr>
          <w:rFonts w:hint="eastAsia" w:ascii="宋体" w:hAnsi="宋体" w:cs="宋体"/>
          <w:color w:val="auto"/>
          <w:sz w:val="24"/>
          <w:szCs w:val="24"/>
          <w:highlight w:val="none"/>
        </w:rPr>
        <w:sectPr>
          <w:pgSz w:w="11906" w:h="16838"/>
          <w:pgMar w:top="1440" w:right="1080" w:bottom="1440" w:left="1080" w:header="851" w:footer="850" w:gutter="567"/>
          <w:cols w:space="720" w:num="1"/>
          <w:titlePg/>
          <w:docGrid w:type="linesAndChars" w:linePitch="321" w:charSpace="195"/>
        </w:sectPr>
      </w:pPr>
      <w:bookmarkStart w:id="121" w:name="_Toc292983030"/>
    </w:p>
    <w:bookmarkEnd w:id="117"/>
    <w:bookmarkEnd w:id="118"/>
    <w:bookmarkEnd w:id="119"/>
    <w:bookmarkEnd w:id="121"/>
    <w:p w14:paraId="1295C1CE">
      <w:pPr>
        <w:snapToGrid w:val="0"/>
        <w:spacing w:line="360" w:lineRule="auto"/>
        <w:ind w:firstLine="472"/>
        <w:outlineLvl w:val="1"/>
        <w:rPr>
          <w:rFonts w:hint="eastAsia" w:ascii="宋体" w:hAnsi="宋体" w:cs="宋体"/>
          <w:b/>
          <w:color w:val="auto"/>
          <w:szCs w:val="21"/>
          <w:highlight w:val="none"/>
        </w:rPr>
      </w:pPr>
      <w:bookmarkStart w:id="122" w:name="_Toc228982328"/>
      <w:bookmarkStart w:id="123" w:name="_Toc17763"/>
      <w:bookmarkStart w:id="124" w:name="_Toc228982109"/>
      <w:bookmarkStart w:id="125" w:name="_Toc38173197"/>
      <w:bookmarkStart w:id="126" w:name="_Toc31603098"/>
      <w:r>
        <w:rPr>
          <w:rFonts w:hint="eastAsia" w:ascii="宋体" w:hAnsi="宋体" w:cs="宋体"/>
          <w:b/>
          <w:color w:val="auto"/>
          <w:szCs w:val="21"/>
          <w:highlight w:val="none"/>
        </w:rPr>
        <w:t>附件二</w:t>
      </w:r>
      <w:bookmarkEnd w:id="122"/>
      <w:bookmarkEnd w:id="123"/>
      <w:bookmarkEnd w:id="124"/>
    </w:p>
    <w:p w14:paraId="1638BBD4">
      <w:pPr>
        <w:spacing w:line="360" w:lineRule="auto"/>
        <w:rPr>
          <w:rFonts w:hint="eastAsia" w:ascii="宋体" w:hAnsi="宋体" w:cs="宋体"/>
          <w:color w:val="auto"/>
          <w:sz w:val="24"/>
          <w:szCs w:val="24"/>
          <w:highlight w:val="none"/>
        </w:rPr>
      </w:pPr>
    </w:p>
    <w:p w14:paraId="198A6C24">
      <w:pPr>
        <w:pStyle w:val="3"/>
        <w:spacing w:line="360" w:lineRule="auto"/>
        <w:rPr>
          <w:rFonts w:hint="eastAsia" w:ascii="宋体" w:hAnsi="宋体" w:cs="宋体"/>
          <w:color w:val="auto"/>
          <w:highlight w:val="none"/>
        </w:rPr>
      </w:pPr>
      <w:bookmarkStart w:id="127" w:name="_Toc276652315"/>
      <w:bookmarkStart w:id="128" w:name="_Toc228982329"/>
      <w:bookmarkStart w:id="129" w:name="_Toc277876026"/>
      <w:bookmarkStart w:id="130" w:name="_Toc228982110"/>
      <w:bookmarkStart w:id="131" w:name="_Toc276652597"/>
      <w:bookmarkStart w:id="132" w:name="_Toc229583232"/>
      <w:bookmarkStart w:id="133" w:name="_Toc224363914"/>
      <w:r>
        <w:rPr>
          <w:rFonts w:hint="eastAsia" w:ascii="宋体" w:hAnsi="宋体" w:cs="宋体"/>
          <w:color w:val="auto"/>
          <w:highlight w:val="none"/>
        </w:rPr>
        <w:t>法定代表人身份证明书</w:t>
      </w:r>
      <w:bookmarkEnd w:id="127"/>
      <w:bookmarkEnd w:id="128"/>
      <w:bookmarkEnd w:id="129"/>
      <w:bookmarkEnd w:id="130"/>
      <w:bookmarkEnd w:id="131"/>
    </w:p>
    <w:p w14:paraId="6E63566D">
      <w:pPr>
        <w:spacing w:line="700" w:lineRule="exact"/>
        <w:ind w:firstLine="612"/>
        <w:rPr>
          <w:rFonts w:hint="eastAsia" w:ascii="宋体" w:hAnsi="宋体" w:cs="宋体"/>
          <w:color w:val="auto"/>
          <w:szCs w:val="21"/>
          <w:highlight w:val="none"/>
        </w:rPr>
      </w:pPr>
      <w:r>
        <w:rPr>
          <w:rFonts w:hint="eastAsia" w:ascii="宋体" w:hAnsi="宋体" w:cs="宋体"/>
          <w:color w:val="auto"/>
          <w:szCs w:val="21"/>
          <w:highlight w:val="none"/>
        </w:rPr>
        <w:t>单位名称：</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p>
    <w:p w14:paraId="73F77A06">
      <w:pPr>
        <w:spacing w:line="700" w:lineRule="exact"/>
        <w:ind w:firstLine="610"/>
        <w:rPr>
          <w:rFonts w:hint="eastAsia" w:ascii="宋体" w:hAnsi="宋体" w:cs="宋体"/>
          <w:color w:val="auto"/>
          <w:szCs w:val="21"/>
          <w:highlight w:val="none"/>
          <w:u w:val="single"/>
        </w:rPr>
      </w:pPr>
      <w:r>
        <w:rPr>
          <w:rFonts w:hint="eastAsia" w:ascii="宋体" w:hAnsi="宋体" w:cs="宋体"/>
          <w:color w:val="auto"/>
          <w:szCs w:val="21"/>
          <w:highlight w:val="none"/>
        </w:rPr>
        <w:t>单位性质：</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p>
    <w:p w14:paraId="78111DB4">
      <w:pPr>
        <w:spacing w:line="700" w:lineRule="exact"/>
        <w:ind w:firstLine="610"/>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p>
    <w:p w14:paraId="43AD8763">
      <w:pPr>
        <w:spacing w:line="700" w:lineRule="exact"/>
        <w:ind w:firstLine="610"/>
        <w:rPr>
          <w:rFonts w:hint="eastAsia" w:ascii="宋体" w:hAnsi="宋体" w:cs="宋体"/>
          <w:color w:val="auto"/>
          <w:szCs w:val="21"/>
          <w:highlight w:val="none"/>
        </w:rPr>
      </w:pPr>
      <w:r>
        <w:rPr>
          <w:rFonts w:hint="eastAsia" w:ascii="宋体" w:hAnsi="宋体" w:cs="宋体"/>
          <w:color w:val="auto"/>
          <w:szCs w:val="21"/>
          <w:highlight w:val="none"/>
        </w:rPr>
        <w:t>成立时间：  年   月   日</w:t>
      </w:r>
    </w:p>
    <w:p w14:paraId="732FCAB0">
      <w:pPr>
        <w:spacing w:line="700" w:lineRule="exact"/>
        <w:ind w:firstLine="610"/>
        <w:rPr>
          <w:rFonts w:hint="eastAsia" w:ascii="宋体" w:hAnsi="宋体" w:cs="宋体"/>
          <w:color w:val="auto"/>
          <w:szCs w:val="21"/>
          <w:highlight w:val="none"/>
          <w:u w:val="single"/>
        </w:rPr>
      </w:pPr>
      <w:r>
        <w:rPr>
          <w:rFonts w:hint="eastAsia" w:ascii="宋体" w:hAnsi="宋体" w:cs="宋体"/>
          <w:color w:val="auto"/>
          <w:szCs w:val="21"/>
          <w:highlight w:val="none"/>
        </w:rPr>
        <w:t>经营期限：</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p>
    <w:p w14:paraId="0B7FA718">
      <w:pPr>
        <w:spacing w:line="700" w:lineRule="exact"/>
        <w:ind w:firstLine="610"/>
        <w:rPr>
          <w:rFonts w:hint="eastAsia" w:ascii="宋体" w:hAnsi="宋体" w:cs="宋体"/>
          <w:color w:val="auto"/>
          <w:szCs w:val="21"/>
          <w:highlight w:val="none"/>
          <w:u w:val="single"/>
        </w:rPr>
      </w:pPr>
      <w:r>
        <w:rPr>
          <w:rFonts w:hint="eastAsia" w:ascii="宋体" w:hAnsi="宋体" w:cs="宋体"/>
          <w:color w:val="auto"/>
          <w:szCs w:val="21"/>
          <w:highlight w:val="none"/>
        </w:rPr>
        <w:t>姓    名：    性别：   年龄：   职务：</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p>
    <w:p w14:paraId="3B39FF96">
      <w:pPr>
        <w:spacing w:line="700" w:lineRule="exact"/>
        <w:ind w:firstLine="610"/>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（申请人单位名称）         </w:t>
      </w:r>
      <w:r>
        <w:rPr>
          <w:rFonts w:hint="eastAsia" w:ascii="宋体" w:hAnsi="宋体" w:cs="宋体"/>
          <w:color w:val="auto"/>
          <w:szCs w:val="21"/>
          <w:highlight w:val="none"/>
        </w:rPr>
        <w:t>的法定代表人。</w:t>
      </w:r>
    </w:p>
    <w:p w14:paraId="3B0EFC5A">
      <w:pPr>
        <w:spacing w:line="700" w:lineRule="exact"/>
        <w:ind w:firstLine="610"/>
        <w:rPr>
          <w:rFonts w:hint="eastAsia" w:ascii="宋体" w:hAnsi="宋体" w:cs="宋体"/>
          <w:color w:val="auto"/>
          <w:szCs w:val="21"/>
          <w:highlight w:val="none"/>
        </w:rPr>
      </w:pPr>
      <w:r>
        <w:rPr>
          <w:rFonts w:hint="eastAsia" w:ascii="宋体" w:hAnsi="宋体" w:cs="宋体"/>
          <w:color w:val="auto"/>
          <w:szCs w:val="21"/>
          <w:highlight w:val="none"/>
        </w:rPr>
        <w:t>特此证明。</w:t>
      </w:r>
    </w:p>
    <w:p w14:paraId="48F3E0E3">
      <w:pPr>
        <w:spacing w:line="700" w:lineRule="exact"/>
        <w:ind w:firstLine="610"/>
        <w:rPr>
          <w:rFonts w:hint="eastAsia" w:ascii="宋体" w:hAnsi="宋体" w:cs="宋体"/>
          <w:color w:val="auto"/>
          <w:szCs w:val="21"/>
          <w:highlight w:val="none"/>
        </w:rPr>
      </w:pPr>
      <w:r>
        <w:rPr>
          <w:rFonts w:hint="eastAsia" w:ascii="宋体" w:hAnsi="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257175</wp:posOffset>
                </wp:positionV>
                <wp:extent cx="3886200" cy="2179320"/>
                <wp:effectExtent l="5080" t="4445" r="13970" b="6985"/>
                <wp:wrapNone/>
                <wp:docPr id="5" name="矩形 5"/>
                <wp:cNvGraphicFramePr/>
                <a:graphic xmlns:a="http://schemas.openxmlformats.org/drawingml/2006/main">
                  <a:graphicData uri="http://schemas.microsoft.com/office/word/2010/wordprocessingShape">
                    <wps:wsp>
                      <wps:cNvSpPr/>
                      <wps:spPr bwMode="auto">
                        <a:xfrm>
                          <a:off x="0" y="0"/>
                          <a:ext cx="3886200" cy="2179320"/>
                        </a:xfrm>
                        <a:prstGeom prst="rect">
                          <a:avLst/>
                        </a:prstGeom>
                        <a:solidFill>
                          <a:srgbClr val="FFFFFF"/>
                        </a:solidFill>
                        <a:ln w="9525">
                          <a:solidFill>
                            <a:srgbClr val="000000"/>
                          </a:solidFill>
                          <a:miter lim="800000"/>
                        </a:ln>
                        <a:effectLst/>
                      </wps:spPr>
                      <wps:txbx>
                        <w:txbxContent>
                          <w:p w14:paraId="2A3569B6">
                            <w:pPr>
                              <w:rPr>
                                <w:rFonts w:hint="eastAsia" w:ascii="黑体" w:hAnsi="宋体" w:eastAsia="黑体"/>
                                <w:b/>
                                <w:szCs w:val="32"/>
                              </w:rPr>
                            </w:pPr>
                          </w:p>
                          <w:p w14:paraId="5E25318C">
                            <w:pPr>
                              <w:rPr>
                                <w:rFonts w:hint="eastAsia" w:ascii="宋体" w:hAnsi="宋体"/>
                                <w:b/>
                                <w:szCs w:val="32"/>
                              </w:rPr>
                            </w:pPr>
                          </w:p>
                          <w:p w14:paraId="53EABE2C">
                            <w:pPr>
                              <w:rPr>
                                <w:rFonts w:hint="eastAsia" w:ascii="宋体" w:hAnsi="宋体"/>
                                <w:b/>
                                <w:szCs w:val="32"/>
                              </w:rPr>
                            </w:pPr>
                          </w:p>
                          <w:p w14:paraId="6F8E708E">
                            <w:pPr>
                              <w:rPr>
                                <w:rFonts w:hint="eastAsia" w:ascii="宋体" w:hAnsi="宋体"/>
                                <w:b/>
                                <w:szCs w:val="32"/>
                              </w:rPr>
                            </w:pPr>
                          </w:p>
                          <w:p w14:paraId="4680D7DE">
                            <w:pPr>
                              <w:rPr>
                                <w:rFonts w:hint="eastAsia" w:ascii="宋体" w:hAnsi="宋体"/>
                                <w:b/>
                                <w:szCs w:val="32"/>
                              </w:rPr>
                            </w:pPr>
                          </w:p>
                          <w:p w14:paraId="57E64939">
                            <w:pPr>
                              <w:ind w:firstLine="1424" w:firstLineChars="591"/>
                              <w:rPr>
                                <w:rFonts w:hint="eastAsia" w:ascii="宋体" w:hAnsi="宋体"/>
                                <w:sz w:val="24"/>
                              </w:rPr>
                            </w:pPr>
                            <w:r>
                              <w:rPr>
                                <w:rFonts w:hint="eastAsia" w:ascii="宋体" w:hAnsi="宋体"/>
                                <w:b/>
                                <w:sz w:val="24"/>
                              </w:rPr>
                              <w:t>附法定代表人身份证复印件</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63pt;margin-top:20.25pt;height:171.6pt;width:306pt;z-index:251659264;mso-width-relative:page;mso-height-relative:page;" fillcolor="#FFFFFF" filled="t" stroked="t" coordsize="21600,21600" o:gfxdata="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FIlWA2AAAAAoBAAAPAAAAAAAAAAEAIAAAACIAAABkcnMvZG93bnJldi54bWxQSwECFAAUAAAA&#10;CACHTuJA5DjyVScCAABZBAAADgAAAAAAAAABACAAAAAnAQAAZHJzL2Uyb0RvYy54bWxQSwUGAAAA&#10;AAYABgBZAQAAwAUAAAAA&#10;">
                <v:fill on="t" focussize="0,0"/>
                <v:stroke color="#000000" miterlimit="8" joinstyle="miter"/>
                <v:imagedata o:title=""/>
                <o:lock v:ext="edit" aspectratio="f"/>
                <v:textbox>
                  <w:txbxContent>
                    <w:p w14:paraId="2A3569B6">
                      <w:pPr>
                        <w:rPr>
                          <w:rFonts w:hint="eastAsia" w:ascii="黑体" w:hAnsi="宋体" w:eastAsia="黑体"/>
                          <w:b/>
                          <w:szCs w:val="32"/>
                        </w:rPr>
                      </w:pPr>
                    </w:p>
                    <w:p w14:paraId="5E25318C">
                      <w:pPr>
                        <w:rPr>
                          <w:rFonts w:hint="eastAsia" w:ascii="宋体" w:hAnsi="宋体"/>
                          <w:b/>
                          <w:szCs w:val="32"/>
                        </w:rPr>
                      </w:pPr>
                    </w:p>
                    <w:p w14:paraId="53EABE2C">
                      <w:pPr>
                        <w:rPr>
                          <w:rFonts w:hint="eastAsia" w:ascii="宋体" w:hAnsi="宋体"/>
                          <w:b/>
                          <w:szCs w:val="32"/>
                        </w:rPr>
                      </w:pPr>
                    </w:p>
                    <w:p w14:paraId="6F8E708E">
                      <w:pPr>
                        <w:rPr>
                          <w:rFonts w:hint="eastAsia" w:ascii="宋体" w:hAnsi="宋体"/>
                          <w:b/>
                          <w:szCs w:val="32"/>
                        </w:rPr>
                      </w:pPr>
                    </w:p>
                    <w:p w14:paraId="4680D7DE">
                      <w:pPr>
                        <w:rPr>
                          <w:rFonts w:hint="eastAsia" w:ascii="宋体" w:hAnsi="宋体"/>
                          <w:b/>
                          <w:szCs w:val="32"/>
                        </w:rPr>
                      </w:pPr>
                    </w:p>
                    <w:p w14:paraId="57E64939">
                      <w:pPr>
                        <w:ind w:firstLine="1424" w:firstLineChars="591"/>
                        <w:rPr>
                          <w:rFonts w:hint="eastAsia" w:ascii="宋体" w:hAnsi="宋体"/>
                          <w:sz w:val="24"/>
                        </w:rPr>
                      </w:pPr>
                      <w:r>
                        <w:rPr>
                          <w:rFonts w:hint="eastAsia" w:ascii="宋体" w:hAnsi="宋体"/>
                          <w:b/>
                          <w:sz w:val="24"/>
                        </w:rPr>
                        <w:t>附法定代表人身份证复印件</w:t>
                      </w:r>
                    </w:p>
                  </w:txbxContent>
                </v:textbox>
              </v:rect>
            </w:pict>
          </mc:Fallback>
        </mc:AlternateContent>
      </w:r>
    </w:p>
    <w:p w14:paraId="4F073649">
      <w:pPr>
        <w:spacing w:line="700" w:lineRule="exact"/>
        <w:ind w:firstLine="610"/>
        <w:rPr>
          <w:rFonts w:hint="eastAsia" w:ascii="宋体" w:hAnsi="宋体" w:cs="宋体"/>
          <w:color w:val="auto"/>
          <w:szCs w:val="21"/>
          <w:highlight w:val="none"/>
        </w:rPr>
      </w:pPr>
    </w:p>
    <w:p w14:paraId="62BA75D8">
      <w:pPr>
        <w:spacing w:line="700" w:lineRule="exact"/>
        <w:ind w:firstLine="610"/>
        <w:rPr>
          <w:rFonts w:hint="eastAsia" w:ascii="宋体" w:hAnsi="宋体" w:cs="宋体"/>
          <w:color w:val="auto"/>
          <w:szCs w:val="21"/>
          <w:highlight w:val="none"/>
        </w:rPr>
      </w:pPr>
    </w:p>
    <w:p w14:paraId="2647CBD1">
      <w:pPr>
        <w:spacing w:line="700" w:lineRule="exact"/>
        <w:ind w:firstLine="610"/>
        <w:rPr>
          <w:rFonts w:hint="eastAsia" w:ascii="宋体" w:hAnsi="宋体" w:cs="宋体"/>
          <w:color w:val="auto"/>
          <w:szCs w:val="21"/>
          <w:highlight w:val="none"/>
        </w:rPr>
      </w:pPr>
    </w:p>
    <w:p w14:paraId="2B62DD6E">
      <w:pPr>
        <w:tabs>
          <w:tab w:val="left" w:pos="720"/>
          <w:tab w:val="left" w:pos="900"/>
        </w:tabs>
        <w:spacing w:line="360" w:lineRule="auto"/>
        <w:rPr>
          <w:rFonts w:hint="eastAsia" w:ascii="宋体" w:hAnsi="宋体" w:cs="宋体"/>
          <w:color w:val="auto"/>
          <w:szCs w:val="21"/>
          <w:highlight w:val="none"/>
        </w:rPr>
      </w:pPr>
    </w:p>
    <w:p w14:paraId="0AD589E6">
      <w:pPr>
        <w:spacing w:line="700" w:lineRule="exact"/>
        <w:ind w:firstLine="3805" w:firstLineChars="1812"/>
        <w:rPr>
          <w:rFonts w:hint="eastAsia" w:ascii="宋体" w:hAnsi="宋体" w:cs="宋体"/>
          <w:color w:val="auto"/>
          <w:szCs w:val="21"/>
          <w:highlight w:val="none"/>
        </w:rPr>
      </w:pPr>
    </w:p>
    <w:p w14:paraId="3D17F43A">
      <w:pPr>
        <w:spacing w:line="700" w:lineRule="exact"/>
        <w:rPr>
          <w:rFonts w:hint="eastAsia" w:ascii="宋体" w:hAnsi="宋体" w:cs="宋体"/>
          <w:color w:val="auto"/>
          <w:szCs w:val="21"/>
          <w:highlight w:val="none"/>
        </w:rPr>
      </w:pPr>
    </w:p>
    <w:p w14:paraId="5B012D56">
      <w:pPr>
        <w:spacing w:line="700" w:lineRule="exact"/>
        <w:ind w:firstLine="3805" w:firstLineChars="1812"/>
        <w:rPr>
          <w:rFonts w:hint="eastAsia" w:ascii="宋体" w:hAnsi="宋体" w:cs="宋体"/>
          <w:color w:val="auto"/>
          <w:szCs w:val="21"/>
          <w:highlight w:val="none"/>
          <w:u w:val="single"/>
        </w:rPr>
      </w:pPr>
      <w:r>
        <w:rPr>
          <w:rFonts w:hint="eastAsia" w:ascii="宋体" w:hAnsi="宋体" w:cs="宋体"/>
          <w:color w:val="auto"/>
          <w:szCs w:val="21"/>
          <w:highlight w:val="none"/>
        </w:rPr>
        <w:t>谈判申请人：</w:t>
      </w:r>
      <w:r>
        <w:rPr>
          <w:rFonts w:hint="eastAsia" w:ascii="宋体" w:hAnsi="宋体" w:cs="宋体"/>
          <w:color w:val="auto"/>
          <w:szCs w:val="21"/>
          <w:highlight w:val="none"/>
          <w:u w:val="single"/>
        </w:rPr>
        <w:t xml:space="preserve">      （电子签章）            </w:t>
      </w:r>
    </w:p>
    <w:p w14:paraId="57351508">
      <w:pPr>
        <w:spacing w:line="700" w:lineRule="exact"/>
        <w:ind w:firstLine="3805" w:firstLineChars="1812"/>
        <w:rPr>
          <w:rFonts w:hint="eastAsia" w:ascii="宋体" w:hAnsi="宋体" w:cs="宋体"/>
          <w:color w:val="auto"/>
          <w:szCs w:val="21"/>
          <w:highlight w:val="none"/>
        </w:rPr>
        <w:sectPr>
          <w:pgSz w:w="11906" w:h="16838"/>
          <w:pgMar w:top="1440" w:right="1080" w:bottom="1440" w:left="1080" w:header="851" w:footer="992" w:gutter="283"/>
          <w:cols w:space="720" w:num="1"/>
          <w:titlePg/>
          <w:docGrid w:type="lines" w:linePitch="313" w:charSpace="0"/>
        </w:sectPr>
      </w:pPr>
      <w:r>
        <w:rPr>
          <w:rFonts w:hint="eastAsia" w:ascii="宋体" w:hAnsi="宋体" w:cs="宋体"/>
          <w:color w:val="auto"/>
          <w:szCs w:val="21"/>
          <w:highlight w:val="none"/>
        </w:rPr>
        <w:t>日    期：      年     月     日</w:t>
      </w:r>
    </w:p>
    <w:p w14:paraId="2A74B71D">
      <w:pPr>
        <w:spacing w:line="700" w:lineRule="exact"/>
        <w:outlineLvl w:val="1"/>
        <w:rPr>
          <w:rFonts w:hint="eastAsia" w:ascii="宋体" w:hAnsi="宋体" w:cs="宋体"/>
          <w:b/>
          <w:color w:val="auto"/>
          <w:szCs w:val="21"/>
          <w:highlight w:val="none"/>
        </w:rPr>
      </w:pPr>
      <w:bookmarkStart w:id="134" w:name="_Toc228982330"/>
      <w:bookmarkStart w:id="135" w:name="_Toc228982111"/>
      <w:r>
        <w:rPr>
          <w:rFonts w:hint="eastAsia" w:ascii="宋体" w:hAnsi="宋体" w:cs="宋体"/>
          <w:b/>
          <w:color w:val="auto"/>
          <w:szCs w:val="21"/>
          <w:highlight w:val="none"/>
        </w:rPr>
        <w:t>附件三</w:t>
      </w:r>
      <w:bookmarkEnd w:id="134"/>
      <w:bookmarkEnd w:id="135"/>
    </w:p>
    <w:p w14:paraId="5AA199E4">
      <w:pPr>
        <w:pStyle w:val="3"/>
        <w:spacing w:line="360" w:lineRule="auto"/>
        <w:rPr>
          <w:rFonts w:hint="eastAsia" w:ascii="宋体" w:hAnsi="宋体" w:cs="宋体"/>
          <w:color w:val="auto"/>
          <w:highlight w:val="none"/>
        </w:rPr>
      </w:pPr>
      <w:bookmarkStart w:id="136" w:name="_Toc280273009"/>
      <w:bookmarkStart w:id="137" w:name="_Toc228982112"/>
      <w:bookmarkStart w:id="138" w:name="_Toc228982331"/>
      <w:bookmarkStart w:id="139" w:name="_Toc229583229"/>
      <w:bookmarkStart w:id="140" w:name="_Toc273626755"/>
      <w:bookmarkStart w:id="141" w:name="_Toc276584758"/>
      <w:r>
        <w:rPr>
          <w:rFonts w:hint="eastAsia" w:ascii="宋体" w:hAnsi="宋体" w:cs="宋体"/>
          <w:color w:val="auto"/>
          <w:highlight w:val="none"/>
        </w:rPr>
        <w:t>授权委托书</w:t>
      </w:r>
      <w:bookmarkEnd w:id="136"/>
      <w:bookmarkEnd w:id="137"/>
      <w:bookmarkEnd w:id="138"/>
    </w:p>
    <w:p w14:paraId="0499AF2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本人（姓名）系（申请人名称）的法定代表人，现委托</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为我方代理人。代理人根据授权，以我方名义签署、澄清、说明、补正、递交、撤回、修改（项目名称）谈判申请文件、签订合同和处理有关事宜，其法律后果由我方承担。</w:t>
      </w:r>
    </w:p>
    <w:p w14:paraId="16E201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委托期限：</w:t>
      </w:r>
    </w:p>
    <w:p w14:paraId="776729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代理人无转委托权。</w:t>
      </w:r>
    </w:p>
    <w:p w14:paraId="4BB9BE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附：附授权委托人身份证</w:t>
      </w:r>
    </w:p>
    <w:p w14:paraId="2FC003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800100</wp:posOffset>
                </wp:positionH>
                <wp:positionV relativeFrom="paragraph">
                  <wp:posOffset>199390</wp:posOffset>
                </wp:positionV>
                <wp:extent cx="3886200" cy="2179320"/>
                <wp:effectExtent l="5080" t="4445" r="13970" b="6985"/>
                <wp:wrapNone/>
                <wp:docPr id="4" name="矩形 4"/>
                <wp:cNvGraphicFramePr/>
                <a:graphic xmlns:a="http://schemas.openxmlformats.org/drawingml/2006/main">
                  <a:graphicData uri="http://schemas.microsoft.com/office/word/2010/wordprocessingShape">
                    <wps:wsp>
                      <wps:cNvSpPr/>
                      <wps:spPr bwMode="auto">
                        <a:xfrm>
                          <a:off x="0" y="0"/>
                          <a:ext cx="3886200" cy="2179320"/>
                        </a:xfrm>
                        <a:prstGeom prst="rect">
                          <a:avLst/>
                        </a:prstGeom>
                        <a:solidFill>
                          <a:srgbClr val="FFFFFF"/>
                        </a:solidFill>
                        <a:ln w="9525">
                          <a:solidFill>
                            <a:srgbClr val="000000"/>
                          </a:solidFill>
                          <a:miter lim="800000"/>
                        </a:ln>
                        <a:effectLst/>
                      </wps:spPr>
                      <wps:txbx>
                        <w:txbxContent>
                          <w:p w14:paraId="1D0ED60F">
                            <w:pPr>
                              <w:rPr>
                                <w:rFonts w:hint="eastAsia" w:ascii="黑体" w:hAnsi="宋体" w:eastAsia="黑体"/>
                                <w:b/>
                                <w:szCs w:val="32"/>
                              </w:rPr>
                            </w:pPr>
                          </w:p>
                          <w:p w14:paraId="5D36CD9F">
                            <w:pPr>
                              <w:rPr>
                                <w:rFonts w:hint="eastAsia" w:ascii="黑体" w:hAnsi="宋体" w:eastAsia="黑体"/>
                                <w:b/>
                                <w:szCs w:val="32"/>
                              </w:rPr>
                            </w:pPr>
                          </w:p>
                          <w:p w14:paraId="1A7B343E">
                            <w:pPr>
                              <w:rPr>
                                <w:rFonts w:hint="eastAsia" w:ascii="黑体" w:hAnsi="宋体" w:eastAsia="黑体"/>
                                <w:b/>
                                <w:szCs w:val="32"/>
                              </w:rPr>
                            </w:pPr>
                          </w:p>
                          <w:p w14:paraId="038FDC15">
                            <w:pPr>
                              <w:rPr>
                                <w:rFonts w:hint="eastAsia" w:ascii="黑体" w:hAnsi="宋体" w:eastAsia="黑体"/>
                                <w:b/>
                                <w:szCs w:val="32"/>
                              </w:rPr>
                            </w:pPr>
                          </w:p>
                          <w:p w14:paraId="40FAD5E4">
                            <w:pPr>
                              <w:ind w:firstLine="1424" w:firstLineChars="591"/>
                              <w:rPr>
                                <w:rFonts w:hint="eastAsia" w:ascii="宋体" w:hAnsi="宋体"/>
                                <w:sz w:val="24"/>
                              </w:rPr>
                            </w:pPr>
                            <w:r>
                              <w:rPr>
                                <w:rFonts w:hint="eastAsia" w:ascii="宋体" w:hAnsi="宋体"/>
                                <w:b/>
                                <w:sz w:val="24"/>
                              </w:rPr>
                              <w:t>附授权委托人身份证复印件</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63pt;margin-top:15.7pt;height:171.6pt;width:306pt;z-index:251660288;mso-width-relative:page;mso-height-relative:page;" fillcolor="#FFFFFF" filled="t" stroked="t" coordsize="21600,21600" o:gfxdata="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DVVDF2AAAAAoBAAAPAAAAAAAAAAEAIAAAACIAAABkcnMvZG93bnJldi54bWxQSwECFAAUAAAA&#10;CACHTuJAgRkTuScCAABZBAAADgAAAAAAAAABACAAAAAnAQAAZHJzL2Uyb0RvYy54bWxQSwUGAAAA&#10;AAYABgBZAQAAwAUAAAAA&#10;">
                <v:fill on="t" focussize="0,0"/>
                <v:stroke color="#000000" miterlimit="8" joinstyle="miter"/>
                <v:imagedata o:title=""/>
                <o:lock v:ext="edit" aspectratio="f"/>
                <v:textbox>
                  <w:txbxContent>
                    <w:p w14:paraId="1D0ED60F">
                      <w:pPr>
                        <w:rPr>
                          <w:rFonts w:hint="eastAsia" w:ascii="黑体" w:hAnsi="宋体" w:eastAsia="黑体"/>
                          <w:b/>
                          <w:szCs w:val="32"/>
                        </w:rPr>
                      </w:pPr>
                    </w:p>
                    <w:p w14:paraId="5D36CD9F">
                      <w:pPr>
                        <w:rPr>
                          <w:rFonts w:hint="eastAsia" w:ascii="黑体" w:hAnsi="宋体" w:eastAsia="黑体"/>
                          <w:b/>
                          <w:szCs w:val="32"/>
                        </w:rPr>
                      </w:pPr>
                    </w:p>
                    <w:p w14:paraId="1A7B343E">
                      <w:pPr>
                        <w:rPr>
                          <w:rFonts w:hint="eastAsia" w:ascii="黑体" w:hAnsi="宋体" w:eastAsia="黑体"/>
                          <w:b/>
                          <w:szCs w:val="32"/>
                        </w:rPr>
                      </w:pPr>
                    </w:p>
                    <w:p w14:paraId="038FDC15">
                      <w:pPr>
                        <w:rPr>
                          <w:rFonts w:hint="eastAsia" w:ascii="黑体" w:hAnsi="宋体" w:eastAsia="黑体"/>
                          <w:b/>
                          <w:szCs w:val="32"/>
                        </w:rPr>
                      </w:pPr>
                    </w:p>
                    <w:p w14:paraId="40FAD5E4">
                      <w:pPr>
                        <w:ind w:firstLine="1424" w:firstLineChars="591"/>
                        <w:rPr>
                          <w:rFonts w:hint="eastAsia" w:ascii="宋体" w:hAnsi="宋体"/>
                          <w:sz w:val="24"/>
                        </w:rPr>
                      </w:pPr>
                      <w:r>
                        <w:rPr>
                          <w:rFonts w:hint="eastAsia" w:ascii="宋体" w:hAnsi="宋体"/>
                          <w:b/>
                          <w:sz w:val="24"/>
                        </w:rPr>
                        <w:t>附授权委托人身份证复印件</w:t>
                      </w:r>
                    </w:p>
                  </w:txbxContent>
                </v:textbox>
              </v:rect>
            </w:pict>
          </mc:Fallback>
        </mc:AlternateContent>
      </w:r>
    </w:p>
    <w:p w14:paraId="744AAE54">
      <w:pPr>
        <w:spacing w:line="360" w:lineRule="auto"/>
        <w:ind w:firstLine="420" w:firstLineChars="200"/>
        <w:rPr>
          <w:rFonts w:hint="eastAsia" w:ascii="宋体" w:hAnsi="宋体" w:cs="宋体"/>
          <w:color w:val="auto"/>
          <w:szCs w:val="21"/>
          <w:highlight w:val="none"/>
        </w:rPr>
      </w:pPr>
    </w:p>
    <w:p w14:paraId="700ED029">
      <w:pPr>
        <w:spacing w:line="360" w:lineRule="auto"/>
        <w:ind w:firstLine="4725" w:firstLineChars="2250"/>
        <w:rPr>
          <w:rFonts w:hint="eastAsia" w:ascii="宋体" w:hAnsi="宋体" w:cs="宋体"/>
          <w:color w:val="auto"/>
          <w:szCs w:val="21"/>
          <w:highlight w:val="none"/>
        </w:rPr>
      </w:pPr>
    </w:p>
    <w:p w14:paraId="0354BAA5">
      <w:pPr>
        <w:spacing w:line="360" w:lineRule="auto"/>
        <w:ind w:firstLine="4725" w:firstLineChars="2250"/>
        <w:rPr>
          <w:rFonts w:hint="eastAsia" w:ascii="宋体" w:hAnsi="宋体" w:cs="宋体"/>
          <w:color w:val="auto"/>
          <w:szCs w:val="21"/>
          <w:highlight w:val="none"/>
        </w:rPr>
      </w:pPr>
    </w:p>
    <w:p w14:paraId="64890842">
      <w:pPr>
        <w:spacing w:line="360" w:lineRule="auto"/>
        <w:ind w:firstLine="4725" w:firstLineChars="2250"/>
        <w:rPr>
          <w:rFonts w:hint="eastAsia" w:ascii="宋体" w:hAnsi="宋体" w:cs="宋体"/>
          <w:color w:val="auto"/>
          <w:szCs w:val="21"/>
          <w:highlight w:val="none"/>
        </w:rPr>
      </w:pPr>
    </w:p>
    <w:p w14:paraId="780EAE48">
      <w:pPr>
        <w:spacing w:line="360" w:lineRule="auto"/>
        <w:ind w:firstLine="4725" w:firstLineChars="2250"/>
        <w:rPr>
          <w:rFonts w:hint="eastAsia" w:ascii="宋体" w:hAnsi="宋体" w:cs="宋体"/>
          <w:color w:val="auto"/>
          <w:szCs w:val="21"/>
          <w:highlight w:val="none"/>
        </w:rPr>
      </w:pPr>
    </w:p>
    <w:p w14:paraId="6640FCFC">
      <w:pPr>
        <w:spacing w:line="360" w:lineRule="auto"/>
        <w:ind w:firstLine="4725" w:firstLineChars="2250"/>
        <w:rPr>
          <w:rFonts w:hint="eastAsia" w:ascii="宋体" w:hAnsi="宋体" w:cs="宋体"/>
          <w:color w:val="auto"/>
          <w:szCs w:val="21"/>
          <w:highlight w:val="none"/>
        </w:rPr>
      </w:pPr>
    </w:p>
    <w:p w14:paraId="66364110">
      <w:pPr>
        <w:spacing w:line="360" w:lineRule="auto"/>
        <w:ind w:firstLine="4725" w:firstLineChars="2250"/>
        <w:rPr>
          <w:rFonts w:hint="eastAsia" w:ascii="宋体" w:hAnsi="宋体" w:cs="宋体"/>
          <w:color w:val="auto"/>
          <w:szCs w:val="21"/>
          <w:highlight w:val="none"/>
        </w:rPr>
      </w:pPr>
    </w:p>
    <w:p w14:paraId="4A6AE3C5">
      <w:pPr>
        <w:spacing w:line="360" w:lineRule="auto"/>
        <w:rPr>
          <w:rFonts w:hint="eastAsia" w:ascii="宋体" w:hAnsi="宋体" w:cs="宋体"/>
          <w:color w:val="auto"/>
          <w:szCs w:val="21"/>
          <w:highlight w:val="none"/>
        </w:rPr>
      </w:pPr>
    </w:p>
    <w:p w14:paraId="01B0D80F">
      <w:pPr>
        <w:spacing w:line="360" w:lineRule="auto"/>
        <w:ind w:firstLine="716" w:firstLineChars="341"/>
        <w:rPr>
          <w:rFonts w:hint="eastAsia" w:ascii="宋体" w:hAnsi="宋体" w:cs="宋体"/>
          <w:color w:val="auto"/>
          <w:szCs w:val="21"/>
          <w:highlight w:val="none"/>
        </w:rPr>
      </w:pPr>
      <w:r>
        <w:rPr>
          <w:rFonts w:hint="eastAsia" w:ascii="宋体" w:hAnsi="宋体" w:cs="宋体"/>
          <w:color w:val="auto"/>
          <w:szCs w:val="21"/>
          <w:highlight w:val="none"/>
        </w:rPr>
        <w:t>谈判申请人：（电子签章）</w:t>
      </w:r>
    </w:p>
    <w:p w14:paraId="785D629B">
      <w:pPr>
        <w:spacing w:line="360" w:lineRule="auto"/>
        <w:ind w:firstLine="716" w:firstLineChars="341"/>
        <w:rPr>
          <w:rFonts w:hint="eastAsia" w:ascii="宋体" w:hAnsi="宋体" w:cs="宋体"/>
          <w:color w:val="auto"/>
          <w:szCs w:val="21"/>
          <w:highlight w:val="none"/>
        </w:rPr>
      </w:pPr>
      <w:r>
        <w:rPr>
          <w:rFonts w:hint="eastAsia" w:ascii="宋体" w:hAnsi="宋体" w:cs="宋体"/>
          <w:color w:val="auto"/>
          <w:szCs w:val="21"/>
          <w:highlight w:val="none"/>
        </w:rPr>
        <w:t>法定代表人：（电子签章）</w:t>
      </w:r>
    </w:p>
    <w:p w14:paraId="319CC621">
      <w:pPr>
        <w:spacing w:line="360" w:lineRule="auto"/>
        <w:ind w:firstLine="716" w:firstLineChars="341"/>
        <w:rPr>
          <w:rFonts w:hint="eastAsia" w:ascii="宋体" w:hAnsi="宋体" w:cs="宋体"/>
          <w:color w:val="auto"/>
          <w:szCs w:val="21"/>
          <w:highlight w:val="none"/>
        </w:rPr>
      </w:pPr>
      <w:r>
        <w:rPr>
          <w:rFonts w:hint="eastAsia" w:ascii="宋体" w:hAnsi="宋体" w:cs="宋体"/>
          <w:color w:val="auto"/>
          <w:szCs w:val="21"/>
          <w:highlight w:val="none"/>
        </w:rPr>
        <w:t>身份证号码：</w:t>
      </w:r>
    </w:p>
    <w:p w14:paraId="6669A718">
      <w:pPr>
        <w:spacing w:line="360" w:lineRule="auto"/>
        <w:ind w:firstLine="716" w:firstLineChars="341"/>
        <w:rPr>
          <w:rFonts w:hint="eastAsia" w:ascii="宋体" w:hAnsi="宋体" w:cs="宋体"/>
          <w:color w:val="auto"/>
          <w:szCs w:val="21"/>
          <w:highlight w:val="none"/>
        </w:rPr>
      </w:pPr>
      <w:r>
        <w:rPr>
          <w:rFonts w:hint="eastAsia" w:ascii="宋体" w:hAnsi="宋体" w:cs="宋体"/>
          <w:color w:val="auto"/>
          <w:szCs w:val="21"/>
          <w:highlight w:val="none"/>
        </w:rPr>
        <w:t>委托代理人：（签字或签章）</w:t>
      </w:r>
    </w:p>
    <w:p w14:paraId="7E3C2C04">
      <w:pPr>
        <w:spacing w:line="360" w:lineRule="auto"/>
        <w:ind w:firstLine="716" w:firstLineChars="341"/>
        <w:rPr>
          <w:rFonts w:hint="eastAsia" w:ascii="宋体" w:hAnsi="宋体" w:cs="宋体"/>
          <w:color w:val="auto"/>
          <w:szCs w:val="21"/>
          <w:highlight w:val="none"/>
        </w:rPr>
      </w:pPr>
      <w:r>
        <w:rPr>
          <w:rFonts w:hint="eastAsia" w:ascii="宋体" w:hAnsi="宋体" w:cs="宋体"/>
          <w:color w:val="auto"/>
          <w:szCs w:val="21"/>
          <w:highlight w:val="none"/>
        </w:rPr>
        <w:t>身份证号码：</w:t>
      </w:r>
    </w:p>
    <w:p w14:paraId="65718FA9">
      <w:pPr>
        <w:spacing w:line="360" w:lineRule="auto"/>
        <w:ind w:firstLine="716" w:firstLineChars="341"/>
        <w:rPr>
          <w:rFonts w:hint="eastAsia" w:ascii="宋体" w:hAnsi="宋体" w:cs="宋体"/>
          <w:color w:val="auto"/>
          <w:szCs w:val="21"/>
          <w:highlight w:val="none"/>
        </w:rPr>
      </w:pPr>
      <w:r>
        <w:rPr>
          <w:rFonts w:hint="eastAsia" w:ascii="宋体" w:hAnsi="宋体" w:cs="宋体"/>
          <w:color w:val="auto"/>
          <w:szCs w:val="21"/>
          <w:highlight w:val="none"/>
        </w:rPr>
        <w:t>年月日</w:t>
      </w:r>
    </w:p>
    <w:bookmarkEnd w:id="139"/>
    <w:bookmarkEnd w:id="140"/>
    <w:bookmarkEnd w:id="141"/>
    <w:p w14:paraId="50A12A20">
      <w:pPr>
        <w:spacing w:line="360" w:lineRule="auto"/>
        <w:ind w:firstLine="472" w:firstLineChars="224"/>
        <w:rPr>
          <w:rFonts w:hint="eastAsia" w:ascii="宋体" w:hAnsi="宋体" w:cs="宋体"/>
          <w:b/>
          <w:color w:val="auto"/>
          <w:szCs w:val="21"/>
          <w:highlight w:val="none"/>
        </w:rPr>
        <w:sectPr>
          <w:pgSz w:w="11906" w:h="16838"/>
          <w:pgMar w:top="1440" w:right="1080" w:bottom="1440" w:left="1080" w:header="851" w:footer="992" w:gutter="283"/>
          <w:cols w:space="720" w:num="1"/>
          <w:titlePg/>
          <w:docGrid w:type="lines" w:linePitch="313" w:charSpace="0"/>
        </w:sectPr>
      </w:pPr>
      <w:r>
        <w:rPr>
          <w:rFonts w:hint="eastAsia" w:ascii="宋体" w:hAnsi="宋体" w:cs="宋体"/>
          <w:b/>
          <w:color w:val="auto"/>
          <w:szCs w:val="21"/>
          <w:highlight w:val="none"/>
        </w:rPr>
        <w:t>注：附授权委托人身份证复印件，如申请人由法定代表人亲自签署谈判申请文件并参与相关活动，则不需要办理授权。如有被授权的代理人签署上述文件，则必须按本格式规定填报并提交授权书，否则被授权的代理人将不被认可。</w:t>
      </w:r>
      <w:bookmarkStart w:id="142" w:name="_Toc229583230"/>
      <w:bookmarkStart w:id="143" w:name="_Toc271536269"/>
    </w:p>
    <w:p w14:paraId="51D9DE66">
      <w:pPr>
        <w:spacing w:line="360" w:lineRule="auto"/>
        <w:ind w:firstLine="472" w:firstLineChars="224"/>
        <w:outlineLvl w:val="1"/>
        <w:rPr>
          <w:rFonts w:hint="eastAsia" w:ascii="宋体" w:hAnsi="宋体" w:cs="宋体"/>
          <w:b/>
          <w:color w:val="auto"/>
          <w:szCs w:val="21"/>
          <w:highlight w:val="none"/>
        </w:rPr>
      </w:pPr>
      <w:bookmarkStart w:id="144" w:name="_Toc228982332"/>
      <w:bookmarkStart w:id="145" w:name="_Toc228982113"/>
      <w:r>
        <w:rPr>
          <w:rFonts w:hint="eastAsia" w:ascii="宋体" w:hAnsi="宋体" w:cs="宋体"/>
          <w:b/>
          <w:color w:val="auto"/>
          <w:szCs w:val="21"/>
          <w:highlight w:val="none"/>
        </w:rPr>
        <w:t>附件四</w:t>
      </w:r>
      <w:bookmarkEnd w:id="144"/>
      <w:bookmarkEnd w:id="145"/>
    </w:p>
    <w:p w14:paraId="2E35C18D">
      <w:pPr>
        <w:pStyle w:val="3"/>
        <w:spacing w:line="360" w:lineRule="auto"/>
        <w:rPr>
          <w:rFonts w:hint="eastAsia" w:ascii="宋体" w:hAnsi="宋体" w:cs="宋体"/>
          <w:color w:val="auto"/>
          <w:highlight w:val="none"/>
        </w:rPr>
      </w:pPr>
      <w:bookmarkStart w:id="146" w:name="_Toc228982333"/>
      <w:bookmarkStart w:id="147" w:name="_Toc228982114"/>
      <w:r>
        <w:rPr>
          <w:rFonts w:hint="eastAsia" w:ascii="宋体" w:hAnsi="宋体" w:cs="宋体"/>
          <w:color w:val="auto"/>
          <w:highlight w:val="none"/>
        </w:rPr>
        <w:t>谈判申请函</w:t>
      </w:r>
      <w:bookmarkEnd w:id="142"/>
      <w:bookmarkEnd w:id="143"/>
      <w:bookmarkEnd w:id="146"/>
      <w:bookmarkEnd w:id="147"/>
    </w:p>
    <w:p w14:paraId="5F4F1789">
      <w:pPr>
        <w:spacing w:line="360" w:lineRule="auto"/>
        <w:rPr>
          <w:rFonts w:hint="eastAsia" w:ascii="宋体" w:hAnsi="宋体" w:cs="宋体"/>
          <w:b/>
          <w:color w:val="auto"/>
          <w:szCs w:val="21"/>
          <w:highlight w:val="none"/>
        </w:rPr>
      </w:pPr>
      <w:bookmarkStart w:id="148" w:name="_Toc115429318"/>
      <w:bookmarkStart w:id="149" w:name="_Toc118523791"/>
    </w:p>
    <w:p w14:paraId="7846D063">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致</w:t>
      </w:r>
      <w:r>
        <w:rPr>
          <w:rFonts w:hint="eastAsia" w:ascii="宋体" w:hAnsi="宋体" w:cs="宋体"/>
          <w:b/>
          <w:color w:val="auto"/>
          <w:szCs w:val="21"/>
          <w:highlight w:val="none"/>
          <w:u w:val="single"/>
        </w:rPr>
        <w:t xml:space="preserve">        （采购人）             </w:t>
      </w:r>
      <w:r>
        <w:rPr>
          <w:rFonts w:hint="eastAsia" w:ascii="宋体" w:hAnsi="宋体" w:cs="宋体"/>
          <w:b/>
          <w:color w:val="auto"/>
          <w:szCs w:val="21"/>
          <w:highlight w:val="none"/>
        </w:rPr>
        <w:t>：</w:t>
      </w:r>
    </w:p>
    <w:p w14:paraId="4FB55C33">
      <w:pPr>
        <w:spacing w:line="360" w:lineRule="auto"/>
        <w:ind w:firstLine="490"/>
        <w:rPr>
          <w:rFonts w:hint="eastAsia" w:ascii="宋体" w:hAnsi="宋体" w:cs="宋体"/>
          <w:color w:val="auto"/>
          <w:szCs w:val="21"/>
          <w:highlight w:val="none"/>
        </w:rPr>
      </w:pPr>
      <w:r>
        <w:rPr>
          <w:rFonts w:hint="eastAsia" w:ascii="宋体" w:hAnsi="宋体" w:cs="宋体"/>
          <w:color w:val="auto"/>
          <w:szCs w:val="21"/>
          <w:highlight w:val="none"/>
        </w:rPr>
        <w:t>我方已仔细研究了</w:t>
      </w:r>
      <w:r>
        <w:rPr>
          <w:rFonts w:hint="eastAsia" w:ascii="宋体" w:hAnsi="宋体" w:cs="宋体"/>
          <w:color w:val="auto"/>
          <w:szCs w:val="21"/>
          <w:highlight w:val="none"/>
          <w:u w:val="single"/>
        </w:rPr>
        <w:t xml:space="preserve">                                项目</w:t>
      </w:r>
      <w:r>
        <w:rPr>
          <w:rFonts w:hint="eastAsia" w:ascii="宋体" w:hAnsi="宋体" w:cs="宋体"/>
          <w:color w:val="auto"/>
          <w:szCs w:val="21"/>
          <w:highlight w:val="none"/>
        </w:rPr>
        <w:t>的谈判文件。我单位</w:t>
      </w:r>
      <w:r>
        <w:rPr>
          <w:rFonts w:hint="eastAsia" w:ascii="宋体" w:hAnsi="宋体" w:cs="宋体"/>
          <w:color w:val="auto"/>
          <w:szCs w:val="21"/>
          <w:highlight w:val="none"/>
          <w:u w:val="single"/>
        </w:rPr>
        <w:t>（公司）</w:t>
      </w:r>
      <w:r>
        <w:rPr>
          <w:rFonts w:hint="eastAsia" w:ascii="宋体" w:hAnsi="宋体" w:cs="宋体"/>
          <w:color w:val="auto"/>
          <w:szCs w:val="21"/>
          <w:highlight w:val="none"/>
        </w:rPr>
        <w:t>决定参加本次谈判。我单位（或公司）同意以下事项：</w:t>
      </w:r>
    </w:p>
    <w:p w14:paraId="7B9F02A4">
      <w:pPr>
        <w:spacing w:line="360" w:lineRule="auto"/>
        <w:ind w:firstLine="490"/>
        <w:rPr>
          <w:rFonts w:hint="eastAsia" w:ascii="宋体" w:hAnsi="宋体" w:cs="宋体"/>
          <w:color w:val="auto"/>
          <w:szCs w:val="21"/>
          <w:highlight w:val="none"/>
        </w:rPr>
      </w:pPr>
      <w:r>
        <w:rPr>
          <w:rFonts w:hint="eastAsia" w:ascii="宋体" w:hAnsi="宋体" w:cs="宋体"/>
          <w:color w:val="auto"/>
          <w:szCs w:val="21"/>
          <w:highlight w:val="none"/>
        </w:rPr>
        <w:t>1、本次谈判总价为：_____________________（人民币：元）；</w:t>
      </w:r>
    </w:p>
    <w:p w14:paraId="1E353FEC">
      <w:pPr>
        <w:spacing w:line="360" w:lineRule="auto"/>
        <w:ind w:firstLine="490"/>
        <w:rPr>
          <w:rFonts w:hint="eastAsia" w:ascii="宋体" w:hAnsi="宋体" w:cs="宋体"/>
          <w:color w:val="auto"/>
          <w:szCs w:val="21"/>
          <w:highlight w:val="none"/>
        </w:rPr>
      </w:pPr>
      <w:r>
        <w:rPr>
          <w:rFonts w:hint="eastAsia" w:ascii="宋体" w:hAnsi="宋体" w:cs="宋体"/>
          <w:color w:val="auto"/>
          <w:szCs w:val="21"/>
          <w:highlight w:val="none"/>
        </w:rPr>
        <w:t>2、遵守谈判文件的各项条款及一切有关规定；</w:t>
      </w:r>
    </w:p>
    <w:p w14:paraId="7BE1FB66">
      <w:pPr>
        <w:spacing w:line="360" w:lineRule="auto"/>
        <w:ind w:firstLine="490"/>
        <w:rPr>
          <w:rFonts w:hint="eastAsia" w:ascii="宋体" w:hAnsi="宋体" w:cs="宋体"/>
          <w:color w:val="auto"/>
          <w:szCs w:val="21"/>
          <w:highlight w:val="none"/>
        </w:rPr>
      </w:pPr>
      <w:r>
        <w:rPr>
          <w:rFonts w:hint="eastAsia" w:ascii="宋体" w:hAnsi="宋体" w:cs="宋体"/>
          <w:color w:val="auto"/>
          <w:szCs w:val="21"/>
          <w:highlight w:val="none"/>
        </w:rPr>
        <w:t>3、向贵方提供所有与采购事项有关的真实有效的数据、情况和技术资料；</w:t>
      </w:r>
    </w:p>
    <w:p w14:paraId="277680E0">
      <w:pPr>
        <w:spacing w:line="360" w:lineRule="auto"/>
        <w:ind w:firstLine="490"/>
        <w:rPr>
          <w:rFonts w:hint="eastAsia" w:ascii="宋体" w:hAnsi="宋体" w:cs="宋体"/>
          <w:color w:val="auto"/>
          <w:szCs w:val="21"/>
          <w:highlight w:val="none"/>
        </w:rPr>
      </w:pPr>
      <w:r>
        <w:rPr>
          <w:rFonts w:hint="eastAsia" w:ascii="宋体" w:hAnsi="宋体" w:cs="宋体"/>
          <w:color w:val="auto"/>
          <w:szCs w:val="21"/>
          <w:highlight w:val="none"/>
        </w:rPr>
        <w:t>4、如我方谈判申请被接受，我方将按谈判文件的规定履行合同责任和义务。</w:t>
      </w:r>
    </w:p>
    <w:p w14:paraId="083ADEEE">
      <w:pPr>
        <w:spacing w:line="360" w:lineRule="auto"/>
        <w:ind w:firstLine="490"/>
        <w:rPr>
          <w:rFonts w:hint="eastAsia" w:ascii="宋体" w:hAnsi="宋体" w:cs="宋体"/>
          <w:color w:val="auto"/>
          <w:szCs w:val="21"/>
          <w:highlight w:val="none"/>
        </w:rPr>
      </w:pPr>
      <w:r>
        <w:rPr>
          <w:rFonts w:hint="eastAsia" w:ascii="宋体" w:hAnsi="宋体" w:cs="宋体"/>
          <w:color w:val="auto"/>
          <w:szCs w:val="21"/>
          <w:highlight w:val="none"/>
        </w:rPr>
        <w:t>5、本谈判申请书自贵方收到之日生效，有效期至开标后60日，在此期间本谈判申请书之规定对我方具有约束力；</w:t>
      </w:r>
    </w:p>
    <w:p w14:paraId="558703DC">
      <w:pPr>
        <w:spacing w:line="360" w:lineRule="auto"/>
        <w:ind w:firstLine="490"/>
        <w:rPr>
          <w:rFonts w:hint="eastAsia" w:ascii="宋体" w:hAnsi="宋体" w:cs="宋体"/>
          <w:color w:val="auto"/>
          <w:szCs w:val="21"/>
          <w:highlight w:val="none"/>
        </w:rPr>
      </w:pPr>
      <w:r>
        <w:rPr>
          <w:rFonts w:hint="eastAsia" w:ascii="宋体" w:hAnsi="宋体" w:cs="宋体"/>
          <w:color w:val="auto"/>
          <w:szCs w:val="21"/>
          <w:highlight w:val="none"/>
        </w:rPr>
        <w:t>6、如果我方谈判申请被接受，则至合同履行完成和质量保证期满为止，本谈判申请书保持有效。</w:t>
      </w:r>
    </w:p>
    <w:p w14:paraId="37ABFFFD">
      <w:pPr>
        <w:spacing w:line="360" w:lineRule="auto"/>
        <w:ind w:firstLine="490"/>
        <w:rPr>
          <w:rFonts w:hint="eastAsia" w:ascii="宋体" w:hAnsi="宋体" w:cs="宋体"/>
          <w:color w:val="auto"/>
          <w:szCs w:val="21"/>
          <w:highlight w:val="none"/>
        </w:rPr>
      </w:pPr>
    </w:p>
    <w:p w14:paraId="5C886A6B">
      <w:pPr>
        <w:spacing w:line="360" w:lineRule="auto"/>
        <w:ind w:firstLine="490"/>
        <w:rPr>
          <w:rFonts w:hint="eastAsia" w:ascii="宋体" w:hAnsi="宋体" w:cs="宋体"/>
          <w:color w:val="auto"/>
          <w:szCs w:val="21"/>
          <w:highlight w:val="none"/>
        </w:rPr>
      </w:pPr>
    </w:p>
    <w:p w14:paraId="78677F15">
      <w:pPr>
        <w:spacing w:line="360" w:lineRule="auto"/>
        <w:ind w:leftChars="-47" w:hanging="98" w:hangingChars="47"/>
        <w:rPr>
          <w:rFonts w:hint="eastAsia" w:ascii="宋体" w:hAnsi="宋体" w:cs="宋体"/>
          <w:color w:val="auto"/>
          <w:szCs w:val="21"/>
          <w:highlight w:val="none"/>
          <w:u w:val="single"/>
        </w:rPr>
      </w:pPr>
      <w:r>
        <w:rPr>
          <w:rFonts w:hint="eastAsia" w:ascii="宋体" w:hAnsi="宋体" w:cs="宋体"/>
          <w:color w:val="auto"/>
          <w:szCs w:val="21"/>
          <w:highlight w:val="none"/>
        </w:rPr>
        <w:t xml:space="preserve">         谈判申请人：</w:t>
      </w:r>
      <w:r>
        <w:rPr>
          <w:rFonts w:hint="eastAsia" w:ascii="宋体" w:hAnsi="宋体" w:cs="宋体"/>
          <w:color w:val="auto"/>
          <w:szCs w:val="21"/>
          <w:highlight w:val="none"/>
          <w:u w:val="single"/>
        </w:rPr>
        <w:t xml:space="preserve">                             （电子签章）   </w:t>
      </w:r>
    </w:p>
    <w:p w14:paraId="35833E44">
      <w:pPr>
        <w:spacing w:line="360" w:lineRule="auto"/>
        <w:ind w:leftChars="-47" w:hanging="98" w:hangingChars="47"/>
        <w:rPr>
          <w:rFonts w:hint="eastAsia" w:ascii="宋体" w:hAnsi="宋体" w:cs="宋体"/>
          <w:color w:val="auto"/>
          <w:szCs w:val="21"/>
          <w:highlight w:val="none"/>
          <w:u w:val="single"/>
        </w:rPr>
      </w:pPr>
      <w:r>
        <w:rPr>
          <w:rFonts w:hint="eastAsia" w:ascii="宋体" w:hAnsi="宋体" w:cs="宋体"/>
          <w:color w:val="auto"/>
          <w:szCs w:val="21"/>
          <w:highlight w:val="none"/>
        </w:rPr>
        <w:t xml:space="preserve">         单位地址：</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p>
    <w:p w14:paraId="06F89770">
      <w:pPr>
        <w:spacing w:line="360" w:lineRule="auto"/>
        <w:ind w:leftChars="-47" w:hanging="98" w:hangingChars="47"/>
        <w:rPr>
          <w:rFonts w:hint="eastAsia" w:ascii="宋体" w:hAnsi="宋体" w:cs="宋体"/>
          <w:color w:val="auto"/>
          <w:szCs w:val="21"/>
          <w:highlight w:val="none"/>
          <w:u w:val="single"/>
        </w:rPr>
      </w:pPr>
      <w:r>
        <w:rPr>
          <w:rFonts w:hint="eastAsia" w:ascii="宋体" w:hAnsi="宋体" w:cs="宋体"/>
          <w:color w:val="auto"/>
          <w:szCs w:val="21"/>
          <w:highlight w:val="none"/>
        </w:rPr>
        <w:t xml:space="preserve">         法定代表人或其委托代理人：</w:t>
      </w:r>
      <w:r>
        <w:rPr>
          <w:rFonts w:hint="eastAsia" w:ascii="宋体" w:hAnsi="宋体" w:cs="宋体"/>
          <w:color w:val="auto"/>
          <w:szCs w:val="21"/>
          <w:highlight w:val="none"/>
          <w:u w:val="single"/>
        </w:rPr>
        <w:t xml:space="preserve">         （签字或电子签章）</w:t>
      </w:r>
    </w:p>
    <w:p w14:paraId="09D66A46">
      <w:pPr>
        <w:spacing w:line="360" w:lineRule="auto"/>
        <w:ind w:leftChars="-47" w:hanging="98" w:hangingChars="47"/>
        <w:rPr>
          <w:rFonts w:hint="eastAsia" w:ascii="宋体" w:hAnsi="宋体" w:cs="宋体"/>
          <w:color w:val="auto"/>
          <w:szCs w:val="21"/>
          <w:highlight w:val="none"/>
        </w:rPr>
      </w:pP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rPr>
        <w:t>电话：</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rPr>
        <w:t xml:space="preserve"> 传真：</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p>
    <w:p w14:paraId="01B7B6F5">
      <w:pPr>
        <w:spacing w:line="360" w:lineRule="auto"/>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开户银行名称：</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p>
    <w:p w14:paraId="7FF278F7">
      <w:pPr>
        <w:spacing w:line="360" w:lineRule="auto"/>
        <w:ind w:firstLine="840" w:firstLineChars="400"/>
        <w:rPr>
          <w:rFonts w:hint="eastAsia" w:ascii="宋体" w:hAnsi="宋体" w:cs="宋体"/>
          <w:color w:val="auto"/>
          <w:szCs w:val="21"/>
          <w:highlight w:val="none"/>
          <w:u w:val="single"/>
        </w:rPr>
        <w:sectPr>
          <w:pgSz w:w="11906" w:h="16838"/>
          <w:pgMar w:top="1440" w:right="1080" w:bottom="1440" w:left="1080" w:header="851" w:footer="992" w:gutter="283"/>
          <w:cols w:space="720" w:num="1"/>
          <w:titlePg/>
          <w:docGrid w:type="lines" w:linePitch="313" w:charSpace="0"/>
        </w:sectPr>
      </w:pPr>
      <w:r>
        <w:rPr>
          <w:rFonts w:hint="eastAsia" w:ascii="宋体" w:hAnsi="宋体" w:cs="宋体"/>
          <w:color w:val="auto"/>
          <w:szCs w:val="21"/>
          <w:highlight w:val="none"/>
        </w:rPr>
        <w:t>开户银行账号：</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bookmarkEnd w:id="148"/>
      <w:bookmarkEnd w:id="149"/>
      <w:bookmarkStart w:id="150" w:name="_Toc266276243"/>
      <w:bookmarkStart w:id="151" w:name="_Toc265945107"/>
      <w:bookmarkStart w:id="152" w:name="_Toc266802726"/>
      <w:bookmarkStart w:id="153" w:name="_Toc264639150"/>
      <w:bookmarkStart w:id="154" w:name="_Toc292462201"/>
      <w:bookmarkStart w:id="155" w:name="_Toc264625041"/>
      <w:bookmarkStart w:id="156" w:name="_Toc294370200"/>
    </w:p>
    <w:p w14:paraId="1417A322">
      <w:pPr>
        <w:spacing w:line="360" w:lineRule="auto"/>
        <w:outlineLvl w:val="1"/>
        <w:rPr>
          <w:rFonts w:hint="eastAsia" w:ascii="宋体" w:hAnsi="宋体" w:cs="宋体"/>
          <w:b/>
          <w:color w:val="auto"/>
          <w:szCs w:val="21"/>
          <w:highlight w:val="none"/>
        </w:rPr>
      </w:pPr>
      <w:bookmarkStart w:id="157" w:name="_Toc228982115"/>
      <w:bookmarkStart w:id="158" w:name="_Toc228982334"/>
      <w:r>
        <w:rPr>
          <w:rFonts w:hint="eastAsia" w:ascii="宋体" w:hAnsi="宋体" w:cs="宋体"/>
          <w:b/>
          <w:color w:val="auto"/>
          <w:szCs w:val="21"/>
          <w:highlight w:val="none"/>
        </w:rPr>
        <w:t>附件五</w:t>
      </w:r>
      <w:bookmarkEnd w:id="157"/>
      <w:bookmarkEnd w:id="158"/>
    </w:p>
    <w:bookmarkEnd w:id="150"/>
    <w:bookmarkEnd w:id="151"/>
    <w:bookmarkEnd w:id="152"/>
    <w:bookmarkEnd w:id="153"/>
    <w:bookmarkEnd w:id="154"/>
    <w:bookmarkEnd w:id="155"/>
    <w:bookmarkEnd w:id="156"/>
    <w:p w14:paraId="69D9FC15">
      <w:pPr>
        <w:spacing w:line="360" w:lineRule="auto"/>
        <w:rPr>
          <w:rFonts w:hint="eastAsia" w:ascii="宋体" w:hAnsi="宋体" w:cs="宋体"/>
          <w:b/>
          <w:color w:val="auto"/>
          <w:szCs w:val="21"/>
          <w:highlight w:val="none"/>
        </w:rPr>
      </w:pPr>
    </w:p>
    <w:p w14:paraId="6AA89C53">
      <w:pPr>
        <w:spacing w:line="360" w:lineRule="auto"/>
        <w:jc w:val="center"/>
        <w:outlineLvl w:val="1"/>
        <w:rPr>
          <w:rFonts w:hint="eastAsia" w:ascii="宋体" w:hAnsi="宋体" w:cs="宋体"/>
          <w:color w:val="auto"/>
          <w:sz w:val="32"/>
          <w:szCs w:val="32"/>
          <w:highlight w:val="none"/>
        </w:rPr>
      </w:pPr>
      <w:bookmarkStart w:id="159" w:name="_Toc228982335"/>
      <w:bookmarkStart w:id="160" w:name="_Toc228982116"/>
      <w:r>
        <w:rPr>
          <w:rFonts w:hint="eastAsia" w:ascii="宋体" w:hAnsi="宋体" w:cs="宋体"/>
          <w:color w:val="auto"/>
          <w:sz w:val="32"/>
          <w:szCs w:val="32"/>
          <w:highlight w:val="none"/>
        </w:rPr>
        <w:t>资格证明文件</w:t>
      </w:r>
      <w:bookmarkEnd w:id="159"/>
      <w:bookmarkEnd w:id="160"/>
    </w:p>
    <w:p w14:paraId="61820F2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558CB77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1.1具有独立承担民事责任的能力：供应商须在中华人民共和国境内注册，须具备经国家市场监督部门登记注册的独立企业（事业）法人、其他组织，具备有效的营业执照（或事业单位法人证书或其他类似的法定证明文件）；</w:t>
      </w:r>
    </w:p>
    <w:p w14:paraId="12683292">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1.2具有良好的商业信誉和健全的财务会计制度：</w:t>
      </w:r>
    </w:p>
    <w:p w14:paraId="4268BDB1">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1.2.1供应商在本项目响应文件提交截止时间前，在“信用中国”网站（www.creditchina.gov.cn）中未被列入政府采购不良行为记录名单、失信惩戒对象和重大税收违法案件当事人名单；在中国政府采购网（www.ccgp.gov.cn）政府采购严重违法失信行为记录名单中无不良信息记录（查询时间为本公告发布之日起至提交响应文件之日止，查询结果以采购人、采购代理机构查询结果为准，并将查询记录和证据留存）；</w:t>
      </w:r>
    </w:p>
    <w:p w14:paraId="4742010C">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1.2.2</w:t>
      </w:r>
      <w:r>
        <w:rPr>
          <w:rFonts w:hint="eastAsia" w:ascii="宋体" w:hAnsi="宋体" w:cs="宋体"/>
          <w:snapToGrid w:val="0"/>
          <w:color w:val="auto"/>
          <w:kern w:val="0"/>
          <w:highlight w:val="none"/>
        </w:rPr>
        <w:t>提供2024或2025年度经审计的财务会计报表，包括财务审计报告、资产负债表、利润表、现金流量表；未经审计的单位提供2025年度的财务会计报表。（成立不满1年的新企业无需提供）；</w:t>
      </w:r>
      <w:r>
        <w:rPr>
          <w:rFonts w:hint="eastAsia" w:ascii="宋体" w:hAnsi="宋体" w:cs="宋体"/>
          <w:color w:val="auto"/>
          <w:highlight w:val="none"/>
        </w:rPr>
        <w:t xml:space="preserve"> </w:t>
      </w:r>
    </w:p>
    <w:p w14:paraId="4A2F09B8">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1.3有依法缴纳税收和社会保障资金的良好记录：提供缴税所属时间在2025年1月至今任意1个月的税务局税收通用缴款书复印件或银行电子缴税（费）凭证复印件或税务局出具纳税情况的相关证明；依法免税的，应提供依法免税的相关证明材料；提供缴费所属时间在2025年1月至今任意1个月的社会保险费缴款书复印件或银行电子缴税（费）凭证或社保管理部门出具的有效的缴款证明；依法免缴的，应提供依法免缴的相关证明材料。</w:t>
      </w:r>
    </w:p>
    <w:p w14:paraId="0994A1F4">
      <w:pPr>
        <w:adjustRightInd w:val="0"/>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1.4参加政府采购活动前三年（2023年1月至今），在经营活动中没有重大违法记录：提供供应商参加政府采购活动前三年（2023年1月至今），在经营活动中没有重大违法记录（重大违法记录，是指供应商因违法经营受到刑事处罚或者责令停产停业、吊销许可证或者执照、较大数额罚款等行政处罚）的书面声明；</w:t>
      </w:r>
    </w:p>
    <w:p w14:paraId="2615B368">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1.5法律、行政法规规定的其他条件。 </w:t>
      </w:r>
    </w:p>
    <w:p w14:paraId="2990653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2.落实政府采购政策需满足的资格要求：本项目为专门面向中小企业采购项目。</w:t>
      </w:r>
    </w:p>
    <w:p w14:paraId="2388A170">
      <w:pPr>
        <w:adjustRightInd w:val="0"/>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3.本项目的特定资格要求：单位负责人为同一人或者存在直接控股、管理关系的不同供应商，不得参加同一合同项下的政府采购活动（提供说明函）</w:t>
      </w:r>
    </w:p>
    <w:p w14:paraId="4BA61C14">
      <w:pPr>
        <w:rPr>
          <w:rFonts w:hint="eastAsia" w:ascii="宋体" w:hAnsi="宋体" w:cs="宋体"/>
          <w:color w:val="auto"/>
          <w:highlight w:val="none"/>
        </w:rPr>
      </w:pPr>
    </w:p>
    <w:p w14:paraId="3E9015AA">
      <w:pPr>
        <w:rPr>
          <w:rFonts w:hint="eastAsia" w:ascii="宋体" w:hAnsi="宋体" w:cs="宋体"/>
          <w:color w:val="auto"/>
          <w:highlight w:val="none"/>
        </w:rPr>
      </w:pPr>
    </w:p>
    <w:p w14:paraId="389BF1E6">
      <w:pPr>
        <w:rPr>
          <w:rFonts w:hint="eastAsia" w:ascii="宋体" w:hAnsi="宋体" w:cs="宋体"/>
          <w:color w:val="auto"/>
          <w:highlight w:val="none"/>
        </w:rPr>
      </w:pPr>
    </w:p>
    <w:bookmarkEnd w:id="132"/>
    <w:bookmarkEnd w:id="133"/>
    <w:p w14:paraId="519BE7E9">
      <w:pPr>
        <w:rPr>
          <w:rFonts w:hint="eastAsia" w:ascii="宋体" w:hAnsi="宋体" w:cs="宋体"/>
          <w:b/>
          <w:color w:val="auto"/>
          <w:szCs w:val="21"/>
          <w:highlight w:val="none"/>
        </w:rPr>
      </w:pPr>
      <w:r>
        <w:rPr>
          <w:rFonts w:hint="eastAsia" w:ascii="宋体" w:hAnsi="宋体" w:cs="宋体"/>
          <w:b/>
          <w:color w:val="auto"/>
          <w:szCs w:val="21"/>
          <w:highlight w:val="none"/>
        </w:rPr>
        <w:br w:type="page"/>
      </w:r>
    </w:p>
    <w:p w14:paraId="651CA9F0">
      <w:pPr>
        <w:outlineLvl w:val="1"/>
        <w:rPr>
          <w:rFonts w:hint="eastAsia" w:ascii="宋体" w:hAnsi="宋体" w:cs="宋体"/>
          <w:b/>
          <w:color w:val="auto"/>
          <w:szCs w:val="21"/>
          <w:highlight w:val="none"/>
        </w:rPr>
      </w:pPr>
      <w:bookmarkStart w:id="161" w:name="_Toc228982117"/>
      <w:bookmarkStart w:id="162" w:name="_Toc228982336"/>
      <w:r>
        <w:rPr>
          <w:rFonts w:hint="eastAsia" w:ascii="宋体" w:hAnsi="宋体" w:cs="宋体"/>
          <w:b/>
          <w:color w:val="auto"/>
          <w:szCs w:val="21"/>
          <w:highlight w:val="none"/>
        </w:rPr>
        <w:t>附件六</w:t>
      </w:r>
      <w:bookmarkEnd w:id="161"/>
      <w:bookmarkEnd w:id="162"/>
    </w:p>
    <w:p w14:paraId="17B0434B">
      <w:pPr>
        <w:rPr>
          <w:rFonts w:hint="eastAsia" w:ascii="宋体" w:hAnsi="宋体" w:cs="宋体"/>
          <w:color w:val="auto"/>
          <w:highlight w:val="none"/>
        </w:rPr>
      </w:pPr>
    </w:p>
    <w:p w14:paraId="60124553">
      <w:pPr>
        <w:pStyle w:val="3"/>
        <w:rPr>
          <w:rFonts w:hint="eastAsia" w:ascii="宋体" w:hAnsi="宋体" w:cs="宋体"/>
          <w:color w:val="auto"/>
          <w:szCs w:val="30"/>
          <w:highlight w:val="none"/>
        </w:rPr>
      </w:pPr>
      <w:bookmarkStart w:id="163" w:name="_Toc228982118"/>
      <w:bookmarkStart w:id="164" w:name="_Toc1776"/>
      <w:bookmarkStart w:id="165" w:name="_Toc228982337"/>
      <w:r>
        <w:rPr>
          <w:rFonts w:hint="eastAsia" w:ascii="宋体" w:hAnsi="宋体" w:cs="宋体"/>
          <w:color w:val="auto"/>
          <w:szCs w:val="30"/>
          <w:highlight w:val="none"/>
        </w:rPr>
        <w:t>近三年（2023年至今）的同类项目业绩</w:t>
      </w:r>
      <w:bookmarkEnd w:id="163"/>
      <w:bookmarkEnd w:id="164"/>
      <w:bookmarkEnd w:id="165"/>
    </w:p>
    <w:p w14:paraId="37FA5A05">
      <w:pPr>
        <w:jc w:val="right"/>
        <w:rPr>
          <w:rFonts w:hint="eastAsia" w:ascii="宋体" w:hAnsi="宋体" w:cs="宋体"/>
          <w:color w:val="auto"/>
          <w:szCs w:val="21"/>
          <w:highlight w:val="none"/>
        </w:rPr>
      </w:pPr>
    </w:p>
    <w:p w14:paraId="1A5C35A1">
      <w:pPr>
        <w:pStyle w:val="8"/>
        <w:rPr>
          <w:rFonts w:hint="eastAsia" w:ascii="宋体" w:hAnsi="宋体" w:cs="宋体"/>
          <w:color w:val="auto"/>
          <w:szCs w:val="21"/>
          <w:highlight w:val="none"/>
        </w:rPr>
      </w:pPr>
      <w:r>
        <w:rPr>
          <w:rFonts w:hint="eastAsia" w:ascii="宋体" w:hAnsi="宋体" w:cs="宋体"/>
          <w:color w:val="auto"/>
          <w:szCs w:val="21"/>
          <w:highlight w:val="none"/>
        </w:rPr>
        <w:t>注：1、应附2023年至今同类项目业绩的证明材料（如合同或成交通知书等复印件），</w:t>
      </w:r>
    </w:p>
    <w:p w14:paraId="5E8223B9">
      <w:pPr>
        <w:pStyle w:val="8"/>
        <w:rPr>
          <w:rFonts w:hint="eastAsia" w:ascii="宋体" w:hAnsi="宋体" w:cs="宋体"/>
          <w:color w:val="auto"/>
          <w:szCs w:val="21"/>
          <w:highlight w:val="none"/>
        </w:rPr>
        <w:sectPr>
          <w:pgSz w:w="11906" w:h="16838"/>
          <w:pgMar w:top="1440" w:right="1080" w:bottom="1440" w:left="1080" w:header="851" w:footer="992" w:gutter="283"/>
          <w:cols w:space="720" w:num="1"/>
          <w:titlePg/>
          <w:docGrid w:type="lines" w:linePitch="313" w:charSpace="0"/>
        </w:sectPr>
      </w:pPr>
      <w:r>
        <w:rPr>
          <w:rFonts w:hint="eastAsia" w:ascii="宋体" w:hAnsi="宋体" w:cs="宋体"/>
          <w:color w:val="auto"/>
          <w:szCs w:val="21"/>
          <w:highlight w:val="none"/>
        </w:rPr>
        <w:t>2、同类项目业绩是指和本项目相同或相似的产品业绩.</w:t>
      </w:r>
    </w:p>
    <w:p w14:paraId="41A15FED">
      <w:pPr>
        <w:pStyle w:val="3"/>
        <w:jc w:val="both"/>
        <w:rPr>
          <w:rFonts w:hint="eastAsia" w:ascii="宋体" w:hAnsi="宋体" w:cs="宋体"/>
          <w:color w:val="auto"/>
          <w:sz w:val="21"/>
          <w:szCs w:val="21"/>
          <w:highlight w:val="none"/>
        </w:rPr>
      </w:pPr>
      <w:bookmarkStart w:id="166" w:name="_Toc228982338"/>
      <w:bookmarkStart w:id="167" w:name="_Toc228982119"/>
      <w:bookmarkStart w:id="168" w:name="_Toc5708"/>
      <w:r>
        <w:rPr>
          <w:rFonts w:hint="eastAsia" w:ascii="宋体" w:hAnsi="宋体" w:cs="宋体"/>
          <w:color w:val="auto"/>
          <w:sz w:val="21"/>
          <w:szCs w:val="21"/>
          <w:highlight w:val="none"/>
        </w:rPr>
        <w:t>附件七</w:t>
      </w:r>
      <w:bookmarkEnd w:id="166"/>
      <w:bookmarkEnd w:id="167"/>
      <w:bookmarkEnd w:id="168"/>
    </w:p>
    <w:p w14:paraId="66E9DA44">
      <w:pPr>
        <w:rPr>
          <w:rFonts w:hint="eastAsia" w:ascii="宋体" w:hAnsi="宋体" w:cs="宋体"/>
          <w:color w:val="auto"/>
          <w:highlight w:val="none"/>
        </w:rPr>
      </w:pPr>
    </w:p>
    <w:p w14:paraId="3467545F">
      <w:pPr>
        <w:pStyle w:val="3"/>
        <w:rPr>
          <w:rFonts w:hint="eastAsia" w:ascii="宋体" w:hAnsi="宋体" w:cs="宋体"/>
          <w:color w:val="auto"/>
          <w:sz w:val="28"/>
          <w:szCs w:val="28"/>
          <w:highlight w:val="none"/>
        </w:rPr>
      </w:pPr>
      <w:bookmarkStart w:id="169" w:name="_Toc228982339"/>
      <w:bookmarkStart w:id="170" w:name="_Toc4323"/>
      <w:bookmarkStart w:id="171" w:name="_Toc228982120"/>
      <w:r>
        <w:rPr>
          <w:rFonts w:hint="eastAsia" w:ascii="宋体" w:hAnsi="宋体" w:cs="宋体"/>
          <w:color w:val="auto"/>
          <w:sz w:val="28"/>
          <w:szCs w:val="28"/>
          <w:highlight w:val="none"/>
        </w:rPr>
        <w:t>分项报价一览表</w:t>
      </w:r>
      <w:bookmarkEnd w:id="169"/>
      <w:bookmarkEnd w:id="170"/>
      <w:bookmarkEnd w:id="171"/>
    </w:p>
    <w:p w14:paraId="7B1C890A">
      <w:pPr>
        <w:spacing w:line="240" w:lineRule="atLeast"/>
        <w:rPr>
          <w:rFonts w:hint="eastAsia" w:ascii="宋体" w:hAnsi="宋体" w:cs="宋体"/>
          <w:color w:val="auto"/>
          <w:sz w:val="24"/>
          <w:szCs w:val="24"/>
          <w:highlight w:val="none"/>
        </w:rPr>
      </w:pPr>
    </w:p>
    <w:p w14:paraId="10C23E3F">
      <w:pPr>
        <w:spacing w:line="240"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根据采购需求清单自行编制加盖公章</w:t>
      </w:r>
    </w:p>
    <w:p w14:paraId="06DAA2E0">
      <w:pPr>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p>
    <w:p w14:paraId="0CA71065">
      <w:pPr>
        <w:pStyle w:val="47"/>
        <w:rPr>
          <w:rFonts w:hint="eastAsia" w:ascii="宋体" w:hAnsi="宋体" w:cs="宋体"/>
          <w:color w:val="auto"/>
          <w:szCs w:val="24"/>
          <w:highlight w:val="none"/>
        </w:rPr>
      </w:pPr>
    </w:p>
    <w:p w14:paraId="002C9BD5">
      <w:pPr>
        <w:pStyle w:val="47"/>
        <w:rPr>
          <w:rFonts w:hint="eastAsia" w:ascii="宋体" w:hAnsi="宋体" w:cs="宋体"/>
          <w:color w:val="auto"/>
          <w:szCs w:val="24"/>
          <w:highlight w:val="none"/>
        </w:rPr>
      </w:pPr>
    </w:p>
    <w:p w14:paraId="4A62E324">
      <w:pPr>
        <w:pStyle w:val="47"/>
        <w:rPr>
          <w:rFonts w:hint="eastAsia" w:ascii="宋体" w:hAnsi="宋体" w:cs="宋体"/>
          <w:color w:val="auto"/>
          <w:szCs w:val="24"/>
          <w:highlight w:val="none"/>
        </w:rPr>
      </w:pPr>
    </w:p>
    <w:p w14:paraId="4EB0AEBA">
      <w:pPr>
        <w:pStyle w:val="17"/>
        <w:spacing w:line="360" w:lineRule="auto"/>
        <w:ind w:firstLine="482" w:firstLineChars="200"/>
        <w:rPr>
          <w:rFonts w:hint="eastAsia" w:hAnsi="宋体" w:cs="宋体"/>
          <w:color w:val="auto"/>
          <w:sz w:val="24"/>
          <w:szCs w:val="24"/>
          <w:highlight w:val="none"/>
        </w:rPr>
        <w:sectPr>
          <w:pgSz w:w="11906" w:h="16838"/>
          <w:pgMar w:top="1440" w:right="1080" w:bottom="1440" w:left="1080" w:header="851" w:footer="992" w:gutter="283"/>
          <w:cols w:space="720" w:num="1"/>
          <w:titlePg/>
          <w:docGrid w:type="lines" w:linePitch="313" w:charSpace="0"/>
        </w:sectPr>
      </w:pPr>
      <w:r>
        <w:rPr>
          <w:rFonts w:hint="eastAsia" w:hAnsi="宋体" w:cs="宋体"/>
          <w:b/>
          <w:color w:val="auto"/>
          <w:sz w:val="24"/>
          <w:szCs w:val="24"/>
          <w:highlight w:val="none"/>
        </w:rPr>
        <w:t>注：此表中的产品报价必须与投标产品技术参数说明中的产品完全对应。否则视为报价不具备完整性、合理性，采购需求评审不通过。</w:t>
      </w:r>
    </w:p>
    <w:p w14:paraId="6B2BE4D8">
      <w:pPr>
        <w:outlineLvl w:val="1"/>
        <w:rPr>
          <w:rFonts w:hint="eastAsia" w:ascii="宋体" w:hAnsi="宋体" w:cs="宋体"/>
          <w:b/>
          <w:color w:val="auto"/>
          <w:szCs w:val="21"/>
          <w:highlight w:val="none"/>
        </w:rPr>
      </w:pPr>
      <w:bookmarkStart w:id="172" w:name="_Toc228982121"/>
      <w:bookmarkStart w:id="173" w:name="_Toc228982340"/>
      <w:r>
        <w:rPr>
          <w:rFonts w:hint="eastAsia" w:ascii="宋体" w:hAnsi="宋体" w:cs="宋体"/>
          <w:b/>
          <w:color w:val="auto"/>
          <w:szCs w:val="21"/>
          <w:highlight w:val="none"/>
        </w:rPr>
        <w:t>附件八</w:t>
      </w:r>
      <w:bookmarkEnd w:id="172"/>
      <w:bookmarkEnd w:id="173"/>
    </w:p>
    <w:p w14:paraId="0DF7130E">
      <w:pPr>
        <w:spacing w:line="480" w:lineRule="auto"/>
        <w:ind w:firstLine="420" w:firstLineChars="200"/>
        <w:rPr>
          <w:rFonts w:hint="eastAsia" w:ascii="宋体" w:hAnsi="宋体" w:cs="宋体"/>
          <w:color w:val="auto"/>
          <w:highlight w:val="none"/>
        </w:rPr>
      </w:pPr>
      <w:r>
        <w:rPr>
          <w:rFonts w:hint="eastAsia" w:ascii="宋体" w:hAnsi="宋体" w:cs="宋体"/>
          <w:color w:val="auto"/>
          <w:highlight w:val="none"/>
        </w:rPr>
        <w:t>(此部分格式自拟，由供应商根据项目要求结合自身实际，详细列明针对本项目的服务方案，包含但不限于以下内容)</w:t>
      </w:r>
    </w:p>
    <w:p w14:paraId="5AA2B8CE">
      <w:pPr>
        <w:spacing w:line="480" w:lineRule="auto"/>
        <w:jc w:val="center"/>
        <w:outlineLvl w:val="1"/>
        <w:rPr>
          <w:rFonts w:hint="eastAsia" w:ascii="宋体" w:hAnsi="宋体" w:cs="宋体"/>
          <w:color w:val="auto"/>
          <w:highlight w:val="none"/>
        </w:rPr>
      </w:pPr>
      <w:bookmarkStart w:id="174" w:name="_Toc6798"/>
      <w:bookmarkStart w:id="175" w:name="_Toc228982122"/>
      <w:bookmarkStart w:id="176" w:name="_Toc228982341"/>
      <w:r>
        <w:rPr>
          <w:rFonts w:hint="eastAsia" w:ascii="宋体" w:hAnsi="宋体" w:cs="宋体"/>
          <w:color w:val="auto"/>
          <w:highlight w:val="none"/>
        </w:rPr>
        <w:t>技术偏离表</w:t>
      </w:r>
      <w:bookmarkEnd w:id="174"/>
      <w:r>
        <w:rPr>
          <w:rFonts w:hint="eastAsia" w:ascii="宋体" w:hAnsi="宋体" w:cs="宋体"/>
          <w:color w:val="auto"/>
          <w:highlight w:val="none"/>
        </w:rPr>
        <w:t>（</w:t>
      </w:r>
      <w:r>
        <w:rPr>
          <w:rFonts w:hint="eastAsia" w:ascii="宋体" w:hAnsi="宋体" w:cs="宋体"/>
          <w:color w:val="auto"/>
          <w:szCs w:val="21"/>
          <w:highlight w:val="none"/>
        </w:rPr>
        <w:t>产品技术参数偏离说明</w:t>
      </w:r>
      <w:r>
        <w:rPr>
          <w:rFonts w:hint="eastAsia" w:ascii="宋体" w:hAnsi="宋体" w:cs="宋体"/>
          <w:color w:val="auto"/>
          <w:highlight w:val="none"/>
        </w:rPr>
        <w:t>）</w:t>
      </w:r>
      <w:bookmarkEnd w:id="175"/>
      <w:bookmarkEnd w:id="176"/>
    </w:p>
    <w:tbl>
      <w:tblPr>
        <w:tblStyle w:val="3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1291"/>
        <w:gridCol w:w="2229"/>
        <w:gridCol w:w="2388"/>
        <w:gridCol w:w="1749"/>
        <w:gridCol w:w="1265"/>
      </w:tblGrid>
      <w:tr w14:paraId="3C56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389" w:type="pct"/>
            <w:shd w:val="clear" w:color="auto" w:fill="CCCCCC"/>
            <w:vAlign w:val="center"/>
          </w:tcPr>
          <w:p w14:paraId="2F98A3EF">
            <w:pPr>
              <w:spacing w:line="360" w:lineRule="exact"/>
              <w:jc w:val="center"/>
              <w:rPr>
                <w:rFonts w:hint="eastAsia" w:ascii="宋体" w:hAnsi="宋体" w:cs="宋体"/>
                <w:b/>
                <w:color w:val="auto"/>
                <w:highlight w:val="none"/>
              </w:rPr>
            </w:pPr>
            <w:r>
              <w:rPr>
                <w:rFonts w:hint="eastAsia" w:ascii="宋体" w:hAnsi="宋体" w:cs="宋体"/>
                <w:b/>
                <w:color w:val="auto"/>
                <w:highlight w:val="none"/>
              </w:rPr>
              <w:t>序号</w:t>
            </w:r>
          </w:p>
        </w:tc>
        <w:tc>
          <w:tcPr>
            <w:tcW w:w="667" w:type="pct"/>
            <w:shd w:val="clear" w:color="auto" w:fill="CCCCCC"/>
            <w:vAlign w:val="center"/>
          </w:tcPr>
          <w:p w14:paraId="0DD5CD49">
            <w:pPr>
              <w:spacing w:line="360" w:lineRule="exact"/>
              <w:jc w:val="center"/>
              <w:rPr>
                <w:rFonts w:hint="eastAsia" w:ascii="宋体" w:hAnsi="宋体" w:cs="宋体"/>
                <w:b/>
                <w:color w:val="auto"/>
                <w:highlight w:val="none"/>
              </w:rPr>
            </w:pPr>
            <w:r>
              <w:rPr>
                <w:rFonts w:hint="eastAsia" w:ascii="宋体" w:hAnsi="宋体" w:cs="宋体"/>
                <w:b/>
                <w:color w:val="auto"/>
                <w:highlight w:val="none"/>
              </w:rPr>
              <w:t>设备名称</w:t>
            </w:r>
          </w:p>
        </w:tc>
        <w:tc>
          <w:tcPr>
            <w:tcW w:w="1152" w:type="pct"/>
            <w:shd w:val="clear" w:color="auto" w:fill="CCCCCC"/>
            <w:vAlign w:val="center"/>
          </w:tcPr>
          <w:p w14:paraId="5E312B9B">
            <w:pPr>
              <w:spacing w:line="360" w:lineRule="exact"/>
              <w:jc w:val="center"/>
              <w:rPr>
                <w:rFonts w:hint="eastAsia" w:ascii="宋体" w:hAnsi="宋体" w:cs="宋体"/>
                <w:b/>
                <w:color w:val="auto"/>
                <w:highlight w:val="none"/>
              </w:rPr>
            </w:pPr>
            <w:r>
              <w:rPr>
                <w:rFonts w:hint="eastAsia" w:ascii="宋体" w:hAnsi="宋体" w:cs="宋体"/>
                <w:b/>
                <w:color w:val="auto"/>
                <w:highlight w:val="none"/>
              </w:rPr>
              <w:t>采购文件要求技术参数</w:t>
            </w:r>
          </w:p>
        </w:tc>
        <w:tc>
          <w:tcPr>
            <w:tcW w:w="1234" w:type="pct"/>
            <w:shd w:val="clear" w:color="auto" w:fill="CCCCCC"/>
            <w:vAlign w:val="center"/>
          </w:tcPr>
          <w:p w14:paraId="1F62BB18">
            <w:pPr>
              <w:spacing w:line="360" w:lineRule="exact"/>
              <w:jc w:val="center"/>
              <w:rPr>
                <w:rFonts w:hint="eastAsia" w:ascii="宋体" w:hAnsi="宋体" w:cs="宋体"/>
                <w:b/>
                <w:color w:val="auto"/>
                <w:highlight w:val="none"/>
              </w:rPr>
            </w:pPr>
            <w:r>
              <w:rPr>
                <w:rFonts w:hint="eastAsia" w:ascii="宋体" w:hAnsi="宋体" w:cs="宋体"/>
                <w:b/>
                <w:color w:val="auto"/>
                <w:highlight w:val="none"/>
              </w:rPr>
              <w:t>投标技术指标参数、指标</w:t>
            </w:r>
          </w:p>
        </w:tc>
        <w:tc>
          <w:tcPr>
            <w:tcW w:w="904" w:type="pct"/>
            <w:shd w:val="clear" w:color="auto" w:fill="CCCCCC"/>
            <w:vAlign w:val="center"/>
          </w:tcPr>
          <w:p w14:paraId="29B03CC5">
            <w:pPr>
              <w:spacing w:line="360" w:lineRule="exact"/>
              <w:ind w:left="-42" w:leftChars="-40" w:right="-107" w:rightChars="-51" w:hanging="42" w:hangingChars="20"/>
              <w:jc w:val="center"/>
              <w:rPr>
                <w:rFonts w:hint="eastAsia" w:ascii="宋体" w:hAnsi="宋体" w:cs="宋体"/>
                <w:b/>
                <w:color w:val="auto"/>
                <w:highlight w:val="none"/>
              </w:rPr>
            </w:pPr>
            <w:r>
              <w:rPr>
                <w:rFonts w:hint="eastAsia" w:ascii="宋体" w:hAnsi="宋体" w:cs="宋体"/>
                <w:b/>
                <w:color w:val="auto"/>
                <w:highlight w:val="none"/>
              </w:rPr>
              <w:t>偏离情况及</w:t>
            </w:r>
          </w:p>
          <w:p w14:paraId="69181C1E">
            <w:pPr>
              <w:spacing w:line="360" w:lineRule="exact"/>
              <w:ind w:left="-42" w:leftChars="-40" w:right="-107" w:rightChars="-51" w:hanging="42" w:hangingChars="20"/>
              <w:jc w:val="center"/>
              <w:rPr>
                <w:rFonts w:hint="eastAsia" w:ascii="宋体" w:hAnsi="宋体" w:cs="宋体"/>
                <w:b/>
                <w:color w:val="auto"/>
                <w:highlight w:val="none"/>
              </w:rPr>
            </w:pPr>
            <w:r>
              <w:rPr>
                <w:rFonts w:hint="eastAsia" w:ascii="宋体" w:hAnsi="宋体" w:cs="宋体"/>
                <w:b/>
                <w:color w:val="auto"/>
                <w:highlight w:val="none"/>
              </w:rPr>
              <w:t>对比说明</w:t>
            </w:r>
          </w:p>
        </w:tc>
        <w:tc>
          <w:tcPr>
            <w:tcW w:w="654" w:type="pct"/>
            <w:shd w:val="clear" w:color="auto" w:fill="CCCCCC"/>
            <w:vAlign w:val="center"/>
          </w:tcPr>
          <w:p w14:paraId="5CFBA0D6">
            <w:pPr>
              <w:spacing w:line="360" w:lineRule="exact"/>
              <w:ind w:right="-107" w:rightChars="-51"/>
              <w:jc w:val="center"/>
              <w:rPr>
                <w:rFonts w:hint="eastAsia" w:ascii="宋体" w:hAnsi="宋体" w:cs="宋体"/>
                <w:b/>
                <w:color w:val="auto"/>
                <w:highlight w:val="none"/>
              </w:rPr>
            </w:pPr>
            <w:r>
              <w:rPr>
                <w:rFonts w:hint="eastAsia" w:ascii="宋体" w:hAnsi="宋体" w:cs="宋体"/>
                <w:b/>
                <w:color w:val="auto"/>
                <w:highlight w:val="none"/>
              </w:rPr>
              <w:t>备注</w:t>
            </w:r>
          </w:p>
        </w:tc>
      </w:tr>
      <w:tr w14:paraId="59025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389" w:type="pct"/>
            <w:vAlign w:val="center"/>
          </w:tcPr>
          <w:p w14:paraId="4B776B44">
            <w:pPr>
              <w:spacing w:line="400" w:lineRule="exact"/>
              <w:jc w:val="center"/>
              <w:rPr>
                <w:rFonts w:hint="eastAsia" w:ascii="宋体" w:hAnsi="宋体" w:cs="宋体"/>
                <w:color w:val="auto"/>
                <w:highlight w:val="none"/>
              </w:rPr>
            </w:pPr>
            <w:r>
              <w:rPr>
                <w:rFonts w:hint="eastAsia" w:ascii="宋体" w:hAnsi="宋体" w:cs="宋体"/>
                <w:color w:val="auto"/>
                <w:highlight w:val="none"/>
              </w:rPr>
              <w:t>1</w:t>
            </w:r>
          </w:p>
        </w:tc>
        <w:tc>
          <w:tcPr>
            <w:tcW w:w="667" w:type="pct"/>
            <w:vAlign w:val="center"/>
          </w:tcPr>
          <w:p w14:paraId="3F5AF754">
            <w:pPr>
              <w:spacing w:line="400" w:lineRule="exact"/>
              <w:jc w:val="center"/>
              <w:rPr>
                <w:rFonts w:hint="eastAsia" w:ascii="宋体" w:hAnsi="宋体" w:cs="宋体"/>
                <w:color w:val="auto"/>
                <w:highlight w:val="none"/>
              </w:rPr>
            </w:pPr>
          </w:p>
        </w:tc>
        <w:tc>
          <w:tcPr>
            <w:tcW w:w="1152" w:type="pct"/>
            <w:vAlign w:val="center"/>
          </w:tcPr>
          <w:p w14:paraId="1FCF3360">
            <w:pPr>
              <w:spacing w:line="400" w:lineRule="exact"/>
              <w:jc w:val="center"/>
              <w:rPr>
                <w:rFonts w:hint="eastAsia" w:ascii="宋体" w:hAnsi="宋体" w:cs="宋体"/>
                <w:color w:val="auto"/>
                <w:highlight w:val="none"/>
              </w:rPr>
            </w:pPr>
          </w:p>
        </w:tc>
        <w:tc>
          <w:tcPr>
            <w:tcW w:w="1234" w:type="pct"/>
            <w:vAlign w:val="center"/>
          </w:tcPr>
          <w:p w14:paraId="6AF2A5E4">
            <w:pPr>
              <w:spacing w:line="400" w:lineRule="exact"/>
              <w:jc w:val="center"/>
              <w:rPr>
                <w:rFonts w:hint="eastAsia" w:ascii="宋体" w:hAnsi="宋体" w:cs="宋体"/>
                <w:color w:val="auto"/>
                <w:highlight w:val="none"/>
              </w:rPr>
            </w:pPr>
          </w:p>
        </w:tc>
        <w:tc>
          <w:tcPr>
            <w:tcW w:w="904" w:type="pct"/>
            <w:vAlign w:val="center"/>
          </w:tcPr>
          <w:p w14:paraId="79D3089F">
            <w:pPr>
              <w:spacing w:line="400" w:lineRule="exact"/>
              <w:jc w:val="center"/>
              <w:rPr>
                <w:rFonts w:hint="eastAsia" w:ascii="宋体" w:hAnsi="宋体" w:cs="宋体"/>
                <w:color w:val="auto"/>
                <w:highlight w:val="none"/>
              </w:rPr>
            </w:pPr>
          </w:p>
        </w:tc>
        <w:tc>
          <w:tcPr>
            <w:tcW w:w="654" w:type="pct"/>
            <w:vAlign w:val="center"/>
          </w:tcPr>
          <w:p w14:paraId="2FFEB213">
            <w:pPr>
              <w:spacing w:line="400" w:lineRule="exact"/>
              <w:jc w:val="center"/>
              <w:rPr>
                <w:rFonts w:hint="eastAsia" w:ascii="宋体" w:hAnsi="宋体" w:cs="宋体"/>
                <w:color w:val="auto"/>
                <w:highlight w:val="none"/>
              </w:rPr>
            </w:pPr>
          </w:p>
        </w:tc>
      </w:tr>
      <w:tr w14:paraId="08DF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389" w:type="pct"/>
            <w:vAlign w:val="center"/>
          </w:tcPr>
          <w:p w14:paraId="4998C31C">
            <w:pPr>
              <w:spacing w:line="400" w:lineRule="exact"/>
              <w:jc w:val="center"/>
              <w:rPr>
                <w:rFonts w:hint="eastAsia" w:ascii="宋体" w:hAnsi="宋体" w:cs="宋体"/>
                <w:color w:val="auto"/>
                <w:highlight w:val="none"/>
              </w:rPr>
            </w:pPr>
            <w:r>
              <w:rPr>
                <w:rFonts w:hint="eastAsia" w:ascii="宋体" w:hAnsi="宋体" w:cs="宋体"/>
                <w:color w:val="auto"/>
                <w:highlight w:val="none"/>
              </w:rPr>
              <w:t>2</w:t>
            </w:r>
          </w:p>
        </w:tc>
        <w:tc>
          <w:tcPr>
            <w:tcW w:w="667" w:type="pct"/>
            <w:vAlign w:val="center"/>
          </w:tcPr>
          <w:p w14:paraId="0481EE8E">
            <w:pPr>
              <w:spacing w:line="400" w:lineRule="exact"/>
              <w:jc w:val="center"/>
              <w:rPr>
                <w:rFonts w:hint="eastAsia" w:ascii="宋体" w:hAnsi="宋体" w:cs="宋体"/>
                <w:color w:val="auto"/>
                <w:highlight w:val="none"/>
              </w:rPr>
            </w:pPr>
          </w:p>
        </w:tc>
        <w:tc>
          <w:tcPr>
            <w:tcW w:w="1152" w:type="pct"/>
            <w:vAlign w:val="center"/>
          </w:tcPr>
          <w:p w14:paraId="07A967D9">
            <w:pPr>
              <w:spacing w:line="400" w:lineRule="exact"/>
              <w:jc w:val="center"/>
              <w:rPr>
                <w:rFonts w:hint="eastAsia" w:ascii="宋体" w:hAnsi="宋体" w:cs="宋体"/>
                <w:color w:val="auto"/>
                <w:highlight w:val="none"/>
              </w:rPr>
            </w:pPr>
          </w:p>
        </w:tc>
        <w:tc>
          <w:tcPr>
            <w:tcW w:w="1234" w:type="pct"/>
            <w:vAlign w:val="center"/>
          </w:tcPr>
          <w:p w14:paraId="0901B465">
            <w:pPr>
              <w:spacing w:line="400" w:lineRule="exact"/>
              <w:jc w:val="center"/>
              <w:rPr>
                <w:rFonts w:hint="eastAsia" w:ascii="宋体" w:hAnsi="宋体" w:cs="宋体"/>
                <w:color w:val="auto"/>
                <w:highlight w:val="none"/>
              </w:rPr>
            </w:pPr>
          </w:p>
        </w:tc>
        <w:tc>
          <w:tcPr>
            <w:tcW w:w="904" w:type="pct"/>
            <w:vAlign w:val="center"/>
          </w:tcPr>
          <w:p w14:paraId="217241E3">
            <w:pPr>
              <w:spacing w:line="400" w:lineRule="exact"/>
              <w:jc w:val="center"/>
              <w:rPr>
                <w:rFonts w:hint="eastAsia" w:ascii="宋体" w:hAnsi="宋体" w:cs="宋体"/>
                <w:color w:val="auto"/>
                <w:highlight w:val="none"/>
              </w:rPr>
            </w:pPr>
          </w:p>
        </w:tc>
        <w:tc>
          <w:tcPr>
            <w:tcW w:w="654" w:type="pct"/>
            <w:vAlign w:val="center"/>
          </w:tcPr>
          <w:p w14:paraId="375667F9">
            <w:pPr>
              <w:spacing w:line="400" w:lineRule="exact"/>
              <w:jc w:val="center"/>
              <w:rPr>
                <w:rFonts w:hint="eastAsia" w:ascii="宋体" w:hAnsi="宋体" w:cs="宋体"/>
                <w:color w:val="auto"/>
                <w:highlight w:val="none"/>
              </w:rPr>
            </w:pPr>
          </w:p>
        </w:tc>
      </w:tr>
      <w:tr w14:paraId="7942D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389" w:type="pct"/>
            <w:vAlign w:val="center"/>
          </w:tcPr>
          <w:p w14:paraId="03FF3B54">
            <w:pPr>
              <w:spacing w:line="400" w:lineRule="exact"/>
              <w:jc w:val="center"/>
              <w:rPr>
                <w:rFonts w:hint="eastAsia" w:ascii="宋体" w:hAnsi="宋体" w:cs="宋体"/>
                <w:color w:val="auto"/>
                <w:highlight w:val="none"/>
              </w:rPr>
            </w:pPr>
            <w:r>
              <w:rPr>
                <w:rFonts w:hint="eastAsia" w:ascii="宋体" w:hAnsi="宋体" w:cs="宋体"/>
                <w:color w:val="auto"/>
                <w:highlight w:val="none"/>
              </w:rPr>
              <w:t>...</w:t>
            </w:r>
          </w:p>
        </w:tc>
        <w:tc>
          <w:tcPr>
            <w:tcW w:w="667" w:type="pct"/>
            <w:vAlign w:val="center"/>
          </w:tcPr>
          <w:p w14:paraId="7193BFCF">
            <w:pPr>
              <w:spacing w:line="400" w:lineRule="exact"/>
              <w:jc w:val="center"/>
              <w:rPr>
                <w:rFonts w:hint="eastAsia" w:ascii="宋体" w:hAnsi="宋体" w:cs="宋体"/>
                <w:color w:val="auto"/>
                <w:highlight w:val="none"/>
              </w:rPr>
            </w:pPr>
          </w:p>
        </w:tc>
        <w:tc>
          <w:tcPr>
            <w:tcW w:w="1152" w:type="pct"/>
            <w:vAlign w:val="center"/>
          </w:tcPr>
          <w:p w14:paraId="4C324E2D">
            <w:pPr>
              <w:spacing w:line="400" w:lineRule="exact"/>
              <w:jc w:val="center"/>
              <w:rPr>
                <w:rFonts w:hint="eastAsia" w:ascii="宋体" w:hAnsi="宋体" w:cs="宋体"/>
                <w:color w:val="auto"/>
                <w:highlight w:val="none"/>
              </w:rPr>
            </w:pPr>
          </w:p>
        </w:tc>
        <w:tc>
          <w:tcPr>
            <w:tcW w:w="1234" w:type="pct"/>
            <w:vAlign w:val="center"/>
          </w:tcPr>
          <w:p w14:paraId="40EDF66E">
            <w:pPr>
              <w:spacing w:line="400" w:lineRule="exact"/>
              <w:jc w:val="center"/>
              <w:rPr>
                <w:rFonts w:hint="eastAsia" w:ascii="宋体" w:hAnsi="宋体" w:cs="宋体"/>
                <w:color w:val="auto"/>
                <w:highlight w:val="none"/>
              </w:rPr>
            </w:pPr>
          </w:p>
        </w:tc>
        <w:tc>
          <w:tcPr>
            <w:tcW w:w="904" w:type="pct"/>
            <w:vAlign w:val="center"/>
          </w:tcPr>
          <w:p w14:paraId="0413AAE3">
            <w:pPr>
              <w:spacing w:line="400" w:lineRule="exact"/>
              <w:jc w:val="center"/>
              <w:rPr>
                <w:rFonts w:hint="eastAsia" w:ascii="宋体" w:hAnsi="宋体" w:cs="宋体"/>
                <w:color w:val="auto"/>
                <w:highlight w:val="none"/>
              </w:rPr>
            </w:pPr>
          </w:p>
        </w:tc>
        <w:tc>
          <w:tcPr>
            <w:tcW w:w="654" w:type="pct"/>
            <w:vAlign w:val="center"/>
          </w:tcPr>
          <w:p w14:paraId="018F808A">
            <w:pPr>
              <w:spacing w:line="400" w:lineRule="exact"/>
              <w:jc w:val="center"/>
              <w:rPr>
                <w:rFonts w:hint="eastAsia" w:ascii="宋体" w:hAnsi="宋体" w:cs="宋体"/>
                <w:color w:val="auto"/>
                <w:highlight w:val="none"/>
              </w:rPr>
            </w:pPr>
          </w:p>
        </w:tc>
      </w:tr>
    </w:tbl>
    <w:p w14:paraId="14859E7B">
      <w:pPr>
        <w:jc w:val="left"/>
        <w:rPr>
          <w:rFonts w:hint="eastAsia" w:ascii="宋体" w:hAnsi="宋体" w:cs="宋体"/>
          <w:color w:val="auto"/>
          <w:highlight w:val="none"/>
        </w:rPr>
      </w:pPr>
      <w:r>
        <w:rPr>
          <w:rFonts w:hint="eastAsia" w:ascii="宋体" w:hAnsi="宋体" w:cs="宋体"/>
          <w:color w:val="auto"/>
          <w:highlight w:val="none"/>
        </w:rPr>
        <w:t>注：“偏离”系指“正偏离”、“负偏离”或“无偏离”。对于投标产品商务条款响应要求需有证明材料支持的，须在投标文件中提供证明材料。</w:t>
      </w:r>
    </w:p>
    <w:p w14:paraId="651D82C3">
      <w:pPr>
        <w:jc w:val="left"/>
        <w:rPr>
          <w:rFonts w:hint="eastAsia" w:ascii="宋体" w:hAnsi="宋体" w:cs="宋体"/>
          <w:color w:val="auto"/>
          <w:highlight w:val="none"/>
        </w:rPr>
      </w:pPr>
      <w:r>
        <w:rPr>
          <w:rFonts w:hint="eastAsia" w:ascii="宋体" w:hAnsi="宋体" w:cs="宋体"/>
          <w:color w:val="auto"/>
          <w:highlight w:val="none"/>
        </w:rPr>
        <w:t>注：</w:t>
      </w:r>
    </w:p>
    <w:p w14:paraId="382E67E1">
      <w:pPr>
        <w:jc w:val="left"/>
        <w:rPr>
          <w:rFonts w:hint="eastAsia" w:ascii="宋体" w:hAnsi="宋体" w:cs="宋体"/>
          <w:color w:val="auto"/>
          <w:highlight w:val="none"/>
        </w:rPr>
      </w:pPr>
      <w:r>
        <w:rPr>
          <w:rFonts w:hint="eastAsia" w:ascii="宋体" w:hAnsi="宋体" w:cs="宋体"/>
          <w:color w:val="auto"/>
          <w:highlight w:val="none"/>
        </w:rPr>
        <w:t>1.本表需按要求逐条对照填写，若有遗漏将有可能被认定为不响应竞争性谈判文件。</w:t>
      </w:r>
    </w:p>
    <w:p w14:paraId="6753F1EF">
      <w:pPr>
        <w:jc w:val="left"/>
        <w:rPr>
          <w:rFonts w:hint="eastAsia" w:ascii="宋体" w:hAnsi="宋体" w:cs="宋体"/>
          <w:strike/>
          <w:color w:val="auto"/>
          <w:highlight w:val="none"/>
        </w:rPr>
      </w:pPr>
      <w:r>
        <w:rPr>
          <w:rFonts w:hint="eastAsia" w:ascii="宋体" w:hAnsi="宋体" w:cs="宋体"/>
          <w:color w:val="auto"/>
          <w:highlight w:val="none"/>
        </w:rPr>
        <w:t>2.若投标文件与竞争性谈判文件的要求存在偏离，请如实填写偏离的具体内容，“偏离情况”一栏填写：“负偏离”，若投标文件对竞争性谈判文件的要求能完全响应，不存在负偏离情况，请在“偏离情况”一栏填写：“无偏离”或“正偏离”；所有技术参数要求均不允许负偏离。</w:t>
      </w:r>
    </w:p>
    <w:p w14:paraId="1A755DCE">
      <w:pPr>
        <w:spacing w:line="600" w:lineRule="exact"/>
        <w:jc w:val="left"/>
        <w:rPr>
          <w:rFonts w:hint="eastAsia" w:ascii="宋体" w:hAnsi="宋体" w:cs="宋体"/>
          <w:color w:val="auto"/>
          <w:highlight w:val="none"/>
        </w:rPr>
      </w:pPr>
    </w:p>
    <w:p w14:paraId="239C649B">
      <w:pPr>
        <w:spacing w:line="240" w:lineRule="atLeas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申请人：</w:t>
      </w:r>
      <w:r>
        <w:rPr>
          <w:rFonts w:hint="eastAsia" w:ascii="宋体" w:hAnsi="宋体" w:cs="宋体"/>
          <w:color w:val="auto"/>
          <w:sz w:val="24"/>
          <w:szCs w:val="24"/>
          <w:highlight w:val="none"/>
          <w:u w:val="single"/>
        </w:rPr>
        <w:t xml:space="preserve">  （电子签章）         </w:t>
      </w:r>
    </w:p>
    <w:p w14:paraId="41CC4DB3">
      <w:pPr>
        <w:spacing w:line="240" w:lineRule="atLeast"/>
        <w:rPr>
          <w:rFonts w:hint="eastAsia" w:ascii="宋体" w:hAnsi="宋体" w:cs="宋体"/>
          <w:color w:val="auto"/>
          <w:sz w:val="24"/>
          <w:szCs w:val="24"/>
          <w:highlight w:val="none"/>
        </w:rPr>
      </w:pPr>
    </w:p>
    <w:p w14:paraId="55CD9921">
      <w:pPr>
        <w:spacing w:line="240"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法定代表人（电子签章）：</w:t>
      </w:r>
      <w:r>
        <w:rPr>
          <w:rFonts w:hint="eastAsia" w:ascii="宋体" w:hAnsi="宋体" w:cs="宋体"/>
          <w:color w:val="auto"/>
          <w:sz w:val="24"/>
          <w:szCs w:val="24"/>
          <w:highlight w:val="none"/>
          <w:u w:val="single"/>
        </w:rPr>
        <w:t xml:space="preserve">              </w:t>
      </w:r>
    </w:p>
    <w:p w14:paraId="4B785D4E">
      <w:pPr>
        <w:spacing w:line="240"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3A05CC4">
      <w:pPr>
        <w:spacing w:line="480" w:lineRule="auto"/>
        <w:rPr>
          <w:rFonts w:hint="eastAsia" w:ascii="宋体" w:hAnsi="宋体" w:cs="宋体"/>
          <w:color w:val="auto"/>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1A13A678">
      <w:pPr>
        <w:rPr>
          <w:rFonts w:hint="eastAsia" w:ascii="宋体" w:hAnsi="宋体" w:cs="宋体"/>
          <w:b/>
          <w:color w:val="auto"/>
          <w:sz w:val="28"/>
          <w:szCs w:val="28"/>
          <w:highlight w:val="none"/>
        </w:rPr>
      </w:pPr>
    </w:p>
    <w:p w14:paraId="7EE60635">
      <w:pPr>
        <w:rPr>
          <w:rFonts w:hint="eastAsia" w:ascii="宋体" w:hAnsi="宋体" w:cs="宋体"/>
          <w:b/>
          <w:color w:val="auto"/>
          <w:sz w:val="28"/>
          <w:szCs w:val="28"/>
          <w:highlight w:val="none"/>
        </w:rPr>
      </w:pPr>
    </w:p>
    <w:p w14:paraId="59891D6F">
      <w:pPr>
        <w:rPr>
          <w:rFonts w:hint="eastAsia" w:ascii="宋体" w:hAnsi="宋体" w:cs="宋体"/>
          <w:b/>
          <w:color w:val="auto"/>
          <w:sz w:val="28"/>
          <w:szCs w:val="28"/>
          <w:highlight w:val="none"/>
        </w:rPr>
      </w:pPr>
    </w:p>
    <w:p w14:paraId="7C3B00AA">
      <w:pPr>
        <w:pStyle w:val="8"/>
        <w:ind w:firstLine="0"/>
        <w:rPr>
          <w:rFonts w:hint="eastAsia" w:ascii="宋体" w:hAnsi="宋体" w:cs="宋体"/>
          <w:b/>
          <w:color w:val="auto"/>
          <w:szCs w:val="21"/>
          <w:highlight w:val="none"/>
        </w:rPr>
        <w:sectPr>
          <w:pgSz w:w="11906" w:h="16838"/>
          <w:pgMar w:top="1440" w:right="1080" w:bottom="1440" w:left="1080" w:header="851" w:footer="992" w:gutter="283"/>
          <w:cols w:space="720" w:num="1"/>
          <w:titlePg/>
          <w:docGrid w:type="lines" w:linePitch="313" w:charSpace="0"/>
        </w:sectPr>
      </w:pPr>
    </w:p>
    <w:p w14:paraId="7E9575B0">
      <w:pPr>
        <w:pStyle w:val="8"/>
        <w:ind w:firstLine="0"/>
        <w:outlineLvl w:val="1"/>
        <w:rPr>
          <w:rFonts w:hint="eastAsia" w:ascii="宋体" w:hAnsi="宋体" w:cs="宋体"/>
          <w:b/>
          <w:color w:val="auto"/>
          <w:szCs w:val="21"/>
          <w:highlight w:val="none"/>
        </w:rPr>
      </w:pPr>
      <w:bookmarkStart w:id="177" w:name="_Toc228982123"/>
      <w:bookmarkStart w:id="178" w:name="_Toc228982342"/>
      <w:r>
        <w:rPr>
          <w:rFonts w:hint="eastAsia" w:ascii="宋体" w:hAnsi="宋体" w:cs="宋体"/>
          <w:b/>
          <w:color w:val="auto"/>
          <w:szCs w:val="21"/>
          <w:highlight w:val="none"/>
        </w:rPr>
        <w:t>附件九</w:t>
      </w:r>
      <w:bookmarkEnd w:id="177"/>
      <w:bookmarkEnd w:id="178"/>
    </w:p>
    <w:p w14:paraId="46D0CB8F">
      <w:pPr>
        <w:pStyle w:val="3"/>
        <w:spacing w:line="360" w:lineRule="auto"/>
        <w:rPr>
          <w:rFonts w:hint="eastAsia" w:ascii="宋体" w:hAnsi="宋体" w:cs="宋体"/>
          <w:color w:val="auto"/>
          <w:highlight w:val="none"/>
        </w:rPr>
      </w:pPr>
      <w:bookmarkStart w:id="179" w:name="_Toc228982124"/>
      <w:bookmarkStart w:id="180" w:name="_Toc228982343"/>
      <w:r>
        <w:rPr>
          <w:rFonts w:hint="eastAsia" w:ascii="宋体" w:hAnsi="宋体" w:cs="宋体"/>
          <w:color w:val="auto"/>
          <w:highlight w:val="none"/>
        </w:rPr>
        <w:t>供货方案</w:t>
      </w:r>
      <w:bookmarkEnd w:id="179"/>
      <w:bookmarkEnd w:id="180"/>
    </w:p>
    <w:p w14:paraId="531E1912">
      <w:pPr>
        <w:pStyle w:val="17"/>
        <w:spacing w:line="360" w:lineRule="auto"/>
        <w:ind w:firstLine="422" w:firstLineChars="200"/>
        <w:rPr>
          <w:rFonts w:hint="eastAsia" w:hAnsi="宋体" w:cs="宋体"/>
          <w:b/>
          <w:color w:val="auto"/>
          <w:szCs w:val="21"/>
          <w:highlight w:val="none"/>
          <w:u w:val="single"/>
        </w:rPr>
      </w:pPr>
      <w:r>
        <w:rPr>
          <w:rFonts w:hint="eastAsia" w:hAnsi="宋体" w:cs="宋体"/>
          <w:b/>
          <w:color w:val="auto"/>
          <w:szCs w:val="21"/>
          <w:highlight w:val="none"/>
          <w:u w:val="single"/>
        </w:rPr>
        <w:t>包含但不限于以下内容：</w:t>
      </w:r>
    </w:p>
    <w:p w14:paraId="44B4A58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1、产品质量承诺及保证措施；</w:t>
      </w:r>
    </w:p>
    <w:p w14:paraId="613DF0C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2、货源的保障及承诺措施；</w:t>
      </w:r>
    </w:p>
    <w:p w14:paraId="204B9F0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3、供货能力、供货渠道；</w:t>
      </w:r>
    </w:p>
    <w:p w14:paraId="102065A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4、售后服务；</w:t>
      </w:r>
    </w:p>
    <w:p w14:paraId="45E85B2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5、满足项目需求的其他响应。</w:t>
      </w:r>
    </w:p>
    <w:p w14:paraId="7DFEF7A8">
      <w:pPr>
        <w:rPr>
          <w:rFonts w:hint="eastAsia" w:ascii="宋体" w:hAnsi="宋体" w:cs="宋体"/>
          <w:b/>
          <w:color w:val="auto"/>
          <w:szCs w:val="21"/>
          <w:highlight w:val="none"/>
        </w:rPr>
      </w:pPr>
      <w:r>
        <w:rPr>
          <w:rFonts w:hint="eastAsia" w:ascii="宋体" w:hAnsi="宋体" w:cs="宋体"/>
          <w:b/>
          <w:color w:val="auto"/>
          <w:szCs w:val="21"/>
          <w:highlight w:val="none"/>
        </w:rPr>
        <w:br w:type="page"/>
      </w:r>
    </w:p>
    <w:p w14:paraId="396FE337">
      <w:pPr>
        <w:spacing w:line="500" w:lineRule="exact"/>
        <w:outlineLvl w:val="1"/>
        <w:rPr>
          <w:rFonts w:hint="eastAsia" w:ascii="宋体" w:hAnsi="宋体" w:cs="宋体"/>
          <w:b/>
          <w:color w:val="auto"/>
          <w:szCs w:val="21"/>
          <w:highlight w:val="none"/>
        </w:rPr>
      </w:pPr>
      <w:bookmarkStart w:id="181" w:name="_Toc228982344"/>
      <w:bookmarkStart w:id="182" w:name="_Toc228982125"/>
      <w:r>
        <w:rPr>
          <w:rFonts w:hint="eastAsia" w:ascii="宋体" w:hAnsi="宋体" w:cs="宋体"/>
          <w:b/>
          <w:color w:val="auto"/>
          <w:szCs w:val="21"/>
          <w:highlight w:val="none"/>
        </w:rPr>
        <w:t>附件十</w:t>
      </w:r>
      <w:bookmarkEnd w:id="181"/>
      <w:bookmarkEnd w:id="182"/>
    </w:p>
    <w:p w14:paraId="146C8023">
      <w:pPr>
        <w:pStyle w:val="3"/>
        <w:rPr>
          <w:rFonts w:hint="eastAsia" w:ascii="宋体" w:hAnsi="宋体" w:cs="宋体"/>
          <w:color w:val="auto"/>
          <w:szCs w:val="30"/>
          <w:highlight w:val="none"/>
        </w:rPr>
      </w:pPr>
      <w:bookmarkStart w:id="183" w:name="_Toc228982345"/>
      <w:bookmarkStart w:id="184" w:name="_Toc30988"/>
      <w:bookmarkStart w:id="185" w:name="_Toc228982126"/>
      <w:r>
        <w:rPr>
          <w:rFonts w:hint="eastAsia" w:ascii="宋体" w:hAnsi="宋体" w:cs="宋体"/>
          <w:color w:val="auto"/>
          <w:szCs w:val="30"/>
          <w:highlight w:val="none"/>
        </w:rPr>
        <w:t>相关政策声明函</w:t>
      </w:r>
      <w:bookmarkEnd w:id="183"/>
      <w:bookmarkEnd w:id="184"/>
      <w:bookmarkEnd w:id="185"/>
    </w:p>
    <w:p w14:paraId="217C7950">
      <w:pPr>
        <w:pStyle w:val="8"/>
        <w:ind w:firstLine="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中小企业声明函（货物）（必须提供并如实填写）</w:t>
      </w:r>
    </w:p>
    <w:p w14:paraId="3F46A730">
      <w:pPr>
        <w:pStyle w:val="8"/>
        <w:spacing w:line="360" w:lineRule="auto"/>
        <w:ind w:firstLineChars="200"/>
        <w:rPr>
          <w:rFonts w:hint="eastAsia" w:ascii="宋体" w:hAnsi="宋体" w:cs="宋体"/>
          <w:color w:val="auto"/>
          <w:highlight w:val="none"/>
        </w:rPr>
      </w:pPr>
    </w:p>
    <w:p w14:paraId="1488ADF6">
      <w:pPr>
        <w:pStyle w:val="8"/>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cs="宋体"/>
          <w:color w:val="auto"/>
          <w:sz w:val="24"/>
          <w:szCs w:val="24"/>
          <w:highlight w:val="none"/>
          <w:u w:val="single"/>
        </w:rPr>
        <w:t>（单位名称）</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rPr>
        <w:t>采购活动，提供的货物全部由符合政策要求的中小企业制造。相关企业（含联合体中的中小企业、签订分包意向协议的中小企业） 的具体情况如下：</w:t>
      </w:r>
    </w:p>
    <w:p w14:paraId="5A8681D2">
      <w:pPr>
        <w:pStyle w:val="8"/>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（标的名称）</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行业（竞争性谈判文件中明确的所属行业）；制造商为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人，营业收入为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万元，属于</w:t>
      </w:r>
      <w:r>
        <w:rPr>
          <w:rFonts w:hint="eastAsia" w:ascii="宋体" w:hAnsi="宋体" w:cs="宋体"/>
          <w:color w:val="auto"/>
          <w:sz w:val="24"/>
          <w:szCs w:val="24"/>
          <w:highlight w:val="none"/>
          <w:u w:val="single"/>
        </w:rPr>
        <w:t>（中型企业、小型企业、微型企业）</w:t>
      </w:r>
      <w:r>
        <w:rPr>
          <w:rFonts w:hint="eastAsia" w:ascii="宋体" w:hAnsi="宋体" w:cs="宋体"/>
          <w:color w:val="auto"/>
          <w:sz w:val="24"/>
          <w:szCs w:val="24"/>
          <w:highlight w:val="none"/>
        </w:rPr>
        <w:t>；</w:t>
      </w:r>
    </w:p>
    <w:p w14:paraId="752F2BC1">
      <w:pPr>
        <w:pStyle w:val="8"/>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（标的名称）</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行业（竞争性谈判文件中明确的所属行业）；制造商为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人，营业收入为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万元，属于</w:t>
      </w:r>
      <w:r>
        <w:rPr>
          <w:rFonts w:hint="eastAsia" w:ascii="宋体" w:hAnsi="宋体" w:cs="宋体"/>
          <w:color w:val="auto"/>
          <w:sz w:val="24"/>
          <w:szCs w:val="24"/>
          <w:highlight w:val="none"/>
          <w:u w:val="single"/>
        </w:rPr>
        <w:t>（中型企业、小型企业、微型企业）</w:t>
      </w:r>
      <w:r>
        <w:rPr>
          <w:rFonts w:hint="eastAsia" w:ascii="宋体" w:hAnsi="宋体" w:cs="宋体"/>
          <w:color w:val="auto"/>
          <w:sz w:val="24"/>
          <w:szCs w:val="24"/>
          <w:highlight w:val="none"/>
        </w:rPr>
        <w:t>；</w:t>
      </w:r>
    </w:p>
    <w:p w14:paraId="2DAE7C7B">
      <w:pPr>
        <w:pStyle w:val="8"/>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p>
    <w:p w14:paraId="19EA4DC8">
      <w:pPr>
        <w:pStyle w:val="8"/>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14:paraId="4CB6B5FE">
      <w:pPr>
        <w:pStyle w:val="8"/>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本企业对上述声明内容的真实性负责。如有虚假，将依法承担相应责任。</w:t>
      </w:r>
    </w:p>
    <w:p w14:paraId="18709DEE">
      <w:pPr>
        <w:pStyle w:val="8"/>
        <w:spacing w:line="360" w:lineRule="auto"/>
        <w:ind w:firstLine="480" w:firstLineChars="200"/>
        <w:rPr>
          <w:rFonts w:hint="eastAsia" w:ascii="宋体" w:hAnsi="宋体" w:cs="宋体"/>
          <w:color w:val="auto"/>
          <w:sz w:val="24"/>
          <w:szCs w:val="24"/>
          <w:highlight w:val="none"/>
        </w:rPr>
      </w:pPr>
    </w:p>
    <w:p w14:paraId="33675FF8">
      <w:pPr>
        <w:pStyle w:val="8"/>
        <w:spacing w:line="360" w:lineRule="auto"/>
        <w:ind w:firstLine="480" w:firstLineChars="20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企业名称(盖章)：</w:t>
      </w:r>
    </w:p>
    <w:p w14:paraId="1FD982E4">
      <w:pPr>
        <w:pStyle w:val="8"/>
        <w:spacing w:line="360" w:lineRule="auto"/>
        <w:ind w:firstLine="480" w:firstLineChars="20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日   期：</w:t>
      </w:r>
    </w:p>
    <w:p w14:paraId="767F177A">
      <w:pPr>
        <w:pStyle w:val="8"/>
        <w:spacing w:line="360" w:lineRule="auto"/>
        <w:ind w:firstLine="440" w:firstLineChars="200"/>
        <w:rPr>
          <w:rFonts w:hint="eastAsia" w:ascii="宋体" w:hAnsi="宋体" w:cs="宋体"/>
          <w:color w:val="auto"/>
          <w:sz w:val="22"/>
          <w:highlight w:val="none"/>
        </w:rPr>
      </w:pPr>
    </w:p>
    <w:p w14:paraId="04B49B6F">
      <w:pPr>
        <w:widowControl/>
        <w:shd w:val="clear" w:color="auto" w:fill="FFFFFF"/>
        <w:spacing w:before="100" w:beforeAutospacing="1" w:after="100" w:afterAutospacing="1" w:line="435" w:lineRule="atLeast"/>
        <w:jc w:val="left"/>
        <w:rPr>
          <w:rFonts w:hint="eastAsia" w:ascii="宋体" w:hAnsi="宋体" w:cs="黑体"/>
          <w:b/>
          <w:snapToGrid w:val="0"/>
          <w:color w:val="auto"/>
          <w:szCs w:val="21"/>
          <w:highlight w:val="none"/>
        </w:rPr>
        <w:sectPr>
          <w:pgSz w:w="11906" w:h="16838"/>
          <w:pgMar w:top="1440" w:right="1080" w:bottom="1440" w:left="1080" w:header="851" w:footer="992" w:gutter="0"/>
          <w:cols w:space="720" w:num="1"/>
          <w:docGrid w:type="lines" w:linePitch="312" w:charSpace="0"/>
        </w:sectPr>
      </w:pPr>
      <w:r>
        <w:rPr>
          <w:rFonts w:hint="eastAsia" w:ascii="宋体" w:hAnsi="宋体" w:cs="宋体"/>
          <w:b/>
          <w:bCs/>
          <w:color w:val="auto"/>
          <w:highlight w:val="none"/>
        </w:rPr>
        <w:t>注：本项目为</w:t>
      </w:r>
      <w:r>
        <w:rPr>
          <w:rFonts w:hint="eastAsia" w:ascii="宋体" w:hAnsi="宋体" w:cs="宋体"/>
          <w:b/>
          <w:bCs/>
          <w:snapToGrid w:val="0"/>
          <w:color w:val="auto"/>
          <w:kern w:val="0"/>
          <w:highlight w:val="none"/>
        </w:rPr>
        <w:t>专门面向中小企业采购的项目，未提供本函构成废标。</w:t>
      </w:r>
      <w:r>
        <w:rPr>
          <w:rFonts w:hint="eastAsia" w:ascii="宋体" w:hAnsi="宋体" w:cs="黑体"/>
          <w:b/>
          <w:snapToGrid w:val="0"/>
          <w:color w:val="auto"/>
          <w:szCs w:val="21"/>
          <w:highlight w:val="none"/>
        </w:rPr>
        <w:t>中标人的《中小企业声明函（</w:t>
      </w:r>
      <w:r>
        <w:rPr>
          <w:rFonts w:hint="eastAsia" w:ascii="宋体" w:hAnsi="宋体" w:cs="黑体"/>
          <w:b/>
          <w:snapToGrid w:val="0"/>
          <w:color w:val="auto"/>
          <w:szCs w:val="21"/>
          <w:highlight w:val="none"/>
          <w:lang w:bidi="ar"/>
        </w:rPr>
        <w:t>货物</w:t>
      </w:r>
      <w:r>
        <w:rPr>
          <w:rFonts w:hint="eastAsia" w:ascii="宋体" w:hAnsi="宋体" w:cs="黑体"/>
          <w:b/>
          <w:snapToGrid w:val="0"/>
          <w:color w:val="auto"/>
          <w:szCs w:val="21"/>
          <w:highlight w:val="none"/>
        </w:rPr>
        <w:t>）》将随成交结果同时公告，接受社会监督。中标人提供的《中小企业声明函（</w:t>
      </w:r>
      <w:r>
        <w:rPr>
          <w:rFonts w:hint="eastAsia" w:ascii="宋体" w:hAnsi="宋体" w:cs="黑体"/>
          <w:b/>
          <w:snapToGrid w:val="0"/>
          <w:color w:val="auto"/>
          <w:szCs w:val="21"/>
          <w:highlight w:val="none"/>
          <w:lang w:bidi="ar"/>
        </w:rPr>
        <w:t>货物</w:t>
      </w:r>
      <w:r>
        <w:rPr>
          <w:rFonts w:hint="eastAsia" w:ascii="宋体" w:hAnsi="宋体" w:cs="黑体"/>
          <w:b/>
          <w:snapToGrid w:val="0"/>
          <w:color w:val="auto"/>
          <w:szCs w:val="21"/>
          <w:highlight w:val="none"/>
        </w:rPr>
        <w:t>）》与事实不符的，依照《政府采购法》第七十七条第一款的规定追究法律责任。从业人员、营业收入、资产总额填报上一年度数据，无上一年度数据的新成立企业可不填报。</w:t>
      </w:r>
      <w:r>
        <w:rPr>
          <w:rFonts w:hint="eastAsia" w:ascii="宋体" w:hAnsi="宋体" w:cs="宋体"/>
          <w:b/>
          <w:color w:val="auto"/>
          <w:szCs w:val="21"/>
          <w:highlight w:val="none"/>
        </w:rPr>
        <w:t>投标文件上传时，此申明函还需放在政采云系统落实政府采购政策需满足的资格要求提交的资料处。</w:t>
      </w:r>
    </w:p>
    <w:p w14:paraId="1FBBAB65">
      <w:pPr>
        <w:pStyle w:val="13"/>
        <w:jc w:val="center"/>
        <w:rPr>
          <w:rFonts w:hint="eastAsia" w:cs="宋体"/>
          <w:b/>
          <w:bCs w:val="0"/>
          <w:color w:val="auto"/>
          <w:sz w:val="32"/>
          <w:szCs w:val="32"/>
          <w:highlight w:val="none"/>
        </w:rPr>
      </w:pPr>
      <w:r>
        <w:rPr>
          <w:rFonts w:hint="eastAsia" w:cs="宋体"/>
          <w:b/>
          <w:bCs w:val="0"/>
          <w:color w:val="auto"/>
          <w:sz w:val="32"/>
          <w:szCs w:val="32"/>
          <w:highlight w:val="none"/>
        </w:rPr>
        <w:t>小微企业货物明细表</w:t>
      </w:r>
    </w:p>
    <w:p w14:paraId="7DAB12C3">
      <w:pPr>
        <w:rPr>
          <w:rFonts w:hint="eastAsia" w:ascii="宋体" w:hAnsi="宋体" w:cs="宋体"/>
          <w:color w:val="auto"/>
          <w:sz w:val="24"/>
          <w:szCs w:val="24"/>
          <w:highlight w:val="none"/>
        </w:rPr>
      </w:pPr>
    </w:p>
    <w:tbl>
      <w:tblPr>
        <w:tblStyle w:val="36"/>
        <w:tblW w:w="8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2417"/>
        <w:gridCol w:w="1704"/>
        <w:gridCol w:w="2580"/>
        <w:gridCol w:w="1106"/>
      </w:tblGrid>
      <w:tr w14:paraId="6BB43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91" w:type="dxa"/>
            <w:vAlign w:val="center"/>
          </w:tcPr>
          <w:p w14:paraId="26FBB136">
            <w:pPr>
              <w:pStyle w:val="114"/>
              <w:jc w:val="center"/>
              <w:rPr>
                <w:rFonts w:hint="eastAsia"/>
                <w:bCs/>
                <w:color w:val="auto"/>
                <w:sz w:val="24"/>
                <w:szCs w:val="24"/>
                <w:highlight w:val="none"/>
              </w:rPr>
            </w:pPr>
            <w:r>
              <w:rPr>
                <w:rFonts w:hint="eastAsia"/>
                <w:bCs/>
                <w:color w:val="auto"/>
                <w:sz w:val="24"/>
                <w:szCs w:val="24"/>
                <w:highlight w:val="none"/>
              </w:rPr>
              <w:t>序号</w:t>
            </w:r>
          </w:p>
        </w:tc>
        <w:tc>
          <w:tcPr>
            <w:tcW w:w="2417" w:type="dxa"/>
            <w:vAlign w:val="center"/>
          </w:tcPr>
          <w:p w14:paraId="20CA2D86">
            <w:pPr>
              <w:pStyle w:val="114"/>
              <w:jc w:val="center"/>
              <w:rPr>
                <w:rFonts w:hint="eastAsia"/>
                <w:bCs/>
                <w:color w:val="auto"/>
                <w:sz w:val="24"/>
                <w:szCs w:val="24"/>
                <w:highlight w:val="none"/>
              </w:rPr>
            </w:pPr>
            <w:r>
              <w:rPr>
                <w:rFonts w:hint="eastAsia"/>
                <w:bCs/>
                <w:color w:val="auto"/>
                <w:sz w:val="24"/>
                <w:szCs w:val="24"/>
                <w:highlight w:val="none"/>
              </w:rPr>
              <w:t>货物名称</w:t>
            </w:r>
          </w:p>
        </w:tc>
        <w:tc>
          <w:tcPr>
            <w:tcW w:w="1704" w:type="dxa"/>
            <w:vAlign w:val="center"/>
          </w:tcPr>
          <w:p w14:paraId="07413D68">
            <w:pPr>
              <w:pStyle w:val="114"/>
              <w:jc w:val="center"/>
              <w:rPr>
                <w:rFonts w:hint="eastAsia"/>
                <w:bCs/>
                <w:color w:val="auto"/>
                <w:sz w:val="24"/>
                <w:szCs w:val="24"/>
                <w:highlight w:val="none"/>
              </w:rPr>
            </w:pPr>
            <w:r>
              <w:rPr>
                <w:rFonts w:hint="eastAsia"/>
                <w:bCs/>
                <w:color w:val="auto"/>
                <w:sz w:val="24"/>
                <w:szCs w:val="24"/>
                <w:highlight w:val="none"/>
              </w:rPr>
              <w:t>制造商</w:t>
            </w:r>
          </w:p>
        </w:tc>
        <w:tc>
          <w:tcPr>
            <w:tcW w:w="2580" w:type="dxa"/>
            <w:vAlign w:val="center"/>
          </w:tcPr>
          <w:p w14:paraId="6CDD7C72">
            <w:pPr>
              <w:pStyle w:val="114"/>
              <w:spacing w:before="3"/>
              <w:jc w:val="center"/>
              <w:rPr>
                <w:rFonts w:hint="eastAsia"/>
                <w:bCs/>
                <w:color w:val="auto"/>
                <w:sz w:val="24"/>
                <w:szCs w:val="24"/>
                <w:highlight w:val="none"/>
              </w:rPr>
            </w:pPr>
            <w:r>
              <w:rPr>
                <w:rFonts w:hint="eastAsia"/>
                <w:bCs/>
                <w:color w:val="auto"/>
                <w:sz w:val="24"/>
                <w:szCs w:val="24"/>
                <w:highlight w:val="none"/>
              </w:rPr>
              <w:t>制造商企业规模（微型/小型/中型/大型/）</w:t>
            </w:r>
          </w:p>
        </w:tc>
        <w:tc>
          <w:tcPr>
            <w:tcW w:w="1106" w:type="dxa"/>
            <w:vAlign w:val="center"/>
          </w:tcPr>
          <w:p w14:paraId="07FC0E10">
            <w:pPr>
              <w:pStyle w:val="114"/>
              <w:ind w:right="419"/>
              <w:jc w:val="center"/>
              <w:rPr>
                <w:rFonts w:hint="eastAsia"/>
                <w:bCs/>
                <w:color w:val="auto"/>
                <w:sz w:val="24"/>
                <w:szCs w:val="24"/>
                <w:highlight w:val="none"/>
              </w:rPr>
            </w:pPr>
            <w:r>
              <w:rPr>
                <w:rFonts w:hint="eastAsia"/>
                <w:bCs/>
                <w:color w:val="auto"/>
                <w:w w:val="95"/>
                <w:sz w:val="24"/>
                <w:szCs w:val="24"/>
                <w:highlight w:val="none"/>
              </w:rPr>
              <w:t>备注</w:t>
            </w:r>
          </w:p>
        </w:tc>
      </w:tr>
      <w:tr w14:paraId="6CBAE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Align w:val="center"/>
          </w:tcPr>
          <w:p w14:paraId="7CBA6234">
            <w:pPr>
              <w:pStyle w:val="114"/>
              <w:spacing w:before="68"/>
              <w:ind w:right="132"/>
              <w:jc w:val="center"/>
              <w:rPr>
                <w:rFonts w:hint="eastAsia"/>
                <w:color w:val="auto"/>
                <w:sz w:val="24"/>
                <w:szCs w:val="24"/>
                <w:highlight w:val="none"/>
              </w:rPr>
            </w:pPr>
            <w:r>
              <w:rPr>
                <w:rFonts w:hint="eastAsia"/>
                <w:b/>
                <w:color w:val="auto"/>
                <w:w w:val="95"/>
                <w:sz w:val="24"/>
                <w:szCs w:val="24"/>
                <w:highlight w:val="none"/>
              </w:rPr>
              <w:t>1</w:t>
            </w:r>
          </w:p>
        </w:tc>
        <w:tc>
          <w:tcPr>
            <w:tcW w:w="2417" w:type="dxa"/>
          </w:tcPr>
          <w:p w14:paraId="155662B3">
            <w:pPr>
              <w:pStyle w:val="13"/>
              <w:rPr>
                <w:rFonts w:hint="eastAsia" w:cs="宋体"/>
                <w:color w:val="auto"/>
                <w:szCs w:val="24"/>
                <w:highlight w:val="none"/>
              </w:rPr>
            </w:pPr>
          </w:p>
        </w:tc>
        <w:tc>
          <w:tcPr>
            <w:tcW w:w="1704" w:type="dxa"/>
          </w:tcPr>
          <w:p w14:paraId="2E151F9B">
            <w:pPr>
              <w:pStyle w:val="13"/>
              <w:rPr>
                <w:rFonts w:hint="eastAsia" w:cs="宋体"/>
                <w:color w:val="auto"/>
                <w:szCs w:val="24"/>
                <w:highlight w:val="none"/>
              </w:rPr>
            </w:pPr>
          </w:p>
        </w:tc>
        <w:tc>
          <w:tcPr>
            <w:tcW w:w="2580" w:type="dxa"/>
          </w:tcPr>
          <w:p w14:paraId="7B6A4815">
            <w:pPr>
              <w:pStyle w:val="13"/>
              <w:rPr>
                <w:rFonts w:hint="eastAsia" w:cs="宋体"/>
                <w:color w:val="auto"/>
                <w:szCs w:val="24"/>
                <w:highlight w:val="none"/>
              </w:rPr>
            </w:pPr>
          </w:p>
        </w:tc>
        <w:tc>
          <w:tcPr>
            <w:tcW w:w="1106" w:type="dxa"/>
          </w:tcPr>
          <w:p w14:paraId="375C5879">
            <w:pPr>
              <w:pStyle w:val="13"/>
              <w:rPr>
                <w:rFonts w:hint="eastAsia" w:cs="宋体"/>
                <w:color w:val="auto"/>
                <w:szCs w:val="24"/>
                <w:highlight w:val="none"/>
              </w:rPr>
            </w:pPr>
          </w:p>
        </w:tc>
      </w:tr>
      <w:tr w14:paraId="625AC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Align w:val="center"/>
          </w:tcPr>
          <w:p w14:paraId="58C08675">
            <w:pPr>
              <w:pStyle w:val="114"/>
              <w:spacing w:before="70"/>
              <w:ind w:right="132"/>
              <w:jc w:val="center"/>
              <w:rPr>
                <w:rFonts w:hint="eastAsia"/>
                <w:color w:val="auto"/>
                <w:sz w:val="24"/>
                <w:szCs w:val="24"/>
                <w:highlight w:val="none"/>
              </w:rPr>
            </w:pPr>
            <w:r>
              <w:rPr>
                <w:rFonts w:hint="eastAsia"/>
                <w:b/>
                <w:color w:val="auto"/>
                <w:w w:val="95"/>
                <w:sz w:val="24"/>
                <w:szCs w:val="24"/>
                <w:highlight w:val="none"/>
              </w:rPr>
              <w:t>2</w:t>
            </w:r>
          </w:p>
        </w:tc>
        <w:tc>
          <w:tcPr>
            <w:tcW w:w="2417" w:type="dxa"/>
          </w:tcPr>
          <w:p w14:paraId="6CF30F71">
            <w:pPr>
              <w:pStyle w:val="13"/>
              <w:rPr>
                <w:rFonts w:hint="eastAsia" w:cs="宋体"/>
                <w:color w:val="auto"/>
                <w:szCs w:val="24"/>
                <w:highlight w:val="none"/>
              </w:rPr>
            </w:pPr>
          </w:p>
        </w:tc>
        <w:tc>
          <w:tcPr>
            <w:tcW w:w="1704" w:type="dxa"/>
          </w:tcPr>
          <w:p w14:paraId="43A45331">
            <w:pPr>
              <w:pStyle w:val="13"/>
              <w:rPr>
                <w:rFonts w:hint="eastAsia" w:cs="宋体"/>
                <w:color w:val="auto"/>
                <w:szCs w:val="24"/>
                <w:highlight w:val="none"/>
              </w:rPr>
            </w:pPr>
          </w:p>
        </w:tc>
        <w:tc>
          <w:tcPr>
            <w:tcW w:w="2580" w:type="dxa"/>
          </w:tcPr>
          <w:p w14:paraId="1218636F">
            <w:pPr>
              <w:pStyle w:val="13"/>
              <w:rPr>
                <w:rFonts w:hint="eastAsia" w:cs="宋体"/>
                <w:color w:val="auto"/>
                <w:szCs w:val="24"/>
                <w:highlight w:val="none"/>
              </w:rPr>
            </w:pPr>
          </w:p>
        </w:tc>
        <w:tc>
          <w:tcPr>
            <w:tcW w:w="1106" w:type="dxa"/>
          </w:tcPr>
          <w:p w14:paraId="4CAB4AA0">
            <w:pPr>
              <w:pStyle w:val="13"/>
              <w:rPr>
                <w:rFonts w:hint="eastAsia" w:cs="宋体"/>
                <w:color w:val="auto"/>
                <w:szCs w:val="24"/>
                <w:highlight w:val="none"/>
              </w:rPr>
            </w:pPr>
          </w:p>
        </w:tc>
      </w:tr>
      <w:tr w14:paraId="3B6A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Align w:val="center"/>
          </w:tcPr>
          <w:p w14:paraId="50003400">
            <w:pPr>
              <w:pStyle w:val="114"/>
              <w:spacing w:before="67"/>
              <w:ind w:right="132"/>
              <w:jc w:val="center"/>
              <w:rPr>
                <w:rFonts w:hint="eastAsia"/>
                <w:color w:val="auto"/>
                <w:sz w:val="24"/>
                <w:szCs w:val="24"/>
                <w:highlight w:val="none"/>
              </w:rPr>
            </w:pPr>
            <w:r>
              <w:rPr>
                <w:rFonts w:hint="eastAsia"/>
                <w:b/>
                <w:color w:val="auto"/>
                <w:w w:val="95"/>
                <w:sz w:val="24"/>
                <w:szCs w:val="24"/>
                <w:highlight w:val="none"/>
              </w:rPr>
              <w:t>3</w:t>
            </w:r>
          </w:p>
        </w:tc>
        <w:tc>
          <w:tcPr>
            <w:tcW w:w="2417" w:type="dxa"/>
          </w:tcPr>
          <w:p w14:paraId="32D7CDBA">
            <w:pPr>
              <w:pStyle w:val="13"/>
              <w:rPr>
                <w:rFonts w:hint="eastAsia" w:cs="宋体"/>
                <w:color w:val="auto"/>
                <w:szCs w:val="24"/>
                <w:highlight w:val="none"/>
              </w:rPr>
            </w:pPr>
          </w:p>
        </w:tc>
        <w:tc>
          <w:tcPr>
            <w:tcW w:w="1704" w:type="dxa"/>
          </w:tcPr>
          <w:p w14:paraId="1BFC175D">
            <w:pPr>
              <w:pStyle w:val="13"/>
              <w:rPr>
                <w:rFonts w:hint="eastAsia" w:cs="宋体"/>
                <w:color w:val="auto"/>
                <w:szCs w:val="24"/>
                <w:highlight w:val="none"/>
              </w:rPr>
            </w:pPr>
          </w:p>
        </w:tc>
        <w:tc>
          <w:tcPr>
            <w:tcW w:w="2580" w:type="dxa"/>
          </w:tcPr>
          <w:p w14:paraId="31190681">
            <w:pPr>
              <w:pStyle w:val="13"/>
              <w:rPr>
                <w:rFonts w:hint="eastAsia" w:cs="宋体"/>
                <w:color w:val="auto"/>
                <w:szCs w:val="24"/>
                <w:highlight w:val="none"/>
              </w:rPr>
            </w:pPr>
          </w:p>
        </w:tc>
        <w:tc>
          <w:tcPr>
            <w:tcW w:w="1106" w:type="dxa"/>
          </w:tcPr>
          <w:p w14:paraId="281B53CA">
            <w:pPr>
              <w:pStyle w:val="13"/>
              <w:rPr>
                <w:rFonts w:hint="eastAsia" w:cs="宋体"/>
                <w:color w:val="auto"/>
                <w:szCs w:val="24"/>
                <w:highlight w:val="none"/>
              </w:rPr>
            </w:pPr>
          </w:p>
        </w:tc>
      </w:tr>
      <w:tr w14:paraId="62CD4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Align w:val="center"/>
          </w:tcPr>
          <w:p w14:paraId="72520136">
            <w:pPr>
              <w:pStyle w:val="114"/>
              <w:spacing w:before="70"/>
              <w:ind w:right="4"/>
              <w:jc w:val="center"/>
              <w:rPr>
                <w:rFonts w:hint="eastAsia"/>
                <w:color w:val="auto"/>
                <w:sz w:val="24"/>
                <w:szCs w:val="24"/>
                <w:highlight w:val="none"/>
              </w:rPr>
            </w:pPr>
            <w:r>
              <w:rPr>
                <w:rFonts w:hint="eastAsia"/>
                <w:b/>
                <w:color w:val="auto"/>
                <w:w w:val="95"/>
                <w:sz w:val="24"/>
                <w:szCs w:val="24"/>
                <w:highlight w:val="none"/>
              </w:rPr>
              <w:t>…</w:t>
            </w:r>
          </w:p>
        </w:tc>
        <w:tc>
          <w:tcPr>
            <w:tcW w:w="2417" w:type="dxa"/>
          </w:tcPr>
          <w:p w14:paraId="4F0562FC">
            <w:pPr>
              <w:pStyle w:val="13"/>
              <w:rPr>
                <w:rFonts w:hint="eastAsia" w:cs="宋体"/>
                <w:color w:val="auto"/>
                <w:szCs w:val="24"/>
                <w:highlight w:val="none"/>
              </w:rPr>
            </w:pPr>
          </w:p>
        </w:tc>
        <w:tc>
          <w:tcPr>
            <w:tcW w:w="1704" w:type="dxa"/>
          </w:tcPr>
          <w:p w14:paraId="1CB34CD1">
            <w:pPr>
              <w:pStyle w:val="13"/>
              <w:rPr>
                <w:rFonts w:hint="eastAsia" w:cs="宋体"/>
                <w:color w:val="auto"/>
                <w:szCs w:val="24"/>
                <w:highlight w:val="none"/>
              </w:rPr>
            </w:pPr>
          </w:p>
        </w:tc>
        <w:tc>
          <w:tcPr>
            <w:tcW w:w="2580" w:type="dxa"/>
          </w:tcPr>
          <w:p w14:paraId="2596BDA7">
            <w:pPr>
              <w:pStyle w:val="13"/>
              <w:rPr>
                <w:rFonts w:hint="eastAsia" w:cs="宋体"/>
                <w:color w:val="auto"/>
                <w:szCs w:val="24"/>
                <w:highlight w:val="none"/>
              </w:rPr>
            </w:pPr>
          </w:p>
        </w:tc>
        <w:tc>
          <w:tcPr>
            <w:tcW w:w="1106" w:type="dxa"/>
          </w:tcPr>
          <w:p w14:paraId="22F66D56">
            <w:pPr>
              <w:pStyle w:val="13"/>
              <w:rPr>
                <w:rFonts w:hint="eastAsia" w:cs="宋体"/>
                <w:color w:val="auto"/>
                <w:szCs w:val="24"/>
                <w:highlight w:val="none"/>
              </w:rPr>
            </w:pPr>
          </w:p>
        </w:tc>
      </w:tr>
      <w:tr w14:paraId="20929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Align w:val="center"/>
          </w:tcPr>
          <w:p w14:paraId="777DF70D">
            <w:pPr>
              <w:pStyle w:val="114"/>
              <w:spacing w:before="68"/>
              <w:ind w:right="4"/>
              <w:jc w:val="center"/>
              <w:rPr>
                <w:rFonts w:hint="eastAsia"/>
                <w:color w:val="auto"/>
                <w:sz w:val="24"/>
                <w:szCs w:val="24"/>
                <w:highlight w:val="none"/>
              </w:rPr>
            </w:pPr>
            <w:r>
              <w:rPr>
                <w:rFonts w:hint="eastAsia"/>
                <w:b/>
                <w:color w:val="auto"/>
                <w:w w:val="95"/>
                <w:sz w:val="24"/>
                <w:szCs w:val="24"/>
                <w:highlight w:val="none"/>
              </w:rPr>
              <w:t>…</w:t>
            </w:r>
          </w:p>
        </w:tc>
        <w:tc>
          <w:tcPr>
            <w:tcW w:w="2417" w:type="dxa"/>
          </w:tcPr>
          <w:p w14:paraId="367BAEE6">
            <w:pPr>
              <w:pStyle w:val="13"/>
              <w:rPr>
                <w:rFonts w:hint="eastAsia" w:cs="宋体"/>
                <w:color w:val="auto"/>
                <w:szCs w:val="24"/>
                <w:highlight w:val="none"/>
              </w:rPr>
            </w:pPr>
          </w:p>
        </w:tc>
        <w:tc>
          <w:tcPr>
            <w:tcW w:w="1704" w:type="dxa"/>
          </w:tcPr>
          <w:p w14:paraId="41F18D17">
            <w:pPr>
              <w:pStyle w:val="13"/>
              <w:rPr>
                <w:rFonts w:hint="eastAsia" w:cs="宋体"/>
                <w:color w:val="auto"/>
                <w:szCs w:val="24"/>
                <w:highlight w:val="none"/>
              </w:rPr>
            </w:pPr>
          </w:p>
        </w:tc>
        <w:tc>
          <w:tcPr>
            <w:tcW w:w="2580" w:type="dxa"/>
          </w:tcPr>
          <w:p w14:paraId="6ABE7588">
            <w:pPr>
              <w:pStyle w:val="13"/>
              <w:rPr>
                <w:rFonts w:hint="eastAsia" w:cs="宋体"/>
                <w:color w:val="auto"/>
                <w:szCs w:val="24"/>
                <w:highlight w:val="none"/>
              </w:rPr>
            </w:pPr>
          </w:p>
        </w:tc>
        <w:tc>
          <w:tcPr>
            <w:tcW w:w="1106" w:type="dxa"/>
          </w:tcPr>
          <w:p w14:paraId="27AFDBDE">
            <w:pPr>
              <w:pStyle w:val="13"/>
              <w:rPr>
                <w:rFonts w:hint="eastAsia" w:cs="宋体"/>
                <w:color w:val="auto"/>
                <w:szCs w:val="24"/>
                <w:highlight w:val="none"/>
              </w:rPr>
            </w:pPr>
          </w:p>
        </w:tc>
      </w:tr>
    </w:tbl>
    <w:p w14:paraId="32DD6B33">
      <w:pPr>
        <w:pStyle w:val="13"/>
        <w:rPr>
          <w:rFonts w:hint="eastAsia" w:cs="宋体"/>
          <w:color w:val="auto"/>
          <w:sz w:val="21"/>
          <w:szCs w:val="21"/>
          <w:highlight w:val="none"/>
        </w:rPr>
      </w:pPr>
      <w:r>
        <w:rPr>
          <w:rFonts w:hint="eastAsia" w:cs="宋体"/>
          <w:color w:val="auto"/>
          <w:sz w:val="21"/>
          <w:szCs w:val="21"/>
          <w:highlight w:val="none"/>
        </w:rPr>
        <w:t>注：本表只填写属于小微企业生产的产品，不属于小微企业生产的产品不需要填写，针对本项目产品不填写或填写不全视为资格评审不通过。</w:t>
      </w:r>
    </w:p>
    <w:p w14:paraId="73665665">
      <w:pPr>
        <w:pStyle w:val="13"/>
        <w:rPr>
          <w:rFonts w:hint="eastAsia" w:cs="宋体"/>
          <w:color w:val="auto"/>
          <w:sz w:val="21"/>
          <w:szCs w:val="21"/>
          <w:highlight w:val="none"/>
        </w:rPr>
      </w:pPr>
    </w:p>
    <w:p w14:paraId="380D5CD9">
      <w:pPr>
        <w:pStyle w:val="13"/>
        <w:rPr>
          <w:rFonts w:hint="eastAsia" w:cs="宋体"/>
          <w:color w:val="auto"/>
          <w:sz w:val="21"/>
          <w:szCs w:val="21"/>
          <w:highlight w:val="none"/>
        </w:rPr>
      </w:pPr>
    </w:p>
    <w:p w14:paraId="73AFC9EB">
      <w:pPr>
        <w:pStyle w:val="26"/>
        <w:rPr>
          <w:rFonts w:hint="eastAsia" w:ascii="宋体" w:hAnsi="宋体" w:eastAsia="宋体" w:cs="宋体"/>
          <w:color w:val="auto"/>
          <w:sz w:val="21"/>
          <w:szCs w:val="21"/>
          <w:highlight w:val="none"/>
        </w:rPr>
      </w:pPr>
    </w:p>
    <w:p w14:paraId="39E23B73">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谈判申请人名称：（电子签章）</w:t>
      </w:r>
    </w:p>
    <w:p w14:paraId="370F8704">
      <w:pPr>
        <w:spacing w:line="500" w:lineRule="exact"/>
        <w:rPr>
          <w:rFonts w:hint="eastAsia" w:ascii="宋体" w:hAnsi="宋体" w:cs="宋体"/>
          <w:color w:val="auto"/>
          <w:szCs w:val="21"/>
          <w:highlight w:val="none"/>
        </w:rPr>
      </w:pPr>
    </w:p>
    <w:p w14:paraId="69BB6EEE">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ab/>
      </w:r>
      <w:r>
        <w:rPr>
          <w:rFonts w:hint="eastAsia" w:ascii="宋体" w:hAnsi="宋体" w:cs="宋体"/>
          <w:color w:val="auto"/>
          <w:szCs w:val="21"/>
          <w:highlight w:val="none"/>
        </w:rPr>
        <w:tab/>
      </w:r>
    </w:p>
    <w:p w14:paraId="569B8F6E">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谈判申请人法定代表人或委托代理人签字：</w:t>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p>
    <w:p w14:paraId="28DA492D">
      <w:pPr>
        <w:pStyle w:val="13"/>
        <w:rPr>
          <w:rFonts w:hint="eastAsia" w:cs="宋体"/>
          <w:color w:val="auto"/>
          <w:sz w:val="21"/>
          <w:szCs w:val="21"/>
          <w:highlight w:val="none"/>
        </w:rPr>
      </w:pPr>
    </w:p>
    <w:p w14:paraId="5936117F">
      <w:pPr>
        <w:pStyle w:val="26"/>
        <w:rPr>
          <w:rFonts w:hint="eastAsia" w:ascii="宋体" w:hAnsi="宋体" w:eastAsia="宋体" w:cs="宋体"/>
          <w:color w:val="auto"/>
          <w:sz w:val="21"/>
          <w:szCs w:val="21"/>
          <w:highlight w:val="none"/>
        </w:rPr>
      </w:pPr>
    </w:p>
    <w:p w14:paraId="0A4A204A">
      <w:pPr>
        <w:pStyle w:val="8"/>
        <w:spacing w:line="360" w:lineRule="auto"/>
        <w:ind w:firstLine="0"/>
        <w:rPr>
          <w:rFonts w:hint="eastAsia" w:ascii="宋体" w:hAnsi="宋体" w:cs="宋体"/>
          <w:b/>
          <w:color w:val="auto"/>
          <w:szCs w:val="21"/>
          <w:highlight w:val="none"/>
        </w:rPr>
      </w:pPr>
      <w:r>
        <w:rPr>
          <w:rFonts w:hint="eastAsia" w:ascii="宋体" w:hAnsi="宋体" w:cs="宋体"/>
          <w:color w:val="auto"/>
          <w:szCs w:val="21"/>
          <w:highlight w:val="none"/>
        </w:rPr>
        <w:t>日期：</w:t>
      </w:r>
    </w:p>
    <w:p w14:paraId="58C5609E">
      <w:pPr>
        <w:pStyle w:val="8"/>
        <w:spacing w:line="360" w:lineRule="auto"/>
        <w:ind w:firstLine="0"/>
        <w:jc w:val="center"/>
        <w:rPr>
          <w:rFonts w:hint="eastAsia" w:ascii="宋体" w:hAnsi="宋体" w:cs="宋体"/>
          <w:b/>
          <w:color w:val="auto"/>
          <w:sz w:val="30"/>
          <w:szCs w:val="30"/>
          <w:highlight w:val="none"/>
        </w:rPr>
      </w:pPr>
    </w:p>
    <w:p w14:paraId="27186DE8">
      <w:pPr>
        <w:pStyle w:val="8"/>
        <w:spacing w:line="360" w:lineRule="auto"/>
        <w:ind w:firstLine="0"/>
        <w:jc w:val="center"/>
        <w:rPr>
          <w:rFonts w:hint="eastAsia" w:ascii="宋体" w:hAnsi="宋体" w:cs="宋体"/>
          <w:b/>
          <w:color w:val="auto"/>
          <w:sz w:val="30"/>
          <w:szCs w:val="30"/>
          <w:highlight w:val="none"/>
        </w:rPr>
      </w:pPr>
    </w:p>
    <w:p w14:paraId="6F3D3552">
      <w:pPr>
        <w:pStyle w:val="8"/>
        <w:spacing w:line="360" w:lineRule="auto"/>
        <w:ind w:firstLine="0"/>
        <w:jc w:val="center"/>
        <w:rPr>
          <w:rFonts w:hint="eastAsia" w:ascii="宋体" w:hAnsi="宋体" w:cs="宋体"/>
          <w:b/>
          <w:color w:val="auto"/>
          <w:sz w:val="30"/>
          <w:szCs w:val="30"/>
          <w:highlight w:val="none"/>
        </w:rPr>
      </w:pPr>
    </w:p>
    <w:p w14:paraId="1A33750A">
      <w:pPr>
        <w:pStyle w:val="8"/>
        <w:spacing w:line="360" w:lineRule="auto"/>
        <w:ind w:firstLine="0"/>
        <w:jc w:val="center"/>
        <w:rPr>
          <w:rFonts w:hint="eastAsia" w:ascii="宋体" w:hAnsi="宋体" w:cs="宋体"/>
          <w:b/>
          <w:color w:val="auto"/>
          <w:sz w:val="30"/>
          <w:szCs w:val="30"/>
          <w:highlight w:val="none"/>
        </w:rPr>
      </w:pPr>
    </w:p>
    <w:p w14:paraId="431DC9FD">
      <w:pPr>
        <w:pStyle w:val="8"/>
        <w:spacing w:line="360" w:lineRule="auto"/>
        <w:ind w:firstLine="0"/>
        <w:jc w:val="center"/>
        <w:rPr>
          <w:rFonts w:hint="eastAsia" w:ascii="宋体" w:hAnsi="宋体" w:cs="宋体"/>
          <w:b/>
          <w:color w:val="auto"/>
          <w:sz w:val="30"/>
          <w:szCs w:val="30"/>
          <w:highlight w:val="none"/>
        </w:rPr>
      </w:pPr>
    </w:p>
    <w:p w14:paraId="68DAC214">
      <w:pPr>
        <w:pStyle w:val="8"/>
        <w:spacing w:line="360" w:lineRule="auto"/>
        <w:ind w:firstLine="0"/>
        <w:jc w:val="center"/>
        <w:rPr>
          <w:rFonts w:hint="eastAsia" w:ascii="宋体" w:hAnsi="宋体" w:cs="宋体"/>
          <w:b/>
          <w:color w:val="auto"/>
          <w:sz w:val="30"/>
          <w:szCs w:val="30"/>
          <w:highlight w:val="none"/>
        </w:rPr>
      </w:pPr>
    </w:p>
    <w:p w14:paraId="2B546AEF">
      <w:pPr>
        <w:pStyle w:val="8"/>
        <w:spacing w:line="360" w:lineRule="auto"/>
        <w:ind w:firstLine="0"/>
        <w:jc w:val="center"/>
        <w:rPr>
          <w:rFonts w:hint="eastAsia" w:ascii="宋体" w:hAnsi="宋体" w:cs="宋体"/>
          <w:b/>
          <w:color w:val="auto"/>
          <w:sz w:val="30"/>
          <w:szCs w:val="30"/>
          <w:highlight w:val="none"/>
        </w:rPr>
      </w:pPr>
    </w:p>
    <w:p w14:paraId="60971B5A">
      <w:pPr>
        <w:pStyle w:val="8"/>
        <w:spacing w:line="360" w:lineRule="auto"/>
        <w:ind w:firstLine="0"/>
        <w:jc w:val="center"/>
        <w:rPr>
          <w:rFonts w:hint="eastAsia" w:ascii="宋体" w:hAnsi="宋体" w:cs="宋体"/>
          <w:b/>
          <w:color w:val="auto"/>
          <w:sz w:val="30"/>
          <w:szCs w:val="30"/>
          <w:highlight w:val="none"/>
        </w:rPr>
      </w:pPr>
    </w:p>
    <w:p w14:paraId="2001454E">
      <w:pPr>
        <w:spacing w:line="360" w:lineRule="auto"/>
        <w:rPr>
          <w:rFonts w:hint="eastAsia" w:ascii="宋体" w:hAnsi="宋体" w:cs="宋体"/>
          <w:b/>
          <w:color w:val="auto"/>
          <w:szCs w:val="21"/>
          <w:highlight w:val="none"/>
          <w:lang w:val="zh-TW"/>
        </w:rPr>
      </w:pPr>
      <w:r>
        <w:rPr>
          <w:rFonts w:hint="eastAsia" w:ascii="宋体" w:hAnsi="宋体" w:cs="宋体"/>
          <w:b/>
          <w:color w:val="auto"/>
          <w:szCs w:val="21"/>
          <w:highlight w:val="none"/>
          <w:lang w:val="zh-TW"/>
        </w:rPr>
        <w:t>附：</w:t>
      </w:r>
    </w:p>
    <w:p w14:paraId="6BCC939B">
      <w:pPr>
        <w:spacing w:line="360" w:lineRule="auto"/>
        <w:ind w:firstLine="420" w:firstLineChars="200"/>
        <w:rPr>
          <w:rFonts w:hint="eastAsia" w:ascii="宋体" w:hAnsi="宋体"/>
          <w:color w:val="auto"/>
          <w:highlight w:val="none"/>
        </w:rPr>
      </w:pPr>
      <w:r>
        <w:rPr>
          <w:rFonts w:hint="eastAsia" w:ascii="宋体" w:hAnsi="宋体"/>
          <w:color w:val="auto"/>
          <w:highlight w:val="none"/>
        </w:rPr>
        <w:t>统计上大中小微型企业划分标准</w:t>
      </w:r>
    </w:p>
    <w:tbl>
      <w:tblPr>
        <w:tblStyle w:val="36"/>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124C2465">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vAlign w:val="center"/>
          </w:tcPr>
          <w:p w14:paraId="22478C15">
            <w:pPr>
              <w:widowControl/>
              <w:spacing w:line="240" w:lineRule="exact"/>
              <w:jc w:val="center"/>
              <w:rPr>
                <w:rFonts w:hint="eastAsia"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tcBorders>
              <w:top w:val="single" w:color="auto" w:sz="4" w:space="0"/>
              <w:left w:val="nil"/>
              <w:bottom w:val="single" w:color="auto" w:sz="4" w:space="0"/>
              <w:right w:val="single" w:color="auto" w:sz="4" w:space="0"/>
            </w:tcBorders>
            <w:vAlign w:val="center"/>
          </w:tcPr>
          <w:p w14:paraId="2DD5D553">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tcBorders>
              <w:top w:val="single" w:color="auto" w:sz="4" w:space="0"/>
              <w:left w:val="nil"/>
              <w:bottom w:val="single" w:color="auto" w:sz="4" w:space="0"/>
              <w:right w:val="single" w:color="auto" w:sz="4" w:space="0"/>
            </w:tcBorders>
            <w:vAlign w:val="center"/>
          </w:tcPr>
          <w:p w14:paraId="7F65A6DE">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计量</w:t>
            </w:r>
            <w:r>
              <w:rPr>
                <w:rFonts w:hint="eastAsia" w:ascii="宋体" w:hAnsi="宋体" w:cs="宋体"/>
                <w:b/>
                <w:bCs/>
                <w:color w:val="auto"/>
                <w:kern w:val="0"/>
                <w:sz w:val="18"/>
                <w:szCs w:val="18"/>
                <w:highlight w:val="none"/>
              </w:rPr>
              <w:br w:type="textWrapping"/>
            </w:r>
            <w:r>
              <w:rPr>
                <w:rFonts w:hint="eastAsia" w:ascii="宋体" w:hAnsi="宋体" w:cs="宋体"/>
                <w:b/>
                <w:bCs/>
                <w:color w:val="auto"/>
                <w:kern w:val="0"/>
                <w:sz w:val="18"/>
                <w:szCs w:val="18"/>
                <w:highlight w:val="none"/>
              </w:rPr>
              <w:t>单位</w:t>
            </w:r>
          </w:p>
        </w:tc>
        <w:tc>
          <w:tcPr>
            <w:tcW w:w="1125" w:type="dxa"/>
            <w:tcBorders>
              <w:top w:val="single" w:color="auto" w:sz="4" w:space="0"/>
              <w:left w:val="nil"/>
              <w:bottom w:val="single" w:color="auto" w:sz="4" w:space="0"/>
              <w:right w:val="single" w:color="auto" w:sz="4" w:space="0"/>
            </w:tcBorders>
            <w:vAlign w:val="center"/>
          </w:tcPr>
          <w:p w14:paraId="79BF8B0E">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tcBorders>
              <w:top w:val="single" w:color="auto" w:sz="4" w:space="0"/>
              <w:left w:val="nil"/>
              <w:bottom w:val="single" w:color="auto" w:sz="4" w:space="0"/>
              <w:right w:val="single" w:color="auto" w:sz="4" w:space="0"/>
            </w:tcBorders>
            <w:vAlign w:val="center"/>
          </w:tcPr>
          <w:p w14:paraId="44469464">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tcBorders>
              <w:top w:val="single" w:color="auto" w:sz="4" w:space="0"/>
              <w:left w:val="nil"/>
              <w:bottom w:val="single" w:color="auto" w:sz="4" w:space="0"/>
              <w:right w:val="single" w:color="auto" w:sz="4" w:space="0"/>
            </w:tcBorders>
            <w:vAlign w:val="center"/>
          </w:tcPr>
          <w:p w14:paraId="62B7A75A">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tcBorders>
              <w:top w:val="single" w:color="auto" w:sz="4" w:space="0"/>
              <w:left w:val="nil"/>
              <w:bottom w:val="single" w:color="auto" w:sz="4" w:space="0"/>
              <w:right w:val="nil"/>
            </w:tcBorders>
            <w:vAlign w:val="center"/>
          </w:tcPr>
          <w:p w14:paraId="3A9C1E88">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5B1D88B4">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vAlign w:val="center"/>
          </w:tcPr>
          <w:p w14:paraId="0E1CFA21">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tcBorders>
              <w:top w:val="nil"/>
              <w:left w:val="nil"/>
              <w:bottom w:val="single" w:color="auto" w:sz="4" w:space="0"/>
              <w:right w:val="single" w:color="auto" w:sz="4" w:space="0"/>
            </w:tcBorders>
            <w:vAlign w:val="center"/>
          </w:tcPr>
          <w:p w14:paraId="08B489C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vAlign w:val="center"/>
          </w:tcPr>
          <w:p w14:paraId="1115425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779F21A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tcBorders>
              <w:top w:val="nil"/>
              <w:left w:val="nil"/>
              <w:bottom w:val="single" w:color="auto" w:sz="4" w:space="0"/>
              <w:right w:val="single" w:color="auto" w:sz="4" w:space="0"/>
            </w:tcBorders>
            <w:vAlign w:val="center"/>
          </w:tcPr>
          <w:p w14:paraId="2ED9FA6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426" w:type="dxa"/>
            <w:tcBorders>
              <w:top w:val="nil"/>
              <w:left w:val="nil"/>
              <w:bottom w:val="single" w:color="auto" w:sz="4" w:space="0"/>
              <w:right w:val="single" w:color="auto" w:sz="4" w:space="0"/>
            </w:tcBorders>
            <w:vAlign w:val="center"/>
          </w:tcPr>
          <w:p w14:paraId="7B67FDE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50≤Y＜500</w:t>
            </w:r>
          </w:p>
        </w:tc>
        <w:tc>
          <w:tcPr>
            <w:tcW w:w="992" w:type="dxa"/>
            <w:tcBorders>
              <w:top w:val="nil"/>
              <w:left w:val="nil"/>
              <w:bottom w:val="single" w:color="auto" w:sz="4" w:space="0"/>
              <w:right w:val="nil"/>
            </w:tcBorders>
            <w:vAlign w:val="center"/>
          </w:tcPr>
          <w:p w14:paraId="5F83B75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53827FF7">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17124426">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tcBorders>
              <w:top w:val="nil"/>
              <w:left w:val="nil"/>
              <w:bottom w:val="nil"/>
              <w:right w:val="single" w:color="auto" w:sz="4" w:space="0"/>
            </w:tcBorders>
            <w:vAlign w:val="center"/>
          </w:tcPr>
          <w:p w14:paraId="32CD28B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vAlign w:val="center"/>
          </w:tcPr>
          <w:p w14:paraId="039FD63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vAlign w:val="center"/>
          </w:tcPr>
          <w:p w14:paraId="25E8C3E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tcBorders>
              <w:top w:val="nil"/>
              <w:left w:val="nil"/>
              <w:bottom w:val="nil"/>
              <w:right w:val="single" w:color="auto" w:sz="4" w:space="0"/>
            </w:tcBorders>
            <w:vAlign w:val="center"/>
          </w:tcPr>
          <w:p w14:paraId="6DAF83C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tcBorders>
              <w:top w:val="nil"/>
              <w:left w:val="nil"/>
              <w:bottom w:val="nil"/>
              <w:right w:val="single" w:color="auto" w:sz="4" w:space="0"/>
            </w:tcBorders>
            <w:vAlign w:val="center"/>
          </w:tcPr>
          <w:p w14:paraId="015F387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tcBorders>
              <w:top w:val="nil"/>
              <w:left w:val="nil"/>
              <w:bottom w:val="nil"/>
              <w:right w:val="nil"/>
            </w:tcBorders>
            <w:vAlign w:val="center"/>
          </w:tcPr>
          <w:p w14:paraId="3D07137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55DE09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07413D3">
            <w:pPr>
              <w:widowControl/>
              <w:jc w:val="left"/>
              <w:rPr>
                <w:rFonts w:hint="eastAsia"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vAlign w:val="center"/>
          </w:tcPr>
          <w:p w14:paraId="1029717A">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vAlign w:val="center"/>
          </w:tcPr>
          <w:p w14:paraId="20F3176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28D5D29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tcBorders>
              <w:top w:val="nil"/>
              <w:left w:val="nil"/>
              <w:bottom w:val="single" w:color="auto" w:sz="4" w:space="0"/>
              <w:right w:val="single" w:color="auto" w:sz="4" w:space="0"/>
            </w:tcBorders>
            <w:vAlign w:val="center"/>
          </w:tcPr>
          <w:p w14:paraId="2DFBB9B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tcBorders>
              <w:top w:val="nil"/>
              <w:left w:val="nil"/>
              <w:bottom w:val="single" w:color="auto" w:sz="4" w:space="0"/>
              <w:right w:val="single" w:color="auto" w:sz="4" w:space="0"/>
            </w:tcBorders>
            <w:vAlign w:val="center"/>
          </w:tcPr>
          <w:p w14:paraId="2D10DF2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300≤Y＜2000</w:t>
            </w:r>
          </w:p>
        </w:tc>
        <w:tc>
          <w:tcPr>
            <w:tcW w:w="992" w:type="dxa"/>
            <w:tcBorders>
              <w:top w:val="nil"/>
              <w:left w:val="nil"/>
              <w:bottom w:val="single" w:color="auto" w:sz="4" w:space="0"/>
              <w:right w:val="nil"/>
            </w:tcBorders>
            <w:vAlign w:val="center"/>
          </w:tcPr>
          <w:p w14:paraId="7B4C9E3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1CF82A7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3D7F025D">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tcBorders>
              <w:top w:val="nil"/>
              <w:left w:val="nil"/>
              <w:bottom w:val="nil"/>
              <w:right w:val="single" w:color="auto" w:sz="4" w:space="0"/>
            </w:tcBorders>
            <w:vAlign w:val="center"/>
          </w:tcPr>
          <w:p w14:paraId="4C8A720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nil"/>
              <w:right w:val="single" w:color="auto" w:sz="4" w:space="0"/>
            </w:tcBorders>
            <w:vAlign w:val="center"/>
          </w:tcPr>
          <w:p w14:paraId="7644E12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nil"/>
              <w:right w:val="single" w:color="auto" w:sz="4" w:space="0"/>
            </w:tcBorders>
            <w:vAlign w:val="center"/>
          </w:tcPr>
          <w:p w14:paraId="4B7FD13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tcBorders>
              <w:top w:val="nil"/>
              <w:left w:val="nil"/>
              <w:bottom w:val="nil"/>
              <w:right w:val="single" w:color="auto" w:sz="4" w:space="0"/>
            </w:tcBorders>
            <w:vAlign w:val="center"/>
          </w:tcPr>
          <w:p w14:paraId="01892E3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tcBorders>
              <w:top w:val="nil"/>
              <w:left w:val="nil"/>
              <w:bottom w:val="nil"/>
              <w:right w:val="single" w:color="auto" w:sz="4" w:space="0"/>
            </w:tcBorders>
            <w:vAlign w:val="center"/>
          </w:tcPr>
          <w:p w14:paraId="06BF305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300≤Y＜6000</w:t>
            </w:r>
          </w:p>
        </w:tc>
        <w:tc>
          <w:tcPr>
            <w:tcW w:w="992" w:type="dxa"/>
            <w:tcBorders>
              <w:top w:val="nil"/>
              <w:left w:val="nil"/>
              <w:bottom w:val="nil"/>
              <w:right w:val="nil"/>
            </w:tcBorders>
            <w:vAlign w:val="center"/>
          </w:tcPr>
          <w:p w14:paraId="6FAEB8E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7FBE654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7828786">
            <w:pPr>
              <w:widowControl/>
              <w:jc w:val="left"/>
              <w:rPr>
                <w:rFonts w:hint="eastAsia"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vAlign w:val="center"/>
          </w:tcPr>
          <w:p w14:paraId="65960D86">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tcBorders>
              <w:top w:val="nil"/>
              <w:left w:val="nil"/>
              <w:bottom w:val="single" w:color="auto" w:sz="4" w:space="0"/>
              <w:right w:val="single" w:color="auto" w:sz="4" w:space="0"/>
            </w:tcBorders>
            <w:vAlign w:val="center"/>
          </w:tcPr>
          <w:p w14:paraId="4891B29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187DD7D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tcBorders>
              <w:top w:val="nil"/>
              <w:left w:val="nil"/>
              <w:bottom w:val="single" w:color="auto" w:sz="4" w:space="0"/>
              <w:right w:val="single" w:color="auto" w:sz="4" w:space="0"/>
            </w:tcBorders>
            <w:vAlign w:val="center"/>
          </w:tcPr>
          <w:p w14:paraId="2ECE7D1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tcBorders>
              <w:top w:val="nil"/>
              <w:left w:val="nil"/>
              <w:bottom w:val="single" w:color="auto" w:sz="4" w:space="0"/>
              <w:right w:val="single" w:color="auto" w:sz="4" w:space="0"/>
            </w:tcBorders>
            <w:vAlign w:val="center"/>
          </w:tcPr>
          <w:p w14:paraId="42A2C73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300≤Z＜5000</w:t>
            </w:r>
          </w:p>
        </w:tc>
        <w:tc>
          <w:tcPr>
            <w:tcW w:w="992" w:type="dxa"/>
            <w:tcBorders>
              <w:top w:val="nil"/>
              <w:left w:val="nil"/>
              <w:bottom w:val="single" w:color="auto" w:sz="4" w:space="0"/>
              <w:right w:val="nil"/>
            </w:tcBorders>
            <w:vAlign w:val="center"/>
          </w:tcPr>
          <w:p w14:paraId="79C117E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115BA3F5">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46408B3E">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tcBorders>
              <w:top w:val="nil"/>
              <w:left w:val="nil"/>
              <w:bottom w:val="nil"/>
              <w:right w:val="single" w:color="auto" w:sz="4" w:space="0"/>
            </w:tcBorders>
            <w:vAlign w:val="center"/>
          </w:tcPr>
          <w:p w14:paraId="352AAEC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vAlign w:val="center"/>
          </w:tcPr>
          <w:p w14:paraId="417EE4C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vAlign w:val="center"/>
          </w:tcPr>
          <w:p w14:paraId="3C1C594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tcBorders>
              <w:top w:val="nil"/>
              <w:left w:val="nil"/>
              <w:bottom w:val="nil"/>
              <w:right w:val="single" w:color="auto" w:sz="4" w:space="0"/>
            </w:tcBorders>
            <w:vAlign w:val="center"/>
          </w:tcPr>
          <w:p w14:paraId="2699B33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tcBorders>
              <w:top w:val="nil"/>
              <w:left w:val="nil"/>
              <w:bottom w:val="nil"/>
              <w:right w:val="single" w:color="auto" w:sz="4" w:space="0"/>
            </w:tcBorders>
            <w:vAlign w:val="center"/>
          </w:tcPr>
          <w:p w14:paraId="717DF8B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5≤X＜20</w:t>
            </w:r>
          </w:p>
        </w:tc>
        <w:tc>
          <w:tcPr>
            <w:tcW w:w="992" w:type="dxa"/>
            <w:tcBorders>
              <w:top w:val="nil"/>
              <w:left w:val="nil"/>
              <w:bottom w:val="nil"/>
              <w:right w:val="nil"/>
            </w:tcBorders>
            <w:vAlign w:val="center"/>
          </w:tcPr>
          <w:p w14:paraId="08BB37E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7073F234">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3ADB318">
            <w:pPr>
              <w:widowControl/>
              <w:jc w:val="left"/>
              <w:rPr>
                <w:rFonts w:hint="eastAsia"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vAlign w:val="center"/>
          </w:tcPr>
          <w:p w14:paraId="39BC3EF7">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vAlign w:val="center"/>
          </w:tcPr>
          <w:p w14:paraId="05C859C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72281AA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tcBorders>
              <w:top w:val="nil"/>
              <w:left w:val="nil"/>
              <w:bottom w:val="single" w:color="auto" w:sz="4" w:space="0"/>
              <w:right w:val="single" w:color="auto" w:sz="4" w:space="0"/>
            </w:tcBorders>
            <w:vAlign w:val="center"/>
          </w:tcPr>
          <w:p w14:paraId="079354D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tcBorders>
              <w:top w:val="nil"/>
              <w:left w:val="nil"/>
              <w:bottom w:val="single" w:color="auto" w:sz="4" w:space="0"/>
              <w:right w:val="single" w:color="auto" w:sz="4" w:space="0"/>
            </w:tcBorders>
            <w:vAlign w:val="center"/>
          </w:tcPr>
          <w:p w14:paraId="3A2A330A">
            <w:pPr>
              <w:widowControl/>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tcBorders>
              <w:top w:val="nil"/>
              <w:left w:val="nil"/>
              <w:bottom w:val="single" w:color="auto" w:sz="4" w:space="0"/>
              <w:right w:val="nil"/>
            </w:tcBorders>
            <w:vAlign w:val="center"/>
          </w:tcPr>
          <w:p w14:paraId="7FF4E14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5487FA5A">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2B1FADC0">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tcBorders>
              <w:top w:val="nil"/>
              <w:left w:val="nil"/>
              <w:bottom w:val="nil"/>
              <w:right w:val="single" w:color="auto" w:sz="4" w:space="0"/>
            </w:tcBorders>
            <w:vAlign w:val="center"/>
          </w:tcPr>
          <w:p w14:paraId="7959782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vAlign w:val="center"/>
          </w:tcPr>
          <w:p w14:paraId="7862CB4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vAlign w:val="center"/>
          </w:tcPr>
          <w:p w14:paraId="011E3B1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nil"/>
              <w:left w:val="nil"/>
              <w:bottom w:val="nil"/>
              <w:right w:val="single" w:color="auto" w:sz="4" w:space="0"/>
            </w:tcBorders>
            <w:vAlign w:val="center"/>
          </w:tcPr>
          <w:p w14:paraId="7FCDAD6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tcBorders>
              <w:top w:val="nil"/>
              <w:left w:val="nil"/>
              <w:bottom w:val="nil"/>
              <w:right w:val="single" w:color="auto" w:sz="4" w:space="0"/>
            </w:tcBorders>
            <w:vAlign w:val="center"/>
          </w:tcPr>
          <w:p w14:paraId="108256A3">
            <w:pPr>
              <w:widowControl/>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tcBorders>
              <w:top w:val="nil"/>
              <w:left w:val="nil"/>
              <w:bottom w:val="nil"/>
              <w:right w:val="nil"/>
            </w:tcBorders>
            <w:vAlign w:val="center"/>
          </w:tcPr>
          <w:p w14:paraId="734260C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010E61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F9C27EE">
            <w:pPr>
              <w:widowControl/>
              <w:jc w:val="left"/>
              <w:rPr>
                <w:rFonts w:hint="eastAsia"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vAlign w:val="center"/>
          </w:tcPr>
          <w:p w14:paraId="24B4E27A">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vAlign w:val="center"/>
          </w:tcPr>
          <w:p w14:paraId="4A61367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0E734C6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tcBorders>
              <w:top w:val="nil"/>
              <w:left w:val="nil"/>
              <w:bottom w:val="single" w:color="auto" w:sz="4" w:space="0"/>
              <w:right w:val="single" w:color="auto" w:sz="4" w:space="0"/>
            </w:tcBorders>
            <w:vAlign w:val="center"/>
          </w:tcPr>
          <w:p w14:paraId="78469E5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426" w:type="dxa"/>
            <w:tcBorders>
              <w:top w:val="nil"/>
              <w:left w:val="nil"/>
              <w:bottom w:val="single" w:color="auto" w:sz="4" w:space="0"/>
              <w:right w:val="single" w:color="auto" w:sz="4" w:space="0"/>
            </w:tcBorders>
            <w:vAlign w:val="center"/>
          </w:tcPr>
          <w:p w14:paraId="4836A0FE">
            <w:pPr>
              <w:widowControl/>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100≤Y＜500 </w:t>
            </w:r>
          </w:p>
        </w:tc>
        <w:tc>
          <w:tcPr>
            <w:tcW w:w="992" w:type="dxa"/>
            <w:tcBorders>
              <w:top w:val="nil"/>
              <w:left w:val="nil"/>
              <w:bottom w:val="single" w:color="auto" w:sz="4" w:space="0"/>
              <w:right w:val="nil"/>
            </w:tcBorders>
            <w:vAlign w:val="center"/>
          </w:tcPr>
          <w:p w14:paraId="72CAFB2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0BED7C1">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53572CA9">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tcBorders>
              <w:top w:val="nil"/>
              <w:left w:val="nil"/>
              <w:bottom w:val="nil"/>
              <w:right w:val="single" w:color="auto" w:sz="4" w:space="0"/>
            </w:tcBorders>
            <w:vAlign w:val="center"/>
          </w:tcPr>
          <w:p w14:paraId="52592D6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vAlign w:val="center"/>
          </w:tcPr>
          <w:p w14:paraId="4230AD3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vAlign w:val="center"/>
          </w:tcPr>
          <w:p w14:paraId="607262D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tcBorders>
              <w:top w:val="nil"/>
              <w:left w:val="nil"/>
              <w:bottom w:val="nil"/>
              <w:right w:val="single" w:color="auto" w:sz="4" w:space="0"/>
            </w:tcBorders>
            <w:vAlign w:val="center"/>
          </w:tcPr>
          <w:p w14:paraId="1F47752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tcBorders>
              <w:top w:val="nil"/>
              <w:left w:val="nil"/>
              <w:bottom w:val="nil"/>
              <w:right w:val="single" w:color="auto" w:sz="4" w:space="0"/>
            </w:tcBorders>
            <w:vAlign w:val="center"/>
          </w:tcPr>
          <w:p w14:paraId="1365395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tcBorders>
              <w:top w:val="nil"/>
              <w:left w:val="nil"/>
              <w:bottom w:val="nil"/>
              <w:right w:val="nil"/>
            </w:tcBorders>
            <w:vAlign w:val="center"/>
          </w:tcPr>
          <w:p w14:paraId="2D55D45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2D6A431">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467E706">
            <w:pPr>
              <w:widowControl/>
              <w:jc w:val="left"/>
              <w:rPr>
                <w:rFonts w:hint="eastAsia"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vAlign w:val="center"/>
          </w:tcPr>
          <w:p w14:paraId="611697D6">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vAlign w:val="center"/>
          </w:tcPr>
          <w:p w14:paraId="3ACBD19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3834A0C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tcBorders>
              <w:top w:val="nil"/>
              <w:left w:val="nil"/>
              <w:bottom w:val="single" w:color="auto" w:sz="4" w:space="0"/>
              <w:right w:val="single" w:color="auto" w:sz="4" w:space="0"/>
            </w:tcBorders>
            <w:vAlign w:val="center"/>
          </w:tcPr>
          <w:p w14:paraId="560946C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tcBorders>
              <w:top w:val="nil"/>
              <w:left w:val="nil"/>
              <w:bottom w:val="single" w:color="auto" w:sz="4" w:space="0"/>
              <w:right w:val="single" w:color="auto" w:sz="4" w:space="0"/>
            </w:tcBorders>
            <w:vAlign w:val="center"/>
          </w:tcPr>
          <w:p w14:paraId="3CED925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200≤Y＜3000</w:t>
            </w:r>
          </w:p>
        </w:tc>
        <w:tc>
          <w:tcPr>
            <w:tcW w:w="992" w:type="dxa"/>
            <w:tcBorders>
              <w:top w:val="nil"/>
              <w:left w:val="nil"/>
              <w:bottom w:val="single" w:color="auto" w:sz="4" w:space="0"/>
              <w:right w:val="nil"/>
            </w:tcBorders>
            <w:vAlign w:val="center"/>
          </w:tcPr>
          <w:p w14:paraId="01130C9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6F9A6EAB">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0F65D382">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tcBorders>
              <w:top w:val="nil"/>
              <w:left w:val="nil"/>
              <w:bottom w:val="nil"/>
              <w:right w:val="single" w:color="auto" w:sz="4" w:space="0"/>
            </w:tcBorders>
            <w:vAlign w:val="center"/>
          </w:tcPr>
          <w:p w14:paraId="506FC9C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vAlign w:val="center"/>
          </w:tcPr>
          <w:p w14:paraId="6B9D209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vAlign w:val="center"/>
          </w:tcPr>
          <w:p w14:paraId="05F9769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tcBorders>
              <w:top w:val="nil"/>
              <w:left w:val="nil"/>
              <w:bottom w:val="nil"/>
              <w:right w:val="single" w:color="auto" w:sz="4" w:space="0"/>
            </w:tcBorders>
            <w:vAlign w:val="center"/>
          </w:tcPr>
          <w:p w14:paraId="4E473806">
            <w:pPr>
              <w:widowControl/>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tcBorders>
              <w:top w:val="nil"/>
              <w:left w:val="nil"/>
              <w:bottom w:val="nil"/>
              <w:right w:val="single" w:color="auto" w:sz="4" w:space="0"/>
            </w:tcBorders>
            <w:vAlign w:val="center"/>
          </w:tcPr>
          <w:p w14:paraId="1D3D2EB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20≤X＜100</w:t>
            </w:r>
          </w:p>
        </w:tc>
        <w:tc>
          <w:tcPr>
            <w:tcW w:w="992" w:type="dxa"/>
            <w:tcBorders>
              <w:top w:val="nil"/>
              <w:left w:val="nil"/>
              <w:bottom w:val="nil"/>
              <w:right w:val="nil"/>
            </w:tcBorders>
            <w:vAlign w:val="center"/>
          </w:tcPr>
          <w:p w14:paraId="4F36424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F51FCE8">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2948924">
            <w:pPr>
              <w:widowControl/>
              <w:jc w:val="left"/>
              <w:rPr>
                <w:rFonts w:hint="eastAsia"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vAlign w:val="center"/>
          </w:tcPr>
          <w:p w14:paraId="675DD6A9">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vAlign w:val="center"/>
          </w:tcPr>
          <w:p w14:paraId="1600EE2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3CBD496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tcBorders>
              <w:top w:val="nil"/>
              <w:left w:val="nil"/>
              <w:bottom w:val="single" w:color="auto" w:sz="4" w:space="0"/>
              <w:right w:val="single" w:color="auto" w:sz="4" w:space="0"/>
            </w:tcBorders>
            <w:vAlign w:val="center"/>
          </w:tcPr>
          <w:p w14:paraId="44B6ACB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tcBorders>
              <w:top w:val="nil"/>
              <w:left w:val="nil"/>
              <w:bottom w:val="single" w:color="auto" w:sz="4" w:space="0"/>
              <w:right w:val="single" w:color="auto" w:sz="4" w:space="0"/>
            </w:tcBorders>
            <w:vAlign w:val="center"/>
          </w:tcPr>
          <w:p w14:paraId="2F0CEBA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tcBorders>
              <w:top w:val="nil"/>
              <w:left w:val="nil"/>
              <w:bottom w:val="single" w:color="auto" w:sz="4" w:space="0"/>
              <w:right w:val="nil"/>
            </w:tcBorders>
            <w:vAlign w:val="center"/>
          </w:tcPr>
          <w:p w14:paraId="1DBA4E1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ABABFD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57600721">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tcBorders>
              <w:top w:val="nil"/>
              <w:left w:val="nil"/>
              <w:bottom w:val="nil"/>
              <w:right w:val="single" w:color="auto" w:sz="4" w:space="0"/>
            </w:tcBorders>
            <w:vAlign w:val="center"/>
          </w:tcPr>
          <w:p w14:paraId="19FE555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vAlign w:val="center"/>
          </w:tcPr>
          <w:p w14:paraId="4D1C574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vAlign w:val="center"/>
          </w:tcPr>
          <w:p w14:paraId="534CF78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tcBorders>
              <w:top w:val="nil"/>
              <w:left w:val="nil"/>
              <w:bottom w:val="nil"/>
              <w:right w:val="single" w:color="auto" w:sz="4" w:space="0"/>
            </w:tcBorders>
            <w:vAlign w:val="center"/>
          </w:tcPr>
          <w:p w14:paraId="4AC049A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tcBorders>
              <w:top w:val="nil"/>
              <w:left w:val="nil"/>
              <w:bottom w:val="nil"/>
              <w:right w:val="single" w:color="auto" w:sz="4" w:space="0"/>
            </w:tcBorders>
            <w:vAlign w:val="center"/>
          </w:tcPr>
          <w:p w14:paraId="4DD7AA6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tcBorders>
              <w:top w:val="nil"/>
              <w:left w:val="nil"/>
              <w:bottom w:val="nil"/>
              <w:right w:val="nil"/>
            </w:tcBorders>
            <w:vAlign w:val="center"/>
          </w:tcPr>
          <w:p w14:paraId="65B0CD2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B7D8A9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95F3655">
            <w:pPr>
              <w:widowControl/>
              <w:jc w:val="left"/>
              <w:rPr>
                <w:rFonts w:hint="eastAsia"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vAlign w:val="center"/>
          </w:tcPr>
          <w:p w14:paraId="54B44BCB">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vAlign w:val="center"/>
          </w:tcPr>
          <w:p w14:paraId="23CCA0C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7C400F8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tcBorders>
              <w:top w:val="nil"/>
              <w:left w:val="nil"/>
              <w:bottom w:val="single" w:color="auto" w:sz="4" w:space="0"/>
              <w:right w:val="single" w:color="auto" w:sz="4" w:space="0"/>
            </w:tcBorders>
            <w:vAlign w:val="center"/>
          </w:tcPr>
          <w:p w14:paraId="40A0EB8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tcBorders>
              <w:top w:val="nil"/>
              <w:left w:val="nil"/>
              <w:bottom w:val="single" w:color="auto" w:sz="4" w:space="0"/>
              <w:right w:val="single" w:color="auto" w:sz="4" w:space="0"/>
            </w:tcBorders>
            <w:vAlign w:val="center"/>
          </w:tcPr>
          <w:p w14:paraId="7878CED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tcBorders>
              <w:top w:val="nil"/>
              <w:left w:val="nil"/>
              <w:bottom w:val="single" w:color="auto" w:sz="4" w:space="0"/>
              <w:right w:val="nil"/>
            </w:tcBorders>
            <w:vAlign w:val="center"/>
          </w:tcPr>
          <w:p w14:paraId="4DA419C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DBD4DDB">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0A3A652D">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tcBorders>
              <w:top w:val="nil"/>
              <w:left w:val="nil"/>
              <w:bottom w:val="nil"/>
              <w:right w:val="single" w:color="auto" w:sz="4" w:space="0"/>
            </w:tcBorders>
            <w:vAlign w:val="center"/>
          </w:tcPr>
          <w:p w14:paraId="7D482A2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vAlign w:val="center"/>
          </w:tcPr>
          <w:p w14:paraId="54867DA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vAlign w:val="center"/>
          </w:tcPr>
          <w:p w14:paraId="468F34D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nil"/>
              <w:left w:val="nil"/>
              <w:bottom w:val="nil"/>
              <w:right w:val="single" w:color="auto" w:sz="4" w:space="0"/>
            </w:tcBorders>
            <w:vAlign w:val="center"/>
          </w:tcPr>
          <w:p w14:paraId="7EEA7597">
            <w:pPr>
              <w:widowControl/>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tcBorders>
              <w:top w:val="nil"/>
              <w:left w:val="nil"/>
              <w:bottom w:val="nil"/>
              <w:right w:val="single" w:color="auto" w:sz="4" w:space="0"/>
            </w:tcBorders>
            <w:vAlign w:val="center"/>
          </w:tcPr>
          <w:p w14:paraId="03AE142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tcBorders>
              <w:top w:val="nil"/>
              <w:left w:val="nil"/>
              <w:bottom w:val="nil"/>
              <w:right w:val="nil"/>
            </w:tcBorders>
            <w:vAlign w:val="center"/>
          </w:tcPr>
          <w:p w14:paraId="4846C34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3D8A16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260C212">
            <w:pPr>
              <w:widowControl/>
              <w:jc w:val="left"/>
              <w:rPr>
                <w:rFonts w:hint="eastAsia"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vAlign w:val="center"/>
          </w:tcPr>
          <w:p w14:paraId="1501FB84">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vAlign w:val="center"/>
          </w:tcPr>
          <w:p w14:paraId="081ABBA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049E31E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tcBorders>
              <w:top w:val="nil"/>
              <w:left w:val="nil"/>
              <w:bottom w:val="single" w:color="auto" w:sz="4" w:space="0"/>
              <w:right w:val="single" w:color="auto" w:sz="4" w:space="0"/>
            </w:tcBorders>
            <w:vAlign w:val="center"/>
          </w:tcPr>
          <w:p w14:paraId="43ECB61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tcBorders>
              <w:top w:val="nil"/>
              <w:left w:val="nil"/>
              <w:bottom w:val="single" w:color="auto" w:sz="4" w:space="0"/>
              <w:right w:val="single" w:color="auto" w:sz="4" w:space="0"/>
            </w:tcBorders>
            <w:vAlign w:val="center"/>
          </w:tcPr>
          <w:p w14:paraId="6B128E6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tcBorders>
              <w:top w:val="nil"/>
              <w:left w:val="nil"/>
              <w:bottom w:val="single" w:color="auto" w:sz="4" w:space="0"/>
              <w:right w:val="nil"/>
            </w:tcBorders>
            <w:vAlign w:val="center"/>
          </w:tcPr>
          <w:p w14:paraId="41ED335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C7A220D">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68B49062">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tcBorders>
              <w:top w:val="nil"/>
              <w:left w:val="nil"/>
              <w:bottom w:val="nil"/>
              <w:right w:val="single" w:color="auto" w:sz="4" w:space="0"/>
            </w:tcBorders>
            <w:vAlign w:val="center"/>
          </w:tcPr>
          <w:p w14:paraId="7213E0A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vAlign w:val="center"/>
          </w:tcPr>
          <w:p w14:paraId="7F9D894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vAlign w:val="center"/>
          </w:tcPr>
          <w:p w14:paraId="59A9694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nil"/>
              <w:left w:val="nil"/>
              <w:bottom w:val="nil"/>
              <w:right w:val="single" w:color="auto" w:sz="4" w:space="0"/>
            </w:tcBorders>
            <w:vAlign w:val="center"/>
          </w:tcPr>
          <w:p w14:paraId="53379617">
            <w:pPr>
              <w:widowControl/>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tcBorders>
              <w:top w:val="nil"/>
              <w:left w:val="nil"/>
              <w:bottom w:val="nil"/>
              <w:right w:val="single" w:color="auto" w:sz="4" w:space="0"/>
            </w:tcBorders>
            <w:vAlign w:val="center"/>
          </w:tcPr>
          <w:p w14:paraId="1685C20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tcBorders>
              <w:top w:val="nil"/>
              <w:left w:val="nil"/>
              <w:bottom w:val="nil"/>
              <w:right w:val="nil"/>
            </w:tcBorders>
            <w:vAlign w:val="center"/>
          </w:tcPr>
          <w:p w14:paraId="24715FE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343C9C0">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4791879">
            <w:pPr>
              <w:widowControl/>
              <w:jc w:val="left"/>
              <w:rPr>
                <w:rFonts w:hint="eastAsia"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vAlign w:val="center"/>
          </w:tcPr>
          <w:p w14:paraId="14ACCC4D">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vAlign w:val="center"/>
          </w:tcPr>
          <w:p w14:paraId="4426607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0F50964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tcBorders>
              <w:top w:val="nil"/>
              <w:left w:val="nil"/>
              <w:bottom w:val="single" w:color="auto" w:sz="4" w:space="0"/>
              <w:right w:val="single" w:color="auto" w:sz="4" w:space="0"/>
            </w:tcBorders>
            <w:vAlign w:val="center"/>
          </w:tcPr>
          <w:p w14:paraId="21A290E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tcBorders>
              <w:top w:val="nil"/>
              <w:left w:val="nil"/>
              <w:bottom w:val="single" w:color="auto" w:sz="4" w:space="0"/>
              <w:right w:val="single" w:color="auto" w:sz="4" w:space="0"/>
            </w:tcBorders>
            <w:vAlign w:val="center"/>
          </w:tcPr>
          <w:p w14:paraId="749D45E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tcBorders>
              <w:top w:val="nil"/>
              <w:left w:val="nil"/>
              <w:bottom w:val="single" w:color="auto" w:sz="4" w:space="0"/>
              <w:right w:val="nil"/>
            </w:tcBorders>
            <w:vAlign w:val="center"/>
          </w:tcPr>
          <w:p w14:paraId="508FAF4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8EABD8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4A9FA2DE">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tcBorders>
              <w:top w:val="nil"/>
              <w:left w:val="nil"/>
              <w:bottom w:val="nil"/>
              <w:right w:val="single" w:color="auto" w:sz="4" w:space="0"/>
            </w:tcBorders>
            <w:vAlign w:val="center"/>
          </w:tcPr>
          <w:p w14:paraId="6937E98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vAlign w:val="center"/>
          </w:tcPr>
          <w:p w14:paraId="2105BEF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vAlign w:val="center"/>
          </w:tcPr>
          <w:p w14:paraId="747B35E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tcBorders>
              <w:top w:val="nil"/>
              <w:left w:val="nil"/>
              <w:bottom w:val="nil"/>
              <w:right w:val="single" w:color="auto" w:sz="4" w:space="0"/>
            </w:tcBorders>
            <w:vAlign w:val="center"/>
          </w:tcPr>
          <w:p w14:paraId="35CF157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tcBorders>
              <w:top w:val="nil"/>
              <w:left w:val="nil"/>
              <w:bottom w:val="nil"/>
              <w:right w:val="single" w:color="auto" w:sz="4" w:space="0"/>
            </w:tcBorders>
            <w:vAlign w:val="center"/>
          </w:tcPr>
          <w:p w14:paraId="647835F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tcBorders>
              <w:top w:val="nil"/>
              <w:left w:val="nil"/>
              <w:bottom w:val="nil"/>
              <w:right w:val="nil"/>
            </w:tcBorders>
            <w:vAlign w:val="center"/>
          </w:tcPr>
          <w:p w14:paraId="72BA877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CCA340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0770A1D">
            <w:pPr>
              <w:widowControl/>
              <w:jc w:val="left"/>
              <w:rPr>
                <w:rFonts w:hint="eastAsia"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vAlign w:val="center"/>
          </w:tcPr>
          <w:p w14:paraId="51CBDB6B">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vAlign w:val="center"/>
          </w:tcPr>
          <w:p w14:paraId="14AD6C6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5C240DF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tcBorders>
              <w:top w:val="nil"/>
              <w:left w:val="nil"/>
              <w:bottom w:val="single" w:color="auto" w:sz="4" w:space="0"/>
              <w:right w:val="single" w:color="auto" w:sz="4" w:space="0"/>
            </w:tcBorders>
            <w:vAlign w:val="center"/>
          </w:tcPr>
          <w:p w14:paraId="6E38D48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1000≤Y＜100000</w:t>
            </w:r>
          </w:p>
        </w:tc>
        <w:tc>
          <w:tcPr>
            <w:tcW w:w="1426" w:type="dxa"/>
            <w:tcBorders>
              <w:top w:val="nil"/>
              <w:left w:val="nil"/>
              <w:bottom w:val="single" w:color="auto" w:sz="4" w:space="0"/>
              <w:right w:val="single" w:color="auto" w:sz="4" w:space="0"/>
            </w:tcBorders>
            <w:vAlign w:val="center"/>
          </w:tcPr>
          <w:p w14:paraId="153E65C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tcBorders>
              <w:top w:val="nil"/>
              <w:left w:val="nil"/>
              <w:bottom w:val="single" w:color="auto" w:sz="4" w:space="0"/>
              <w:right w:val="nil"/>
            </w:tcBorders>
            <w:vAlign w:val="center"/>
          </w:tcPr>
          <w:p w14:paraId="15D2A32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8908A50">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vAlign w:val="center"/>
          </w:tcPr>
          <w:p w14:paraId="043A21F2">
            <w:pPr>
              <w:widowControl/>
              <w:spacing w:line="240" w:lineRule="exact"/>
              <w:jc w:val="left"/>
              <w:rPr>
                <w:rFonts w:hint="eastAsia"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tcBorders>
              <w:top w:val="nil"/>
              <w:left w:val="nil"/>
              <w:bottom w:val="nil"/>
              <w:right w:val="single" w:color="auto" w:sz="4" w:space="0"/>
            </w:tcBorders>
            <w:vAlign w:val="center"/>
          </w:tcPr>
          <w:p w14:paraId="453505F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vAlign w:val="center"/>
          </w:tcPr>
          <w:p w14:paraId="1E33F39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vAlign w:val="center"/>
          </w:tcPr>
          <w:p w14:paraId="4A1577B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nil"/>
              <w:left w:val="nil"/>
              <w:bottom w:val="nil"/>
              <w:right w:val="single" w:color="auto" w:sz="4" w:space="0"/>
            </w:tcBorders>
            <w:vAlign w:val="center"/>
          </w:tcPr>
          <w:p w14:paraId="349DC134">
            <w:pPr>
              <w:widowControl/>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tcBorders>
              <w:top w:val="nil"/>
              <w:left w:val="nil"/>
              <w:bottom w:val="nil"/>
              <w:right w:val="single" w:color="auto" w:sz="4" w:space="0"/>
            </w:tcBorders>
            <w:vAlign w:val="center"/>
          </w:tcPr>
          <w:p w14:paraId="2309C40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tcBorders>
              <w:top w:val="nil"/>
              <w:left w:val="nil"/>
              <w:bottom w:val="nil"/>
              <w:right w:val="nil"/>
            </w:tcBorders>
            <w:vAlign w:val="center"/>
          </w:tcPr>
          <w:p w14:paraId="48B3109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2949A0B">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7C16D289">
            <w:pPr>
              <w:widowControl/>
              <w:jc w:val="left"/>
              <w:rPr>
                <w:rFonts w:hint="eastAsia" w:ascii="宋体" w:hAnsi="宋体" w:cs="宋体"/>
                <w:color w:val="auto"/>
                <w:spacing w:val="-12"/>
                <w:kern w:val="0"/>
                <w:sz w:val="18"/>
                <w:szCs w:val="18"/>
                <w:highlight w:val="none"/>
              </w:rPr>
            </w:pPr>
          </w:p>
        </w:tc>
        <w:tc>
          <w:tcPr>
            <w:tcW w:w="1369" w:type="dxa"/>
            <w:tcBorders>
              <w:top w:val="nil"/>
              <w:left w:val="nil"/>
              <w:bottom w:val="single" w:color="auto" w:sz="4" w:space="0"/>
              <w:right w:val="single" w:color="auto" w:sz="4" w:space="0"/>
            </w:tcBorders>
            <w:vAlign w:val="center"/>
          </w:tcPr>
          <w:p w14:paraId="1297C9C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vAlign w:val="center"/>
          </w:tcPr>
          <w:p w14:paraId="6425BD6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16DEE80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tcBorders>
              <w:top w:val="nil"/>
              <w:left w:val="nil"/>
              <w:bottom w:val="single" w:color="auto" w:sz="4" w:space="0"/>
              <w:right w:val="single" w:color="auto" w:sz="4" w:space="0"/>
            </w:tcBorders>
            <w:vAlign w:val="center"/>
          </w:tcPr>
          <w:p w14:paraId="00788B2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tcBorders>
              <w:top w:val="nil"/>
              <w:left w:val="nil"/>
              <w:bottom w:val="single" w:color="auto" w:sz="4" w:space="0"/>
              <w:right w:val="single" w:color="auto" w:sz="4" w:space="0"/>
            </w:tcBorders>
            <w:vAlign w:val="center"/>
          </w:tcPr>
          <w:p w14:paraId="2B7ED72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50≤Y＜1000</w:t>
            </w:r>
          </w:p>
        </w:tc>
        <w:tc>
          <w:tcPr>
            <w:tcW w:w="992" w:type="dxa"/>
            <w:tcBorders>
              <w:top w:val="nil"/>
              <w:left w:val="nil"/>
              <w:bottom w:val="single" w:color="auto" w:sz="4" w:space="0"/>
              <w:right w:val="nil"/>
            </w:tcBorders>
            <w:vAlign w:val="center"/>
          </w:tcPr>
          <w:p w14:paraId="3C11667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65D39C13">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19E659A3">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tcBorders>
              <w:top w:val="nil"/>
              <w:left w:val="nil"/>
              <w:bottom w:val="nil"/>
              <w:right w:val="single" w:color="auto" w:sz="4" w:space="0"/>
            </w:tcBorders>
            <w:vAlign w:val="center"/>
          </w:tcPr>
          <w:p w14:paraId="35097A3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nil"/>
              <w:right w:val="single" w:color="auto" w:sz="4" w:space="0"/>
            </w:tcBorders>
            <w:vAlign w:val="center"/>
          </w:tcPr>
          <w:p w14:paraId="47A1683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nil"/>
              <w:right w:val="single" w:color="auto" w:sz="4" w:space="0"/>
            </w:tcBorders>
            <w:vAlign w:val="center"/>
          </w:tcPr>
          <w:p w14:paraId="1627EB9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tcBorders>
              <w:top w:val="nil"/>
              <w:left w:val="nil"/>
              <w:bottom w:val="nil"/>
              <w:right w:val="single" w:color="auto" w:sz="4" w:space="0"/>
            </w:tcBorders>
            <w:vAlign w:val="center"/>
          </w:tcPr>
          <w:p w14:paraId="148598A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1000≤Y＜200000</w:t>
            </w:r>
          </w:p>
        </w:tc>
        <w:tc>
          <w:tcPr>
            <w:tcW w:w="1426" w:type="dxa"/>
            <w:tcBorders>
              <w:top w:val="nil"/>
              <w:left w:val="nil"/>
              <w:bottom w:val="nil"/>
              <w:right w:val="single" w:color="auto" w:sz="4" w:space="0"/>
            </w:tcBorders>
            <w:vAlign w:val="center"/>
          </w:tcPr>
          <w:p w14:paraId="643E439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tcBorders>
              <w:top w:val="nil"/>
              <w:left w:val="nil"/>
              <w:bottom w:val="nil"/>
              <w:right w:val="nil"/>
            </w:tcBorders>
            <w:vAlign w:val="center"/>
          </w:tcPr>
          <w:p w14:paraId="43B3DA8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5C8CED7">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02176ABC">
            <w:pPr>
              <w:widowControl/>
              <w:jc w:val="left"/>
              <w:rPr>
                <w:rFonts w:hint="eastAsia"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vAlign w:val="center"/>
          </w:tcPr>
          <w:p w14:paraId="57665C01">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tcBorders>
              <w:top w:val="nil"/>
              <w:left w:val="nil"/>
              <w:bottom w:val="single" w:color="auto" w:sz="4" w:space="0"/>
              <w:right w:val="single" w:color="auto" w:sz="4" w:space="0"/>
            </w:tcBorders>
            <w:vAlign w:val="center"/>
          </w:tcPr>
          <w:p w14:paraId="0CE4649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30F2BCC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tcBorders>
              <w:top w:val="nil"/>
              <w:left w:val="nil"/>
              <w:bottom w:val="single" w:color="auto" w:sz="4" w:space="0"/>
              <w:right w:val="single" w:color="auto" w:sz="4" w:space="0"/>
            </w:tcBorders>
            <w:vAlign w:val="center"/>
          </w:tcPr>
          <w:p w14:paraId="6B402D2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tcBorders>
              <w:top w:val="nil"/>
              <w:left w:val="nil"/>
              <w:bottom w:val="single" w:color="auto" w:sz="4" w:space="0"/>
              <w:right w:val="single" w:color="auto" w:sz="4" w:space="0"/>
            </w:tcBorders>
            <w:vAlign w:val="center"/>
          </w:tcPr>
          <w:p w14:paraId="1811005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2000≤Z＜5000   </w:t>
            </w:r>
          </w:p>
        </w:tc>
        <w:tc>
          <w:tcPr>
            <w:tcW w:w="992" w:type="dxa"/>
            <w:tcBorders>
              <w:top w:val="nil"/>
              <w:left w:val="nil"/>
              <w:bottom w:val="single" w:color="auto" w:sz="4" w:space="0"/>
              <w:right w:val="nil"/>
            </w:tcBorders>
            <w:vAlign w:val="center"/>
          </w:tcPr>
          <w:p w14:paraId="5F47EFD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45A42243">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63B3EFBC">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tcBorders>
              <w:top w:val="nil"/>
              <w:left w:val="nil"/>
              <w:bottom w:val="nil"/>
              <w:right w:val="single" w:color="auto" w:sz="4" w:space="0"/>
            </w:tcBorders>
            <w:vAlign w:val="center"/>
          </w:tcPr>
          <w:p w14:paraId="0900F32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vAlign w:val="center"/>
          </w:tcPr>
          <w:p w14:paraId="047C588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vAlign w:val="center"/>
          </w:tcPr>
          <w:p w14:paraId="315C686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tcBorders>
              <w:top w:val="nil"/>
              <w:left w:val="nil"/>
              <w:bottom w:val="nil"/>
              <w:right w:val="single" w:color="auto" w:sz="4" w:space="0"/>
            </w:tcBorders>
            <w:vAlign w:val="center"/>
          </w:tcPr>
          <w:p w14:paraId="411E87A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tcBorders>
              <w:top w:val="nil"/>
              <w:left w:val="nil"/>
              <w:bottom w:val="nil"/>
              <w:right w:val="single" w:color="auto" w:sz="4" w:space="0"/>
            </w:tcBorders>
            <w:vAlign w:val="center"/>
          </w:tcPr>
          <w:p w14:paraId="4B46965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992" w:type="dxa"/>
            <w:tcBorders>
              <w:top w:val="nil"/>
              <w:left w:val="nil"/>
              <w:bottom w:val="nil"/>
              <w:right w:val="nil"/>
            </w:tcBorders>
            <w:vAlign w:val="center"/>
          </w:tcPr>
          <w:p w14:paraId="6E015EF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24AE6311">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44C32E98">
            <w:pPr>
              <w:widowControl/>
              <w:jc w:val="left"/>
              <w:rPr>
                <w:rFonts w:hint="eastAsia"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vAlign w:val="center"/>
          </w:tcPr>
          <w:p w14:paraId="0EDF5749">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vAlign w:val="center"/>
          </w:tcPr>
          <w:p w14:paraId="29244BB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707A385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tcBorders>
              <w:top w:val="nil"/>
              <w:left w:val="nil"/>
              <w:bottom w:val="single" w:color="auto" w:sz="4" w:space="0"/>
              <w:right w:val="single" w:color="auto" w:sz="4" w:space="0"/>
            </w:tcBorders>
            <w:vAlign w:val="center"/>
          </w:tcPr>
          <w:p w14:paraId="1BCF9781">
            <w:pPr>
              <w:widowControl/>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1000≤Y＜5000 </w:t>
            </w:r>
          </w:p>
        </w:tc>
        <w:tc>
          <w:tcPr>
            <w:tcW w:w="1426" w:type="dxa"/>
            <w:tcBorders>
              <w:top w:val="nil"/>
              <w:left w:val="nil"/>
              <w:bottom w:val="single" w:color="auto" w:sz="4" w:space="0"/>
              <w:right w:val="single" w:color="auto" w:sz="4" w:space="0"/>
            </w:tcBorders>
            <w:vAlign w:val="center"/>
          </w:tcPr>
          <w:p w14:paraId="05F3F12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500≤Y＜1000</w:t>
            </w:r>
          </w:p>
        </w:tc>
        <w:tc>
          <w:tcPr>
            <w:tcW w:w="992" w:type="dxa"/>
            <w:tcBorders>
              <w:top w:val="nil"/>
              <w:left w:val="nil"/>
              <w:bottom w:val="single" w:color="auto" w:sz="4" w:space="0"/>
              <w:right w:val="nil"/>
            </w:tcBorders>
            <w:vAlign w:val="center"/>
          </w:tcPr>
          <w:p w14:paraId="7A763A7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7316C492">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511B49AF">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tcBorders>
              <w:top w:val="nil"/>
              <w:left w:val="nil"/>
              <w:bottom w:val="nil"/>
              <w:right w:val="single" w:color="auto" w:sz="4" w:space="0"/>
            </w:tcBorders>
            <w:vAlign w:val="center"/>
          </w:tcPr>
          <w:p w14:paraId="1EE6957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vAlign w:val="center"/>
          </w:tcPr>
          <w:p w14:paraId="0F01D13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vAlign w:val="center"/>
          </w:tcPr>
          <w:p w14:paraId="53C4585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nil"/>
              <w:left w:val="nil"/>
              <w:bottom w:val="nil"/>
              <w:right w:val="single" w:color="auto" w:sz="4" w:space="0"/>
            </w:tcBorders>
            <w:vAlign w:val="center"/>
          </w:tcPr>
          <w:p w14:paraId="2E7ECDC4">
            <w:pPr>
              <w:widowControl/>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tcBorders>
              <w:top w:val="nil"/>
              <w:left w:val="nil"/>
              <w:bottom w:val="nil"/>
              <w:right w:val="single" w:color="auto" w:sz="4" w:space="0"/>
            </w:tcBorders>
            <w:vAlign w:val="center"/>
          </w:tcPr>
          <w:p w14:paraId="51A893D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tcBorders>
              <w:top w:val="nil"/>
              <w:left w:val="nil"/>
              <w:bottom w:val="nil"/>
              <w:right w:val="nil"/>
            </w:tcBorders>
            <w:vAlign w:val="center"/>
          </w:tcPr>
          <w:p w14:paraId="4B3CB5C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49C6507">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4B800C1A">
            <w:pPr>
              <w:widowControl/>
              <w:jc w:val="left"/>
              <w:rPr>
                <w:rFonts w:hint="eastAsia"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vAlign w:val="center"/>
          </w:tcPr>
          <w:p w14:paraId="0A5D0D0D">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tcBorders>
              <w:top w:val="nil"/>
              <w:left w:val="nil"/>
              <w:bottom w:val="single" w:color="auto" w:sz="4" w:space="0"/>
              <w:right w:val="single" w:color="auto" w:sz="4" w:space="0"/>
            </w:tcBorders>
            <w:vAlign w:val="center"/>
          </w:tcPr>
          <w:p w14:paraId="2ECA69C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264846F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tcBorders>
              <w:top w:val="nil"/>
              <w:left w:val="nil"/>
              <w:bottom w:val="single" w:color="auto" w:sz="4" w:space="0"/>
              <w:right w:val="single" w:color="auto" w:sz="4" w:space="0"/>
            </w:tcBorders>
            <w:vAlign w:val="center"/>
          </w:tcPr>
          <w:p w14:paraId="3DD7458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8000≤Z＜120000</w:t>
            </w:r>
          </w:p>
        </w:tc>
        <w:tc>
          <w:tcPr>
            <w:tcW w:w="1426" w:type="dxa"/>
            <w:tcBorders>
              <w:top w:val="nil"/>
              <w:left w:val="nil"/>
              <w:bottom w:val="single" w:color="auto" w:sz="4" w:space="0"/>
              <w:right w:val="single" w:color="auto" w:sz="4" w:space="0"/>
            </w:tcBorders>
            <w:vAlign w:val="center"/>
          </w:tcPr>
          <w:p w14:paraId="06921C3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100≤Z＜8000</w:t>
            </w:r>
          </w:p>
        </w:tc>
        <w:tc>
          <w:tcPr>
            <w:tcW w:w="992" w:type="dxa"/>
            <w:tcBorders>
              <w:top w:val="nil"/>
              <w:left w:val="nil"/>
              <w:bottom w:val="single" w:color="auto" w:sz="4" w:space="0"/>
              <w:right w:val="nil"/>
            </w:tcBorders>
            <w:vAlign w:val="center"/>
          </w:tcPr>
          <w:p w14:paraId="2E502B5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4AE47AC1">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vAlign w:val="center"/>
          </w:tcPr>
          <w:p w14:paraId="0EDC9A02">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tcBorders>
              <w:top w:val="nil"/>
              <w:left w:val="nil"/>
              <w:bottom w:val="single" w:color="auto" w:sz="4" w:space="0"/>
              <w:right w:val="single" w:color="auto" w:sz="4" w:space="0"/>
            </w:tcBorders>
            <w:vAlign w:val="center"/>
          </w:tcPr>
          <w:p w14:paraId="400CF7B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single" w:color="auto" w:sz="4" w:space="0"/>
              <w:right w:val="single" w:color="auto" w:sz="4" w:space="0"/>
            </w:tcBorders>
            <w:vAlign w:val="center"/>
          </w:tcPr>
          <w:p w14:paraId="4C893CF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single" w:color="auto" w:sz="4" w:space="0"/>
              <w:right w:val="single" w:color="auto" w:sz="4" w:space="0"/>
            </w:tcBorders>
            <w:vAlign w:val="center"/>
          </w:tcPr>
          <w:p w14:paraId="47F5B79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nil"/>
              <w:left w:val="nil"/>
              <w:bottom w:val="single" w:color="auto" w:sz="4" w:space="0"/>
              <w:right w:val="single" w:color="auto" w:sz="4" w:space="0"/>
            </w:tcBorders>
            <w:vAlign w:val="center"/>
          </w:tcPr>
          <w:p w14:paraId="3891C59F">
            <w:pPr>
              <w:widowControl/>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tcBorders>
              <w:top w:val="nil"/>
              <w:left w:val="nil"/>
              <w:bottom w:val="single" w:color="auto" w:sz="4" w:space="0"/>
              <w:right w:val="single" w:color="auto" w:sz="4" w:space="0"/>
            </w:tcBorders>
            <w:vAlign w:val="center"/>
          </w:tcPr>
          <w:p w14:paraId="4B57387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tcBorders>
              <w:top w:val="nil"/>
              <w:left w:val="nil"/>
              <w:bottom w:val="single" w:color="auto" w:sz="4" w:space="0"/>
              <w:right w:val="nil"/>
            </w:tcBorders>
            <w:vAlign w:val="center"/>
          </w:tcPr>
          <w:p w14:paraId="6C1DB63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3A46140F">
      <w:pPr>
        <w:spacing w:line="360" w:lineRule="auto"/>
        <w:ind w:firstLine="420" w:firstLineChars="200"/>
        <w:rPr>
          <w:rFonts w:hint="eastAsia" w:ascii="宋体" w:hAnsi="宋体"/>
          <w:color w:val="auto"/>
          <w:highlight w:val="none"/>
        </w:rPr>
      </w:pPr>
    </w:p>
    <w:p w14:paraId="2D7C440A">
      <w:pPr>
        <w:spacing w:line="360" w:lineRule="auto"/>
        <w:ind w:firstLine="420" w:firstLineChars="200"/>
        <w:rPr>
          <w:rFonts w:hint="eastAsia" w:ascii="宋体" w:hAnsi="宋体"/>
          <w:color w:val="auto"/>
          <w:highlight w:val="none"/>
        </w:rPr>
      </w:pPr>
      <w:r>
        <w:rPr>
          <w:rFonts w:hint="eastAsia" w:ascii="宋体" w:hAnsi="宋体"/>
          <w:color w:val="auto"/>
          <w:highlight w:val="none"/>
        </w:rPr>
        <w:t>说明：</w:t>
      </w:r>
    </w:p>
    <w:p w14:paraId="134AFD24">
      <w:pPr>
        <w:spacing w:line="360" w:lineRule="auto"/>
        <w:ind w:firstLine="420" w:firstLineChars="200"/>
        <w:rPr>
          <w:rFonts w:hint="eastAsia" w:ascii="宋体" w:hAnsi="宋体"/>
          <w:color w:val="auto"/>
          <w:highlight w:val="none"/>
        </w:rPr>
      </w:pPr>
      <w:r>
        <w:rPr>
          <w:rFonts w:hint="eastAsia" w:ascii="宋体" w:hAnsi="宋体"/>
          <w:color w:val="auto"/>
          <w:highlight w:val="none"/>
        </w:rPr>
        <w:t>　　1.大型、中型和小型企业须同时满足所列指标的下限，否则下划一档；微型企业只须满足所列指标中的一项即可。</w:t>
      </w:r>
    </w:p>
    <w:p w14:paraId="3EDE08D3">
      <w:pPr>
        <w:spacing w:line="360" w:lineRule="auto"/>
        <w:ind w:firstLine="420" w:firstLineChars="200"/>
        <w:rPr>
          <w:rFonts w:hint="eastAsia" w:ascii="宋体" w:hAnsi="宋体"/>
          <w:color w:val="auto"/>
          <w:highlight w:val="none"/>
        </w:rPr>
      </w:pPr>
      <w:r>
        <w:rPr>
          <w:rFonts w:hint="eastAsia" w:ascii="宋体" w:hAnsi="宋体"/>
          <w:color w:val="auto"/>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70549B6">
      <w:pPr>
        <w:spacing w:line="360" w:lineRule="auto"/>
        <w:ind w:firstLine="420" w:firstLineChars="200"/>
        <w:rPr>
          <w:rFonts w:hint="eastAsia" w:ascii="宋体" w:hAnsi="宋体" w:cs="宋体"/>
          <w:color w:val="auto"/>
          <w:sz w:val="24"/>
          <w:szCs w:val="24"/>
          <w:highlight w:val="none"/>
          <w:lang w:val="zh-TW" w:eastAsia="zh-TW"/>
        </w:rPr>
      </w:pPr>
      <w:r>
        <w:rPr>
          <w:rFonts w:hint="eastAsia" w:ascii="宋体" w:hAnsi="宋体"/>
          <w:color w:val="auto"/>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r>
        <w:rPr>
          <w:rFonts w:hint="eastAsia" w:ascii="宋体" w:hAnsi="宋体"/>
          <w:color w:val="auto"/>
          <w:highlight w:val="none"/>
          <w:lang w:eastAsia="zh-TW"/>
        </w:rPr>
        <w:t>以享受政府采购政策的承诺书</w:t>
      </w:r>
      <w:r>
        <w:rPr>
          <w:rStyle w:val="116"/>
          <w:rFonts w:hint="eastAsia" w:ascii="宋体" w:hAnsi="宋体" w:cs="宋体"/>
          <w:color w:val="auto"/>
          <w:sz w:val="24"/>
          <w:szCs w:val="24"/>
          <w:highlight w:val="none"/>
          <w:lang w:eastAsia="zh-TW"/>
        </w:rPr>
        <w:t>。</w:t>
      </w:r>
    </w:p>
    <w:p w14:paraId="50E9BAC2">
      <w:pPr>
        <w:spacing w:line="588" w:lineRule="exact"/>
        <w:jc w:val="left"/>
        <w:rPr>
          <w:rFonts w:hint="eastAsia" w:ascii="宋体" w:hAnsi="宋体" w:cs="宋体"/>
          <w:b/>
          <w:color w:val="auto"/>
          <w:sz w:val="24"/>
          <w:szCs w:val="24"/>
          <w:highlight w:val="none"/>
        </w:rPr>
      </w:pPr>
    </w:p>
    <w:p w14:paraId="31AE970B">
      <w:pPr>
        <w:pStyle w:val="8"/>
        <w:spacing w:line="360" w:lineRule="auto"/>
        <w:ind w:firstLine="0"/>
        <w:jc w:val="center"/>
        <w:rPr>
          <w:rFonts w:hint="eastAsia" w:ascii="宋体" w:hAnsi="宋体" w:cs="宋体"/>
          <w:b/>
          <w:color w:val="auto"/>
          <w:sz w:val="30"/>
          <w:szCs w:val="30"/>
          <w:highlight w:val="none"/>
        </w:rPr>
      </w:pPr>
    </w:p>
    <w:p w14:paraId="11E5506C">
      <w:pPr>
        <w:pStyle w:val="8"/>
        <w:spacing w:line="360" w:lineRule="auto"/>
        <w:ind w:firstLine="0"/>
        <w:jc w:val="center"/>
        <w:rPr>
          <w:rFonts w:hint="eastAsia" w:ascii="宋体" w:hAnsi="宋体" w:cs="宋体"/>
          <w:b/>
          <w:color w:val="auto"/>
          <w:sz w:val="30"/>
          <w:szCs w:val="30"/>
          <w:highlight w:val="none"/>
        </w:rPr>
      </w:pPr>
    </w:p>
    <w:p w14:paraId="254B0764">
      <w:pPr>
        <w:pStyle w:val="8"/>
        <w:spacing w:line="360" w:lineRule="auto"/>
        <w:ind w:firstLine="0"/>
        <w:jc w:val="center"/>
        <w:rPr>
          <w:rFonts w:hint="eastAsia" w:ascii="宋体" w:hAnsi="宋体" w:cs="宋体"/>
          <w:b/>
          <w:color w:val="auto"/>
          <w:sz w:val="30"/>
          <w:szCs w:val="30"/>
          <w:highlight w:val="none"/>
        </w:rPr>
      </w:pPr>
    </w:p>
    <w:p w14:paraId="4A675E18">
      <w:pPr>
        <w:pStyle w:val="8"/>
        <w:spacing w:line="360" w:lineRule="auto"/>
        <w:ind w:firstLine="0"/>
        <w:jc w:val="center"/>
        <w:rPr>
          <w:rFonts w:hint="eastAsia" w:ascii="宋体" w:hAnsi="宋体" w:cs="宋体"/>
          <w:b/>
          <w:color w:val="auto"/>
          <w:sz w:val="30"/>
          <w:szCs w:val="30"/>
          <w:highlight w:val="none"/>
        </w:rPr>
      </w:pPr>
    </w:p>
    <w:p w14:paraId="7A91A598">
      <w:pPr>
        <w:pStyle w:val="8"/>
        <w:spacing w:line="360" w:lineRule="auto"/>
        <w:ind w:firstLine="0"/>
        <w:jc w:val="center"/>
        <w:rPr>
          <w:rFonts w:hint="eastAsia" w:ascii="宋体" w:hAnsi="宋体" w:cs="宋体"/>
          <w:b/>
          <w:color w:val="auto"/>
          <w:sz w:val="30"/>
          <w:szCs w:val="30"/>
          <w:highlight w:val="none"/>
        </w:rPr>
      </w:pPr>
    </w:p>
    <w:p w14:paraId="408AA11E">
      <w:pPr>
        <w:pStyle w:val="8"/>
        <w:spacing w:line="360" w:lineRule="auto"/>
        <w:ind w:firstLine="0"/>
        <w:jc w:val="center"/>
        <w:rPr>
          <w:rFonts w:hint="eastAsia" w:ascii="宋体" w:hAnsi="宋体" w:cs="宋体"/>
          <w:b/>
          <w:color w:val="auto"/>
          <w:sz w:val="30"/>
          <w:szCs w:val="30"/>
          <w:highlight w:val="none"/>
        </w:rPr>
      </w:pPr>
    </w:p>
    <w:p w14:paraId="2153E121">
      <w:pPr>
        <w:pStyle w:val="8"/>
        <w:spacing w:line="360" w:lineRule="auto"/>
        <w:ind w:firstLine="0"/>
        <w:jc w:val="center"/>
        <w:rPr>
          <w:rFonts w:hint="eastAsia" w:ascii="宋体" w:hAnsi="宋体" w:cs="宋体"/>
          <w:b/>
          <w:color w:val="auto"/>
          <w:sz w:val="30"/>
          <w:szCs w:val="30"/>
          <w:highlight w:val="none"/>
        </w:rPr>
      </w:pPr>
    </w:p>
    <w:p w14:paraId="77E2AF1C">
      <w:pPr>
        <w:pStyle w:val="8"/>
        <w:spacing w:line="360" w:lineRule="auto"/>
        <w:ind w:firstLine="0"/>
        <w:jc w:val="center"/>
        <w:rPr>
          <w:rFonts w:hint="eastAsia" w:ascii="宋体" w:hAnsi="宋体" w:cs="宋体"/>
          <w:b/>
          <w:color w:val="auto"/>
          <w:sz w:val="30"/>
          <w:szCs w:val="30"/>
          <w:highlight w:val="none"/>
        </w:rPr>
      </w:pPr>
    </w:p>
    <w:p w14:paraId="4E64B916">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残疾人福利性单位声明函</w:t>
      </w:r>
    </w:p>
    <w:p w14:paraId="091D5AD6">
      <w:pPr>
        <w:jc w:val="center"/>
        <w:rPr>
          <w:rFonts w:hint="eastAsia" w:ascii="宋体" w:hAnsi="宋体" w:cs="宋体"/>
          <w:color w:val="auto"/>
          <w:spacing w:val="6"/>
          <w:sz w:val="24"/>
          <w:szCs w:val="24"/>
          <w:highlight w:val="none"/>
        </w:rPr>
      </w:pPr>
      <w:r>
        <w:rPr>
          <w:rFonts w:hint="eastAsia" w:ascii="宋体" w:hAnsi="宋体" w:cs="宋体"/>
          <w:b/>
          <w:color w:val="auto"/>
          <w:spacing w:val="6"/>
          <w:sz w:val="24"/>
          <w:szCs w:val="24"/>
          <w:highlight w:val="none"/>
        </w:rPr>
        <w:t>（非残疾人福利性单位可删除本函，删除本函不构成废标）</w:t>
      </w:r>
    </w:p>
    <w:p w14:paraId="46326F0D">
      <w:pPr>
        <w:pStyle w:val="33"/>
        <w:shd w:val="clear" w:color="auto" w:fill="FFFFFF"/>
        <w:spacing w:beforeAutospacing="0" w:afterAutospacing="0" w:line="360" w:lineRule="auto"/>
        <w:jc w:val="both"/>
        <w:rPr>
          <w:rFonts w:hint="eastAsia"/>
          <w:color w:val="auto"/>
          <w:highlight w:val="none"/>
          <w:shd w:val="clear" w:color="auto" w:fill="FFFFFF"/>
        </w:rPr>
      </w:pPr>
    </w:p>
    <w:p w14:paraId="17DB1F1D">
      <w:pPr>
        <w:pStyle w:val="33"/>
        <w:shd w:val="clear" w:color="auto" w:fill="FFFFFF"/>
        <w:spacing w:beforeAutospacing="0" w:afterAutospacing="0" w:line="360" w:lineRule="auto"/>
        <w:ind w:firstLine="420" w:firstLineChars="200"/>
        <w:jc w:val="both"/>
        <w:rPr>
          <w:rFonts w:hint="eastAsia"/>
          <w:color w:val="auto"/>
          <w:sz w:val="21"/>
          <w:szCs w:val="21"/>
          <w:highlight w:val="none"/>
        </w:rPr>
      </w:pPr>
      <w:r>
        <w:rPr>
          <w:rFonts w:hint="eastAsia"/>
          <w:color w:val="auto"/>
          <w:sz w:val="21"/>
          <w:szCs w:val="21"/>
          <w:highlight w:val="none"/>
          <w:shd w:val="clear" w:color="auto" w:fill="FFFFFF"/>
        </w:rPr>
        <w:t>本单位郑重声明，根据《财政部 民政部 中国残疾人联合会关于促进残疾人就业政府采购政策的通知》（财库〔2017〕141号）的规定，本单位为符合条件的残疾人福利性单位，且本单位参加______单位的______项目采购活动由本单位承担工程/提供服务，或者提供其他残疾人福利性单位制造的货物（不包括使用非残疾人福利性单位注册商标的货物）。</w:t>
      </w:r>
    </w:p>
    <w:p w14:paraId="4C4569C3">
      <w:pPr>
        <w:pStyle w:val="33"/>
        <w:shd w:val="clear" w:color="auto" w:fill="FFFFFF"/>
        <w:spacing w:beforeAutospacing="0" w:afterAutospacing="0" w:line="360" w:lineRule="auto"/>
        <w:jc w:val="both"/>
        <w:rPr>
          <w:rFonts w:hint="eastAsia"/>
          <w:color w:val="auto"/>
          <w:sz w:val="21"/>
          <w:szCs w:val="21"/>
          <w:highlight w:val="none"/>
        </w:rPr>
      </w:pPr>
      <w:r>
        <w:rPr>
          <w:rFonts w:hint="eastAsia"/>
          <w:color w:val="auto"/>
          <w:sz w:val="21"/>
          <w:szCs w:val="21"/>
          <w:highlight w:val="none"/>
          <w:shd w:val="clear" w:color="auto" w:fill="FFFFFF"/>
        </w:rPr>
        <w:t>本单位对上述声明的真实性负责。如有虚假，将依法承担相应责任。</w:t>
      </w:r>
    </w:p>
    <w:p w14:paraId="1DF72998">
      <w:pPr>
        <w:pStyle w:val="33"/>
        <w:shd w:val="clear" w:color="auto" w:fill="FFFFFF"/>
        <w:spacing w:beforeAutospacing="0" w:afterAutospacing="0" w:line="360" w:lineRule="auto"/>
        <w:jc w:val="both"/>
        <w:rPr>
          <w:rFonts w:hint="eastAsia"/>
          <w:color w:val="auto"/>
          <w:sz w:val="21"/>
          <w:szCs w:val="21"/>
          <w:highlight w:val="none"/>
          <w:shd w:val="clear" w:color="auto" w:fill="FFFFFF"/>
        </w:rPr>
      </w:pPr>
    </w:p>
    <w:p w14:paraId="2E037833">
      <w:pPr>
        <w:snapToGrid w:val="0"/>
        <w:spacing w:line="480" w:lineRule="auto"/>
        <w:ind w:firstLine="695" w:firstLineChars="331"/>
        <w:rPr>
          <w:rFonts w:hint="eastAsia" w:ascii="宋体" w:hAnsi="宋体" w:cs="宋体"/>
          <w:color w:val="auto"/>
          <w:highlight w:val="none"/>
        </w:rPr>
      </w:pPr>
      <w:bookmarkStart w:id="186" w:name="_Toc530392270"/>
    </w:p>
    <w:p w14:paraId="5626F70C">
      <w:pPr>
        <w:spacing w:line="240" w:lineRule="atLeas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谈判申请人：</w:t>
      </w:r>
      <w:r>
        <w:rPr>
          <w:rFonts w:hint="eastAsia" w:ascii="宋体" w:hAnsi="宋体" w:cs="宋体"/>
          <w:color w:val="auto"/>
          <w:sz w:val="24"/>
          <w:szCs w:val="24"/>
          <w:highlight w:val="none"/>
          <w:u w:val="single"/>
        </w:rPr>
        <w:t xml:space="preserve">  （电子签章）         </w:t>
      </w:r>
    </w:p>
    <w:p w14:paraId="2FE05BE1">
      <w:pPr>
        <w:spacing w:line="240" w:lineRule="atLeast"/>
        <w:rPr>
          <w:rFonts w:hint="eastAsia" w:ascii="宋体" w:hAnsi="宋体" w:cs="宋体"/>
          <w:color w:val="auto"/>
          <w:sz w:val="24"/>
          <w:szCs w:val="24"/>
          <w:highlight w:val="none"/>
        </w:rPr>
      </w:pPr>
    </w:p>
    <w:p w14:paraId="4D319C61">
      <w:pPr>
        <w:spacing w:line="240"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法定代表人（电子签章）：</w:t>
      </w:r>
      <w:r>
        <w:rPr>
          <w:rFonts w:hint="eastAsia" w:ascii="宋体" w:hAnsi="宋体" w:cs="宋体"/>
          <w:color w:val="auto"/>
          <w:sz w:val="24"/>
          <w:szCs w:val="24"/>
          <w:highlight w:val="none"/>
          <w:u w:val="single"/>
        </w:rPr>
        <w:t xml:space="preserve">              </w:t>
      </w:r>
    </w:p>
    <w:p w14:paraId="034926AF">
      <w:pPr>
        <w:spacing w:line="240"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285DBB34">
      <w:pPr>
        <w:spacing w:line="240"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2EE37324">
      <w:pPr>
        <w:jc w:val="center"/>
        <w:rPr>
          <w:rFonts w:hint="eastAsia" w:ascii="宋体" w:hAnsi="宋体" w:cs="宋体"/>
          <w:color w:val="auto"/>
          <w:highlight w:val="none"/>
        </w:rPr>
      </w:pPr>
      <w:r>
        <w:rPr>
          <w:rFonts w:hint="eastAsia" w:ascii="宋体" w:hAnsi="宋体" w:cs="宋体"/>
          <w:color w:val="auto"/>
          <w:highlight w:val="none"/>
        </w:rPr>
        <w:br w:type="page"/>
      </w:r>
      <w:bookmarkEnd w:id="186"/>
      <w:bookmarkStart w:id="187" w:name="_Toc507412336"/>
      <w:bookmarkStart w:id="188" w:name="_Toc507409073"/>
    </w:p>
    <w:p w14:paraId="66C4EDDD">
      <w:pPr>
        <w:jc w:val="center"/>
        <w:rPr>
          <w:rFonts w:hint="eastAsia" w:ascii="宋体" w:hAnsi="宋体" w:cs="宋体"/>
          <w:bCs/>
          <w:color w:val="auto"/>
          <w:spacing w:val="6"/>
          <w:sz w:val="24"/>
          <w:szCs w:val="24"/>
          <w:highlight w:val="none"/>
        </w:rPr>
      </w:pPr>
      <w:r>
        <w:rPr>
          <w:rFonts w:hint="eastAsia" w:ascii="宋体" w:hAnsi="宋体" w:cs="宋体"/>
          <w:color w:val="auto"/>
          <w:sz w:val="28"/>
          <w:szCs w:val="28"/>
          <w:highlight w:val="none"/>
        </w:rPr>
        <w:t>监狱企业证明文件</w:t>
      </w:r>
      <w:bookmarkEnd w:id="187"/>
      <w:bookmarkEnd w:id="188"/>
    </w:p>
    <w:p w14:paraId="2BE6238F">
      <w:pPr>
        <w:jc w:val="center"/>
        <w:rPr>
          <w:rFonts w:hint="eastAsia" w:ascii="宋体" w:hAnsi="宋体" w:cs="宋体"/>
          <w:color w:val="auto"/>
          <w:spacing w:val="6"/>
          <w:sz w:val="24"/>
          <w:szCs w:val="24"/>
          <w:highlight w:val="none"/>
        </w:rPr>
      </w:pPr>
      <w:r>
        <w:rPr>
          <w:rFonts w:hint="eastAsia" w:ascii="宋体" w:hAnsi="宋体" w:cs="宋体"/>
          <w:b/>
          <w:color w:val="auto"/>
          <w:spacing w:val="6"/>
          <w:sz w:val="24"/>
          <w:szCs w:val="24"/>
          <w:highlight w:val="none"/>
        </w:rPr>
        <w:t>（非监狱企业可删除本函，删除本函不构成废标）</w:t>
      </w:r>
    </w:p>
    <w:p w14:paraId="36EEEA7C">
      <w:pPr>
        <w:spacing w:line="360" w:lineRule="auto"/>
        <w:ind w:firstLine="420" w:firstLineChars="200"/>
        <w:jc w:val="left"/>
        <w:rPr>
          <w:rFonts w:hint="eastAsia" w:ascii="宋体" w:hAnsi="宋体" w:cs="宋体"/>
          <w:color w:val="auto"/>
          <w:szCs w:val="21"/>
          <w:highlight w:val="none"/>
        </w:rPr>
      </w:pPr>
    </w:p>
    <w:p w14:paraId="06A6601B">
      <w:pPr>
        <w:spacing w:line="588" w:lineRule="exact"/>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7C1A31B">
      <w:pPr>
        <w:spacing w:line="360" w:lineRule="auto"/>
        <w:ind w:firstLine="222" w:firstLineChars="100"/>
        <w:rPr>
          <w:rFonts w:hint="eastAsia" w:ascii="宋体" w:hAnsi="宋体" w:cs="宋体"/>
          <w:color w:val="auto"/>
          <w:szCs w:val="21"/>
          <w:highlight w:val="none"/>
        </w:rPr>
      </w:pPr>
      <w:r>
        <w:rPr>
          <w:rFonts w:hint="eastAsia" w:ascii="宋体" w:hAnsi="宋体" w:cs="宋体"/>
          <w:color w:val="auto"/>
          <w:spacing w:val="6"/>
          <w:szCs w:val="21"/>
          <w:highlight w:val="none"/>
        </w:rPr>
        <w:t>监狱企业参加政府采购活动时，应当提供由省级以上监狱管理局、戒毒管理局（含新疆生产建设兵团）出具的属于监狱企业的证明文件。</w:t>
      </w:r>
    </w:p>
    <w:p w14:paraId="1A9B1E99">
      <w:pPr>
        <w:spacing w:line="360" w:lineRule="auto"/>
        <w:ind w:firstLine="210" w:firstLineChars="100"/>
        <w:rPr>
          <w:rFonts w:hint="eastAsia" w:ascii="宋体" w:hAnsi="宋体" w:cs="宋体"/>
          <w:b/>
          <w:color w:val="auto"/>
          <w:szCs w:val="21"/>
          <w:highlight w:val="none"/>
        </w:rPr>
      </w:pPr>
    </w:p>
    <w:p w14:paraId="4BF19A9D">
      <w:pPr>
        <w:spacing w:line="360" w:lineRule="auto"/>
        <w:ind w:firstLine="210" w:firstLineChars="100"/>
        <w:rPr>
          <w:rFonts w:hint="eastAsia" w:ascii="宋体" w:hAnsi="宋体" w:cs="宋体"/>
          <w:b/>
          <w:color w:val="auto"/>
          <w:szCs w:val="21"/>
          <w:highlight w:val="none"/>
        </w:rPr>
      </w:pPr>
    </w:p>
    <w:p w14:paraId="0EC55A5F">
      <w:pPr>
        <w:spacing w:line="360" w:lineRule="auto"/>
        <w:ind w:firstLine="210" w:firstLineChars="100"/>
        <w:rPr>
          <w:rFonts w:hint="eastAsia" w:ascii="宋体" w:hAnsi="宋体" w:cs="宋体"/>
          <w:b/>
          <w:color w:val="auto"/>
          <w:szCs w:val="21"/>
          <w:highlight w:val="none"/>
        </w:rPr>
      </w:pPr>
    </w:p>
    <w:p w14:paraId="4428A01D">
      <w:pPr>
        <w:spacing w:line="360" w:lineRule="auto"/>
        <w:ind w:firstLine="210" w:firstLineChars="100"/>
        <w:rPr>
          <w:rFonts w:hint="eastAsia" w:ascii="宋体" w:hAnsi="宋体" w:cs="宋体"/>
          <w:b/>
          <w:color w:val="auto"/>
          <w:szCs w:val="21"/>
          <w:highlight w:val="none"/>
        </w:rPr>
      </w:pPr>
    </w:p>
    <w:p w14:paraId="65935BD0">
      <w:pPr>
        <w:spacing w:line="360" w:lineRule="auto"/>
        <w:ind w:firstLine="210" w:firstLineChars="100"/>
        <w:rPr>
          <w:rFonts w:hint="eastAsia" w:ascii="宋体" w:hAnsi="宋体" w:cs="宋体"/>
          <w:b/>
          <w:color w:val="auto"/>
          <w:szCs w:val="21"/>
          <w:highlight w:val="none"/>
        </w:rPr>
      </w:pPr>
    </w:p>
    <w:p w14:paraId="61362E40">
      <w:pPr>
        <w:spacing w:line="360" w:lineRule="auto"/>
        <w:ind w:firstLine="210" w:firstLineChars="100"/>
        <w:rPr>
          <w:rFonts w:hint="eastAsia" w:ascii="宋体" w:hAnsi="宋体" w:cs="宋体"/>
          <w:b/>
          <w:color w:val="auto"/>
          <w:szCs w:val="21"/>
          <w:highlight w:val="none"/>
        </w:rPr>
      </w:pPr>
    </w:p>
    <w:p w14:paraId="76993878">
      <w:pPr>
        <w:spacing w:line="360" w:lineRule="auto"/>
        <w:ind w:firstLine="210" w:firstLineChars="100"/>
        <w:rPr>
          <w:rFonts w:hint="eastAsia" w:ascii="宋体" w:hAnsi="宋体" w:cs="宋体"/>
          <w:b/>
          <w:color w:val="auto"/>
          <w:szCs w:val="21"/>
          <w:highlight w:val="none"/>
        </w:rPr>
      </w:pPr>
    </w:p>
    <w:p w14:paraId="6F185105">
      <w:pPr>
        <w:spacing w:line="360" w:lineRule="auto"/>
        <w:ind w:firstLine="210" w:firstLineChars="100"/>
        <w:rPr>
          <w:rFonts w:hint="eastAsia" w:ascii="宋体" w:hAnsi="宋体" w:cs="宋体"/>
          <w:b/>
          <w:color w:val="auto"/>
          <w:szCs w:val="21"/>
          <w:highlight w:val="none"/>
        </w:rPr>
      </w:pPr>
    </w:p>
    <w:p w14:paraId="12E92FB8">
      <w:pPr>
        <w:spacing w:line="360" w:lineRule="auto"/>
        <w:ind w:firstLine="210" w:firstLineChars="100"/>
        <w:rPr>
          <w:rFonts w:hint="eastAsia" w:ascii="宋体" w:hAnsi="宋体" w:cs="宋体"/>
          <w:b/>
          <w:color w:val="auto"/>
          <w:szCs w:val="21"/>
          <w:highlight w:val="none"/>
        </w:rPr>
      </w:pPr>
    </w:p>
    <w:p w14:paraId="16D865E9">
      <w:pPr>
        <w:spacing w:line="360" w:lineRule="auto"/>
        <w:ind w:firstLine="210" w:firstLineChars="100"/>
        <w:rPr>
          <w:rFonts w:hint="eastAsia" w:ascii="宋体" w:hAnsi="宋体" w:cs="宋体"/>
          <w:b/>
          <w:color w:val="auto"/>
          <w:szCs w:val="21"/>
          <w:highlight w:val="none"/>
        </w:rPr>
      </w:pPr>
    </w:p>
    <w:p w14:paraId="06CA5ABD">
      <w:pPr>
        <w:spacing w:line="360" w:lineRule="auto"/>
        <w:ind w:firstLine="210" w:firstLineChars="100"/>
        <w:rPr>
          <w:rFonts w:hint="eastAsia" w:ascii="宋体" w:hAnsi="宋体" w:cs="宋体"/>
          <w:b/>
          <w:color w:val="auto"/>
          <w:szCs w:val="21"/>
          <w:highlight w:val="none"/>
        </w:rPr>
      </w:pPr>
    </w:p>
    <w:p w14:paraId="1C07B5E4">
      <w:pPr>
        <w:spacing w:line="360" w:lineRule="auto"/>
        <w:ind w:firstLine="210" w:firstLineChars="100"/>
        <w:rPr>
          <w:rFonts w:hint="eastAsia" w:ascii="宋体" w:hAnsi="宋体" w:cs="宋体"/>
          <w:b/>
          <w:color w:val="auto"/>
          <w:szCs w:val="21"/>
          <w:highlight w:val="none"/>
        </w:rPr>
      </w:pPr>
    </w:p>
    <w:p w14:paraId="6ED9AC44">
      <w:pPr>
        <w:spacing w:line="360" w:lineRule="auto"/>
        <w:ind w:firstLine="210" w:firstLineChars="100"/>
        <w:rPr>
          <w:rFonts w:hint="eastAsia" w:ascii="宋体" w:hAnsi="宋体" w:cs="宋体"/>
          <w:b/>
          <w:color w:val="auto"/>
          <w:szCs w:val="21"/>
          <w:highlight w:val="none"/>
        </w:rPr>
      </w:pPr>
    </w:p>
    <w:p w14:paraId="2FB28EA3">
      <w:pPr>
        <w:spacing w:line="360" w:lineRule="auto"/>
        <w:ind w:firstLine="210" w:firstLineChars="100"/>
        <w:rPr>
          <w:rFonts w:hint="eastAsia" w:ascii="宋体" w:hAnsi="宋体" w:cs="宋体"/>
          <w:b/>
          <w:color w:val="auto"/>
          <w:szCs w:val="21"/>
          <w:highlight w:val="none"/>
        </w:rPr>
      </w:pPr>
    </w:p>
    <w:p w14:paraId="7016C646">
      <w:pPr>
        <w:spacing w:line="360" w:lineRule="auto"/>
        <w:ind w:firstLine="210" w:firstLineChars="100"/>
        <w:rPr>
          <w:rFonts w:hint="eastAsia" w:ascii="宋体" w:hAnsi="宋体" w:cs="宋体"/>
          <w:b/>
          <w:color w:val="auto"/>
          <w:szCs w:val="21"/>
          <w:highlight w:val="none"/>
        </w:rPr>
      </w:pPr>
    </w:p>
    <w:p w14:paraId="34C15B13">
      <w:pPr>
        <w:spacing w:line="360" w:lineRule="auto"/>
        <w:ind w:firstLine="210" w:firstLineChars="100"/>
        <w:rPr>
          <w:rFonts w:hint="eastAsia" w:ascii="宋体" w:hAnsi="宋体" w:cs="宋体"/>
          <w:b/>
          <w:color w:val="auto"/>
          <w:szCs w:val="21"/>
          <w:highlight w:val="none"/>
        </w:rPr>
      </w:pPr>
    </w:p>
    <w:p w14:paraId="78CFB440">
      <w:pPr>
        <w:spacing w:line="360" w:lineRule="auto"/>
        <w:ind w:firstLine="210" w:firstLineChars="100"/>
        <w:rPr>
          <w:rFonts w:hint="eastAsia" w:ascii="宋体" w:hAnsi="宋体" w:cs="宋体"/>
          <w:b/>
          <w:color w:val="auto"/>
          <w:szCs w:val="21"/>
          <w:highlight w:val="none"/>
        </w:rPr>
      </w:pPr>
    </w:p>
    <w:p w14:paraId="5342FEF9">
      <w:pPr>
        <w:spacing w:line="360" w:lineRule="auto"/>
        <w:ind w:firstLine="210" w:firstLineChars="100"/>
        <w:rPr>
          <w:rFonts w:hint="eastAsia" w:ascii="宋体" w:hAnsi="宋体" w:cs="宋体"/>
          <w:b/>
          <w:color w:val="auto"/>
          <w:szCs w:val="21"/>
          <w:highlight w:val="none"/>
        </w:rPr>
      </w:pPr>
    </w:p>
    <w:p w14:paraId="4C3C7CE2">
      <w:pPr>
        <w:spacing w:line="360" w:lineRule="auto"/>
        <w:ind w:firstLine="210" w:firstLineChars="100"/>
        <w:rPr>
          <w:rFonts w:hint="eastAsia" w:ascii="宋体" w:hAnsi="宋体" w:cs="宋体"/>
          <w:b/>
          <w:color w:val="auto"/>
          <w:szCs w:val="21"/>
          <w:highlight w:val="none"/>
        </w:rPr>
      </w:pPr>
    </w:p>
    <w:p w14:paraId="478FCF8E">
      <w:pPr>
        <w:spacing w:line="500" w:lineRule="exact"/>
        <w:outlineLvl w:val="1"/>
        <w:rPr>
          <w:rFonts w:hint="eastAsia" w:ascii="宋体" w:hAnsi="宋体" w:cs="宋体"/>
          <w:b/>
          <w:color w:val="auto"/>
          <w:szCs w:val="21"/>
          <w:highlight w:val="none"/>
        </w:rPr>
      </w:pPr>
      <w:bookmarkStart w:id="189" w:name="_Toc228982127"/>
      <w:bookmarkStart w:id="190" w:name="_Toc228982346"/>
      <w:r>
        <w:rPr>
          <w:rFonts w:hint="eastAsia" w:ascii="宋体" w:hAnsi="宋体" w:cs="宋体"/>
          <w:b/>
          <w:color w:val="auto"/>
          <w:szCs w:val="21"/>
          <w:highlight w:val="none"/>
        </w:rPr>
        <w:t>附件十一</w:t>
      </w:r>
      <w:bookmarkEnd w:id="189"/>
      <w:bookmarkEnd w:id="190"/>
    </w:p>
    <w:p w14:paraId="731A522D">
      <w:pPr>
        <w:jc w:val="center"/>
        <w:outlineLvl w:val="1"/>
        <w:rPr>
          <w:rFonts w:hint="eastAsia" w:ascii="宋体" w:hAnsi="宋体" w:cs="宋体"/>
          <w:b/>
          <w:bCs/>
          <w:color w:val="auto"/>
          <w:sz w:val="32"/>
          <w:szCs w:val="32"/>
          <w:highlight w:val="none"/>
          <w:u w:val="single"/>
        </w:rPr>
      </w:pPr>
      <w:bookmarkStart w:id="191" w:name="_Toc228982347"/>
      <w:bookmarkStart w:id="192" w:name="_Toc228982128"/>
      <w:r>
        <w:rPr>
          <w:rFonts w:hint="eastAsia" w:ascii="宋体" w:hAnsi="宋体" w:cs="宋体"/>
          <w:b/>
          <w:bCs/>
          <w:color w:val="auto"/>
          <w:sz w:val="28"/>
          <w:szCs w:val="28"/>
          <w:highlight w:val="none"/>
        </w:rPr>
        <w:t>谈判文件要求申请人提交的其他资料或认为有必要提交的其他资料</w:t>
      </w:r>
      <w:bookmarkEnd w:id="191"/>
      <w:bookmarkEnd w:id="192"/>
    </w:p>
    <w:bookmarkEnd w:id="125"/>
    <w:bookmarkEnd w:id="126"/>
    <w:p w14:paraId="53CF6F26">
      <w:pPr>
        <w:pStyle w:val="3"/>
        <w:spacing w:line="360" w:lineRule="auto"/>
        <w:jc w:val="both"/>
        <w:rPr>
          <w:rFonts w:hint="eastAsia" w:ascii="宋体" w:hAnsi="宋体" w:cs="宋体"/>
          <w:bCs/>
          <w:color w:val="auto"/>
          <w:sz w:val="44"/>
          <w:szCs w:val="44"/>
          <w:highlight w:val="none"/>
        </w:rPr>
        <w:sectPr>
          <w:footerReference r:id="rId11" w:type="first"/>
          <w:pgSz w:w="11906" w:h="16838"/>
          <w:pgMar w:top="1440" w:right="1080" w:bottom="1440" w:left="1080" w:header="851" w:footer="850" w:gutter="567"/>
          <w:cols w:space="720" w:num="1"/>
          <w:titlePg/>
          <w:docGrid w:type="linesAndChars" w:linePitch="321" w:charSpace="195"/>
        </w:sectPr>
      </w:pPr>
    </w:p>
    <w:p w14:paraId="57E7E6BC">
      <w:pPr>
        <w:rPr>
          <w:rFonts w:hint="eastAsia" w:ascii="宋体" w:hAnsi="宋体" w:cs="宋体"/>
          <w:color w:val="auto"/>
          <w:highlight w:val="none"/>
        </w:rPr>
      </w:pPr>
    </w:p>
    <w:p w14:paraId="768BA3A5">
      <w:pPr>
        <w:rPr>
          <w:rFonts w:hint="eastAsia" w:ascii="宋体" w:hAnsi="宋体" w:cs="宋体"/>
          <w:color w:val="auto"/>
          <w:highlight w:val="none"/>
        </w:rPr>
      </w:pPr>
    </w:p>
    <w:p w14:paraId="6611D99D">
      <w:pPr>
        <w:rPr>
          <w:rFonts w:hint="eastAsia" w:ascii="宋体" w:hAnsi="宋体" w:cs="宋体"/>
          <w:color w:val="auto"/>
          <w:highlight w:val="none"/>
        </w:rPr>
      </w:pPr>
    </w:p>
    <w:p w14:paraId="55D652CC">
      <w:pPr>
        <w:rPr>
          <w:rFonts w:hint="eastAsia" w:ascii="宋体" w:hAnsi="宋体" w:cs="宋体"/>
          <w:color w:val="auto"/>
          <w:highlight w:val="none"/>
        </w:rPr>
      </w:pPr>
    </w:p>
    <w:p w14:paraId="1A333221">
      <w:pPr>
        <w:rPr>
          <w:rFonts w:hint="eastAsia" w:ascii="宋体" w:hAnsi="宋体" w:cs="宋体"/>
          <w:color w:val="auto"/>
          <w:highlight w:val="none"/>
        </w:rPr>
      </w:pPr>
    </w:p>
    <w:p w14:paraId="3916E38C">
      <w:pPr>
        <w:rPr>
          <w:rFonts w:hint="eastAsia" w:ascii="宋体" w:hAnsi="宋体" w:cs="宋体"/>
          <w:color w:val="auto"/>
          <w:highlight w:val="none"/>
        </w:rPr>
      </w:pPr>
    </w:p>
    <w:p w14:paraId="3E24373E">
      <w:pPr>
        <w:rPr>
          <w:rFonts w:hint="eastAsia" w:ascii="宋体" w:hAnsi="宋体" w:cs="宋体"/>
          <w:color w:val="auto"/>
          <w:highlight w:val="none"/>
        </w:rPr>
      </w:pPr>
    </w:p>
    <w:p w14:paraId="0E682702">
      <w:pPr>
        <w:rPr>
          <w:rFonts w:hint="eastAsia" w:ascii="宋体" w:hAnsi="宋体" w:cs="宋体"/>
          <w:color w:val="auto"/>
          <w:highlight w:val="none"/>
        </w:rPr>
      </w:pPr>
    </w:p>
    <w:p w14:paraId="4CAD3744">
      <w:pPr>
        <w:rPr>
          <w:rFonts w:hint="eastAsia" w:ascii="宋体" w:hAnsi="宋体" w:cs="宋体"/>
          <w:color w:val="auto"/>
          <w:highlight w:val="none"/>
        </w:rPr>
      </w:pPr>
    </w:p>
    <w:p w14:paraId="2C2E06BE">
      <w:pPr>
        <w:rPr>
          <w:rFonts w:hint="eastAsia" w:ascii="宋体" w:hAnsi="宋体" w:cs="宋体"/>
          <w:color w:val="auto"/>
          <w:highlight w:val="none"/>
        </w:rPr>
      </w:pPr>
    </w:p>
    <w:p w14:paraId="7CC57518">
      <w:pPr>
        <w:rPr>
          <w:rFonts w:hint="eastAsia" w:ascii="宋体" w:hAnsi="宋体" w:cs="宋体"/>
          <w:color w:val="auto"/>
          <w:highlight w:val="none"/>
        </w:rPr>
      </w:pPr>
    </w:p>
    <w:p w14:paraId="3E2A2443">
      <w:pPr>
        <w:rPr>
          <w:rFonts w:hint="eastAsia" w:ascii="宋体" w:hAnsi="宋体" w:cs="宋体"/>
          <w:color w:val="auto"/>
          <w:highlight w:val="none"/>
        </w:rPr>
      </w:pPr>
    </w:p>
    <w:p w14:paraId="71BDF2A2">
      <w:pPr>
        <w:rPr>
          <w:rFonts w:hint="eastAsia" w:ascii="宋体" w:hAnsi="宋体" w:cs="宋体"/>
          <w:color w:val="auto"/>
          <w:highlight w:val="none"/>
        </w:rPr>
      </w:pPr>
    </w:p>
    <w:p w14:paraId="1F1217F5">
      <w:pPr>
        <w:rPr>
          <w:rFonts w:hint="eastAsia" w:ascii="宋体" w:hAnsi="宋体" w:cs="宋体"/>
          <w:color w:val="auto"/>
          <w:highlight w:val="none"/>
        </w:rPr>
      </w:pPr>
    </w:p>
    <w:p w14:paraId="142DC316">
      <w:pPr>
        <w:pStyle w:val="3"/>
        <w:spacing w:line="360" w:lineRule="auto"/>
        <w:rPr>
          <w:rFonts w:hint="eastAsia" w:ascii="宋体" w:hAnsi="宋体" w:cs="宋体"/>
          <w:color w:val="auto"/>
          <w:sz w:val="44"/>
          <w:szCs w:val="44"/>
          <w:highlight w:val="none"/>
        </w:rPr>
      </w:pPr>
      <w:bookmarkStart w:id="193" w:name="_Toc228982348"/>
      <w:r>
        <w:rPr>
          <w:rFonts w:hint="eastAsia" w:ascii="宋体" w:hAnsi="宋体" w:cs="宋体"/>
          <w:color w:val="auto"/>
          <w:sz w:val="44"/>
          <w:szCs w:val="44"/>
          <w:highlight w:val="none"/>
        </w:rPr>
        <w:t>第六章  谈判标准</w:t>
      </w:r>
      <w:bookmarkEnd w:id="193"/>
    </w:p>
    <w:p w14:paraId="3AA1D57F">
      <w:pPr>
        <w:pStyle w:val="8"/>
        <w:rPr>
          <w:rFonts w:hint="eastAsia" w:ascii="宋体" w:hAnsi="宋体" w:cs="宋体"/>
          <w:color w:val="auto"/>
          <w:szCs w:val="21"/>
          <w:highlight w:val="none"/>
        </w:rPr>
      </w:pPr>
    </w:p>
    <w:p w14:paraId="6D882CF2">
      <w:pPr>
        <w:pStyle w:val="5"/>
        <w:spacing w:line="348" w:lineRule="auto"/>
        <w:rPr>
          <w:rFonts w:hint="eastAsia" w:ascii="宋体" w:hAnsi="宋体" w:eastAsia="宋体" w:cs="宋体"/>
          <w:color w:val="auto"/>
          <w:sz w:val="21"/>
          <w:szCs w:val="21"/>
          <w:highlight w:val="none"/>
        </w:rPr>
      </w:pPr>
      <w:bookmarkStart w:id="194" w:name="_Toc261562521"/>
    </w:p>
    <w:p w14:paraId="1C312884">
      <w:pPr>
        <w:rPr>
          <w:rFonts w:hint="eastAsia" w:ascii="宋体" w:hAnsi="宋体" w:cs="宋体"/>
          <w:color w:val="auto"/>
          <w:szCs w:val="21"/>
          <w:highlight w:val="none"/>
        </w:rPr>
      </w:pPr>
    </w:p>
    <w:p w14:paraId="24EC194F">
      <w:pPr>
        <w:rPr>
          <w:rFonts w:hint="eastAsia" w:ascii="宋体" w:hAnsi="宋体" w:cs="宋体"/>
          <w:color w:val="auto"/>
          <w:szCs w:val="21"/>
          <w:highlight w:val="none"/>
        </w:rPr>
      </w:pPr>
    </w:p>
    <w:p w14:paraId="1093BEDF">
      <w:pPr>
        <w:rPr>
          <w:rFonts w:hint="eastAsia" w:ascii="宋体" w:hAnsi="宋体" w:cs="宋体"/>
          <w:color w:val="auto"/>
          <w:szCs w:val="21"/>
          <w:highlight w:val="none"/>
        </w:rPr>
      </w:pPr>
    </w:p>
    <w:p w14:paraId="0F0E3C51">
      <w:pPr>
        <w:rPr>
          <w:rFonts w:hint="eastAsia" w:ascii="宋体" w:hAnsi="宋体" w:cs="宋体"/>
          <w:color w:val="auto"/>
          <w:szCs w:val="21"/>
          <w:highlight w:val="none"/>
        </w:rPr>
      </w:pPr>
    </w:p>
    <w:p w14:paraId="302CB7F5">
      <w:pPr>
        <w:rPr>
          <w:rFonts w:hint="eastAsia" w:ascii="宋体" w:hAnsi="宋体" w:cs="宋体"/>
          <w:color w:val="auto"/>
          <w:szCs w:val="21"/>
          <w:highlight w:val="none"/>
        </w:rPr>
      </w:pPr>
    </w:p>
    <w:p w14:paraId="3E9A0540">
      <w:pPr>
        <w:rPr>
          <w:rFonts w:hint="eastAsia" w:ascii="宋体" w:hAnsi="宋体"/>
          <w:b/>
          <w:color w:val="auto"/>
          <w:sz w:val="30"/>
          <w:szCs w:val="30"/>
          <w:highlight w:val="none"/>
        </w:rPr>
      </w:pPr>
      <w:bookmarkStart w:id="195" w:name="_Toc226367035"/>
    </w:p>
    <w:p w14:paraId="35C83A86">
      <w:pPr>
        <w:rPr>
          <w:rFonts w:hint="eastAsia" w:ascii="宋体" w:hAnsi="宋体"/>
          <w:b/>
          <w:color w:val="auto"/>
          <w:sz w:val="30"/>
          <w:szCs w:val="30"/>
          <w:highlight w:val="none"/>
        </w:rPr>
      </w:pPr>
    </w:p>
    <w:p w14:paraId="5D79EB16">
      <w:pPr>
        <w:rPr>
          <w:rFonts w:hint="eastAsia" w:ascii="宋体" w:hAnsi="宋体"/>
          <w:b/>
          <w:color w:val="auto"/>
          <w:sz w:val="30"/>
          <w:szCs w:val="30"/>
          <w:highlight w:val="none"/>
        </w:rPr>
      </w:pPr>
    </w:p>
    <w:p w14:paraId="293CA4FA">
      <w:pPr>
        <w:rPr>
          <w:rFonts w:hint="eastAsia" w:ascii="宋体" w:hAnsi="宋体"/>
          <w:b/>
          <w:color w:val="auto"/>
          <w:sz w:val="30"/>
          <w:szCs w:val="30"/>
          <w:highlight w:val="none"/>
        </w:rPr>
      </w:pPr>
    </w:p>
    <w:p w14:paraId="1691D993">
      <w:pPr>
        <w:rPr>
          <w:rFonts w:hint="eastAsia" w:ascii="宋体" w:hAnsi="宋体"/>
          <w:b/>
          <w:color w:val="auto"/>
          <w:sz w:val="30"/>
          <w:szCs w:val="30"/>
          <w:highlight w:val="none"/>
        </w:rPr>
      </w:pPr>
    </w:p>
    <w:p w14:paraId="74548C34">
      <w:pPr>
        <w:rPr>
          <w:rFonts w:hint="eastAsia" w:ascii="宋体" w:hAnsi="宋体"/>
          <w:b/>
          <w:color w:val="auto"/>
          <w:sz w:val="30"/>
          <w:szCs w:val="30"/>
          <w:highlight w:val="none"/>
        </w:rPr>
      </w:pPr>
    </w:p>
    <w:p w14:paraId="6A93A2BF">
      <w:pPr>
        <w:rPr>
          <w:rFonts w:hint="eastAsia" w:ascii="宋体" w:hAnsi="宋体"/>
          <w:b/>
          <w:color w:val="auto"/>
          <w:sz w:val="30"/>
          <w:szCs w:val="30"/>
          <w:highlight w:val="none"/>
        </w:rPr>
      </w:pPr>
    </w:p>
    <w:p w14:paraId="3CD75CF8">
      <w:pPr>
        <w:rPr>
          <w:rFonts w:hint="eastAsia" w:ascii="宋体" w:hAnsi="宋体"/>
          <w:b/>
          <w:color w:val="auto"/>
          <w:sz w:val="30"/>
          <w:szCs w:val="30"/>
          <w:highlight w:val="none"/>
        </w:rPr>
      </w:pPr>
    </w:p>
    <w:p w14:paraId="2D1658EE">
      <w:pPr>
        <w:rPr>
          <w:rFonts w:hint="eastAsia" w:ascii="宋体" w:hAnsi="宋体"/>
          <w:b/>
          <w:color w:val="auto"/>
          <w:sz w:val="30"/>
          <w:szCs w:val="30"/>
          <w:highlight w:val="none"/>
        </w:rPr>
      </w:pPr>
    </w:p>
    <w:bookmarkEnd w:id="194"/>
    <w:bookmarkEnd w:id="195"/>
    <w:p w14:paraId="4D5E7D33">
      <w:pPr>
        <w:spacing w:line="360" w:lineRule="auto"/>
        <w:ind w:firstLine="472" w:firstLineChars="225"/>
        <w:rPr>
          <w:rFonts w:hint="eastAsia" w:ascii="宋体" w:hAnsi="宋体" w:cs="宋体"/>
          <w:color w:val="auto"/>
          <w:szCs w:val="21"/>
          <w:highlight w:val="none"/>
        </w:rPr>
      </w:pPr>
    </w:p>
    <w:p w14:paraId="3CF5E618">
      <w:pPr>
        <w:spacing w:line="360" w:lineRule="auto"/>
        <w:jc w:val="center"/>
        <w:outlineLvl w:val="1"/>
        <w:rPr>
          <w:rFonts w:hint="eastAsia" w:ascii="宋体" w:hAnsi="宋体"/>
          <w:b/>
          <w:color w:val="auto"/>
          <w:sz w:val="30"/>
          <w:szCs w:val="30"/>
          <w:highlight w:val="none"/>
        </w:rPr>
      </w:pPr>
      <w:bookmarkStart w:id="196" w:name="_Toc228982349"/>
      <w:r>
        <w:rPr>
          <w:rFonts w:hint="eastAsia" w:ascii="宋体" w:hAnsi="宋体"/>
          <w:b/>
          <w:color w:val="auto"/>
          <w:sz w:val="30"/>
          <w:szCs w:val="30"/>
          <w:highlight w:val="none"/>
        </w:rPr>
        <w:t>谈判程序和方法</w:t>
      </w:r>
      <w:r>
        <w:rPr>
          <w:rFonts w:ascii="宋体" w:hAnsi="宋体"/>
          <w:b/>
          <w:color w:val="auto"/>
          <w:sz w:val="30"/>
          <w:szCs w:val="30"/>
          <w:highlight w:val="none"/>
        </w:rPr>
        <w:t>前附表</w:t>
      </w:r>
      <w:bookmarkEnd w:id="196"/>
    </w:p>
    <w:tbl>
      <w:tblPr>
        <w:tblStyle w:val="36"/>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127"/>
        <w:gridCol w:w="482"/>
        <w:gridCol w:w="1303"/>
        <w:gridCol w:w="5954"/>
      </w:tblGrid>
      <w:tr w14:paraId="4F3E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1" w:type="dxa"/>
            <w:gridSpan w:val="2"/>
            <w:vAlign w:val="center"/>
          </w:tcPr>
          <w:p w14:paraId="4088F505">
            <w:pPr>
              <w:spacing w:line="360" w:lineRule="auto"/>
              <w:jc w:val="center"/>
              <w:rPr>
                <w:rFonts w:hint="eastAsia" w:ascii="宋体" w:hAnsi="宋体"/>
                <w:b/>
                <w:bCs/>
                <w:color w:val="auto"/>
                <w:highlight w:val="none"/>
              </w:rPr>
            </w:pPr>
            <w:r>
              <w:rPr>
                <w:rFonts w:hint="eastAsia" w:ascii="宋体" w:hAnsi="宋体"/>
                <w:b/>
                <w:bCs/>
                <w:color w:val="auto"/>
                <w:highlight w:val="none"/>
              </w:rPr>
              <w:t>条款号</w:t>
            </w:r>
          </w:p>
        </w:tc>
        <w:tc>
          <w:tcPr>
            <w:tcW w:w="1785" w:type="dxa"/>
            <w:gridSpan w:val="2"/>
            <w:vAlign w:val="center"/>
          </w:tcPr>
          <w:p w14:paraId="612C9389">
            <w:pPr>
              <w:spacing w:line="360" w:lineRule="auto"/>
              <w:jc w:val="center"/>
              <w:rPr>
                <w:rFonts w:hint="eastAsia" w:ascii="宋体" w:hAnsi="宋体"/>
                <w:b/>
                <w:bCs/>
                <w:color w:val="auto"/>
                <w:highlight w:val="none"/>
              </w:rPr>
            </w:pPr>
            <w:r>
              <w:rPr>
                <w:rFonts w:hint="eastAsia" w:ascii="宋体" w:hAnsi="宋体"/>
                <w:b/>
                <w:bCs/>
                <w:color w:val="auto"/>
                <w:highlight w:val="none"/>
              </w:rPr>
              <w:t>审 查 内 容</w:t>
            </w:r>
          </w:p>
        </w:tc>
        <w:tc>
          <w:tcPr>
            <w:tcW w:w="5954" w:type="dxa"/>
            <w:vAlign w:val="center"/>
          </w:tcPr>
          <w:p w14:paraId="0624DCFE">
            <w:pPr>
              <w:spacing w:line="360" w:lineRule="auto"/>
              <w:jc w:val="center"/>
              <w:rPr>
                <w:rFonts w:hint="eastAsia" w:ascii="宋体" w:hAnsi="宋体"/>
                <w:b/>
                <w:bCs/>
                <w:color w:val="auto"/>
                <w:highlight w:val="none"/>
              </w:rPr>
            </w:pPr>
            <w:r>
              <w:rPr>
                <w:rFonts w:hint="eastAsia" w:ascii="宋体" w:hAnsi="宋体"/>
                <w:b/>
                <w:bCs/>
                <w:color w:val="auto"/>
                <w:highlight w:val="none"/>
              </w:rPr>
              <w:t>审 查 标 准</w:t>
            </w:r>
          </w:p>
        </w:tc>
      </w:tr>
      <w:tr w14:paraId="7781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vMerge w:val="restart"/>
            <w:vAlign w:val="center"/>
          </w:tcPr>
          <w:p w14:paraId="3405BD9F">
            <w:pPr>
              <w:spacing w:line="360" w:lineRule="auto"/>
              <w:jc w:val="center"/>
              <w:rPr>
                <w:rFonts w:hint="eastAsia" w:ascii="宋体" w:hAnsi="宋体"/>
                <w:b/>
                <w:bCs/>
                <w:color w:val="auto"/>
                <w:highlight w:val="none"/>
              </w:rPr>
            </w:pPr>
            <w:r>
              <w:rPr>
                <w:rFonts w:hint="eastAsia" w:ascii="宋体" w:hAnsi="宋体"/>
                <w:b/>
                <w:bCs/>
                <w:color w:val="auto"/>
                <w:highlight w:val="none"/>
              </w:rPr>
              <w:t>2.1</w:t>
            </w:r>
          </w:p>
        </w:tc>
        <w:tc>
          <w:tcPr>
            <w:tcW w:w="1127" w:type="dxa"/>
            <w:vMerge w:val="restart"/>
            <w:vAlign w:val="center"/>
          </w:tcPr>
          <w:p w14:paraId="5B483DCC">
            <w:pPr>
              <w:spacing w:line="360" w:lineRule="auto"/>
              <w:jc w:val="center"/>
              <w:rPr>
                <w:rFonts w:hint="eastAsia" w:ascii="宋体" w:hAnsi="宋体"/>
                <w:b/>
                <w:bCs/>
                <w:color w:val="auto"/>
                <w:highlight w:val="none"/>
              </w:rPr>
            </w:pPr>
            <w:r>
              <w:rPr>
                <w:rFonts w:hint="eastAsia" w:ascii="宋体" w:hAnsi="宋体"/>
                <w:b/>
                <w:bCs/>
                <w:color w:val="auto"/>
                <w:highlight w:val="none"/>
              </w:rPr>
              <w:t>实质性审查标准</w:t>
            </w:r>
          </w:p>
        </w:tc>
        <w:tc>
          <w:tcPr>
            <w:tcW w:w="1785" w:type="dxa"/>
            <w:gridSpan w:val="2"/>
            <w:vAlign w:val="center"/>
          </w:tcPr>
          <w:p w14:paraId="7D77AE6C">
            <w:pPr>
              <w:spacing w:line="360" w:lineRule="auto"/>
              <w:jc w:val="center"/>
              <w:rPr>
                <w:rFonts w:hint="eastAsia" w:ascii="宋体" w:hAnsi="宋体"/>
                <w:color w:val="auto"/>
                <w:highlight w:val="none"/>
              </w:rPr>
            </w:pPr>
            <w:r>
              <w:rPr>
                <w:rFonts w:hint="eastAsia" w:ascii="宋体" w:hAnsi="宋体"/>
                <w:color w:val="auto"/>
                <w:highlight w:val="none"/>
              </w:rPr>
              <w:t>资格条件</w:t>
            </w:r>
          </w:p>
        </w:tc>
        <w:tc>
          <w:tcPr>
            <w:tcW w:w="5954" w:type="dxa"/>
            <w:vAlign w:val="center"/>
          </w:tcPr>
          <w:p w14:paraId="736B53FA">
            <w:pPr>
              <w:spacing w:line="360" w:lineRule="auto"/>
              <w:rPr>
                <w:rFonts w:hint="eastAsia" w:ascii="宋体" w:hAnsi="宋体"/>
                <w:color w:val="auto"/>
                <w:highlight w:val="none"/>
              </w:rPr>
            </w:pPr>
            <w:r>
              <w:rPr>
                <w:rFonts w:hint="eastAsia" w:ascii="宋体" w:hAnsi="宋体"/>
                <w:color w:val="auto"/>
                <w:highlight w:val="none"/>
              </w:rPr>
              <w:t>符合第一章“竞争性谈判公告 二、供应商资格要求”的规定</w:t>
            </w:r>
          </w:p>
        </w:tc>
      </w:tr>
      <w:tr w14:paraId="11F94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vMerge w:val="continue"/>
            <w:vAlign w:val="center"/>
          </w:tcPr>
          <w:p w14:paraId="3F8A411A">
            <w:pPr>
              <w:spacing w:line="360" w:lineRule="auto"/>
              <w:jc w:val="center"/>
              <w:rPr>
                <w:rFonts w:hint="eastAsia" w:ascii="宋体" w:hAnsi="宋体"/>
                <w:b/>
                <w:bCs/>
                <w:color w:val="auto"/>
                <w:highlight w:val="none"/>
              </w:rPr>
            </w:pPr>
          </w:p>
        </w:tc>
        <w:tc>
          <w:tcPr>
            <w:tcW w:w="1127" w:type="dxa"/>
            <w:vMerge w:val="continue"/>
            <w:vAlign w:val="center"/>
          </w:tcPr>
          <w:p w14:paraId="35F06B45">
            <w:pPr>
              <w:spacing w:line="360" w:lineRule="auto"/>
              <w:jc w:val="center"/>
              <w:rPr>
                <w:rFonts w:hint="eastAsia" w:ascii="宋体" w:hAnsi="宋体"/>
                <w:b/>
                <w:bCs/>
                <w:color w:val="auto"/>
                <w:highlight w:val="none"/>
              </w:rPr>
            </w:pPr>
          </w:p>
        </w:tc>
        <w:tc>
          <w:tcPr>
            <w:tcW w:w="482" w:type="dxa"/>
            <w:vAlign w:val="center"/>
          </w:tcPr>
          <w:p w14:paraId="63501453">
            <w:pPr>
              <w:spacing w:line="360" w:lineRule="auto"/>
              <w:jc w:val="center"/>
              <w:rPr>
                <w:rFonts w:hint="eastAsia" w:ascii="宋体" w:hAnsi="宋体"/>
                <w:color w:val="auto"/>
                <w:highlight w:val="none"/>
              </w:rPr>
            </w:pPr>
            <w:r>
              <w:rPr>
                <w:rFonts w:hint="eastAsia" w:ascii="宋体" w:hAnsi="宋体"/>
                <w:color w:val="auto"/>
                <w:highlight w:val="none"/>
              </w:rPr>
              <w:t>商务</w:t>
            </w:r>
          </w:p>
        </w:tc>
        <w:tc>
          <w:tcPr>
            <w:tcW w:w="1303" w:type="dxa"/>
            <w:vAlign w:val="center"/>
          </w:tcPr>
          <w:p w14:paraId="1228A153">
            <w:pPr>
              <w:spacing w:line="360" w:lineRule="auto"/>
              <w:jc w:val="center"/>
              <w:rPr>
                <w:rFonts w:hint="eastAsia" w:ascii="宋体" w:hAnsi="宋体"/>
                <w:color w:val="auto"/>
                <w:highlight w:val="none"/>
              </w:rPr>
            </w:pPr>
            <w:r>
              <w:rPr>
                <w:rFonts w:hint="eastAsia" w:ascii="宋体" w:hAnsi="宋体"/>
                <w:color w:val="auto"/>
                <w:highlight w:val="none"/>
              </w:rPr>
              <w:t>响应文件</w:t>
            </w:r>
          </w:p>
        </w:tc>
        <w:tc>
          <w:tcPr>
            <w:tcW w:w="5954" w:type="dxa"/>
            <w:vAlign w:val="center"/>
          </w:tcPr>
          <w:p w14:paraId="3BC1B994">
            <w:pPr>
              <w:spacing w:line="360" w:lineRule="auto"/>
              <w:rPr>
                <w:rFonts w:hint="eastAsia" w:ascii="宋体" w:hAnsi="宋体"/>
                <w:color w:val="auto"/>
                <w:highlight w:val="none"/>
              </w:rPr>
            </w:pPr>
            <w:r>
              <w:rPr>
                <w:rFonts w:hint="eastAsia" w:ascii="宋体" w:hAnsi="宋体"/>
                <w:color w:val="auto"/>
                <w:highlight w:val="none"/>
              </w:rPr>
              <w:t>响应文件按照要求签署、盖章（报价一览表、谈判申请函、法定代表人身份证明书、</w:t>
            </w:r>
            <w:r>
              <w:rPr>
                <w:rFonts w:ascii="宋体" w:hAnsi="宋体"/>
                <w:color w:val="auto"/>
                <w:highlight w:val="none"/>
              </w:rPr>
              <w:t>法定代表人授权委托书</w:t>
            </w:r>
            <w:r>
              <w:rPr>
                <w:rFonts w:hint="eastAsia" w:ascii="宋体" w:hAnsi="宋体"/>
                <w:color w:val="auto"/>
                <w:highlight w:val="none"/>
              </w:rPr>
              <w:t>签署盖章完整）</w:t>
            </w:r>
          </w:p>
        </w:tc>
      </w:tr>
      <w:tr w14:paraId="2DE18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vMerge w:val="continue"/>
            <w:vAlign w:val="center"/>
          </w:tcPr>
          <w:p w14:paraId="232945E0">
            <w:pPr>
              <w:spacing w:line="360" w:lineRule="auto"/>
              <w:jc w:val="center"/>
              <w:rPr>
                <w:rFonts w:hint="eastAsia" w:ascii="宋体" w:hAnsi="宋体"/>
                <w:b/>
                <w:bCs/>
                <w:color w:val="auto"/>
                <w:highlight w:val="none"/>
              </w:rPr>
            </w:pPr>
          </w:p>
        </w:tc>
        <w:tc>
          <w:tcPr>
            <w:tcW w:w="1127" w:type="dxa"/>
            <w:vMerge w:val="continue"/>
            <w:vAlign w:val="center"/>
          </w:tcPr>
          <w:p w14:paraId="016A7A45">
            <w:pPr>
              <w:spacing w:line="360" w:lineRule="auto"/>
              <w:jc w:val="center"/>
              <w:rPr>
                <w:rFonts w:hint="eastAsia" w:ascii="宋体" w:hAnsi="宋体"/>
                <w:b/>
                <w:bCs/>
                <w:color w:val="auto"/>
                <w:highlight w:val="none"/>
              </w:rPr>
            </w:pPr>
          </w:p>
        </w:tc>
        <w:tc>
          <w:tcPr>
            <w:tcW w:w="482" w:type="dxa"/>
            <w:vAlign w:val="center"/>
          </w:tcPr>
          <w:p w14:paraId="6CE15F03">
            <w:pPr>
              <w:spacing w:line="360" w:lineRule="auto"/>
              <w:jc w:val="center"/>
              <w:rPr>
                <w:rFonts w:hint="eastAsia" w:ascii="宋体" w:hAnsi="宋体"/>
                <w:color w:val="auto"/>
                <w:highlight w:val="none"/>
              </w:rPr>
            </w:pPr>
            <w:r>
              <w:rPr>
                <w:rFonts w:hint="eastAsia" w:ascii="宋体" w:hAnsi="宋体"/>
                <w:color w:val="auto"/>
                <w:highlight w:val="none"/>
              </w:rPr>
              <w:t>报价</w:t>
            </w:r>
          </w:p>
        </w:tc>
        <w:tc>
          <w:tcPr>
            <w:tcW w:w="7257" w:type="dxa"/>
            <w:gridSpan w:val="2"/>
            <w:vAlign w:val="center"/>
          </w:tcPr>
          <w:p w14:paraId="1D06EDE7">
            <w:pPr>
              <w:spacing w:line="360" w:lineRule="auto"/>
              <w:rPr>
                <w:rFonts w:hint="eastAsia" w:ascii="宋体" w:hAnsi="宋体"/>
                <w:color w:val="auto"/>
                <w:highlight w:val="none"/>
              </w:rPr>
            </w:pPr>
            <w:bookmarkStart w:id="197" w:name="OLE_LINK22"/>
            <w:r>
              <w:rPr>
                <w:rFonts w:hint="eastAsia" w:ascii="宋体" w:hAnsi="宋体"/>
                <w:color w:val="auto"/>
                <w:highlight w:val="none"/>
              </w:rPr>
              <w:t>谈判报价未超过本项目采购预算及最高限价。</w:t>
            </w:r>
            <w:bookmarkEnd w:id="197"/>
          </w:p>
        </w:tc>
      </w:tr>
      <w:tr w14:paraId="496D5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vMerge w:val="continue"/>
            <w:vAlign w:val="center"/>
          </w:tcPr>
          <w:p w14:paraId="400584F6">
            <w:pPr>
              <w:spacing w:line="360" w:lineRule="auto"/>
              <w:jc w:val="center"/>
              <w:rPr>
                <w:rFonts w:hint="eastAsia" w:ascii="宋体" w:hAnsi="宋体"/>
                <w:b/>
                <w:bCs/>
                <w:color w:val="auto"/>
                <w:highlight w:val="none"/>
              </w:rPr>
            </w:pPr>
          </w:p>
        </w:tc>
        <w:tc>
          <w:tcPr>
            <w:tcW w:w="1127" w:type="dxa"/>
            <w:vMerge w:val="continue"/>
            <w:vAlign w:val="center"/>
          </w:tcPr>
          <w:p w14:paraId="2ECAA969">
            <w:pPr>
              <w:spacing w:line="360" w:lineRule="auto"/>
              <w:jc w:val="center"/>
              <w:rPr>
                <w:rFonts w:hint="eastAsia" w:ascii="宋体" w:hAnsi="宋体"/>
                <w:b/>
                <w:bCs/>
                <w:color w:val="auto"/>
                <w:highlight w:val="none"/>
              </w:rPr>
            </w:pPr>
          </w:p>
        </w:tc>
        <w:tc>
          <w:tcPr>
            <w:tcW w:w="482" w:type="dxa"/>
            <w:vAlign w:val="center"/>
          </w:tcPr>
          <w:p w14:paraId="2FD1E508">
            <w:pPr>
              <w:spacing w:line="360" w:lineRule="auto"/>
              <w:jc w:val="center"/>
              <w:rPr>
                <w:rFonts w:hint="eastAsia" w:ascii="宋体" w:hAnsi="宋体"/>
                <w:color w:val="auto"/>
                <w:highlight w:val="none"/>
              </w:rPr>
            </w:pPr>
            <w:r>
              <w:rPr>
                <w:rFonts w:hint="eastAsia" w:ascii="宋体" w:hAnsi="宋体"/>
                <w:color w:val="auto"/>
                <w:highlight w:val="none"/>
              </w:rPr>
              <w:t>技术</w:t>
            </w:r>
          </w:p>
        </w:tc>
        <w:tc>
          <w:tcPr>
            <w:tcW w:w="1303" w:type="dxa"/>
            <w:vAlign w:val="center"/>
          </w:tcPr>
          <w:p w14:paraId="224C2D1D">
            <w:pPr>
              <w:spacing w:line="360" w:lineRule="auto"/>
              <w:jc w:val="center"/>
              <w:rPr>
                <w:rFonts w:hint="eastAsia" w:ascii="宋体" w:hAnsi="宋体"/>
                <w:color w:val="auto"/>
                <w:highlight w:val="none"/>
              </w:rPr>
            </w:pPr>
            <w:r>
              <w:rPr>
                <w:rFonts w:hint="eastAsia" w:ascii="宋体" w:hAnsi="宋体"/>
                <w:color w:val="auto"/>
                <w:highlight w:val="none"/>
              </w:rPr>
              <w:t>其它实质性</w:t>
            </w:r>
          </w:p>
          <w:p w14:paraId="5F6B76C4">
            <w:pPr>
              <w:spacing w:line="360" w:lineRule="auto"/>
              <w:jc w:val="center"/>
              <w:rPr>
                <w:rFonts w:hint="eastAsia" w:ascii="宋体" w:hAnsi="宋体"/>
                <w:color w:val="auto"/>
                <w:highlight w:val="none"/>
              </w:rPr>
            </w:pPr>
            <w:r>
              <w:rPr>
                <w:rFonts w:hint="eastAsia" w:ascii="宋体" w:hAnsi="宋体"/>
                <w:color w:val="auto"/>
                <w:highlight w:val="none"/>
              </w:rPr>
              <w:t>要求</w:t>
            </w:r>
          </w:p>
        </w:tc>
        <w:tc>
          <w:tcPr>
            <w:tcW w:w="5954" w:type="dxa"/>
            <w:vAlign w:val="center"/>
          </w:tcPr>
          <w:p w14:paraId="38B8371D">
            <w:pPr>
              <w:spacing w:line="360" w:lineRule="auto"/>
              <w:rPr>
                <w:rFonts w:hint="eastAsia" w:ascii="宋体" w:hAnsi="宋体"/>
                <w:color w:val="auto"/>
                <w:highlight w:val="none"/>
              </w:rPr>
            </w:pPr>
            <w:r>
              <w:rPr>
                <w:rFonts w:hint="eastAsia" w:ascii="宋体" w:hAnsi="宋体"/>
                <w:color w:val="auto"/>
                <w:highlight w:val="none"/>
              </w:rPr>
              <w:t>1）满足第三章项目需求中的“</w:t>
            </w:r>
            <w:r>
              <w:rPr>
                <w:rFonts w:hint="eastAsia"/>
                <w:b/>
                <w:bCs/>
                <w:color w:val="auto"/>
                <w:kern w:val="0"/>
                <w:szCs w:val="21"/>
                <w:highlight w:val="none"/>
                <w:lang w:bidi="ar"/>
              </w:rPr>
              <w:t>一</w:t>
            </w:r>
            <w:r>
              <w:rPr>
                <w:b/>
                <w:bCs/>
                <w:color w:val="auto"/>
                <w:kern w:val="0"/>
                <w:szCs w:val="21"/>
                <w:highlight w:val="none"/>
                <w:lang w:bidi="ar"/>
              </w:rPr>
              <w:t>、</w:t>
            </w:r>
            <w:r>
              <w:rPr>
                <w:rFonts w:hint="eastAsia"/>
                <w:b/>
                <w:bCs/>
                <w:color w:val="auto"/>
                <w:kern w:val="0"/>
                <w:szCs w:val="21"/>
                <w:highlight w:val="none"/>
                <w:lang w:bidi="ar"/>
              </w:rPr>
              <w:t>采购清单</w:t>
            </w:r>
            <w:r>
              <w:rPr>
                <w:rFonts w:hint="eastAsia" w:ascii="宋体" w:hAnsi="宋体"/>
                <w:color w:val="auto"/>
                <w:highlight w:val="none"/>
              </w:rPr>
              <w:t>”、“</w:t>
            </w:r>
            <w:r>
              <w:rPr>
                <w:rFonts w:hint="eastAsia" w:ascii="宋体" w:hAnsi="宋体"/>
                <w:b/>
                <w:bCs/>
                <w:color w:val="auto"/>
                <w:highlight w:val="none"/>
              </w:rPr>
              <w:t>二、其他要求</w:t>
            </w:r>
            <w:r>
              <w:rPr>
                <w:rFonts w:hint="eastAsia" w:ascii="宋体" w:hAnsi="宋体"/>
                <w:color w:val="auto"/>
                <w:highlight w:val="none"/>
              </w:rPr>
              <w:t>”要求：</w:t>
            </w:r>
            <w:r>
              <w:rPr>
                <w:rFonts w:hint="eastAsia" w:ascii="宋体" w:hAnsi="宋体"/>
                <w:b/>
                <w:color w:val="auto"/>
                <w:highlight w:val="none"/>
              </w:rPr>
              <w:t>每项内容须在响应文件内作完整响应，</w:t>
            </w:r>
            <w:r>
              <w:rPr>
                <w:rFonts w:hint="eastAsia" w:ascii="宋体" w:hAnsi="宋体"/>
                <w:b/>
                <w:bCs/>
                <w:color w:val="auto"/>
                <w:highlight w:val="none"/>
              </w:rPr>
              <w:t>否则视为实质性不响应，响应文件按无效响应处理。</w:t>
            </w:r>
          </w:p>
          <w:p w14:paraId="0E271B52">
            <w:pPr>
              <w:spacing w:line="360" w:lineRule="auto"/>
              <w:rPr>
                <w:rFonts w:hint="eastAsia" w:ascii="宋体" w:hAnsi="宋体"/>
                <w:color w:val="auto"/>
                <w:highlight w:val="none"/>
              </w:rPr>
            </w:pPr>
            <w:r>
              <w:rPr>
                <w:rFonts w:hint="eastAsia" w:ascii="宋体" w:hAnsi="宋体"/>
                <w:color w:val="auto"/>
                <w:highlight w:val="none"/>
              </w:rPr>
              <w:t>2）竞争性谈判文件中属于技术参数的实质性要求。</w:t>
            </w:r>
          </w:p>
          <w:p w14:paraId="0D4FCCB8">
            <w:pPr>
              <w:spacing w:line="360" w:lineRule="auto"/>
              <w:rPr>
                <w:rFonts w:hint="eastAsia" w:ascii="宋体" w:hAnsi="宋体"/>
                <w:color w:val="auto"/>
                <w:highlight w:val="none"/>
              </w:rPr>
            </w:pPr>
            <w:r>
              <w:rPr>
                <w:rFonts w:hint="eastAsia" w:ascii="宋体" w:hAnsi="宋体"/>
                <w:color w:val="auto"/>
                <w:highlight w:val="none"/>
              </w:rPr>
              <w:t>3）响应文件中没有采购人不能接受的附加条件的或法律法规规定的其他响应文件无效的情形。</w:t>
            </w:r>
          </w:p>
        </w:tc>
      </w:tr>
      <w:tr w14:paraId="0470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vAlign w:val="center"/>
          </w:tcPr>
          <w:p w14:paraId="03AC9D9D">
            <w:pPr>
              <w:spacing w:line="360" w:lineRule="auto"/>
              <w:jc w:val="center"/>
              <w:rPr>
                <w:rFonts w:hint="eastAsia" w:ascii="宋体" w:hAnsi="宋体"/>
                <w:b/>
                <w:bCs/>
                <w:color w:val="auto"/>
                <w:highlight w:val="none"/>
              </w:rPr>
            </w:pPr>
            <w:r>
              <w:rPr>
                <w:rFonts w:hint="eastAsia" w:ascii="宋体" w:hAnsi="宋体"/>
                <w:b/>
                <w:bCs/>
                <w:color w:val="auto"/>
                <w:highlight w:val="none"/>
              </w:rPr>
              <w:t>2.2</w:t>
            </w:r>
          </w:p>
        </w:tc>
        <w:tc>
          <w:tcPr>
            <w:tcW w:w="1127" w:type="dxa"/>
            <w:vAlign w:val="center"/>
          </w:tcPr>
          <w:p w14:paraId="10273A26">
            <w:pPr>
              <w:spacing w:line="360" w:lineRule="auto"/>
              <w:jc w:val="center"/>
              <w:rPr>
                <w:rFonts w:hint="eastAsia" w:ascii="宋体" w:hAnsi="宋体"/>
                <w:b/>
                <w:bCs/>
                <w:color w:val="auto"/>
                <w:highlight w:val="none"/>
              </w:rPr>
            </w:pPr>
            <w:r>
              <w:rPr>
                <w:rFonts w:hint="eastAsia" w:ascii="宋体" w:hAnsi="宋体"/>
                <w:b/>
                <w:bCs/>
                <w:color w:val="auto"/>
                <w:highlight w:val="none"/>
              </w:rPr>
              <w:t>谈判标准</w:t>
            </w:r>
          </w:p>
        </w:tc>
        <w:tc>
          <w:tcPr>
            <w:tcW w:w="1785" w:type="dxa"/>
            <w:gridSpan w:val="2"/>
            <w:vAlign w:val="center"/>
          </w:tcPr>
          <w:p w14:paraId="4BEE7A6D">
            <w:pPr>
              <w:spacing w:line="360" w:lineRule="auto"/>
              <w:jc w:val="center"/>
              <w:rPr>
                <w:rFonts w:hint="eastAsia" w:ascii="宋体" w:hAnsi="宋体"/>
                <w:color w:val="auto"/>
                <w:highlight w:val="none"/>
              </w:rPr>
            </w:pPr>
            <w:r>
              <w:rPr>
                <w:rFonts w:hint="eastAsia" w:ascii="宋体" w:hAnsi="宋体"/>
                <w:color w:val="auto"/>
                <w:highlight w:val="none"/>
              </w:rPr>
              <w:t>谈判、比较与评价</w:t>
            </w:r>
          </w:p>
        </w:tc>
        <w:tc>
          <w:tcPr>
            <w:tcW w:w="5954" w:type="dxa"/>
            <w:vAlign w:val="center"/>
          </w:tcPr>
          <w:p w14:paraId="16DB9166">
            <w:pPr>
              <w:spacing w:line="360" w:lineRule="auto"/>
              <w:rPr>
                <w:rFonts w:hint="eastAsia" w:ascii="宋体" w:hAnsi="宋体"/>
                <w:color w:val="auto"/>
                <w:szCs w:val="21"/>
                <w:highlight w:val="none"/>
              </w:rPr>
            </w:pPr>
            <w:r>
              <w:rPr>
                <w:rFonts w:ascii="宋体" w:hAnsi="宋体"/>
                <w:color w:val="auto"/>
                <w:szCs w:val="21"/>
                <w:highlight w:val="none"/>
              </w:rPr>
              <w:t>根据质量和服务均能满足谈判文件实质性响应要求且最后报价最低的原则</w:t>
            </w:r>
            <w:r>
              <w:rPr>
                <w:rFonts w:hint="eastAsia" w:ascii="宋体" w:hAnsi="宋体"/>
                <w:color w:val="auto"/>
                <w:szCs w:val="21"/>
                <w:highlight w:val="none"/>
              </w:rPr>
              <w:t>，按报价（</w:t>
            </w:r>
            <w:r>
              <w:rPr>
                <w:rFonts w:hint="eastAsia" w:ascii="宋体" w:hAnsi="宋体"/>
                <w:color w:val="auto"/>
                <w:highlight w:val="none"/>
              </w:rPr>
              <w:t>即</w:t>
            </w:r>
            <w:r>
              <w:rPr>
                <w:rFonts w:hint="eastAsia" w:ascii="宋体" w:hAnsi="宋体"/>
                <w:color w:val="auto"/>
                <w:szCs w:val="21"/>
                <w:highlight w:val="none"/>
              </w:rPr>
              <w:t>经中小微企业、残疾人福利性单位、监狱企业优惠后的价格扣除后）由低到高的顺序</w:t>
            </w:r>
            <w:r>
              <w:rPr>
                <w:rFonts w:ascii="宋体" w:hAnsi="宋体"/>
                <w:color w:val="auto"/>
                <w:szCs w:val="21"/>
                <w:highlight w:val="none"/>
              </w:rPr>
              <w:t>确定</w:t>
            </w:r>
            <w:r>
              <w:rPr>
                <w:rFonts w:hint="eastAsia" w:ascii="宋体" w:hAnsi="宋体"/>
                <w:color w:val="auto"/>
                <w:szCs w:val="21"/>
                <w:highlight w:val="none"/>
              </w:rPr>
              <w:t>成交</w:t>
            </w:r>
            <w:r>
              <w:rPr>
                <w:rFonts w:ascii="宋体" w:hAnsi="宋体"/>
                <w:color w:val="auto"/>
                <w:szCs w:val="21"/>
                <w:highlight w:val="none"/>
              </w:rPr>
              <w:t>供应商</w:t>
            </w:r>
            <w:r>
              <w:rPr>
                <w:rFonts w:hint="eastAsia" w:ascii="宋体" w:hAnsi="宋体"/>
                <w:color w:val="auto"/>
                <w:szCs w:val="21"/>
                <w:highlight w:val="none"/>
              </w:rPr>
              <w:t>。</w:t>
            </w:r>
          </w:p>
          <w:p w14:paraId="0065BBD1">
            <w:pPr>
              <w:spacing w:line="360" w:lineRule="auto"/>
              <w:rPr>
                <w:rFonts w:hint="eastAsia" w:ascii="宋体" w:hAnsi="宋体" w:cs="宋体"/>
                <w:color w:val="auto"/>
                <w:highlight w:val="none"/>
              </w:rPr>
            </w:pPr>
            <w:r>
              <w:rPr>
                <w:rFonts w:hint="eastAsia" w:ascii="宋体" w:hAnsi="宋体"/>
                <w:color w:val="auto"/>
                <w:szCs w:val="21"/>
                <w:highlight w:val="none"/>
              </w:rPr>
              <w:t>注：（1）</w:t>
            </w:r>
            <w:r>
              <w:rPr>
                <w:rFonts w:hint="eastAsia" w:ascii="宋体" w:hAnsi="宋体" w:cs="宋体"/>
                <w:color w:val="auto"/>
                <w:highlight w:val="none"/>
              </w:rPr>
              <w:t>当涉及政府采购政策叠加适用，统一在原谈判报价的基础上逐项进行价格扣除。</w:t>
            </w:r>
          </w:p>
          <w:p w14:paraId="59E2F885">
            <w:pPr>
              <w:spacing w:line="360" w:lineRule="auto"/>
              <w:rPr>
                <w:rFonts w:hint="eastAsia" w:ascii="宋体" w:hAnsi="宋体" w:cs="宋体"/>
                <w:color w:val="auto"/>
                <w:highlight w:val="none"/>
              </w:rPr>
            </w:pPr>
            <w:r>
              <w:rPr>
                <w:rFonts w:hint="eastAsia" w:ascii="宋体" w:hAnsi="宋体" w:cs="宋体"/>
                <w:color w:val="auto"/>
                <w:highlight w:val="none"/>
              </w:rPr>
              <w:t>（2）</w:t>
            </w:r>
            <w:r>
              <w:rPr>
                <w:rFonts w:hint="eastAsia"/>
                <w:b/>
                <w:bCs/>
                <w:color w:val="auto"/>
                <w:szCs w:val="21"/>
                <w:highlight w:val="none"/>
              </w:rPr>
              <w:t>本项目专门面向中小企业采购，因此不再</w:t>
            </w:r>
            <w:r>
              <w:rPr>
                <w:b/>
                <w:bCs/>
                <w:color w:val="auto"/>
                <w:szCs w:val="21"/>
                <w:highlight w:val="none"/>
              </w:rPr>
              <w:t>对小型或微型企业</w:t>
            </w:r>
            <w:r>
              <w:rPr>
                <w:rFonts w:hint="eastAsia"/>
                <w:b/>
                <w:bCs/>
                <w:color w:val="auto"/>
                <w:szCs w:val="21"/>
                <w:highlight w:val="none"/>
              </w:rPr>
              <w:t>施工单位</w:t>
            </w:r>
            <w:r>
              <w:rPr>
                <w:b/>
                <w:bCs/>
                <w:color w:val="auto"/>
                <w:szCs w:val="21"/>
                <w:highlight w:val="none"/>
              </w:rPr>
              <w:t>的价格给予</w:t>
            </w:r>
            <w:r>
              <w:rPr>
                <w:rFonts w:hint="eastAsia"/>
                <w:b/>
                <w:bCs/>
                <w:color w:val="auto"/>
                <w:szCs w:val="21"/>
                <w:highlight w:val="none"/>
              </w:rPr>
              <w:t>价格</w:t>
            </w:r>
            <w:r>
              <w:rPr>
                <w:b/>
                <w:bCs/>
                <w:color w:val="auto"/>
                <w:szCs w:val="21"/>
                <w:highlight w:val="none"/>
              </w:rPr>
              <w:t>扣除</w:t>
            </w:r>
            <w:r>
              <w:rPr>
                <w:rFonts w:hint="eastAsia"/>
                <w:b/>
                <w:bCs/>
                <w:color w:val="auto"/>
                <w:szCs w:val="21"/>
                <w:highlight w:val="none"/>
              </w:rPr>
              <w:t>优惠</w:t>
            </w:r>
            <w:r>
              <w:rPr>
                <w:b/>
                <w:bCs/>
                <w:color w:val="auto"/>
                <w:szCs w:val="21"/>
                <w:highlight w:val="none"/>
              </w:rPr>
              <w:t>，监狱企业、残疾人福利性单位均视同小型或微型企业。</w:t>
            </w:r>
          </w:p>
          <w:p w14:paraId="7364FDFA">
            <w:pPr>
              <w:spacing w:line="360" w:lineRule="auto"/>
              <w:rPr>
                <w:rFonts w:hint="eastAsia" w:ascii="宋体" w:hAnsi="宋体"/>
                <w:color w:val="auto"/>
                <w:highlight w:val="none"/>
              </w:rPr>
            </w:pPr>
            <w:r>
              <w:rPr>
                <w:rFonts w:hint="eastAsia" w:ascii="宋体" w:hAnsi="宋体" w:cs="宋体"/>
                <w:color w:val="auto"/>
                <w:highlight w:val="none"/>
              </w:rPr>
              <w:t>（3）根据《关于推动解决政府采购异常低价问题的通知》（财库〔2026〕2号）的规定，将对政府采购评审中出现异常递交投标（响应）的最后报价进行审查，具体情形及内容详见本章3.2.8的要求。</w:t>
            </w:r>
          </w:p>
        </w:tc>
      </w:tr>
      <w:tr w14:paraId="1A2F2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vMerge w:val="restart"/>
            <w:vAlign w:val="center"/>
          </w:tcPr>
          <w:p w14:paraId="62FE9BEE">
            <w:pPr>
              <w:spacing w:line="360" w:lineRule="auto"/>
              <w:jc w:val="center"/>
              <w:rPr>
                <w:rFonts w:hint="eastAsia" w:ascii="宋体" w:hAnsi="宋体"/>
                <w:b/>
                <w:bCs/>
                <w:color w:val="auto"/>
                <w:highlight w:val="none"/>
              </w:rPr>
            </w:pPr>
            <w:r>
              <w:rPr>
                <w:rFonts w:hint="eastAsia" w:ascii="宋体" w:hAnsi="宋体"/>
                <w:b/>
                <w:bCs/>
                <w:color w:val="auto"/>
                <w:highlight w:val="none"/>
              </w:rPr>
              <w:t>其他</w:t>
            </w:r>
          </w:p>
        </w:tc>
        <w:tc>
          <w:tcPr>
            <w:tcW w:w="1127" w:type="dxa"/>
            <w:vMerge w:val="restart"/>
            <w:vAlign w:val="center"/>
          </w:tcPr>
          <w:p w14:paraId="5CB0F817">
            <w:pPr>
              <w:spacing w:line="360" w:lineRule="auto"/>
              <w:jc w:val="center"/>
              <w:rPr>
                <w:rFonts w:hint="eastAsia" w:ascii="宋体" w:hAnsi="宋体"/>
                <w:b/>
                <w:bCs/>
                <w:color w:val="auto"/>
                <w:highlight w:val="none"/>
              </w:rPr>
            </w:pPr>
            <w:r>
              <w:rPr>
                <w:rFonts w:hint="eastAsia" w:ascii="宋体" w:hAnsi="宋体"/>
                <w:b/>
                <w:bCs/>
                <w:color w:val="auto"/>
                <w:szCs w:val="21"/>
                <w:highlight w:val="none"/>
              </w:rPr>
              <w:t>价格扣除的条件及政府采购政策</w:t>
            </w:r>
          </w:p>
        </w:tc>
        <w:tc>
          <w:tcPr>
            <w:tcW w:w="1785" w:type="dxa"/>
            <w:gridSpan w:val="2"/>
            <w:vAlign w:val="center"/>
          </w:tcPr>
          <w:p w14:paraId="0C2A6326">
            <w:pPr>
              <w:spacing w:line="360" w:lineRule="auto"/>
              <w:jc w:val="center"/>
              <w:rPr>
                <w:rFonts w:hint="eastAsia" w:ascii="宋体" w:hAnsi="宋体"/>
                <w:color w:val="auto"/>
                <w:highlight w:val="none"/>
              </w:rPr>
            </w:pPr>
            <w:r>
              <w:rPr>
                <w:rFonts w:hint="eastAsia" w:ascii="宋体" w:hAnsi="宋体"/>
                <w:color w:val="auto"/>
                <w:szCs w:val="21"/>
                <w:highlight w:val="none"/>
              </w:rPr>
              <w:t>小微企业应考虑的优先条件和价格折扣</w:t>
            </w:r>
          </w:p>
        </w:tc>
        <w:tc>
          <w:tcPr>
            <w:tcW w:w="5954" w:type="dxa"/>
            <w:vAlign w:val="center"/>
          </w:tcPr>
          <w:p w14:paraId="512A65A5">
            <w:pPr>
              <w:spacing w:line="360" w:lineRule="auto"/>
              <w:rPr>
                <w:rFonts w:hint="eastAsia" w:ascii="宋体" w:hAnsi="宋体"/>
                <w:color w:val="auto"/>
                <w:highlight w:val="none"/>
              </w:rPr>
            </w:pPr>
            <w:r>
              <w:rPr>
                <w:rFonts w:hint="eastAsia" w:ascii="宋体" w:hAnsi="宋体"/>
                <w:color w:val="auto"/>
                <w:highlight w:val="none"/>
              </w:rPr>
              <w:t>根据《关于印发《政府采购促进中小企业发展管理办法》的通知》（财库〔2020〕46号）的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28A57A9">
            <w:pPr>
              <w:spacing w:line="360" w:lineRule="auto"/>
              <w:rPr>
                <w:rFonts w:hint="eastAsia" w:ascii="宋体" w:hAnsi="宋体"/>
                <w:color w:val="auto"/>
                <w:highlight w:val="none"/>
              </w:rPr>
            </w:pPr>
            <w:r>
              <w:rPr>
                <w:rFonts w:hint="eastAsia" w:ascii="宋体" w:hAnsi="宋体"/>
                <w:color w:val="auto"/>
                <w:highlight w:val="none"/>
              </w:rPr>
              <w:t>在政府采购活动中，供应商提供的货物、工程或者服务符合下列情形的，享受中小企业扶持政策：</w:t>
            </w:r>
          </w:p>
          <w:p w14:paraId="7051DDBC">
            <w:pPr>
              <w:spacing w:line="360" w:lineRule="auto"/>
              <w:rPr>
                <w:rFonts w:hint="eastAsia" w:ascii="宋体" w:hAnsi="宋体"/>
                <w:color w:val="auto"/>
                <w:highlight w:val="none"/>
              </w:rPr>
            </w:pPr>
            <w:r>
              <w:rPr>
                <w:rFonts w:hint="eastAsia" w:ascii="宋体" w:hAnsi="宋体"/>
                <w:color w:val="auto"/>
                <w:highlight w:val="none"/>
              </w:rPr>
              <w:t>（1）在货物采购项目中，货物由中小企业制造，即货物由中小企业生产且使用该中小企业商号或者注册商标；</w:t>
            </w:r>
          </w:p>
          <w:p w14:paraId="0FB4725B">
            <w:pPr>
              <w:spacing w:line="360" w:lineRule="auto"/>
              <w:rPr>
                <w:rFonts w:hint="eastAsia" w:ascii="宋体" w:hAnsi="宋体"/>
                <w:color w:val="auto"/>
                <w:highlight w:val="none"/>
              </w:rPr>
            </w:pPr>
            <w:r>
              <w:rPr>
                <w:rFonts w:hint="eastAsia" w:ascii="宋体" w:hAnsi="宋体"/>
                <w:color w:val="auto"/>
                <w:highlight w:val="none"/>
              </w:rPr>
              <w:t>（2）在工程采购项目中，工程由中小企业承建，即工程施工单位为中小企业；</w:t>
            </w:r>
          </w:p>
          <w:p w14:paraId="1893C6AE">
            <w:pPr>
              <w:spacing w:line="360" w:lineRule="auto"/>
              <w:rPr>
                <w:rFonts w:hint="eastAsia" w:ascii="宋体" w:hAnsi="宋体"/>
                <w:color w:val="auto"/>
                <w:highlight w:val="none"/>
              </w:rPr>
            </w:pPr>
            <w:r>
              <w:rPr>
                <w:rFonts w:hint="eastAsia" w:ascii="宋体" w:hAnsi="宋体"/>
                <w:color w:val="auto"/>
                <w:highlight w:val="none"/>
              </w:rPr>
              <w:t>（3）在服务采购项目中，服务由中小企业承接，即提供服务的人员为中小企业依照《中华人民共和国劳动合同法》订立劳动合同的从业人员。</w:t>
            </w:r>
          </w:p>
          <w:p w14:paraId="7839CED5">
            <w:pPr>
              <w:spacing w:line="360" w:lineRule="auto"/>
              <w:rPr>
                <w:rFonts w:hint="eastAsia" w:ascii="宋体" w:hAnsi="宋体"/>
                <w:color w:val="auto"/>
                <w:highlight w:val="none"/>
              </w:rPr>
            </w:pPr>
            <w:r>
              <w:rPr>
                <w:rFonts w:hint="eastAsia" w:ascii="宋体" w:hAnsi="宋体"/>
                <w:color w:val="auto"/>
                <w:highlight w:val="none"/>
              </w:rPr>
              <w:t>在货物采购项目中，供应商提供的货物既有中小企业制造货物，也有大型企业制造货物的，不享受中小企业扶持政策。</w:t>
            </w:r>
          </w:p>
          <w:p w14:paraId="5CC0C879">
            <w:pPr>
              <w:spacing w:line="360" w:lineRule="auto"/>
              <w:rPr>
                <w:rFonts w:hint="eastAsia" w:ascii="宋体" w:hAnsi="宋体"/>
                <w:color w:val="auto"/>
                <w:highlight w:val="none"/>
              </w:rPr>
            </w:pPr>
            <w:r>
              <w:rPr>
                <w:rFonts w:hint="eastAsia" w:ascii="宋体" w:hAnsi="宋体"/>
                <w:color w:val="auto"/>
                <w:highlight w:val="none"/>
              </w:rPr>
              <w:t>以联合体形式参加政府采购活动，联合体各方均为中小企业的，联合体视同中小企业。其中，联合体各方均为小微企业的，联合体视同小微企业。</w:t>
            </w:r>
          </w:p>
          <w:p w14:paraId="6AD7B6FA">
            <w:pPr>
              <w:spacing w:line="360" w:lineRule="auto"/>
              <w:rPr>
                <w:rFonts w:hint="eastAsia" w:ascii="宋体" w:hAnsi="宋体"/>
                <w:color w:val="auto"/>
                <w:highlight w:val="none"/>
              </w:rPr>
            </w:pPr>
            <w:r>
              <w:rPr>
                <w:rFonts w:hint="eastAsia" w:ascii="宋体" w:hAnsi="宋体"/>
                <w:color w:val="auto"/>
                <w:highlight w:val="none"/>
              </w:rPr>
              <w:t>组成联合体或者接受分包合同的中小企业与联合体内其他企业、分包企业之间不得存在直接控股、管理关系。</w:t>
            </w:r>
          </w:p>
          <w:p w14:paraId="709379AC">
            <w:pPr>
              <w:spacing w:line="360" w:lineRule="auto"/>
              <w:rPr>
                <w:rFonts w:hint="eastAsia" w:ascii="宋体" w:hAnsi="宋体"/>
                <w:color w:val="auto"/>
                <w:highlight w:val="none"/>
              </w:rPr>
            </w:pPr>
            <w:r>
              <w:rPr>
                <w:rFonts w:ascii="宋体" w:hAnsi="宋体"/>
                <w:color w:val="auto"/>
                <w:highlight w:val="none"/>
              </w:rPr>
              <w:t>2</w:t>
            </w: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中小企业参加政府采购活动，应当出具文件中规定的《中小企业声明函》，否则不得享受相关中小企业扶持政策。</w:t>
            </w:r>
          </w:p>
          <w:p w14:paraId="64AFA834">
            <w:pPr>
              <w:spacing w:line="360" w:lineRule="auto"/>
              <w:rPr>
                <w:rFonts w:hint="eastAsia" w:ascii="宋体" w:hAnsi="宋体"/>
                <w:color w:val="auto"/>
                <w:highlight w:val="none"/>
              </w:rPr>
            </w:pPr>
            <w:r>
              <w:rPr>
                <w:rFonts w:hint="eastAsia" w:ascii="宋体" w:hAnsi="宋体"/>
                <w:color w:val="auto"/>
                <w:highlight w:val="none"/>
              </w:rPr>
              <w:t>2</w:t>
            </w:r>
            <w:r>
              <w:rPr>
                <w:rFonts w:ascii="宋体" w:hAnsi="宋体"/>
                <w:color w:val="auto"/>
                <w:highlight w:val="none"/>
              </w:rPr>
              <w:t>.1.3</w:t>
            </w:r>
            <w:r>
              <w:rPr>
                <w:rFonts w:hint="eastAsia" w:ascii="宋体" w:hAnsi="宋体"/>
                <w:color w:val="auto"/>
                <w:highlight w:val="none"/>
              </w:rPr>
              <w:t>依据规定享受扶持政策获得政府采购合同的，小微企业不得将合同分包给大中型企业，中型企业不得将合同分包给大型企业。</w:t>
            </w:r>
          </w:p>
          <w:p w14:paraId="41D4C24F">
            <w:pPr>
              <w:spacing w:line="360" w:lineRule="auto"/>
              <w:rPr>
                <w:rFonts w:hint="eastAsia" w:ascii="宋体" w:hAnsi="宋体"/>
                <w:color w:val="auto"/>
                <w:szCs w:val="21"/>
                <w:highlight w:val="none"/>
              </w:rPr>
            </w:pPr>
            <w:r>
              <w:rPr>
                <w:rFonts w:hint="eastAsia"/>
                <w:b/>
                <w:bCs/>
                <w:color w:val="auto"/>
                <w:szCs w:val="21"/>
                <w:highlight w:val="none"/>
              </w:rPr>
              <w:t>本项目专门面向中小企业采购，因此不再</w:t>
            </w:r>
            <w:r>
              <w:rPr>
                <w:b/>
                <w:bCs/>
                <w:color w:val="auto"/>
                <w:szCs w:val="21"/>
                <w:highlight w:val="none"/>
              </w:rPr>
              <w:t>对小型或微型企业</w:t>
            </w:r>
            <w:r>
              <w:rPr>
                <w:rFonts w:hint="eastAsia"/>
                <w:b/>
                <w:bCs/>
                <w:color w:val="auto"/>
                <w:szCs w:val="21"/>
                <w:highlight w:val="none"/>
              </w:rPr>
              <w:t>施工单位</w:t>
            </w:r>
            <w:r>
              <w:rPr>
                <w:b/>
                <w:bCs/>
                <w:color w:val="auto"/>
                <w:szCs w:val="21"/>
                <w:highlight w:val="none"/>
              </w:rPr>
              <w:t>的价格给予</w:t>
            </w:r>
            <w:r>
              <w:rPr>
                <w:rFonts w:hint="eastAsia"/>
                <w:b/>
                <w:bCs/>
                <w:color w:val="auto"/>
                <w:szCs w:val="21"/>
                <w:highlight w:val="none"/>
              </w:rPr>
              <w:t>价格</w:t>
            </w:r>
            <w:r>
              <w:rPr>
                <w:b/>
                <w:bCs/>
                <w:color w:val="auto"/>
                <w:szCs w:val="21"/>
                <w:highlight w:val="none"/>
              </w:rPr>
              <w:t>扣除</w:t>
            </w:r>
            <w:r>
              <w:rPr>
                <w:rFonts w:hint="eastAsia"/>
                <w:b/>
                <w:bCs/>
                <w:color w:val="auto"/>
                <w:szCs w:val="21"/>
                <w:highlight w:val="none"/>
              </w:rPr>
              <w:t>优惠</w:t>
            </w:r>
            <w:r>
              <w:rPr>
                <w:b/>
                <w:bCs/>
                <w:color w:val="auto"/>
                <w:szCs w:val="21"/>
                <w:highlight w:val="none"/>
              </w:rPr>
              <w:t>，监狱企业、残疾人福利性单位均视同小型或微型企业。</w:t>
            </w:r>
          </w:p>
        </w:tc>
      </w:tr>
      <w:tr w14:paraId="0722C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vMerge w:val="continue"/>
            <w:vAlign w:val="center"/>
          </w:tcPr>
          <w:p w14:paraId="1F125B36">
            <w:pPr>
              <w:spacing w:line="360" w:lineRule="auto"/>
              <w:jc w:val="center"/>
              <w:rPr>
                <w:rFonts w:hint="eastAsia" w:ascii="宋体" w:hAnsi="宋体"/>
                <w:b/>
                <w:bCs/>
                <w:color w:val="auto"/>
                <w:highlight w:val="none"/>
              </w:rPr>
            </w:pPr>
          </w:p>
        </w:tc>
        <w:tc>
          <w:tcPr>
            <w:tcW w:w="1127" w:type="dxa"/>
            <w:vMerge w:val="continue"/>
            <w:vAlign w:val="center"/>
          </w:tcPr>
          <w:p w14:paraId="1E41EDA7">
            <w:pPr>
              <w:spacing w:line="360" w:lineRule="auto"/>
              <w:jc w:val="center"/>
              <w:rPr>
                <w:rFonts w:hint="eastAsia" w:ascii="宋体" w:hAnsi="宋体"/>
                <w:b/>
                <w:bCs/>
                <w:color w:val="auto"/>
                <w:szCs w:val="21"/>
                <w:highlight w:val="none"/>
              </w:rPr>
            </w:pPr>
          </w:p>
        </w:tc>
        <w:tc>
          <w:tcPr>
            <w:tcW w:w="1785" w:type="dxa"/>
            <w:gridSpan w:val="2"/>
            <w:vAlign w:val="center"/>
          </w:tcPr>
          <w:p w14:paraId="6246DAA3">
            <w:pPr>
              <w:spacing w:line="360" w:lineRule="auto"/>
              <w:jc w:val="center"/>
              <w:rPr>
                <w:rFonts w:hint="eastAsia" w:ascii="宋体" w:hAnsi="宋体"/>
                <w:color w:val="auto"/>
                <w:highlight w:val="none"/>
              </w:rPr>
            </w:pPr>
            <w:r>
              <w:rPr>
                <w:rFonts w:hint="eastAsia" w:ascii="宋体" w:hAnsi="宋体"/>
                <w:color w:val="auto"/>
                <w:szCs w:val="21"/>
                <w:highlight w:val="none"/>
              </w:rPr>
              <w:t>监狱企业、残疾人福利性单位、节能、环境标志产品应考虑的优先条件和价格折扣</w:t>
            </w:r>
          </w:p>
        </w:tc>
        <w:tc>
          <w:tcPr>
            <w:tcW w:w="5954" w:type="dxa"/>
            <w:vAlign w:val="center"/>
          </w:tcPr>
          <w:p w14:paraId="533E772E">
            <w:pPr>
              <w:spacing w:line="360" w:lineRule="auto"/>
              <w:rPr>
                <w:rFonts w:hint="eastAsia" w:ascii="宋体" w:hAnsi="宋体"/>
                <w:b/>
                <w:color w:val="auto"/>
                <w:szCs w:val="21"/>
                <w:highlight w:val="none"/>
              </w:rPr>
            </w:pPr>
            <w:r>
              <w:rPr>
                <w:rFonts w:hint="eastAsia" w:ascii="宋体" w:hAnsi="宋体"/>
                <w:b/>
                <w:color w:val="auto"/>
                <w:szCs w:val="21"/>
                <w:highlight w:val="none"/>
              </w:rPr>
              <w:t>（1）</w:t>
            </w:r>
            <w:r>
              <w:rPr>
                <w:rFonts w:ascii="宋体" w:hAnsi="宋体"/>
                <w:b/>
                <w:color w:val="auto"/>
                <w:szCs w:val="21"/>
                <w:highlight w:val="none"/>
              </w:rPr>
              <w:t>监狱企业</w:t>
            </w:r>
          </w:p>
          <w:p w14:paraId="1E6F02FE">
            <w:pPr>
              <w:spacing w:line="360" w:lineRule="auto"/>
              <w:ind w:firstLine="420" w:firstLineChars="200"/>
              <w:rPr>
                <w:rFonts w:hint="eastAsia" w:ascii="宋体" w:hAnsi="宋体"/>
                <w:color w:val="auto"/>
                <w:highlight w:val="none"/>
              </w:rPr>
            </w:pPr>
            <w:r>
              <w:rPr>
                <w:rFonts w:ascii="宋体" w:hAnsi="宋体"/>
                <w:color w:val="auto"/>
                <w:highlight w:val="none"/>
              </w:rPr>
              <w:t>根据财政部《司法部关于政府采购支持监狱企业发展有关问题》的通知（财库〔2014〕68号），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23D2979A">
            <w:pPr>
              <w:spacing w:line="360" w:lineRule="auto"/>
              <w:ind w:firstLine="420" w:firstLineChars="200"/>
              <w:rPr>
                <w:rFonts w:hint="eastAsia" w:ascii="宋体" w:hAnsi="宋体"/>
                <w:color w:val="auto"/>
                <w:highlight w:val="none"/>
              </w:rPr>
            </w:pPr>
            <w:r>
              <w:rPr>
                <w:rFonts w:hint="eastAsia" w:ascii="宋体" w:hAnsi="宋体"/>
                <w:color w:val="auto"/>
                <w:highlight w:val="none"/>
              </w:rPr>
              <w:t>监狱企业视同小型、微型企业，若监狱企业属于小型、微型企业的，不重复享受政策。</w:t>
            </w:r>
          </w:p>
          <w:p w14:paraId="610EB3CD">
            <w:pPr>
              <w:spacing w:line="360" w:lineRule="auto"/>
              <w:rPr>
                <w:rFonts w:hint="eastAsia" w:ascii="宋体" w:hAnsi="宋体"/>
                <w:b/>
                <w:color w:val="auto"/>
                <w:szCs w:val="21"/>
                <w:highlight w:val="none"/>
              </w:rPr>
            </w:pPr>
            <w:r>
              <w:rPr>
                <w:rFonts w:hint="eastAsia" w:ascii="宋体" w:hAnsi="宋体"/>
                <w:b/>
                <w:color w:val="auto"/>
                <w:szCs w:val="21"/>
                <w:highlight w:val="none"/>
              </w:rPr>
              <w:t>（2）</w:t>
            </w:r>
            <w:r>
              <w:rPr>
                <w:rFonts w:ascii="宋体" w:hAnsi="宋体"/>
                <w:b/>
                <w:color w:val="auto"/>
                <w:szCs w:val="21"/>
                <w:highlight w:val="none"/>
              </w:rPr>
              <w:t>残疾人福利性单位</w:t>
            </w:r>
          </w:p>
          <w:p w14:paraId="0C14BCE8">
            <w:pPr>
              <w:spacing w:line="360" w:lineRule="auto"/>
              <w:ind w:firstLine="420" w:firstLineChars="200"/>
              <w:rPr>
                <w:rFonts w:hint="eastAsia" w:ascii="宋体" w:hAnsi="宋体"/>
                <w:color w:val="auto"/>
                <w:highlight w:val="none"/>
              </w:rPr>
            </w:pPr>
            <w:r>
              <w:rPr>
                <w:rFonts w:ascii="宋体" w:hAnsi="宋体"/>
                <w:color w:val="auto"/>
                <w:highlight w:val="none"/>
              </w:rPr>
              <w:t>根据财政部《关于促进残疾人就业政府采购政策》的通知财库〔2017〕141号的规定，符合条件的残疾人福利性单位在参加政府采购活动时，应当提供《残疾人福利性单位声明函》，并对声明的真实性负责。任何单位或者个人在政府采购活动中均不得要求残疾人福利性单位提供其他证明声明函内容的材料。</w:t>
            </w:r>
            <w:r>
              <w:rPr>
                <w:rFonts w:hint="eastAsia" w:ascii="宋体" w:hAnsi="宋体"/>
                <w:color w:val="auto"/>
                <w:highlight w:val="none"/>
              </w:rPr>
              <w:t>成交供应商</w:t>
            </w:r>
            <w:r>
              <w:rPr>
                <w:rFonts w:ascii="宋体" w:hAnsi="宋体"/>
                <w:color w:val="auto"/>
                <w:highlight w:val="none"/>
              </w:rPr>
              <w:t>为残疾人福利性单位的，采购人或者其委托的采购代理机构应当随</w:t>
            </w:r>
            <w:r>
              <w:rPr>
                <w:rFonts w:hint="eastAsia" w:ascii="宋体" w:hAnsi="宋体"/>
                <w:color w:val="auto"/>
                <w:highlight w:val="none"/>
              </w:rPr>
              <w:t>成交</w:t>
            </w:r>
            <w:r>
              <w:rPr>
                <w:rFonts w:ascii="宋体" w:hAnsi="宋体"/>
                <w:color w:val="auto"/>
                <w:highlight w:val="none"/>
              </w:rPr>
              <w:t>结果同时公告其《残疾人福利性单位声明函》，接受社会监督。</w:t>
            </w:r>
            <w:r>
              <w:rPr>
                <w:rFonts w:hint="eastAsia" w:ascii="宋体" w:hAnsi="宋体"/>
                <w:color w:val="auto"/>
                <w:highlight w:val="none"/>
              </w:rPr>
              <w:t>供应商</w:t>
            </w:r>
            <w:r>
              <w:rPr>
                <w:rFonts w:ascii="宋体" w:hAnsi="宋体"/>
                <w:color w:val="auto"/>
                <w:highlight w:val="none"/>
              </w:rPr>
              <w:t>提供的《残疾人福利性单位声明函》与事实不符的，依照《政府采购法》第七十七条第一款的规定追究法律责任。</w:t>
            </w:r>
          </w:p>
          <w:p w14:paraId="129FC64F">
            <w:pPr>
              <w:spacing w:line="360" w:lineRule="auto"/>
              <w:ind w:firstLine="422" w:firstLineChars="200"/>
              <w:rPr>
                <w:rFonts w:hint="eastAsia" w:ascii="宋体" w:hAnsi="宋体"/>
                <w:b/>
                <w:bCs/>
                <w:color w:val="auto"/>
                <w:highlight w:val="none"/>
              </w:rPr>
            </w:pPr>
            <w:r>
              <w:rPr>
                <w:rFonts w:hint="eastAsia" w:ascii="宋体" w:hAnsi="宋体"/>
                <w:b/>
                <w:bCs/>
                <w:color w:val="auto"/>
                <w:highlight w:val="none"/>
              </w:rPr>
              <w:t>残疾人福利性单位视同小型、微型企业，若残疾人福利性单位属于小型、微型企业的，不重复享受政策。</w:t>
            </w:r>
          </w:p>
          <w:p w14:paraId="168776C1">
            <w:pPr>
              <w:spacing w:line="360" w:lineRule="auto"/>
              <w:rPr>
                <w:rFonts w:hint="eastAsia" w:ascii="宋体" w:hAnsi="宋体"/>
                <w:b/>
                <w:color w:val="auto"/>
                <w:szCs w:val="21"/>
                <w:highlight w:val="none"/>
              </w:rPr>
            </w:pPr>
            <w:r>
              <w:rPr>
                <w:rFonts w:hint="eastAsia" w:ascii="宋体" w:hAnsi="宋体"/>
                <w:b/>
                <w:color w:val="auto"/>
                <w:szCs w:val="21"/>
                <w:highlight w:val="none"/>
              </w:rPr>
              <w:t>（3）节能、环境标志产品（此项目无价格折扣）</w:t>
            </w:r>
          </w:p>
          <w:p w14:paraId="65E38A7A">
            <w:pPr>
              <w:adjustRightInd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节能产品是指列入财政部和国家发改委公布的《节能产品政府采购品目清单》中的产品。政府强制采购节能产品是指《节能产品政府采购品目清单》中以“</w:t>
            </w:r>
            <w:r>
              <w:rPr>
                <w:rFonts w:ascii="宋体" w:hAnsi="宋体" w:cs="Segoe UI Symbol"/>
                <w:color w:val="auto"/>
                <w:szCs w:val="21"/>
                <w:highlight w:val="none"/>
              </w:rPr>
              <w:t>★</w:t>
            </w:r>
            <w:r>
              <w:rPr>
                <w:rFonts w:ascii="宋体" w:hAnsi="宋体"/>
                <w:color w:val="auto"/>
                <w:szCs w:val="21"/>
                <w:highlight w:val="none"/>
              </w:rPr>
              <w:t>”标注类别的产品。</w:t>
            </w:r>
          </w:p>
          <w:p w14:paraId="65444548">
            <w:pPr>
              <w:adjustRightInd w:val="0"/>
              <w:spacing w:line="360" w:lineRule="auto"/>
              <w:ind w:firstLine="420" w:firstLineChars="200"/>
              <w:rPr>
                <w:rFonts w:hint="eastAsia" w:ascii="宋体" w:hAnsi="宋体"/>
                <w:color w:val="auto"/>
                <w:highlight w:val="none"/>
              </w:rPr>
            </w:pPr>
            <w:r>
              <w:rPr>
                <w:rFonts w:ascii="宋体" w:hAnsi="宋体"/>
                <w:color w:val="auto"/>
                <w:szCs w:val="21"/>
                <w:highlight w:val="none"/>
              </w:rPr>
              <w:t>环境标志产品是指列入财政部、生态环境部公布的《环境标志产品政府采购品目清单》中的产品。</w:t>
            </w:r>
          </w:p>
        </w:tc>
      </w:tr>
      <w:tr w14:paraId="218A6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vMerge w:val="continue"/>
            <w:vAlign w:val="center"/>
          </w:tcPr>
          <w:p w14:paraId="5C778A6C">
            <w:pPr>
              <w:spacing w:line="360" w:lineRule="auto"/>
              <w:jc w:val="center"/>
              <w:rPr>
                <w:rFonts w:hint="eastAsia" w:ascii="宋体" w:hAnsi="宋体"/>
                <w:b/>
                <w:bCs/>
                <w:color w:val="auto"/>
                <w:highlight w:val="none"/>
              </w:rPr>
            </w:pPr>
          </w:p>
        </w:tc>
        <w:tc>
          <w:tcPr>
            <w:tcW w:w="1127" w:type="dxa"/>
            <w:vMerge w:val="continue"/>
            <w:vAlign w:val="center"/>
          </w:tcPr>
          <w:p w14:paraId="71064B71">
            <w:pPr>
              <w:spacing w:line="360" w:lineRule="auto"/>
              <w:jc w:val="center"/>
              <w:rPr>
                <w:rFonts w:hint="eastAsia" w:ascii="宋体" w:hAnsi="宋体"/>
                <w:b/>
                <w:bCs/>
                <w:color w:val="auto"/>
                <w:szCs w:val="21"/>
                <w:highlight w:val="none"/>
              </w:rPr>
            </w:pPr>
          </w:p>
        </w:tc>
        <w:tc>
          <w:tcPr>
            <w:tcW w:w="1785" w:type="dxa"/>
            <w:gridSpan w:val="2"/>
            <w:vAlign w:val="center"/>
          </w:tcPr>
          <w:p w14:paraId="198911B5">
            <w:pPr>
              <w:spacing w:line="360" w:lineRule="auto"/>
              <w:jc w:val="center"/>
              <w:rPr>
                <w:rFonts w:hint="eastAsia" w:ascii="宋体" w:hAnsi="宋体"/>
                <w:color w:val="auto"/>
                <w:highlight w:val="none"/>
              </w:rPr>
            </w:pPr>
            <w:r>
              <w:rPr>
                <w:rFonts w:hint="eastAsia" w:ascii="宋体" w:hAnsi="宋体"/>
                <w:color w:val="auto"/>
                <w:highlight w:val="none"/>
              </w:rPr>
              <w:t>本国产品政策</w:t>
            </w:r>
          </w:p>
        </w:tc>
        <w:tc>
          <w:tcPr>
            <w:tcW w:w="5954" w:type="dxa"/>
            <w:vAlign w:val="center"/>
          </w:tcPr>
          <w:p w14:paraId="3A7916B5">
            <w:pPr>
              <w:adjustRightInd w:val="0"/>
              <w:snapToGrid w:val="0"/>
              <w:spacing w:line="440" w:lineRule="exact"/>
              <w:rPr>
                <w:rFonts w:hint="eastAsia" w:ascii="宋体" w:hAnsi="宋体"/>
                <w:b/>
                <w:bCs/>
                <w:color w:val="auto"/>
                <w:szCs w:val="21"/>
                <w:highlight w:val="none"/>
              </w:rPr>
            </w:pPr>
            <w:r>
              <w:rPr>
                <w:rFonts w:hint="eastAsia" w:ascii="宋体" w:hAnsi="宋体"/>
                <w:b/>
                <w:bCs/>
                <w:color w:val="auto"/>
                <w:szCs w:val="21"/>
                <w:highlight w:val="none"/>
              </w:rPr>
              <w:t>支持本国产品时，应考虑的价格折扣（本项目不适用）：</w:t>
            </w:r>
          </w:p>
          <w:p w14:paraId="5269024F">
            <w:pPr>
              <w:spacing w:line="360" w:lineRule="auto"/>
              <w:rPr>
                <w:rFonts w:hint="eastAsia" w:ascii="宋体" w:hAnsi="宋体"/>
                <w:color w:val="auto"/>
                <w:szCs w:val="21"/>
                <w:highlight w:val="none"/>
              </w:rPr>
            </w:pPr>
            <w:r>
              <w:rPr>
                <w:rFonts w:hint="eastAsia" w:ascii="宋体" w:hAnsi="宋体"/>
                <w:color w:val="auto"/>
                <w:szCs w:val="21"/>
                <w:highlight w:val="none"/>
              </w:rPr>
              <w:t>在计算投标报价得分时，既有本国产品又有非本国产品参与竞争的，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本项目适用情形详见“供应商须知前附表”的规定。</w:t>
            </w:r>
          </w:p>
        </w:tc>
      </w:tr>
    </w:tbl>
    <w:p w14:paraId="54C75195">
      <w:pPr>
        <w:rPr>
          <w:color w:val="auto"/>
          <w:highlight w:val="none"/>
        </w:rPr>
      </w:pPr>
    </w:p>
    <w:p w14:paraId="7D919E90">
      <w:pPr>
        <w:pStyle w:val="3"/>
        <w:jc w:val="both"/>
        <w:rPr>
          <w:rFonts w:hint="eastAsia" w:ascii="宋体" w:hAnsi="宋体"/>
          <w:color w:val="auto"/>
          <w:sz w:val="24"/>
          <w:szCs w:val="28"/>
          <w:highlight w:val="none"/>
        </w:rPr>
      </w:pPr>
      <w:bookmarkStart w:id="198" w:name="_Toc226367036"/>
      <w:bookmarkStart w:id="199" w:name="_Toc228982350"/>
      <w:bookmarkStart w:id="200" w:name="_Toc6717"/>
      <w:r>
        <w:rPr>
          <w:rFonts w:ascii="宋体" w:hAnsi="宋体"/>
          <w:color w:val="auto"/>
          <w:sz w:val="24"/>
          <w:szCs w:val="24"/>
          <w:highlight w:val="none"/>
        </w:rPr>
        <w:t xml:space="preserve">1. </w:t>
      </w:r>
      <w:r>
        <w:rPr>
          <w:rFonts w:hint="eastAsia" w:ascii="宋体" w:hAnsi="宋体"/>
          <w:color w:val="auto"/>
          <w:sz w:val="24"/>
          <w:szCs w:val="24"/>
          <w:highlight w:val="none"/>
        </w:rPr>
        <w:t>谈判</w:t>
      </w:r>
      <w:r>
        <w:rPr>
          <w:rFonts w:ascii="宋体" w:hAnsi="宋体"/>
          <w:color w:val="auto"/>
          <w:sz w:val="24"/>
          <w:szCs w:val="24"/>
          <w:highlight w:val="none"/>
        </w:rPr>
        <w:t>方法</w:t>
      </w:r>
      <w:bookmarkEnd w:id="198"/>
      <w:bookmarkEnd w:id="199"/>
      <w:bookmarkEnd w:id="200"/>
    </w:p>
    <w:p w14:paraId="567CE78F">
      <w:pPr>
        <w:adjustRightInd w:val="0"/>
        <w:spacing w:line="360" w:lineRule="auto"/>
        <w:ind w:firstLine="420" w:firstLineChars="200"/>
        <w:rPr>
          <w:rFonts w:hint="eastAsia" w:ascii="宋体" w:hAnsi="宋体"/>
          <w:color w:val="auto"/>
          <w:szCs w:val="21"/>
          <w:highlight w:val="none"/>
        </w:rPr>
      </w:pPr>
      <w:bookmarkStart w:id="201" w:name="_Toc347849270"/>
      <w:bookmarkStart w:id="202" w:name="_Toc86124095"/>
      <w:r>
        <w:rPr>
          <w:rFonts w:ascii="宋体" w:hAnsi="宋体"/>
          <w:color w:val="auto"/>
          <w:highlight w:val="none"/>
        </w:rPr>
        <w:t>本次</w:t>
      </w:r>
      <w:r>
        <w:rPr>
          <w:rFonts w:hint="eastAsia" w:ascii="宋体" w:hAnsi="宋体"/>
          <w:color w:val="auto"/>
          <w:highlight w:val="none"/>
        </w:rPr>
        <w:t>谈判比照</w:t>
      </w:r>
      <w:r>
        <w:rPr>
          <w:rFonts w:ascii="宋体" w:hAnsi="宋体"/>
          <w:b/>
          <w:bCs/>
          <w:color w:val="auto"/>
          <w:highlight w:val="none"/>
        </w:rPr>
        <w:t>最低</w:t>
      </w:r>
      <w:r>
        <w:rPr>
          <w:rFonts w:hint="eastAsia" w:ascii="宋体" w:hAnsi="宋体"/>
          <w:b/>
          <w:bCs/>
          <w:color w:val="auto"/>
          <w:highlight w:val="none"/>
        </w:rPr>
        <w:t>评标</w:t>
      </w:r>
      <w:r>
        <w:rPr>
          <w:rFonts w:ascii="宋体" w:hAnsi="宋体"/>
          <w:b/>
          <w:bCs/>
          <w:color w:val="auto"/>
          <w:highlight w:val="none"/>
        </w:rPr>
        <w:t>价法</w:t>
      </w:r>
      <w:r>
        <w:rPr>
          <w:rFonts w:hint="eastAsia" w:ascii="宋体" w:hAnsi="宋体"/>
          <w:color w:val="auto"/>
          <w:highlight w:val="none"/>
        </w:rPr>
        <w:t>，即在</w:t>
      </w:r>
      <w:r>
        <w:rPr>
          <w:rFonts w:ascii="宋体" w:hAnsi="宋体"/>
          <w:color w:val="auto"/>
          <w:highlight w:val="none"/>
        </w:rPr>
        <w:t>符合采购需求、质量和服务相等的前提下，</w:t>
      </w:r>
      <w:r>
        <w:rPr>
          <w:rFonts w:hint="eastAsia" w:ascii="宋体" w:hAnsi="宋体"/>
          <w:color w:val="auto"/>
          <w:highlight w:val="none"/>
        </w:rPr>
        <w:t>以提出最低报价（最终报价）的供应商作为成交供应商</w:t>
      </w:r>
      <w:r>
        <w:rPr>
          <w:rFonts w:ascii="宋体" w:hAnsi="宋体"/>
          <w:color w:val="auto"/>
          <w:highlight w:val="none"/>
        </w:rPr>
        <w:t>（</w:t>
      </w:r>
      <w:r>
        <w:rPr>
          <w:rFonts w:hint="eastAsia" w:ascii="宋体" w:hAnsi="宋体"/>
          <w:color w:val="auto"/>
          <w:highlight w:val="none"/>
        </w:rPr>
        <w:t>最终报价</w:t>
      </w:r>
      <w:r>
        <w:rPr>
          <w:rFonts w:ascii="宋体" w:hAnsi="宋体"/>
          <w:color w:val="auto"/>
          <w:highlight w:val="none"/>
        </w:rPr>
        <w:t>相同时，依次</w:t>
      </w:r>
      <w:r>
        <w:rPr>
          <w:rFonts w:hint="eastAsia" w:ascii="宋体" w:hAnsi="宋体"/>
          <w:color w:val="auto"/>
          <w:highlight w:val="none"/>
        </w:rPr>
        <w:t>按报价响应产品中提供政府非强制采购节能产品或环保产品的优先</w:t>
      </w:r>
      <w:r>
        <w:rPr>
          <w:rFonts w:ascii="宋体" w:hAnsi="宋体"/>
          <w:color w:val="auto"/>
          <w:highlight w:val="none"/>
        </w:rPr>
        <w:t>排列各供应商的次序）推荐成交候选</w:t>
      </w:r>
      <w:r>
        <w:rPr>
          <w:rFonts w:hint="eastAsia" w:ascii="宋体" w:hAnsi="宋体"/>
          <w:color w:val="auto"/>
          <w:highlight w:val="none"/>
        </w:rPr>
        <w:t>人。最终报价</w:t>
      </w:r>
      <w:r>
        <w:rPr>
          <w:rFonts w:ascii="宋体" w:hAnsi="宋体"/>
          <w:color w:val="auto"/>
          <w:highlight w:val="none"/>
        </w:rPr>
        <w:t>相同时</w:t>
      </w:r>
      <w:r>
        <w:rPr>
          <w:rFonts w:hint="eastAsia" w:ascii="宋体" w:hAnsi="宋体"/>
          <w:color w:val="auto"/>
          <w:highlight w:val="none"/>
        </w:rPr>
        <w:t>，</w:t>
      </w:r>
      <w:r>
        <w:rPr>
          <w:rFonts w:hint="eastAsia" w:ascii="宋体" w:hAnsi="宋体"/>
          <w:color w:val="auto"/>
          <w:szCs w:val="21"/>
          <w:highlight w:val="none"/>
        </w:rPr>
        <w:t>且政府采购政策条件也相等的，按服务质量优于项目需求的优先顺序推荐成交候选人。</w:t>
      </w:r>
    </w:p>
    <w:p w14:paraId="10CC2C7F">
      <w:pPr>
        <w:pStyle w:val="3"/>
        <w:jc w:val="both"/>
        <w:rPr>
          <w:rFonts w:hint="eastAsia" w:ascii="宋体" w:hAnsi="宋体"/>
          <w:color w:val="auto"/>
          <w:sz w:val="24"/>
          <w:szCs w:val="24"/>
          <w:highlight w:val="none"/>
        </w:rPr>
      </w:pPr>
      <w:bookmarkStart w:id="203" w:name="_Toc27120"/>
      <w:bookmarkStart w:id="204" w:name="_Toc15290"/>
      <w:bookmarkStart w:id="205" w:name="_Toc226367037"/>
      <w:bookmarkStart w:id="206" w:name="_Toc228982351"/>
      <w:r>
        <w:rPr>
          <w:rFonts w:ascii="宋体" w:hAnsi="宋体"/>
          <w:color w:val="auto"/>
          <w:sz w:val="24"/>
          <w:szCs w:val="24"/>
          <w:highlight w:val="none"/>
        </w:rPr>
        <w:t xml:space="preserve">2. </w:t>
      </w:r>
      <w:r>
        <w:rPr>
          <w:rFonts w:hint="eastAsia" w:ascii="宋体" w:hAnsi="宋体"/>
          <w:color w:val="auto"/>
          <w:sz w:val="24"/>
          <w:szCs w:val="24"/>
          <w:highlight w:val="none"/>
        </w:rPr>
        <w:t>谈判</w:t>
      </w:r>
      <w:r>
        <w:rPr>
          <w:rFonts w:ascii="宋体" w:hAnsi="宋体"/>
          <w:color w:val="auto"/>
          <w:sz w:val="24"/>
          <w:szCs w:val="24"/>
          <w:highlight w:val="none"/>
        </w:rPr>
        <w:t>标准</w:t>
      </w:r>
      <w:bookmarkEnd w:id="201"/>
      <w:bookmarkEnd w:id="202"/>
      <w:bookmarkEnd w:id="203"/>
      <w:bookmarkEnd w:id="204"/>
      <w:bookmarkEnd w:id="205"/>
      <w:bookmarkEnd w:id="206"/>
    </w:p>
    <w:p w14:paraId="03D3CBEC">
      <w:pPr>
        <w:pStyle w:val="4"/>
        <w:tabs>
          <w:tab w:val="left" w:pos="900"/>
        </w:tabs>
        <w:spacing w:before="0" w:after="0"/>
        <w:ind w:firstLine="0"/>
        <w:jc w:val="left"/>
        <w:rPr>
          <w:rFonts w:hint="eastAsia" w:hAnsi="宋体"/>
          <w:color w:val="auto"/>
          <w:sz w:val="22"/>
          <w:szCs w:val="22"/>
          <w:highlight w:val="none"/>
        </w:rPr>
      </w:pPr>
      <w:bookmarkStart w:id="207" w:name="_Toc191374449"/>
      <w:bookmarkStart w:id="208" w:name="_Toc86124096"/>
      <w:bookmarkStart w:id="209" w:name="_Toc347849271"/>
      <w:bookmarkStart w:id="210" w:name="_Toc48271429"/>
      <w:bookmarkStart w:id="211" w:name="_Toc329810237"/>
      <w:bookmarkStart w:id="212" w:name="_Toc228982352"/>
      <w:r>
        <w:rPr>
          <w:rFonts w:hAnsi="宋体"/>
          <w:color w:val="auto"/>
          <w:sz w:val="22"/>
          <w:szCs w:val="22"/>
          <w:highlight w:val="none"/>
        </w:rPr>
        <w:t xml:space="preserve">2.1 </w:t>
      </w:r>
      <w:r>
        <w:rPr>
          <w:rFonts w:hint="eastAsia" w:hAnsi="宋体"/>
          <w:color w:val="auto"/>
          <w:sz w:val="22"/>
          <w:szCs w:val="22"/>
          <w:highlight w:val="none"/>
        </w:rPr>
        <w:t>实质性要求审查</w:t>
      </w:r>
      <w:r>
        <w:rPr>
          <w:rFonts w:hAnsi="宋体"/>
          <w:color w:val="auto"/>
          <w:sz w:val="22"/>
          <w:szCs w:val="22"/>
          <w:highlight w:val="none"/>
        </w:rPr>
        <w:t>标准</w:t>
      </w:r>
      <w:bookmarkEnd w:id="207"/>
      <w:bookmarkEnd w:id="208"/>
      <w:bookmarkEnd w:id="209"/>
      <w:bookmarkEnd w:id="210"/>
      <w:bookmarkEnd w:id="211"/>
      <w:bookmarkEnd w:id="212"/>
    </w:p>
    <w:p w14:paraId="6F42D0A8">
      <w:pPr>
        <w:spacing w:line="360" w:lineRule="auto"/>
        <w:ind w:firstLine="420" w:firstLineChars="200"/>
        <w:jc w:val="left"/>
        <w:rPr>
          <w:rFonts w:hint="eastAsia" w:ascii="宋体" w:hAnsi="宋体"/>
          <w:color w:val="auto"/>
          <w:highlight w:val="none"/>
        </w:rPr>
      </w:pPr>
      <w:r>
        <w:rPr>
          <w:rFonts w:ascii="宋体" w:hAnsi="宋体"/>
          <w:color w:val="auto"/>
          <w:highlight w:val="none"/>
        </w:rPr>
        <w:t xml:space="preserve">2.1.1 </w:t>
      </w:r>
      <w:r>
        <w:rPr>
          <w:rFonts w:hint="eastAsia" w:ascii="宋体" w:hAnsi="宋体"/>
          <w:color w:val="auto"/>
          <w:highlight w:val="none"/>
        </w:rPr>
        <w:t>实质性要求审查</w:t>
      </w:r>
      <w:r>
        <w:rPr>
          <w:rFonts w:ascii="宋体" w:hAnsi="宋体"/>
          <w:color w:val="auto"/>
          <w:highlight w:val="none"/>
        </w:rPr>
        <w:t>标准：</w:t>
      </w:r>
      <w:r>
        <w:rPr>
          <w:rFonts w:ascii="宋体" w:hAnsi="宋体"/>
          <w:color w:val="auto"/>
          <w:kern w:val="0"/>
          <w:highlight w:val="none"/>
        </w:rPr>
        <w:t>依据法律法规和谈判文件的规定，对响应文件中的资格</w:t>
      </w:r>
      <w:r>
        <w:rPr>
          <w:rFonts w:hint="eastAsia" w:ascii="宋体" w:hAnsi="宋体"/>
          <w:color w:val="auto"/>
          <w:kern w:val="0"/>
          <w:highlight w:val="none"/>
        </w:rPr>
        <w:t>条件</w:t>
      </w:r>
      <w:r>
        <w:rPr>
          <w:rFonts w:ascii="宋体" w:hAnsi="宋体"/>
          <w:color w:val="auto"/>
          <w:kern w:val="0"/>
          <w:highlight w:val="none"/>
        </w:rPr>
        <w:t>等进行审查</w:t>
      </w:r>
      <w:r>
        <w:rPr>
          <w:rFonts w:hint="eastAsia" w:ascii="宋体" w:hAnsi="宋体"/>
          <w:color w:val="auto"/>
          <w:kern w:val="0"/>
          <w:highlight w:val="none"/>
        </w:rPr>
        <w:t>，</w:t>
      </w:r>
      <w:r>
        <w:rPr>
          <w:rFonts w:ascii="宋体" w:hAnsi="宋体"/>
          <w:color w:val="auto"/>
          <w:highlight w:val="none"/>
        </w:rPr>
        <w:t>见“</w:t>
      </w:r>
      <w:r>
        <w:rPr>
          <w:rFonts w:ascii="宋体" w:hAnsi="宋体"/>
          <w:b/>
          <w:color w:val="auto"/>
          <w:highlight w:val="none"/>
        </w:rPr>
        <w:t>谈判程序和方法前附表</w:t>
      </w:r>
      <w:r>
        <w:rPr>
          <w:rFonts w:ascii="宋体" w:hAnsi="宋体"/>
          <w:color w:val="auto"/>
          <w:highlight w:val="none"/>
        </w:rPr>
        <w:t>”。</w:t>
      </w:r>
    </w:p>
    <w:p w14:paraId="714BB883">
      <w:pPr>
        <w:pStyle w:val="4"/>
        <w:tabs>
          <w:tab w:val="left" w:pos="900"/>
        </w:tabs>
        <w:spacing w:before="0" w:after="0"/>
        <w:ind w:firstLine="0"/>
        <w:jc w:val="left"/>
        <w:rPr>
          <w:rFonts w:hint="eastAsia" w:hAnsi="宋体"/>
          <w:color w:val="auto"/>
          <w:sz w:val="22"/>
          <w:szCs w:val="22"/>
          <w:highlight w:val="none"/>
        </w:rPr>
      </w:pPr>
      <w:bookmarkStart w:id="213" w:name="_Toc48271430"/>
      <w:bookmarkStart w:id="214" w:name="_Toc329810238"/>
      <w:bookmarkStart w:id="215" w:name="_Toc347849272"/>
      <w:bookmarkStart w:id="216" w:name="_Toc228982353"/>
      <w:bookmarkStart w:id="217" w:name="_Toc86124097"/>
      <w:r>
        <w:rPr>
          <w:rFonts w:hAnsi="宋体"/>
          <w:color w:val="auto"/>
          <w:sz w:val="22"/>
          <w:szCs w:val="22"/>
          <w:highlight w:val="none"/>
        </w:rPr>
        <w:t>2.2 谈判标准</w:t>
      </w:r>
      <w:bookmarkEnd w:id="213"/>
      <w:bookmarkEnd w:id="214"/>
      <w:bookmarkEnd w:id="215"/>
      <w:bookmarkEnd w:id="216"/>
      <w:bookmarkEnd w:id="217"/>
    </w:p>
    <w:p w14:paraId="00F2609F">
      <w:pPr>
        <w:spacing w:line="360" w:lineRule="auto"/>
        <w:ind w:firstLine="420" w:firstLineChars="200"/>
        <w:jc w:val="left"/>
        <w:rPr>
          <w:rFonts w:hint="eastAsia" w:ascii="宋体" w:hAnsi="宋体"/>
          <w:color w:val="auto"/>
          <w:sz w:val="18"/>
          <w:szCs w:val="21"/>
          <w:highlight w:val="none"/>
        </w:rPr>
      </w:pPr>
      <w:r>
        <w:rPr>
          <w:rFonts w:ascii="宋体" w:hAnsi="宋体"/>
          <w:color w:val="auto"/>
          <w:highlight w:val="none"/>
        </w:rPr>
        <w:t>谈判小组</w:t>
      </w:r>
      <w:r>
        <w:rPr>
          <w:rFonts w:ascii="宋体" w:hAnsi="宋体"/>
          <w:color w:val="auto"/>
          <w:kern w:val="0"/>
          <w:highlight w:val="none"/>
        </w:rPr>
        <w:t>按谈判文件中规定的</w:t>
      </w:r>
      <w:r>
        <w:rPr>
          <w:rFonts w:hint="eastAsia" w:ascii="宋体" w:hAnsi="宋体"/>
          <w:color w:val="auto"/>
          <w:kern w:val="0"/>
          <w:highlight w:val="none"/>
        </w:rPr>
        <w:t>谈判</w:t>
      </w:r>
      <w:r>
        <w:rPr>
          <w:rFonts w:ascii="宋体" w:hAnsi="宋体"/>
          <w:color w:val="auto"/>
          <w:kern w:val="0"/>
          <w:highlight w:val="none"/>
        </w:rPr>
        <w:t>方法和标准，对资格审查合格的响应文件进行综合比较与评价</w:t>
      </w:r>
      <w:r>
        <w:rPr>
          <w:rFonts w:ascii="宋体" w:hAnsi="宋体"/>
          <w:color w:val="auto"/>
          <w:highlight w:val="none"/>
        </w:rPr>
        <w:t>，</w:t>
      </w:r>
      <w:r>
        <w:rPr>
          <w:rFonts w:hint="eastAsia" w:ascii="宋体" w:hAnsi="宋体"/>
          <w:color w:val="auto"/>
          <w:highlight w:val="none"/>
        </w:rPr>
        <w:t>在符合采购需求、质量和服务相等的前提下，</w:t>
      </w:r>
      <w:bookmarkStart w:id="218" w:name="OLE_LINK61"/>
      <w:r>
        <w:rPr>
          <w:rFonts w:hint="eastAsia" w:ascii="宋体" w:hAnsi="宋体"/>
          <w:color w:val="auto"/>
          <w:highlight w:val="none"/>
        </w:rPr>
        <w:t>按最终报价由低到高顺序</w:t>
      </w:r>
      <w:bookmarkStart w:id="219" w:name="_Toc191374451"/>
      <w:bookmarkStart w:id="220" w:name="_Toc86124098"/>
      <w:bookmarkStart w:id="221" w:name="_Toc347849273"/>
      <w:r>
        <w:rPr>
          <w:rFonts w:hint="eastAsia" w:ascii="宋体" w:hAnsi="宋体"/>
          <w:color w:val="auto"/>
          <w:highlight w:val="none"/>
        </w:rPr>
        <w:t>推荐</w:t>
      </w:r>
      <w:r>
        <w:rPr>
          <w:rFonts w:ascii="宋体" w:hAnsi="宋体"/>
          <w:color w:val="auto"/>
          <w:highlight w:val="none"/>
        </w:rPr>
        <w:t>3名</w:t>
      </w:r>
      <w:r>
        <w:rPr>
          <w:rFonts w:hint="eastAsia" w:ascii="宋体" w:hAnsi="宋体"/>
          <w:color w:val="auto"/>
          <w:highlight w:val="none"/>
        </w:rPr>
        <w:t>成交</w:t>
      </w:r>
      <w:r>
        <w:rPr>
          <w:rFonts w:ascii="宋体" w:hAnsi="宋体"/>
          <w:color w:val="auto"/>
          <w:highlight w:val="none"/>
        </w:rPr>
        <w:t>候选人</w:t>
      </w:r>
      <w:r>
        <w:rPr>
          <w:rFonts w:hint="eastAsia" w:ascii="宋体" w:hAnsi="宋体"/>
          <w:color w:val="auto"/>
          <w:highlight w:val="none"/>
        </w:rPr>
        <w:t>。</w:t>
      </w:r>
      <w:bookmarkEnd w:id="218"/>
    </w:p>
    <w:p w14:paraId="6D715DF2">
      <w:pPr>
        <w:pStyle w:val="4"/>
        <w:tabs>
          <w:tab w:val="left" w:pos="900"/>
        </w:tabs>
        <w:spacing w:before="0" w:after="0"/>
        <w:ind w:firstLine="0"/>
        <w:jc w:val="left"/>
        <w:rPr>
          <w:rFonts w:hint="eastAsia" w:hAnsi="宋体"/>
          <w:color w:val="auto"/>
          <w:szCs w:val="24"/>
          <w:highlight w:val="none"/>
        </w:rPr>
      </w:pPr>
      <w:bookmarkStart w:id="222" w:name="_Toc228982354"/>
      <w:r>
        <w:rPr>
          <w:rFonts w:hAnsi="宋体"/>
          <w:color w:val="auto"/>
          <w:szCs w:val="24"/>
          <w:highlight w:val="none"/>
        </w:rPr>
        <w:t xml:space="preserve">3. </w:t>
      </w:r>
      <w:r>
        <w:rPr>
          <w:rFonts w:hint="eastAsia" w:hAnsi="宋体"/>
          <w:color w:val="auto"/>
          <w:szCs w:val="24"/>
          <w:highlight w:val="none"/>
        </w:rPr>
        <w:t>谈判</w:t>
      </w:r>
      <w:r>
        <w:rPr>
          <w:rFonts w:hAnsi="宋体"/>
          <w:color w:val="auto"/>
          <w:szCs w:val="24"/>
          <w:highlight w:val="none"/>
        </w:rPr>
        <w:t>程序</w:t>
      </w:r>
      <w:bookmarkEnd w:id="219"/>
      <w:bookmarkEnd w:id="220"/>
      <w:bookmarkEnd w:id="221"/>
      <w:bookmarkEnd w:id="222"/>
    </w:p>
    <w:p w14:paraId="312DF0DF">
      <w:pPr>
        <w:pStyle w:val="4"/>
        <w:tabs>
          <w:tab w:val="left" w:pos="900"/>
        </w:tabs>
        <w:spacing w:before="0" w:after="0"/>
        <w:ind w:firstLine="0"/>
        <w:jc w:val="left"/>
        <w:rPr>
          <w:rFonts w:hint="eastAsia" w:hAnsi="宋体"/>
          <w:color w:val="auto"/>
          <w:sz w:val="22"/>
          <w:szCs w:val="22"/>
          <w:highlight w:val="none"/>
        </w:rPr>
      </w:pPr>
      <w:bookmarkStart w:id="223" w:name="_Toc378499755"/>
      <w:bookmarkStart w:id="224" w:name="_Toc413012015"/>
      <w:bookmarkStart w:id="225" w:name="_Toc228982355"/>
      <w:r>
        <w:rPr>
          <w:rFonts w:hAnsi="宋体"/>
          <w:color w:val="auto"/>
          <w:sz w:val="22"/>
          <w:szCs w:val="22"/>
          <w:highlight w:val="none"/>
        </w:rPr>
        <w:t xml:space="preserve">3.1 </w:t>
      </w:r>
      <w:bookmarkEnd w:id="223"/>
      <w:r>
        <w:rPr>
          <w:rFonts w:hint="eastAsia" w:hAnsi="宋体"/>
          <w:color w:val="auto"/>
          <w:sz w:val="22"/>
          <w:szCs w:val="22"/>
          <w:highlight w:val="none"/>
        </w:rPr>
        <w:t>实质性要求审查</w:t>
      </w:r>
      <w:bookmarkEnd w:id="224"/>
      <w:bookmarkEnd w:id="225"/>
    </w:p>
    <w:p w14:paraId="4A7E65DD">
      <w:pPr>
        <w:spacing w:line="360" w:lineRule="auto"/>
        <w:ind w:firstLine="420" w:firstLineChars="200"/>
        <w:jc w:val="left"/>
        <w:rPr>
          <w:rFonts w:hint="eastAsia" w:ascii="宋体" w:hAnsi="宋体"/>
          <w:bCs/>
          <w:color w:val="auto"/>
          <w:highlight w:val="none"/>
        </w:rPr>
      </w:pPr>
      <w:r>
        <w:rPr>
          <w:rFonts w:ascii="宋体" w:hAnsi="宋体"/>
          <w:color w:val="auto"/>
          <w:highlight w:val="none"/>
        </w:rPr>
        <w:t>3.1.1谈判小组依据本章规定的标准对响应文件进行</w:t>
      </w:r>
      <w:r>
        <w:rPr>
          <w:rFonts w:hint="eastAsia" w:ascii="宋体" w:hAnsi="宋体"/>
          <w:color w:val="auto"/>
          <w:highlight w:val="none"/>
        </w:rPr>
        <w:t>实质性要求审查</w:t>
      </w:r>
      <w:r>
        <w:rPr>
          <w:rFonts w:ascii="宋体" w:hAnsi="宋体"/>
          <w:color w:val="auto"/>
          <w:highlight w:val="none"/>
        </w:rPr>
        <w:t>。</w:t>
      </w:r>
      <w:r>
        <w:rPr>
          <w:rFonts w:ascii="宋体" w:hAnsi="宋体"/>
          <w:bCs/>
          <w:color w:val="auto"/>
          <w:highlight w:val="none"/>
        </w:rPr>
        <w:t>有一项不符合</w:t>
      </w:r>
      <w:r>
        <w:rPr>
          <w:rFonts w:hint="eastAsia" w:ascii="宋体" w:hAnsi="宋体"/>
          <w:bCs/>
          <w:color w:val="auto"/>
          <w:highlight w:val="none"/>
        </w:rPr>
        <w:t>谈判</w:t>
      </w:r>
      <w:r>
        <w:rPr>
          <w:rFonts w:ascii="宋体" w:hAnsi="宋体"/>
          <w:bCs/>
          <w:color w:val="auto"/>
          <w:highlight w:val="none"/>
        </w:rPr>
        <w:t>标准的，</w:t>
      </w:r>
      <w:r>
        <w:rPr>
          <w:rFonts w:hint="eastAsia" w:ascii="宋体" w:hAnsi="宋体"/>
          <w:bCs/>
          <w:color w:val="auto"/>
          <w:highlight w:val="none"/>
        </w:rPr>
        <w:t>不通过</w:t>
      </w:r>
      <w:r>
        <w:rPr>
          <w:rFonts w:hint="eastAsia" w:ascii="宋体" w:hAnsi="宋体"/>
          <w:color w:val="auto"/>
          <w:highlight w:val="none"/>
        </w:rPr>
        <w:t>实质性要求审查</w:t>
      </w:r>
      <w:r>
        <w:rPr>
          <w:rFonts w:hint="eastAsia" w:ascii="宋体" w:hAnsi="宋体"/>
          <w:bCs/>
          <w:color w:val="auto"/>
          <w:highlight w:val="none"/>
        </w:rPr>
        <w:t>，</w:t>
      </w:r>
      <w:r>
        <w:rPr>
          <w:rFonts w:ascii="宋体" w:hAnsi="宋体"/>
          <w:bCs/>
          <w:color w:val="auto"/>
          <w:highlight w:val="none"/>
        </w:rPr>
        <w:t>不再参与谈判</w:t>
      </w:r>
      <w:r>
        <w:rPr>
          <w:rFonts w:hint="eastAsia" w:ascii="宋体" w:hAnsi="宋体"/>
          <w:bCs/>
          <w:color w:val="auto"/>
          <w:highlight w:val="none"/>
        </w:rPr>
        <w:t>。</w:t>
      </w:r>
      <w:bookmarkStart w:id="226" w:name="_Toc191374453"/>
      <w:bookmarkStart w:id="227" w:name="_Toc86124100"/>
      <w:bookmarkStart w:id="228" w:name="_Toc48271433"/>
      <w:bookmarkStart w:id="229" w:name="_Toc347849275"/>
      <w:bookmarkStart w:id="230" w:name="_Toc329810241"/>
      <w:r>
        <w:rPr>
          <w:rFonts w:hint="eastAsia" w:ascii="宋体" w:hAnsi="宋体"/>
          <w:bCs/>
          <w:color w:val="auto"/>
          <w:highlight w:val="none"/>
        </w:rPr>
        <w:t>当谈判响应文件通过实质性要求的供应商少于三家时，将终止本次竞争性谈判采购活动。</w:t>
      </w:r>
    </w:p>
    <w:p w14:paraId="6E16BABB">
      <w:pPr>
        <w:pStyle w:val="4"/>
        <w:tabs>
          <w:tab w:val="left" w:pos="900"/>
        </w:tabs>
        <w:spacing w:before="0" w:after="0"/>
        <w:ind w:firstLine="0"/>
        <w:jc w:val="left"/>
        <w:rPr>
          <w:rFonts w:hint="eastAsia" w:hAnsi="宋体"/>
          <w:color w:val="auto"/>
          <w:sz w:val="22"/>
          <w:szCs w:val="22"/>
          <w:highlight w:val="none"/>
        </w:rPr>
      </w:pPr>
      <w:bookmarkStart w:id="231" w:name="_Toc228982356"/>
      <w:r>
        <w:rPr>
          <w:rFonts w:hAnsi="宋体"/>
          <w:color w:val="auto"/>
          <w:sz w:val="22"/>
          <w:szCs w:val="22"/>
          <w:highlight w:val="none"/>
        </w:rPr>
        <w:t xml:space="preserve">3.2 </w:t>
      </w:r>
      <w:bookmarkEnd w:id="226"/>
      <w:bookmarkEnd w:id="227"/>
      <w:bookmarkStart w:id="232" w:name="_Toc86124101"/>
      <w:bookmarkStart w:id="233" w:name="_Toc191374454"/>
      <w:r>
        <w:rPr>
          <w:rFonts w:hAnsi="宋体"/>
          <w:color w:val="auto"/>
          <w:sz w:val="22"/>
          <w:szCs w:val="22"/>
          <w:highlight w:val="none"/>
        </w:rPr>
        <w:t>谈判</w:t>
      </w:r>
      <w:bookmarkEnd w:id="228"/>
      <w:r>
        <w:rPr>
          <w:rFonts w:hAnsi="宋体"/>
          <w:color w:val="auto"/>
          <w:sz w:val="22"/>
          <w:szCs w:val="22"/>
          <w:highlight w:val="none"/>
        </w:rPr>
        <w:t>、比较与评价</w:t>
      </w:r>
      <w:bookmarkEnd w:id="229"/>
      <w:bookmarkEnd w:id="230"/>
      <w:bookmarkEnd w:id="231"/>
    </w:p>
    <w:p w14:paraId="790683E7">
      <w:pPr>
        <w:spacing w:line="360" w:lineRule="auto"/>
        <w:ind w:firstLine="420" w:firstLineChars="200"/>
        <w:jc w:val="left"/>
        <w:rPr>
          <w:rFonts w:hint="eastAsia" w:ascii="宋体" w:hAnsi="宋体"/>
          <w:color w:val="auto"/>
          <w:highlight w:val="none"/>
        </w:rPr>
      </w:pPr>
      <w:r>
        <w:rPr>
          <w:rFonts w:ascii="宋体" w:hAnsi="宋体"/>
          <w:color w:val="auto"/>
          <w:highlight w:val="none"/>
        </w:rPr>
        <w:t>3.</w:t>
      </w:r>
      <w:r>
        <w:rPr>
          <w:rFonts w:hint="eastAsia" w:ascii="宋体" w:hAnsi="宋体"/>
          <w:color w:val="auto"/>
          <w:highlight w:val="none"/>
        </w:rPr>
        <w:t>2</w:t>
      </w:r>
      <w:r>
        <w:rPr>
          <w:rFonts w:ascii="宋体" w:hAnsi="宋体"/>
          <w:color w:val="auto"/>
          <w:highlight w:val="none"/>
        </w:rPr>
        <w:t>.</w:t>
      </w:r>
      <w:r>
        <w:rPr>
          <w:rFonts w:hint="eastAsia" w:ascii="宋体" w:hAnsi="宋体"/>
          <w:color w:val="auto"/>
          <w:highlight w:val="none"/>
        </w:rPr>
        <w:t>1</w:t>
      </w:r>
      <w:r>
        <w:rPr>
          <w:rFonts w:ascii="宋体" w:hAnsi="宋体"/>
          <w:color w:val="auto"/>
          <w:highlight w:val="none"/>
        </w:rPr>
        <w:t>谈判小组所有成员集中与通过</w:t>
      </w:r>
      <w:r>
        <w:rPr>
          <w:rFonts w:hint="eastAsia" w:ascii="宋体" w:hAnsi="宋体"/>
          <w:color w:val="auto"/>
          <w:highlight w:val="none"/>
        </w:rPr>
        <w:t>资格审查</w:t>
      </w:r>
      <w:r>
        <w:rPr>
          <w:rFonts w:ascii="宋体" w:hAnsi="宋体"/>
          <w:color w:val="auto"/>
          <w:highlight w:val="none"/>
        </w:rPr>
        <w:t>的单一供应商分别进行谈判。在谈判中，谈判的任何一方不得透露与谈判有关的其他供应商的技术资料、价格和其他信息。</w:t>
      </w:r>
    </w:p>
    <w:p w14:paraId="09FF2B62">
      <w:pPr>
        <w:adjustRightInd w:val="0"/>
        <w:spacing w:line="360" w:lineRule="auto"/>
        <w:ind w:firstLine="411" w:firstLineChars="196"/>
        <w:rPr>
          <w:rFonts w:hint="eastAsia" w:ascii="宋体" w:hAnsi="宋体"/>
          <w:color w:val="auto"/>
          <w:highlight w:val="none"/>
        </w:rPr>
      </w:pPr>
      <w:r>
        <w:rPr>
          <w:rFonts w:ascii="宋体" w:hAnsi="宋体"/>
          <w:color w:val="auto"/>
          <w:highlight w:val="none"/>
        </w:rPr>
        <w:t>3.2.</w:t>
      </w:r>
      <w:r>
        <w:rPr>
          <w:rFonts w:hint="eastAsia" w:ascii="宋体" w:hAnsi="宋体"/>
          <w:color w:val="auto"/>
          <w:highlight w:val="none"/>
        </w:rPr>
        <w:t>2</w:t>
      </w:r>
      <w:r>
        <w:rPr>
          <w:rFonts w:ascii="宋体" w:hAnsi="宋体"/>
          <w:color w:val="auto"/>
          <w:highlight w:val="none"/>
        </w:rPr>
        <w:t>谈判文件有实质性变动的，谈判小组将以书面形式通知所有参加谈判的供应商。但不得对涉及竞争的公平、公正性内容进行修改、变动。</w:t>
      </w:r>
    </w:p>
    <w:p w14:paraId="1D3008D3">
      <w:pPr>
        <w:adjustRightInd w:val="0"/>
        <w:spacing w:line="360" w:lineRule="auto"/>
        <w:ind w:firstLine="411" w:firstLineChars="196"/>
        <w:rPr>
          <w:rFonts w:hint="eastAsia" w:ascii="宋体" w:hAnsi="宋体"/>
          <w:color w:val="auto"/>
          <w:highlight w:val="none"/>
        </w:rPr>
      </w:pPr>
      <w:r>
        <w:rPr>
          <w:rFonts w:ascii="宋体" w:hAnsi="宋体"/>
          <w:color w:val="auto"/>
          <w:highlight w:val="none"/>
        </w:rPr>
        <w:t>3.2.</w:t>
      </w:r>
      <w:r>
        <w:rPr>
          <w:rFonts w:hint="eastAsia" w:ascii="宋体" w:hAnsi="宋体"/>
          <w:color w:val="auto"/>
          <w:highlight w:val="none"/>
        </w:rPr>
        <w:t>3</w:t>
      </w:r>
      <w:r>
        <w:rPr>
          <w:rFonts w:ascii="宋体" w:hAnsi="宋体"/>
          <w:color w:val="auto"/>
          <w:highlight w:val="none"/>
        </w:rPr>
        <w:t>为有助于对响应文件的详细审查、评价和比较，谈判小组可要求对供应商分别进行技术询问、澄清，有关要求和答复均现场进行。</w:t>
      </w:r>
    </w:p>
    <w:p w14:paraId="56CF3F4C">
      <w:pPr>
        <w:spacing w:line="360" w:lineRule="auto"/>
        <w:jc w:val="left"/>
        <w:rPr>
          <w:rFonts w:hint="eastAsia" w:ascii="宋体" w:hAnsi="宋体"/>
          <w:color w:val="auto"/>
          <w:highlight w:val="none"/>
        </w:rPr>
      </w:pPr>
      <w:r>
        <w:rPr>
          <w:rFonts w:ascii="宋体" w:hAnsi="宋体"/>
          <w:color w:val="auto"/>
          <w:highlight w:val="none"/>
        </w:rPr>
        <w:t xml:space="preserve"> </w:t>
      </w:r>
      <w:r>
        <w:rPr>
          <w:rFonts w:hint="eastAsia" w:ascii="宋体" w:hAnsi="宋体"/>
          <w:color w:val="auto"/>
          <w:highlight w:val="none"/>
        </w:rPr>
        <w:t xml:space="preserve">   </w:t>
      </w:r>
      <w:r>
        <w:rPr>
          <w:rFonts w:ascii="宋体" w:hAnsi="宋体"/>
          <w:color w:val="auto"/>
          <w:highlight w:val="none"/>
        </w:rPr>
        <w:t>3.2.</w:t>
      </w:r>
      <w:r>
        <w:rPr>
          <w:rFonts w:hint="eastAsia" w:ascii="宋体" w:hAnsi="宋体"/>
          <w:color w:val="auto"/>
          <w:highlight w:val="none"/>
        </w:rPr>
        <w:t>4</w:t>
      </w:r>
      <w:r>
        <w:rPr>
          <w:rFonts w:ascii="宋体" w:hAnsi="宋体"/>
          <w:color w:val="auto"/>
          <w:highlight w:val="none"/>
        </w:rPr>
        <w:t>谈判小组对供应商提交的澄清、说明有疑问的，可以要求供应商进一步澄清、说明。谈判小组求供应商澄清、说明或者更正响应文件应当以书面形式作出。供应商的澄清、说明或者更正应当由法定代表人或其授权代表签字或者加盖公章。</w:t>
      </w:r>
    </w:p>
    <w:p w14:paraId="67BC2CBC">
      <w:pPr>
        <w:adjustRightInd w:val="0"/>
        <w:spacing w:line="360" w:lineRule="auto"/>
        <w:ind w:firstLine="411" w:firstLineChars="196"/>
        <w:rPr>
          <w:rFonts w:hint="eastAsia" w:ascii="宋体" w:hAnsi="宋体"/>
          <w:color w:val="auto"/>
          <w:highlight w:val="none"/>
        </w:rPr>
      </w:pPr>
      <w:r>
        <w:rPr>
          <w:rFonts w:ascii="宋体" w:hAnsi="宋体"/>
          <w:color w:val="auto"/>
          <w:highlight w:val="none"/>
        </w:rPr>
        <w:t>3.2.</w:t>
      </w:r>
      <w:r>
        <w:rPr>
          <w:rFonts w:hint="eastAsia" w:ascii="宋体" w:hAnsi="宋体"/>
          <w:color w:val="auto"/>
          <w:highlight w:val="none"/>
        </w:rPr>
        <w:t>5</w:t>
      </w:r>
      <w:r>
        <w:rPr>
          <w:rFonts w:ascii="宋体" w:hAnsi="宋体"/>
          <w:color w:val="auto"/>
          <w:highlight w:val="none"/>
        </w:rPr>
        <w:t>谈判结束后，谈判小组</w:t>
      </w:r>
      <w:r>
        <w:rPr>
          <w:rFonts w:hint="eastAsia" w:ascii="宋体" w:hAnsi="宋体"/>
          <w:color w:val="auto"/>
          <w:highlight w:val="none"/>
        </w:rPr>
        <w:t>将</w:t>
      </w:r>
      <w:r>
        <w:rPr>
          <w:rFonts w:ascii="宋体" w:hAnsi="宋体"/>
          <w:color w:val="auto"/>
          <w:highlight w:val="none"/>
        </w:rPr>
        <w:t>要求所有继续参加谈判的供应商在规定时间内提交最后报价</w:t>
      </w:r>
      <w:r>
        <w:rPr>
          <w:rFonts w:ascii="宋体" w:hAnsi="宋体"/>
          <w:color w:val="auto"/>
          <w:szCs w:val="21"/>
          <w:highlight w:val="none"/>
        </w:rPr>
        <w:t>，提交最后报价的供应商不得少于3家。</w:t>
      </w:r>
    </w:p>
    <w:p w14:paraId="390D183E">
      <w:pPr>
        <w:adjustRightInd w:val="0"/>
        <w:spacing w:line="360" w:lineRule="auto"/>
        <w:ind w:firstLine="411" w:firstLineChars="196"/>
        <w:rPr>
          <w:rFonts w:hint="eastAsia" w:ascii="宋体" w:hAnsi="宋体"/>
          <w:color w:val="auto"/>
          <w:highlight w:val="none"/>
        </w:rPr>
      </w:pPr>
      <w:r>
        <w:rPr>
          <w:rFonts w:ascii="宋体" w:hAnsi="宋体"/>
          <w:color w:val="auto"/>
          <w:highlight w:val="none"/>
        </w:rPr>
        <w:t>3.2.</w:t>
      </w:r>
      <w:r>
        <w:rPr>
          <w:rFonts w:hint="eastAsia" w:ascii="宋体" w:hAnsi="宋体"/>
          <w:color w:val="auto"/>
          <w:highlight w:val="none"/>
        </w:rPr>
        <w:t>6谈判小组根据各供应商</w:t>
      </w:r>
      <w:r>
        <w:rPr>
          <w:rFonts w:ascii="宋体" w:hAnsi="宋体"/>
          <w:color w:val="auto"/>
          <w:highlight w:val="none"/>
        </w:rPr>
        <w:t>最终报价</w:t>
      </w:r>
      <w:r>
        <w:rPr>
          <w:rFonts w:hint="eastAsia" w:ascii="宋体" w:hAnsi="宋体"/>
          <w:color w:val="auto"/>
          <w:highlight w:val="none"/>
        </w:rPr>
        <w:t>、响应文件及澄清等，</w:t>
      </w:r>
      <w:r>
        <w:rPr>
          <w:rFonts w:ascii="宋体" w:hAnsi="宋体"/>
          <w:color w:val="auto"/>
          <w:highlight w:val="none"/>
        </w:rPr>
        <w:t>按“</w:t>
      </w:r>
      <w:r>
        <w:rPr>
          <w:rFonts w:hint="eastAsia" w:ascii="宋体" w:hAnsi="宋体"/>
          <w:b/>
          <w:color w:val="auto"/>
          <w:highlight w:val="none"/>
        </w:rPr>
        <w:t>谈判程序和方法</w:t>
      </w:r>
      <w:r>
        <w:rPr>
          <w:rFonts w:ascii="宋体" w:hAnsi="宋体"/>
          <w:color w:val="auto"/>
          <w:highlight w:val="none"/>
        </w:rPr>
        <w:t>”中</w:t>
      </w:r>
      <w:r>
        <w:rPr>
          <w:rFonts w:hint="eastAsia" w:ascii="宋体" w:hAnsi="宋体"/>
          <w:color w:val="auto"/>
          <w:highlight w:val="none"/>
        </w:rPr>
        <w:t>的</w:t>
      </w:r>
      <w:r>
        <w:rPr>
          <w:rFonts w:ascii="宋体" w:hAnsi="宋体"/>
          <w:color w:val="auto"/>
          <w:highlight w:val="none"/>
        </w:rPr>
        <w:t>规定</w:t>
      </w:r>
      <w:r>
        <w:rPr>
          <w:rFonts w:hint="eastAsia" w:ascii="宋体" w:hAnsi="宋体"/>
          <w:color w:val="auto"/>
          <w:highlight w:val="none"/>
        </w:rPr>
        <w:t>推荐成交候选人，经谈判小组评审，不符合采购需求的供应商，不予推荐成交。</w:t>
      </w:r>
    </w:p>
    <w:p w14:paraId="4667C43C">
      <w:pPr>
        <w:adjustRightInd w:val="0"/>
        <w:spacing w:line="360" w:lineRule="auto"/>
        <w:ind w:firstLine="411" w:firstLineChars="196"/>
        <w:rPr>
          <w:rFonts w:hint="eastAsia" w:ascii="宋体" w:hAnsi="宋体"/>
          <w:color w:val="auto"/>
          <w:highlight w:val="none"/>
        </w:rPr>
      </w:pPr>
      <w:r>
        <w:rPr>
          <w:rFonts w:hint="eastAsia" w:ascii="宋体" w:hAnsi="宋体"/>
          <w:color w:val="auto"/>
          <w:highlight w:val="none"/>
        </w:rPr>
        <w:t>3.2.7谈判小组成员要依法独立审查，并对审查意见承担个人责任。谈判小组成员对需要共同认定的事项存在争议的，按照少数服从多数的原则做出结论。持不同意见的谈判小组成员应当在谈判报告上签署不同意见并说明理由，否则视为同意。</w:t>
      </w:r>
    </w:p>
    <w:p w14:paraId="15E0171A">
      <w:pPr>
        <w:adjustRightInd w:val="0"/>
        <w:spacing w:line="360" w:lineRule="auto"/>
        <w:ind w:firstLine="411" w:firstLineChars="196"/>
        <w:rPr>
          <w:rFonts w:hint="eastAsia" w:ascii="宋体" w:hAnsi="宋体"/>
          <w:color w:val="auto"/>
          <w:highlight w:val="none"/>
        </w:rPr>
      </w:pPr>
      <w:r>
        <w:rPr>
          <w:rFonts w:hint="eastAsia" w:ascii="宋体" w:hAnsi="宋体"/>
          <w:color w:val="auto"/>
          <w:highlight w:val="none"/>
        </w:rPr>
        <w:t>3.2.8（一）采购人应当在采购文件中明确，政府采购评审中出现下列情形之一的，评审委员会应当启动异常低价投标（响应）审查程序：</w:t>
      </w:r>
    </w:p>
    <w:p w14:paraId="50E30A19">
      <w:pPr>
        <w:adjustRightInd w:val="0"/>
        <w:spacing w:line="360" w:lineRule="auto"/>
        <w:ind w:firstLine="411" w:firstLineChars="196"/>
        <w:rPr>
          <w:rFonts w:hint="eastAsia" w:ascii="宋体" w:hAnsi="宋体"/>
          <w:color w:val="auto"/>
          <w:highlight w:val="none"/>
        </w:rPr>
      </w:pPr>
      <w:r>
        <w:rPr>
          <w:rFonts w:hint="eastAsia" w:ascii="宋体" w:hAnsi="宋体"/>
          <w:color w:val="auto"/>
          <w:highlight w:val="none"/>
        </w:rPr>
        <w:t>1.投标(响应)报价低于全部通过符合性审查供应商投标(响应)报价平均值50%的，即投标(响应)报价〈全部通过符合性审查供应商投标(响应)报价平均值X50%；</w:t>
      </w:r>
    </w:p>
    <w:p w14:paraId="31075021">
      <w:pPr>
        <w:adjustRightInd w:val="0"/>
        <w:spacing w:line="360" w:lineRule="auto"/>
        <w:ind w:firstLine="411" w:firstLineChars="196"/>
        <w:rPr>
          <w:rFonts w:hint="eastAsia" w:ascii="宋体" w:hAnsi="宋体"/>
          <w:color w:val="auto"/>
          <w:highlight w:val="none"/>
        </w:rPr>
      </w:pPr>
      <w:r>
        <w:rPr>
          <w:rFonts w:hint="eastAsia" w:ascii="宋体" w:hAnsi="宋体"/>
          <w:color w:val="auto"/>
          <w:highlight w:val="none"/>
        </w:rPr>
        <w:t>2.投标(响应)报价低于通过符合性审查的次低报价供应商投标(响应)报价50%的，即投标(响应)报价〈通过符合性审查的次低报价供应商投标(响应)报价X50%；</w:t>
      </w:r>
    </w:p>
    <w:p w14:paraId="0099BCD0">
      <w:pPr>
        <w:adjustRightInd w:val="0"/>
        <w:spacing w:line="360" w:lineRule="auto"/>
        <w:ind w:firstLine="411" w:firstLineChars="196"/>
        <w:rPr>
          <w:rFonts w:hint="eastAsia" w:ascii="宋体" w:hAnsi="宋体"/>
          <w:color w:val="auto"/>
          <w:highlight w:val="none"/>
        </w:rPr>
      </w:pPr>
      <w:r>
        <w:rPr>
          <w:rFonts w:hint="eastAsia" w:ascii="宋体" w:hAnsi="宋体"/>
          <w:color w:val="auto"/>
          <w:highlight w:val="none"/>
        </w:rPr>
        <w:t>3.投标(响应)报价低于采购项目最高限价45%的，即投标(响应)报价&lt;采购项目最高限价X45%；</w:t>
      </w:r>
    </w:p>
    <w:p w14:paraId="24ED1B3B">
      <w:pPr>
        <w:adjustRightInd w:val="0"/>
        <w:spacing w:line="360" w:lineRule="auto"/>
        <w:ind w:firstLine="411" w:firstLineChars="196"/>
        <w:rPr>
          <w:rFonts w:hint="eastAsia" w:ascii="宋体" w:hAnsi="宋体"/>
          <w:color w:val="auto"/>
          <w:highlight w:val="none"/>
        </w:rPr>
      </w:pPr>
      <w:r>
        <w:rPr>
          <w:rFonts w:hint="eastAsia" w:ascii="宋体" w:hAnsi="宋体"/>
          <w:color w:val="auto"/>
          <w:highlight w:val="none"/>
        </w:rPr>
        <w:t>4.评审委员会基于专业判断，认为供应商报价过低，有可能影响产品质量或者不能诚信履约的其他情形。</w:t>
      </w:r>
    </w:p>
    <w:p w14:paraId="373A6B98">
      <w:pPr>
        <w:adjustRightInd w:val="0"/>
        <w:spacing w:line="360" w:lineRule="auto"/>
        <w:ind w:firstLine="411" w:firstLineChars="196"/>
        <w:rPr>
          <w:rFonts w:hint="eastAsia" w:ascii="宋体" w:hAnsi="宋体"/>
          <w:color w:val="auto"/>
          <w:highlight w:val="none"/>
        </w:rPr>
      </w:pPr>
      <w:r>
        <w:rPr>
          <w:rFonts w:hint="eastAsia" w:ascii="宋体" w:hAnsi="宋体"/>
          <w:color w:val="auto"/>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73E7E4C">
      <w:pPr>
        <w:adjustRightInd w:val="0"/>
        <w:spacing w:line="360" w:lineRule="auto"/>
        <w:ind w:firstLine="411" w:firstLineChars="196"/>
        <w:rPr>
          <w:rFonts w:hint="eastAsia" w:ascii="宋体" w:hAnsi="宋体"/>
          <w:color w:val="auto"/>
          <w:highlight w:val="none"/>
        </w:rPr>
      </w:pPr>
      <w:r>
        <w:rPr>
          <w:rFonts w:hint="eastAsia" w:ascii="宋体" w:hAnsi="宋体"/>
          <w:color w:val="auto"/>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3800420">
      <w:pPr>
        <w:adjustRightInd w:val="0"/>
        <w:spacing w:line="360" w:lineRule="auto"/>
        <w:ind w:firstLine="411" w:firstLineChars="196"/>
        <w:rPr>
          <w:rFonts w:hint="eastAsia" w:ascii="宋体" w:hAnsi="宋体"/>
          <w:color w:val="auto"/>
          <w:highlight w:val="none"/>
        </w:rPr>
      </w:pPr>
      <w:r>
        <w:rPr>
          <w:rFonts w:hint="eastAsia" w:ascii="宋体" w:hAnsi="宋体"/>
          <w:color w:val="auto"/>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12B0349">
      <w:pPr>
        <w:adjustRightInd w:val="0"/>
        <w:spacing w:line="360" w:lineRule="auto"/>
        <w:ind w:firstLine="411" w:firstLineChars="196"/>
        <w:rPr>
          <w:rFonts w:hint="eastAsia" w:ascii="宋体" w:hAnsi="宋体"/>
          <w:color w:val="auto"/>
          <w:highlight w:val="none"/>
        </w:rPr>
      </w:pPr>
      <w:r>
        <w:rPr>
          <w:rFonts w:hint="eastAsia" w:ascii="宋体" w:hAnsi="宋体"/>
          <w:color w:val="auto"/>
          <w:highlight w:val="none"/>
        </w:rPr>
        <w:t>异常低价投标（响应）审查的启动原因、审查意见和审查结果应当在评审报告中记录，并随供应商提供的相关书面说明及证明材料，以及评审委员会有关互联网浏览、查询历史一并归档。</w:t>
      </w:r>
    </w:p>
    <w:p w14:paraId="5A29E22E">
      <w:pPr>
        <w:pStyle w:val="4"/>
        <w:tabs>
          <w:tab w:val="left" w:pos="900"/>
        </w:tabs>
        <w:spacing w:before="0" w:after="0" w:line="360" w:lineRule="auto"/>
        <w:ind w:firstLine="0"/>
        <w:jc w:val="left"/>
        <w:rPr>
          <w:rFonts w:hint="eastAsia" w:hAnsi="宋体"/>
          <w:color w:val="auto"/>
          <w:sz w:val="22"/>
          <w:szCs w:val="22"/>
          <w:highlight w:val="none"/>
        </w:rPr>
      </w:pPr>
      <w:bookmarkStart w:id="234" w:name="_Toc347849276"/>
      <w:bookmarkStart w:id="235" w:name="_Toc228982357"/>
      <w:bookmarkStart w:id="236" w:name="_Toc329810242"/>
      <w:r>
        <w:rPr>
          <w:rFonts w:hAnsi="宋体"/>
          <w:color w:val="auto"/>
          <w:sz w:val="22"/>
          <w:szCs w:val="22"/>
          <w:highlight w:val="none"/>
        </w:rPr>
        <w:t xml:space="preserve">3.3 </w:t>
      </w:r>
      <w:r>
        <w:rPr>
          <w:rFonts w:hint="eastAsia" w:hAnsi="宋体"/>
          <w:color w:val="auto"/>
          <w:sz w:val="22"/>
          <w:szCs w:val="22"/>
          <w:highlight w:val="none"/>
        </w:rPr>
        <w:t>谈判</w:t>
      </w:r>
      <w:r>
        <w:rPr>
          <w:rFonts w:hAnsi="宋体"/>
          <w:color w:val="auto"/>
          <w:sz w:val="22"/>
          <w:szCs w:val="22"/>
          <w:highlight w:val="none"/>
        </w:rPr>
        <w:t>结果</w:t>
      </w:r>
      <w:bookmarkEnd w:id="234"/>
      <w:bookmarkEnd w:id="235"/>
      <w:bookmarkEnd w:id="236"/>
    </w:p>
    <w:bookmarkEnd w:id="232"/>
    <w:bookmarkEnd w:id="233"/>
    <w:p w14:paraId="13D6F6AD">
      <w:pPr>
        <w:spacing w:line="360" w:lineRule="auto"/>
        <w:rPr>
          <w:rFonts w:hint="eastAsia" w:ascii="宋体" w:hAnsi="宋体" w:cs="宋体"/>
          <w:color w:val="auto"/>
          <w:highlight w:val="none"/>
        </w:rPr>
      </w:pPr>
      <w:r>
        <w:rPr>
          <w:rFonts w:hint="eastAsia" w:ascii="宋体" w:hAnsi="宋体"/>
          <w:color w:val="auto"/>
          <w:highlight w:val="none"/>
        </w:rPr>
        <w:t>在符合采购需求、质量和服务相等的前提下，谈判小组按谈判最终报价由低到高顺序推荐</w:t>
      </w:r>
      <w:r>
        <w:rPr>
          <w:rFonts w:ascii="宋体" w:hAnsi="宋体"/>
          <w:color w:val="auto"/>
          <w:highlight w:val="none"/>
        </w:rPr>
        <w:t>3名</w:t>
      </w:r>
      <w:r>
        <w:rPr>
          <w:rFonts w:hint="eastAsia" w:ascii="宋体" w:hAnsi="宋体"/>
          <w:color w:val="auto"/>
          <w:highlight w:val="none"/>
        </w:rPr>
        <w:t>成交</w:t>
      </w:r>
      <w:r>
        <w:rPr>
          <w:rFonts w:ascii="宋体" w:hAnsi="宋体"/>
          <w:color w:val="auto"/>
          <w:highlight w:val="none"/>
        </w:rPr>
        <w:t>候选人</w:t>
      </w:r>
      <w:r>
        <w:rPr>
          <w:rFonts w:hint="eastAsia" w:ascii="宋体" w:hAnsi="宋体"/>
          <w:color w:val="auto"/>
          <w:highlight w:val="none"/>
        </w:rPr>
        <w:t>，并向采购人提交书面谈判报告。</w:t>
      </w:r>
    </w:p>
    <w:sectPr>
      <w:pgSz w:w="11906" w:h="16838"/>
      <w:pgMar w:top="1440" w:right="1080" w:bottom="1440" w:left="1080" w:header="851" w:footer="992" w:gutter="284"/>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Garamond">
    <w:altName w:val="PMingLiU-ExtB"/>
    <w:panose1 w:val="02020404030301010803"/>
    <w:charset w:val="00"/>
    <w:family w:val="roman"/>
    <w:pitch w:val="default"/>
    <w:sig w:usb0="00000000" w:usb1="00000000" w:usb2="00000000" w:usb3="00000000" w:csb0="0000009F"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swiss"/>
    <w:pitch w:val="default"/>
    <w:sig w:usb0="80000287" w:usb1="2ACF3C50" w:usb2="00000016" w:usb3="00000000" w:csb0="0004001F" w:csb1="00000000"/>
  </w:font>
  <w:font w:name="Segoe UI Emoji">
    <w:panose1 w:val="020B0502040204020203"/>
    <w:charset w:val="00"/>
    <w:family w:val="swiss"/>
    <w:pitch w:val="default"/>
    <w:sig w:usb0="00000001" w:usb1="02000000" w:usb2="08000000" w:usb3="00000000" w:csb0="00000001" w:csb1="00000000"/>
  </w:font>
  <w:font w:name="Segoe UI Symbol">
    <w:panose1 w:val="020B0502040204020203"/>
    <w:charset w:val="00"/>
    <w:family w:val="swiss"/>
    <w:pitch w:val="default"/>
    <w:sig w:usb0="800001E3" w:usb1="1200FFEF" w:usb2="00040000" w:usb3="04000000" w:csb0="00000001" w:csb1="40000000"/>
  </w:font>
  <w:font w:name="KSOFE4500885">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201B8">
    <w:pPr>
      <w:pStyle w:val="2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A42D8">
    <w:pPr>
      <w:pStyle w:val="22"/>
      <w:framePr w:wrap="around" w:vAnchor="text" w:hAnchor="margin" w:xAlign="right" w:y="1"/>
      <w:rPr>
        <w:rStyle w:val="40"/>
        <w:rFonts w:hint="eastAsia"/>
      </w:rPr>
    </w:pPr>
    <w:r>
      <w:fldChar w:fldCharType="begin"/>
    </w:r>
    <w:r>
      <w:rPr>
        <w:rStyle w:val="40"/>
      </w:rPr>
      <w:instrText xml:space="preserve">PAGE  </w:instrText>
    </w:r>
    <w:r>
      <w:fldChar w:fldCharType="separate"/>
    </w:r>
    <w:r>
      <w:rPr>
        <w:rStyle w:val="40"/>
      </w:rPr>
      <w:t>1</w:t>
    </w:r>
    <w:r>
      <w:fldChar w:fldCharType="end"/>
    </w:r>
  </w:p>
  <w:p w14:paraId="67031C80">
    <w:pPr>
      <w:pStyle w:val="22"/>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7763299"/>
    </w:sdtPr>
    <w:sdtContent>
      <w:p w14:paraId="0910556C">
        <w:pPr>
          <w:pStyle w:val="22"/>
          <w:jc w:val="center"/>
          <w:rPr>
            <w:rFonts w:hint="eastAsia"/>
          </w:rPr>
        </w:pPr>
        <w:r>
          <w:rPr>
            <w:rFonts w:hint="eastAsia"/>
          </w:rPr>
          <w:t xml:space="preserve">云南鼎鑫项目管理咨询有限公司                </w:t>
        </w:r>
        <w:r>
          <w:fldChar w:fldCharType="begin"/>
        </w:r>
        <w:r>
          <w:instrText xml:space="preserve">PAGE   \* MERGEFORMAT</w:instrText>
        </w:r>
        <w:r>
          <w:fldChar w:fldCharType="separate"/>
        </w:r>
        <w:r>
          <w:t>4</w:t>
        </w:r>
        <w:r>
          <w:fldChar w:fldCharType="end"/>
        </w:r>
        <w:r>
          <w:rPr>
            <w:rFonts w:hint="eastAsia"/>
          </w:rPr>
          <w:t xml:space="preserve">                昆明市五华区科普路固地尚诚B座14楼</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9052943"/>
    </w:sdtPr>
    <w:sdtContent>
      <w:p w14:paraId="572A5EC0">
        <w:pPr>
          <w:pStyle w:val="22"/>
          <w:jc w:val="center"/>
          <w:rPr>
            <w:rFonts w:hint="eastAsia"/>
          </w:rPr>
        </w:pPr>
        <w:r>
          <w:rPr>
            <w:rFonts w:hint="eastAsia"/>
          </w:rPr>
          <w:t xml:space="preserve">云南鼎鑫项目管理咨询有限公司                </w:t>
        </w:r>
        <w:r>
          <w:fldChar w:fldCharType="begin"/>
        </w:r>
        <w:r>
          <w:instrText xml:space="preserve">PAGE   \* MERGEFORMAT</w:instrText>
        </w:r>
        <w:r>
          <w:fldChar w:fldCharType="separate"/>
        </w:r>
        <w:r>
          <w:rPr>
            <w:lang w:val="zh-CN"/>
          </w:rPr>
          <w:t>2</w:t>
        </w:r>
        <w:r>
          <w:fldChar w:fldCharType="end"/>
        </w:r>
        <w:r>
          <w:rPr>
            <w:rFonts w:hint="eastAsia"/>
          </w:rPr>
          <w:t xml:space="preserve">                昆明市五华区科普路固地尚诚B座14楼</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C34E5">
    <w:pPr>
      <w:pStyle w:val="22"/>
      <w:jc w:val="center"/>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21175AA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35</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D5X5J0AAAAAMBAAAPAAAAAAAAAAEAIAAAACIAAABk&#10;cnMvZG93bnJldi54bWxQSwECFAAUAAAACACHTuJA7yCxPA4CAAAQBAAADgAAAAAAAAABACAAAAAf&#10;AQAAZHJzL2Uyb0RvYy54bWxQSwUGAAAAAAYABgBZAQAAnwUAAAAA&#10;">
              <v:fill on="f" focussize="0,0"/>
              <v:stroke on="f"/>
              <v:imagedata o:title=""/>
              <o:lock v:ext="edit" aspectratio="f"/>
              <v:textbox inset="0mm,0mm,0mm,0mm" style="mso-fit-shape-to-text:t;">
                <w:txbxContent>
                  <w:p w14:paraId="21175AA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35</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68A78">
    <w:pPr>
      <w:pStyle w:val="23"/>
      <w:pBdr>
        <w:bottom w:val="none" w:color="auto" w:sz="0" w:space="0"/>
      </w:pBdr>
      <w:jc w:val="left"/>
      <w:rPr>
        <w:sz w:val="15"/>
        <w:szCs w:val="15"/>
        <w:u w:val="single"/>
      </w:rPr>
    </w:pPr>
    <w:r>
      <w:rPr>
        <w:rFonts w:hint="eastAsia" w:ascii="宋体" w:hAnsi="宋体" w:cs="宋体"/>
        <w:sz w:val="15"/>
        <w:szCs w:val="15"/>
        <w:u w:val="single"/>
      </w:rPr>
      <w:t>昆明市旅游职业中学导游虚拟仿真实训室项目（设备购置）-非集采货物                                              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6139C">
    <w:pPr>
      <w:pStyle w:val="23"/>
      <w:framePr w:wrap="around" w:vAnchor="text" w:hAnchor="margin" w:xAlign="right" w:y="1"/>
      <w:rPr>
        <w:rStyle w:val="40"/>
      </w:rPr>
    </w:pPr>
    <w:r>
      <w:fldChar w:fldCharType="begin"/>
    </w:r>
    <w:r>
      <w:rPr>
        <w:rStyle w:val="40"/>
      </w:rPr>
      <w:instrText xml:space="preserve">PAGE  </w:instrText>
    </w:r>
    <w:r>
      <w:fldChar w:fldCharType="separate"/>
    </w:r>
    <w:r>
      <w:rPr>
        <w:rStyle w:val="40"/>
      </w:rPr>
      <w:t>5</w:t>
    </w:r>
    <w:r>
      <w:fldChar w:fldCharType="end"/>
    </w:r>
  </w:p>
  <w:p w14:paraId="338B11ED">
    <w:pPr>
      <w:pStyle w:val="2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F198F">
    <w:pPr>
      <w:pStyle w:val="23"/>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D174D">
    <w:pPr>
      <w:pStyle w:val="23"/>
      <w:pBdr>
        <w:bottom w:val="none" w:color="auto" w:sz="0" w:space="0"/>
      </w:pBdr>
      <w:jc w:val="right"/>
    </w:pPr>
    <w:r>
      <w:rPr>
        <w:rFonts w:hint="eastAsia" w:ascii="宋体" w:hAnsi="宋体" w:cs="宋体"/>
        <w:szCs w:val="24"/>
        <w:u w:val="single"/>
      </w:rPr>
      <w:t>昆明市旅游职业中学导游虚拟仿真实训室项目（设备购置）-非集采货物                      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83"/>
      <w:lvlText w:val="%1）"/>
      <w:lvlJc w:val="left"/>
      <w:pPr>
        <w:tabs>
          <w:tab w:val="left" w:pos="920"/>
        </w:tabs>
        <w:ind w:left="920" w:hanging="720"/>
      </w:pPr>
      <w:rPr>
        <w:rFonts w:hint="default"/>
      </w:rPr>
    </w:lvl>
    <w:lvl w:ilvl="1" w:tentative="0">
      <w:start w:val="1"/>
      <w:numFmt w:val="decimal"/>
      <w:lvlText w:val="%2．"/>
      <w:lvlJc w:val="left"/>
      <w:pPr>
        <w:tabs>
          <w:tab w:val="left" w:pos="855"/>
        </w:tabs>
        <w:ind w:left="855" w:hanging="43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3"/>
    <w:multiLevelType w:val="singleLevel"/>
    <w:tmpl w:val="00000003"/>
    <w:lvl w:ilvl="0" w:tentative="0">
      <w:start w:val="1"/>
      <w:numFmt w:val="japaneseCounting"/>
      <w:pStyle w:val="88"/>
      <w:lvlText w:val="%1、"/>
      <w:lvlJc w:val="left"/>
      <w:pPr>
        <w:tabs>
          <w:tab w:val="left" w:pos="480"/>
        </w:tabs>
        <w:ind w:left="480" w:hanging="480"/>
      </w:pPr>
      <w:rPr>
        <w:rFonts w:hint="eastAsia"/>
      </w:rPr>
    </w:lvl>
  </w:abstractNum>
  <w:abstractNum w:abstractNumId="2">
    <w:nsid w:val="00000005"/>
    <w:multiLevelType w:val="multilevel"/>
    <w:tmpl w:val="00000005"/>
    <w:lvl w:ilvl="0" w:tentative="0">
      <w:start w:val="1"/>
      <w:numFmt w:val="decimal"/>
      <w:pStyle w:val="84"/>
      <w:lvlText w:val="%1）"/>
      <w:lvlJc w:val="left"/>
      <w:pPr>
        <w:tabs>
          <w:tab w:val="left" w:pos="840"/>
        </w:tabs>
        <w:ind w:left="840" w:hanging="84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2"/>
    <w:multiLevelType w:val="multilevel"/>
    <w:tmpl w:val="00000012"/>
    <w:lvl w:ilvl="0" w:tentative="0">
      <w:start w:val="1"/>
      <w:numFmt w:val="decimal"/>
      <w:pStyle w:val="103"/>
      <w:lvlText w:val="%1）"/>
      <w:lvlJc w:val="left"/>
      <w:pPr>
        <w:tabs>
          <w:tab w:val="left" w:pos="0"/>
        </w:tabs>
        <w:ind w:left="0" w:firstLine="400"/>
      </w:pPr>
      <w:rPr>
        <w:rFonts w:hint="default"/>
      </w:rPr>
    </w:lvl>
    <w:lvl w:ilvl="1" w:tentative="0">
      <w:start w:val="1"/>
      <w:numFmt w:val="bullet"/>
      <w:lvlText w:val=""/>
      <w:lvlJc w:val="left"/>
      <w:pPr>
        <w:tabs>
          <w:tab w:val="left" w:pos="840"/>
        </w:tabs>
        <w:ind w:left="840" w:hanging="420"/>
      </w:pPr>
      <w:rPr>
        <w:rFonts w:hint="default" w:ascii="Wingdings" w:hAnsi="Wingdings"/>
        <w:color w:val="auto"/>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3"/>
    <w:multiLevelType w:val="multilevel"/>
    <w:tmpl w:val="00000013"/>
    <w:lvl w:ilvl="0" w:tentative="0">
      <w:start w:val="1"/>
      <w:numFmt w:val="bullet"/>
      <w:pStyle w:val="89"/>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lvlText w:val=""/>
      <w:lvlJc w:val="left"/>
      <w:pPr>
        <w:tabs>
          <w:tab w:val="left" w:pos="3480"/>
        </w:tabs>
        <w:ind w:left="3480" w:hanging="420"/>
      </w:pPr>
      <w:rPr>
        <w:rFonts w:hint="default" w:ascii="Wingdings" w:hAnsi="Wingdings"/>
      </w:rPr>
    </w:lvl>
    <w:lvl w:ilvl="7" w:tentative="0">
      <w:start w:val="1"/>
      <w:numFmt w:val="bullet"/>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abstractNum w:abstractNumId="5">
    <w:nsid w:val="3BDF8A56"/>
    <w:multiLevelType w:val="singleLevel"/>
    <w:tmpl w:val="3BDF8A56"/>
    <w:lvl w:ilvl="0" w:tentative="0">
      <w:start w:val="5"/>
      <w:numFmt w:val="chineseCounting"/>
      <w:suff w:val="nothing"/>
      <w:lvlText w:val="%1、"/>
      <w:lvlJc w:val="left"/>
      <w:rPr>
        <w:rFonts w:hint="eastAsia"/>
      </w:r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0YzhkNWEwOTFjNmVhN2QyOTA1ZDU4ZWU2NDcxODUifQ=="/>
  </w:docVars>
  <w:rsids>
    <w:rsidRoot w:val="00B51766"/>
    <w:rsid w:val="00035B83"/>
    <w:rsid w:val="00092208"/>
    <w:rsid w:val="001D2D12"/>
    <w:rsid w:val="001D31C3"/>
    <w:rsid w:val="00213A27"/>
    <w:rsid w:val="002A53E0"/>
    <w:rsid w:val="002B24DB"/>
    <w:rsid w:val="002F2DE5"/>
    <w:rsid w:val="0036166D"/>
    <w:rsid w:val="003706BD"/>
    <w:rsid w:val="00387449"/>
    <w:rsid w:val="003A0FE4"/>
    <w:rsid w:val="003A3D18"/>
    <w:rsid w:val="003D012C"/>
    <w:rsid w:val="00476380"/>
    <w:rsid w:val="004C0C3A"/>
    <w:rsid w:val="004D51AF"/>
    <w:rsid w:val="004E3C4A"/>
    <w:rsid w:val="0057177B"/>
    <w:rsid w:val="00574964"/>
    <w:rsid w:val="005D667D"/>
    <w:rsid w:val="006819F6"/>
    <w:rsid w:val="009439E8"/>
    <w:rsid w:val="00975E2E"/>
    <w:rsid w:val="00984D2E"/>
    <w:rsid w:val="009F669D"/>
    <w:rsid w:val="00A63C2D"/>
    <w:rsid w:val="00AB2E85"/>
    <w:rsid w:val="00AC0AA8"/>
    <w:rsid w:val="00AC6DBF"/>
    <w:rsid w:val="00AE0074"/>
    <w:rsid w:val="00B51766"/>
    <w:rsid w:val="00B64749"/>
    <w:rsid w:val="00B72750"/>
    <w:rsid w:val="00C50A15"/>
    <w:rsid w:val="00C81ED9"/>
    <w:rsid w:val="00CB5CE8"/>
    <w:rsid w:val="00E13C37"/>
    <w:rsid w:val="011E7DF6"/>
    <w:rsid w:val="026C61C5"/>
    <w:rsid w:val="02D8133F"/>
    <w:rsid w:val="03C81DBF"/>
    <w:rsid w:val="03CC57CB"/>
    <w:rsid w:val="03CE7E30"/>
    <w:rsid w:val="04713E1E"/>
    <w:rsid w:val="04BE182B"/>
    <w:rsid w:val="04E6665C"/>
    <w:rsid w:val="05185AEF"/>
    <w:rsid w:val="05B8144C"/>
    <w:rsid w:val="07433AA0"/>
    <w:rsid w:val="07EC6716"/>
    <w:rsid w:val="083802CA"/>
    <w:rsid w:val="08681266"/>
    <w:rsid w:val="08F06991"/>
    <w:rsid w:val="09000221"/>
    <w:rsid w:val="099A32B0"/>
    <w:rsid w:val="0A537C72"/>
    <w:rsid w:val="0BC92AF9"/>
    <w:rsid w:val="0DBF394B"/>
    <w:rsid w:val="0DEF4F3D"/>
    <w:rsid w:val="0E2F3E9F"/>
    <w:rsid w:val="0E805C82"/>
    <w:rsid w:val="0EBA1B2A"/>
    <w:rsid w:val="0EF6428A"/>
    <w:rsid w:val="0F661E3D"/>
    <w:rsid w:val="0F9B7D85"/>
    <w:rsid w:val="10564B8E"/>
    <w:rsid w:val="121976AB"/>
    <w:rsid w:val="15FC65B0"/>
    <w:rsid w:val="16232FA5"/>
    <w:rsid w:val="1722754F"/>
    <w:rsid w:val="1788782A"/>
    <w:rsid w:val="18604C6F"/>
    <w:rsid w:val="1A5D4F3A"/>
    <w:rsid w:val="1A772DAA"/>
    <w:rsid w:val="1B2A24B2"/>
    <w:rsid w:val="1B6077D0"/>
    <w:rsid w:val="1BC021BE"/>
    <w:rsid w:val="1C5C6604"/>
    <w:rsid w:val="1CD50C2A"/>
    <w:rsid w:val="1CDE52E8"/>
    <w:rsid w:val="1DBC0ADA"/>
    <w:rsid w:val="1DF11BF5"/>
    <w:rsid w:val="1E4C7B9E"/>
    <w:rsid w:val="1E5E3ECB"/>
    <w:rsid w:val="1E8E20FF"/>
    <w:rsid w:val="1F715C29"/>
    <w:rsid w:val="2001218B"/>
    <w:rsid w:val="2012571E"/>
    <w:rsid w:val="202C5B5E"/>
    <w:rsid w:val="218912A4"/>
    <w:rsid w:val="21FB6AA7"/>
    <w:rsid w:val="23422024"/>
    <w:rsid w:val="244F3A7B"/>
    <w:rsid w:val="25781413"/>
    <w:rsid w:val="25DB6B2D"/>
    <w:rsid w:val="26540CC8"/>
    <w:rsid w:val="28051C82"/>
    <w:rsid w:val="28F857D0"/>
    <w:rsid w:val="29110053"/>
    <w:rsid w:val="29356B84"/>
    <w:rsid w:val="29D46797"/>
    <w:rsid w:val="2A042FFB"/>
    <w:rsid w:val="2A6778FD"/>
    <w:rsid w:val="2B342580"/>
    <w:rsid w:val="2B85488A"/>
    <w:rsid w:val="2B85715B"/>
    <w:rsid w:val="2BA01053"/>
    <w:rsid w:val="2C180FB7"/>
    <w:rsid w:val="2CAA1A7B"/>
    <w:rsid w:val="2D6C3945"/>
    <w:rsid w:val="2D751EAD"/>
    <w:rsid w:val="2E3F0337"/>
    <w:rsid w:val="2E4B4EA3"/>
    <w:rsid w:val="2E562CF3"/>
    <w:rsid w:val="2E8E58C2"/>
    <w:rsid w:val="2F163F13"/>
    <w:rsid w:val="2F9844DC"/>
    <w:rsid w:val="2FE37A8D"/>
    <w:rsid w:val="30B03123"/>
    <w:rsid w:val="312D77E8"/>
    <w:rsid w:val="3253145E"/>
    <w:rsid w:val="32AC44BB"/>
    <w:rsid w:val="33021DCB"/>
    <w:rsid w:val="341A0E07"/>
    <w:rsid w:val="341E77FA"/>
    <w:rsid w:val="34BB356B"/>
    <w:rsid w:val="37A0313C"/>
    <w:rsid w:val="37E84E3B"/>
    <w:rsid w:val="388C7BDE"/>
    <w:rsid w:val="3896673B"/>
    <w:rsid w:val="39F2235D"/>
    <w:rsid w:val="3A28244A"/>
    <w:rsid w:val="3B06343F"/>
    <w:rsid w:val="3B424C96"/>
    <w:rsid w:val="3B7D7364"/>
    <w:rsid w:val="3C5842F7"/>
    <w:rsid w:val="3CDC3E9F"/>
    <w:rsid w:val="3CE326FA"/>
    <w:rsid w:val="3D475FDF"/>
    <w:rsid w:val="3DE71385"/>
    <w:rsid w:val="3E5C7514"/>
    <w:rsid w:val="3F5E3566"/>
    <w:rsid w:val="40A73B0F"/>
    <w:rsid w:val="40C56F18"/>
    <w:rsid w:val="413458C2"/>
    <w:rsid w:val="41B36B32"/>
    <w:rsid w:val="41DD79E5"/>
    <w:rsid w:val="426052B1"/>
    <w:rsid w:val="428F7B0F"/>
    <w:rsid w:val="42F14AB3"/>
    <w:rsid w:val="445A5141"/>
    <w:rsid w:val="45C85647"/>
    <w:rsid w:val="474820CD"/>
    <w:rsid w:val="47863A0C"/>
    <w:rsid w:val="4A5334F0"/>
    <w:rsid w:val="4B4B3231"/>
    <w:rsid w:val="4BB328DF"/>
    <w:rsid w:val="4C161EDA"/>
    <w:rsid w:val="4C3941D3"/>
    <w:rsid w:val="4CD109B5"/>
    <w:rsid w:val="4CD23704"/>
    <w:rsid w:val="4D2702A0"/>
    <w:rsid w:val="4D467EC5"/>
    <w:rsid w:val="4E873C20"/>
    <w:rsid w:val="4E8D4CA0"/>
    <w:rsid w:val="4F4F76A6"/>
    <w:rsid w:val="4F7E55F7"/>
    <w:rsid w:val="4F820A82"/>
    <w:rsid w:val="50974D8A"/>
    <w:rsid w:val="50E52B3B"/>
    <w:rsid w:val="50F352E5"/>
    <w:rsid w:val="516004FC"/>
    <w:rsid w:val="521C11F4"/>
    <w:rsid w:val="521F6F37"/>
    <w:rsid w:val="5225753D"/>
    <w:rsid w:val="52DA03BE"/>
    <w:rsid w:val="5376296A"/>
    <w:rsid w:val="53D13B73"/>
    <w:rsid w:val="54594B12"/>
    <w:rsid w:val="54672C1E"/>
    <w:rsid w:val="54C27F8B"/>
    <w:rsid w:val="553305C0"/>
    <w:rsid w:val="559E7AF4"/>
    <w:rsid w:val="562F78BA"/>
    <w:rsid w:val="56C33516"/>
    <w:rsid w:val="58567E28"/>
    <w:rsid w:val="594A6896"/>
    <w:rsid w:val="59751856"/>
    <w:rsid w:val="5A416886"/>
    <w:rsid w:val="5B246100"/>
    <w:rsid w:val="5B2C7FB6"/>
    <w:rsid w:val="5B4E10BC"/>
    <w:rsid w:val="5BDB5C7C"/>
    <w:rsid w:val="5CE16CBE"/>
    <w:rsid w:val="5CEC505F"/>
    <w:rsid w:val="5D777C27"/>
    <w:rsid w:val="5D804D2D"/>
    <w:rsid w:val="5E4D7F5B"/>
    <w:rsid w:val="5F0261EA"/>
    <w:rsid w:val="60267587"/>
    <w:rsid w:val="60B91EA7"/>
    <w:rsid w:val="61DE6114"/>
    <w:rsid w:val="621A1E94"/>
    <w:rsid w:val="623957E4"/>
    <w:rsid w:val="62776479"/>
    <w:rsid w:val="62AA7C6E"/>
    <w:rsid w:val="62D96C3F"/>
    <w:rsid w:val="6441227B"/>
    <w:rsid w:val="64CE449E"/>
    <w:rsid w:val="652171E2"/>
    <w:rsid w:val="657850EF"/>
    <w:rsid w:val="66201AB0"/>
    <w:rsid w:val="67AE1FDA"/>
    <w:rsid w:val="68AB1CB9"/>
    <w:rsid w:val="68BC1C72"/>
    <w:rsid w:val="694E5643"/>
    <w:rsid w:val="698B7FC2"/>
    <w:rsid w:val="6A202966"/>
    <w:rsid w:val="6A372C18"/>
    <w:rsid w:val="6CCE7137"/>
    <w:rsid w:val="6CEC726E"/>
    <w:rsid w:val="6CF90658"/>
    <w:rsid w:val="6CFF1ACE"/>
    <w:rsid w:val="6E161208"/>
    <w:rsid w:val="6ED178C7"/>
    <w:rsid w:val="70513ACE"/>
    <w:rsid w:val="708C17E3"/>
    <w:rsid w:val="70B331A3"/>
    <w:rsid w:val="70D662F1"/>
    <w:rsid w:val="724519FC"/>
    <w:rsid w:val="728E1843"/>
    <w:rsid w:val="72C664AB"/>
    <w:rsid w:val="73E80C30"/>
    <w:rsid w:val="73F973AB"/>
    <w:rsid w:val="741B0509"/>
    <w:rsid w:val="74C278DC"/>
    <w:rsid w:val="750E0A19"/>
    <w:rsid w:val="752C552F"/>
    <w:rsid w:val="75920C7C"/>
    <w:rsid w:val="76C515AB"/>
    <w:rsid w:val="76DA2571"/>
    <w:rsid w:val="76F261E5"/>
    <w:rsid w:val="778952E0"/>
    <w:rsid w:val="78585F2C"/>
    <w:rsid w:val="78957A98"/>
    <w:rsid w:val="78996AE1"/>
    <w:rsid w:val="78DB1C04"/>
    <w:rsid w:val="79102392"/>
    <w:rsid w:val="792F6C5F"/>
    <w:rsid w:val="794B3DB4"/>
    <w:rsid w:val="79FE143C"/>
    <w:rsid w:val="7A2D13ED"/>
    <w:rsid w:val="7A611CE4"/>
    <w:rsid w:val="7A7D38E4"/>
    <w:rsid w:val="7A996A8C"/>
    <w:rsid w:val="7ABA7F61"/>
    <w:rsid w:val="7ACB4CB6"/>
    <w:rsid w:val="7B1B5F06"/>
    <w:rsid w:val="7B3B1E3C"/>
    <w:rsid w:val="7B97648D"/>
    <w:rsid w:val="7BE36A89"/>
    <w:rsid w:val="7DFB4BB9"/>
    <w:rsid w:val="7F7B6DE4"/>
    <w:rsid w:val="7FF10F8E"/>
    <w:rsid w:val="7FF441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nhideWhenUsed="0" w:uiPriority="0"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qFormat/>
    <w:uiPriority w:val="0"/>
    <w:pPr>
      <w:keepNext/>
      <w:keepLines/>
      <w:spacing w:before="120" w:after="120"/>
      <w:jc w:val="center"/>
      <w:outlineLvl w:val="0"/>
    </w:pPr>
    <w:rPr>
      <w:b/>
      <w:spacing w:val="20"/>
      <w:kern w:val="44"/>
      <w:sz w:val="32"/>
    </w:rPr>
  </w:style>
  <w:style w:type="paragraph" w:styleId="3">
    <w:name w:val="heading 2"/>
    <w:basedOn w:val="1"/>
    <w:next w:val="1"/>
    <w:link w:val="49"/>
    <w:qFormat/>
    <w:uiPriority w:val="0"/>
    <w:pPr>
      <w:keepNext/>
      <w:keepLines/>
      <w:spacing w:line="400" w:lineRule="exact"/>
      <w:jc w:val="center"/>
      <w:outlineLvl w:val="1"/>
    </w:pPr>
    <w:rPr>
      <w:rFonts w:ascii="Arial" w:hAnsi="Arial"/>
      <w:b/>
      <w:kern w:val="0"/>
      <w:sz w:val="30"/>
    </w:rPr>
  </w:style>
  <w:style w:type="paragraph" w:styleId="4">
    <w:name w:val="heading 3"/>
    <w:basedOn w:val="1"/>
    <w:next w:val="1"/>
    <w:link w:val="50"/>
    <w:qFormat/>
    <w:uiPriority w:val="0"/>
    <w:pPr>
      <w:keepNext/>
      <w:keepLines/>
      <w:spacing w:before="60" w:after="60" w:line="500" w:lineRule="exact"/>
      <w:ind w:firstLine="510"/>
      <w:outlineLvl w:val="2"/>
    </w:pPr>
    <w:rPr>
      <w:rFonts w:ascii="宋体"/>
      <w:b/>
      <w:sz w:val="24"/>
    </w:rPr>
  </w:style>
  <w:style w:type="paragraph" w:styleId="5">
    <w:name w:val="heading 4"/>
    <w:basedOn w:val="1"/>
    <w:next w:val="1"/>
    <w:link w:val="51"/>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link w:val="52"/>
    <w:qFormat/>
    <w:uiPriority w:val="0"/>
    <w:pPr>
      <w:keepNext/>
      <w:jc w:val="center"/>
      <w:outlineLvl w:val="4"/>
    </w:pPr>
    <w:rPr>
      <w:rFonts w:ascii="仿宋_GB2312" w:eastAsia="仿宋_GB2312"/>
      <w:b/>
      <w:bCs/>
      <w:sz w:val="24"/>
    </w:rPr>
  </w:style>
  <w:style w:type="character" w:default="1" w:styleId="38">
    <w:name w:val="Default Paragraph Font"/>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qFormat/>
    <w:uiPriority w:val="0"/>
    <w:pPr>
      <w:ind w:left="1260"/>
      <w:jc w:val="left"/>
    </w:pPr>
    <w:rPr>
      <w:rFonts w:asciiTheme="minorHAnsi" w:eastAsiaTheme="minorHAnsi"/>
      <w:sz w:val="18"/>
      <w:szCs w:val="18"/>
    </w:rPr>
  </w:style>
  <w:style w:type="paragraph" w:styleId="8">
    <w:name w:val="Normal Indent"/>
    <w:basedOn w:val="1"/>
    <w:link w:val="59"/>
    <w:qFormat/>
    <w:uiPriority w:val="0"/>
    <w:pPr>
      <w:ind w:firstLine="420"/>
    </w:pPr>
    <w:rPr>
      <w:rFonts w:asciiTheme="minorHAnsi" w:hAnsiTheme="minorHAnsi" w:cstheme="minorBidi"/>
      <w:szCs w:val="22"/>
    </w:rPr>
  </w:style>
  <w:style w:type="paragraph" w:styleId="9">
    <w:name w:val="caption"/>
    <w:basedOn w:val="1"/>
    <w:next w:val="1"/>
    <w:qFormat/>
    <w:uiPriority w:val="0"/>
    <w:rPr>
      <w:rFonts w:ascii="Arial" w:hAnsi="Arial" w:eastAsia="黑体" w:cs="Arial"/>
      <w:sz w:val="20"/>
    </w:rPr>
  </w:style>
  <w:style w:type="paragraph" w:styleId="10">
    <w:name w:val="Document Map"/>
    <w:basedOn w:val="1"/>
    <w:link w:val="96"/>
    <w:qFormat/>
    <w:uiPriority w:val="0"/>
    <w:pPr>
      <w:shd w:val="clear" w:color="auto" w:fill="000080"/>
    </w:pPr>
  </w:style>
  <w:style w:type="paragraph" w:styleId="11">
    <w:name w:val="toa heading"/>
    <w:basedOn w:val="1"/>
    <w:next w:val="1"/>
    <w:qFormat/>
    <w:uiPriority w:val="0"/>
    <w:pPr>
      <w:spacing w:before="120"/>
    </w:pPr>
    <w:rPr>
      <w:rFonts w:ascii="Arial" w:hAnsi="Arial" w:cs="Arial"/>
      <w:sz w:val="24"/>
      <w:szCs w:val="24"/>
    </w:rPr>
  </w:style>
  <w:style w:type="paragraph" w:styleId="12">
    <w:name w:val="annotation text"/>
    <w:basedOn w:val="1"/>
    <w:link w:val="111"/>
    <w:qFormat/>
    <w:uiPriority w:val="0"/>
    <w:pPr>
      <w:jc w:val="left"/>
    </w:pPr>
    <w:rPr>
      <w:rFonts w:ascii="宋体" w:hAnsi="宋体"/>
    </w:rPr>
  </w:style>
  <w:style w:type="paragraph" w:styleId="13">
    <w:name w:val="Body Text"/>
    <w:basedOn w:val="1"/>
    <w:next w:val="1"/>
    <w:link w:val="91"/>
    <w:qFormat/>
    <w:uiPriority w:val="0"/>
    <w:pPr>
      <w:adjustRightInd w:val="0"/>
      <w:spacing w:line="440" w:lineRule="exact"/>
    </w:pPr>
    <w:rPr>
      <w:rFonts w:ascii="宋体" w:hAnsi="宋体"/>
      <w:bCs/>
      <w:color w:val="000000"/>
      <w:sz w:val="24"/>
    </w:rPr>
  </w:style>
  <w:style w:type="paragraph" w:styleId="14">
    <w:name w:val="Body Text Indent"/>
    <w:basedOn w:val="1"/>
    <w:link w:val="105"/>
    <w:qFormat/>
    <w:uiPriority w:val="0"/>
    <w:pPr>
      <w:spacing w:line="460" w:lineRule="exact"/>
      <w:ind w:firstLine="510"/>
    </w:pPr>
  </w:style>
  <w:style w:type="paragraph" w:styleId="15">
    <w:name w:val="toc 5"/>
    <w:basedOn w:val="1"/>
    <w:next w:val="1"/>
    <w:autoRedefine/>
    <w:unhideWhenUsed/>
    <w:qFormat/>
    <w:uiPriority w:val="39"/>
    <w:pPr>
      <w:ind w:left="840"/>
      <w:jc w:val="left"/>
    </w:pPr>
    <w:rPr>
      <w:rFonts w:asciiTheme="minorHAnsi" w:eastAsiaTheme="minorHAnsi"/>
      <w:sz w:val="18"/>
      <w:szCs w:val="18"/>
    </w:rPr>
  </w:style>
  <w:style w:type="paragraph" w:styleId="16">
    <w:name w:val="toc 3"/>
    <w:basedOn w:val="1"/>
    <w:next w:val="1"/>
    <w:qFormat/>
    <w:uiPriority w:val="39"/>
    <w:pPr>
      <w:ind w:left="420"/>
      <w:jc w:val="left"/>
    </w:pPr>
    <w:rPr>
      <w:rFonts w:asciiTheme="minorHAnsi" w:eastAsiaTheme="minorHAnsi"/>
      <w:i/>
      <w:iCs/>
      <w:sz w:val="20"/>
    </w:rPr>
  </w:style>
  <w:style w:type="paragraph" w:styleId="17">
    <w:name w:val="Plain Text"/>
    <w:basedOn w:val="1"/>
    <w:next w:val="1"/>
    <w:link w:val="71"/>
    <w:qFormat/>
    <w:uiPriority w:val="0"/>
    <w:rPr>
      <w:rFonts w:ascii="宋体" w:hAnsi="Courier New" w:cstheme="minorBidi"/>
      <w:szCs w:val="22"/>
    </w:rPr>
  </w:style>
  <w:style w:type="paragraph" w:styleId="18">
    <w:name w:val="toc 8"/>
    <w:basedOn w:val="1"/>
    <w:next w:val="1"/>
    <w:autoRedefine/>
    <w:unhideWhenUsed/>
    <w:qFormat/>
    <w:uiPriority w:val="39"/>
    <w:pPr>
      <w:ind w:left="1470"/>
      <w:jc w:val="left"/>
    </w:pPr>
    <w:rPr>
      <w:rFonts w:asciiTheme="minorHAnsi" w:eastAsiaTheme="minorHAnsi"/>
      <w:sz w:val="18"/>
      <w:szCs w:val="18"/>
    </w:rPr>
  </w:style>
  <w:style w:type="paragraph" w:styleId="19">
    <w:name w:val="Date"/>
    <w:basedOn w:val="1"/>
    <w:next w:val="1"/>
    <w:link w:val="108"/>
    <w:qFormat/>
    <w:uiPriority w:val="0"/>
    <w:pPr>
      <w:ind w:left="100" w:leftChars="2500"/>
    </w:pPr>
    <w:rPr>
      <w:rFonts w:eastAsia="楷体_GB2312"/>
      <w:sz w:val="48"/>
      <w:szCs w:val="24"/>
    </w:rPr>
  </w:style>
  <w:style w:type="paragraph" w:styleId="20">
    <w:name w:val="Body Text Indent 2"/>
    <w:basedOn w:val="1"/>
    <w:link w:val="81"/>
    <w:qFormat/>
    <w:uiPriority w:val="0"/>
    <w:pPr>
      <w:spacing w:line="500" w:lineRule="exact"/>
      <w:ind w:firstLine="510"/>
    </w:pPr>
    <w:rPr>
      <w:rFonts w:ascii="宋体"/>
      <w:sz w:val="24"/>
    </w:rPr>
  </w:style>
  <w:style w:type="paragraph" w:styleId="21">
    <w:name w:val="Balloon Text"/>
    <w:basedOn w:val="1"/>
    <w:link w:val="104"/>
    <w:qFormat/>
    <w:uiPriority w:val="0"/>
    <w:rPr>
      <w:sz w:val="18"/>
      <w:szCs w:val="18"/>
    </w:rPr>
  </w:style>
  <w:style w:type="paragraph" w:styleId="22">
    <w:name w:val="footer"/>
    <w:basedOn w:val="1"/>
    <w:link w:val="69"/>
    <w:qFormat/>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23">
    <w:name w:val="header"/>
    <w:basedOn w:val="1"/>
    <w:link w:val="94"/>
    <w:qFormat/>
    <w:uiPriority w:val="0"/>
    <w:pPr>
      <w:pBdr>
        <w:bottom w:val="single" w:color="auto" w:sz="6" w:space="1"/>
      </w:pBdr>
      <w:tabs>
        <w:tab w:val="center" w:pos="4153"/>
        <w:tab w:val="right" w:pos="8306"/>
      </w:tabs>
      <w:snapToGrid w:val="0"/>
      <w:jc w:val="center"/>
    </w:pPr>
    <w:rPr>
      <w:sz w:val="18"/>
    </w:rPr>
  </w:style>
  <w:style w:type="paragraph" w:styleId="24">
    <w:name w:val="toc 1"/>
    <w:basedOn w:val="1"/>
    <w:next w:val="1"/>
    <w:qFormat/>
    <w:uiPriority w:val="39"/>
    <w:pPr>
      <w:spacing w:before="120" w:after="120"/>
      <w:jc w:val="left"/>
    </w:pPr>
    <w:rPr>
      <w:rFonts w:asciiTheme="minorHAnsi" w:eastAsiaTheme="minorHAnsi"/>
      <w:b/>
      <w:bCs/>
      <w:caps/>
      <w:sz w:val="20"/>
    </w:rPr>
  </w:style>
  <w:style w:type="paragraph" w:styleId="25">
    <w:name w:val="toc 4"/>
    <w:basedOn w:val="1"/>
    <w:next w:val="1"/>
    <w:autoRedefine/>
    <w:unhideWhenUsed/>
    <w:qFormat/>
    <w:uiPriority w:val="39"/>
    <w:pPr>
      <w:ind w:left="630"/>
      <w:jc w:val="left"/>
    </w:pPr>
    <w:rPr>
      <w:rFonts w:asciiTheme="minorHAnsi" w:eastAsiaTheme="minorHAnsi"/>
      <w:sz w:val="18"/>
      <w:szCs w:val="18"/>
    </w:rPr>
  </w:style>
  <w:style w:type="paragraph" w:styleId="26">
    <w:name w:val="Subtitle"/>
    <w:basedOn w:val="1"/>
    <w:next w:val="1"/>
    <w:qFormat/>
    <w:uiPriority w:val="0"/>
    <w:pPr>
      <w:adjustRightInd w:val="0"/>
      <w:spacing w:after="60" w:line="360" w:lineRule="atLeast"/>
      <w:jc w:val="center"/>
      <w:textAlignment w:val="baseline"/>
    </w:pPr>
    <w:rPr>
      <w:rFonts w:ascii="Arial" w:hAnsi="Arial" w:eastAsia="黑体"/>
      <w:i/>
      <w:kern w:val="0"/>
      <w:sz w:val="24"/>
    </w:rPr>
  </w:style>
  <w:style w:type="paragraph" w:styleId="27">
    <w:name w:val="toc 6"/>
    <w:basedOn w:val="1"/>
    <w:next w:val="1"/>
    <w:autoRedefine/>
    <w:unhideWhenUsed/>
    <w:qFormat/>
    <w:uiPriority w:val="39"/>
    <w:pPr>
      <w:ind w:left="1050"/>
      <w:jc w:val="left"/>
    </w:pPr>
    <w:rPr>
      <w:rFonts w:asciiTheme="minorHAnsi" w:eastAsiaTheme="minorHAnsi"/>
      <w:sz w:val="18"/>
      <w:szCs w:val="18"/>
    </w:rPr>
  </w:style>
  <w:style w:type="paragraph" w:styleId="28">
    <w:name w:val="Body Text Indent 3"/>
    <w:basedOn w:val="1"/>
    <w:link w:val="87"/>
    <w:qFormat/>
    <w:uiPriority w:val="0"/>
    <w:pPr>
      <w:spacing w:line="360" w:lineRule="auto"/>
      <w:ind w:firstLine="480" w:firstLineChars="200"/>
    </w:pPr>
    <w:rPr>
      <w:sz w:val="24"/>
      <w:szCs w:val="24"/>
    </w:rPr>
  </w:style>
  <w:style w:type="paragraph" w:styleId="29">
    <w:name w:val="toc 2"/>
    <w:basedOn w:val="1"/>
    <w:next w:val="1"/>
    <w:qFormat/>
    <w:uiPriority w:val="39"/>
    <w:pPr>
      <w:ind w:left="210"/>
      <w:jc w:val="left"/>
    </w:pPr>
    <w:rPr>
      <w:rFonts w:asciiTheme="minorHAnsi" w:eastAsiaTheme="minorHAnsi"/>
      <w:smallCaps/>
      <w:sz w:val="20"/>
    </w:rPr>
  </w:style>
  <w:style w:type="paragraph" w:styleId="30">
    <w:name w:val="toc 9"/>
    <w:basedOn w:val="1"/>
    <w:next w:val="1"/>
    <w:autoRedefine/>
    <w:unhideWhenUsed/>
    <w:qFormat/>
    <w:uiPriority w:val="39"/>
    <w:pPr>
      <w:ind w:left="1680"/>
      <w:jc w:val="left"/>
    </w:pPr>
    <w:rPr>
      <w:rFonts w:asciiTheme="minorHAnsi" w:eastAsiaTheme="minorHAnsi"/>
      <w:sz w:val="18"/>
      <w:szCs w:val="18"/>
    </w:rPr>
  </w:style>
  <w:style w:type="paragraph" w:styleId="31">
    <w:name w:val="Body Text 2"/>
    <w:basedOn w:val="1"/>
    <w:link w:val="97"/>
    <w:qFormat/>
    <w:uiPriority w:val="0"/>
    <w:pPr>
      <w:spacing w:before="360"/>
    </w:pPr>
    <w:rPr>
      <w:rFonts w:ascii="仿宋_GB2312" w:eastAsia="仿宋_GB2312"/>
      <w:b/>
      <w:color w:val="000000"/>
      <w:kern w:val="0"/>
      <w:sz w:val="44"/>
    </w:rPr>
  </w:style>
  <w:style w:type="paragraph" w:styleId="32">
    <w:name w:val="HTML Preformatted"/>
    <w:basedOn w:val="1"/>
    <w:link w:val="11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3">
    <w:name w:val="Normal (Web)"/>
    <w:basedOn w:val="1"/>
    <w:qFormat/>
    <w:uiPriority w:val="0"/>
    <w:pPr>
      <w:widowControl/>
      <w:spacing w:before="100" w:beforeAutospacing="1" w:after="100" w:afterAutospacing="1" w:line="330" w:lineRule="atLeast"/>
      <w:jc w:val="left"/>
    </w:pPr>
    <w:rPr>
      <w:rFonts w:ascii="宋体" w:hAnsi="宋体" w:cs="宋体"/>
      <w:kern w:val="0"/>
      <w:sz w:val="18"/>
      <w:szCs w:val="18"/>
    </w:rPr>
  </w:style>
  <w:style w:type="paragraph" w:styleId="34">
    <w:name w:val="index 1"/>
    <w:basedOn w:val="1"/>
    <w:next w:val="1"/>
    <w:qFormat/>
    <w:uiPriority w:val="0"/>
    <w:rPr>
      <w:rFonts w:ascii="宋体" w:hAnsi="宋体"/>
      <w:sz w:val="24"/>
      <w:szCs w:val="24"/>
    </w:rPr>
  </w:style>
  <w:style w:type="paragraph" w:styleId="35">
    <w:name w:val="Body Text First Indent"/>
    <w:basedOn w:val="13"/>
    <w:next w:val="1"/>
    <w:qFormat/>
    <w:uiPriority w:val="0"/>
    <w:pPr>
      <w:ind w:firstLine="420" w:firstLineChars="100"/>
    </w:pPr>
    <w:rPr>
      <w:rFonts w:ascii="Calibri" w:hAnsi="Calibri"/>
      <w:szCs w:val="22"/>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bCs/>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99"/>
    <w:rPr>
      <w:color w:val="0000FF"/>
      <w:u w:val="single"/>
    </w:rPr>
  </w:style>
  <w:style w:type="character" w:styleId="43">
    <w:name w:val="annotation reference"/>
    <w:basedOn w:val="38"/>
    <w:semiHidden/>
    <w:unhideWhenUsed/>
    <w:qFormat/>
    <w:uiPriority w:val="99"/>
    <w:rPr>
      <w:sz w:val="21"/>
      <w:szCs w:val="21"/>
    </w:rPr>
  </w:style>
  <w:style w:type="paragraph" w:customStyle="1" w:styleId="44">
    <w:name w:val="style4"/>
    <w:basedOn w:val="45"/>
    <w:next w:val="46"/>
    <w:qFormat/>
    <w:uiPriority w:val="0"/>
    <w:pPr>
      <w:spacing w:before="100" w:beforeAutospacing="1" w:after="100" w:afterAutospacing="1"/>
      <w:jc w:val="left"/>
    </w:pPr>
    <w:rPr>
      <w:rFonts w:ascii="宋体" w:hAnsi="宋体" w:cs="宋体"/>
      <w:kern w:val="0"/>
      <w:sz w:val="18"/>
      <w:szCs w:val="18"/>
    </w:rPr>
  </w:style>
  <w:style w:type="paragraph" w:customStyle="1" w:styleId="45">
    <w:name w:val="正文1"/>
    <w:next w:val="35"/>
    <w:qFormat/>
    <w:uiPriority w:val="0"/>
    <w:pPr>
      <w:jc w:val="both"/>
    </w:pPr>
    <w:rPr>
      <w:rFonts w:ascii="Times New Roman" w:hAnsi="Times New Roman" w:eastAsia="宋体" w:cs="Times New Roman"/>
      <w:kern w:val="2"/>
      <w:sz w:val="21"/>
      <w:szCs w:val="21"/>
      <w:lang w:val="en-US" w:eastAsia="zh-CN" w:bidi="ar-SA"/>
    </w:rPr>
  </w:style>
  <w:style w:type="paragraph" w:customStyle="1" w:styleId="46">
    <w:name w:val="2"/>
    <w:basedOn w:val="1"/>
    <w:next w:val="1"/>
    <w:qFormat/>
    <w:uiPriority w:val="0"/>
    <w:pPr>
      <w:spacing w:line="360" w:lineRule="auto"/>
    </w:pPr>
    <w:rPr>
      <w:rFonts w:eastAsia="仿宋_GB2312"/>
      <w:sz w:val="28"/>
      <w:szCs w:val="28"/>
    </w:rPr>
  </w:style>
  <w:style w:type="paragraph" w:customStyle="1" w:styleId="47">
    <w:name w:val="表格文字"/>
    <w:basedOn w:val="1"/>
    <w:qFormat/>
    <w:uiPriority w:val="0"/>
    <w:pPr>
      <w:spacing w:before="25" w:after="25"/>
      <w:jc w:val="left"/>
    </w:pPr>
    <w:rPr>
      <w:bCs/>
      <w:spacing w:val="10"/>
      <w:kern w:val="0"/>
      <w:sz w:val="24"/>
    </w:rPr>
  </w:style>
  <w:style w:type="character" w:customStyle="1" w:styleId="48">
    <w:name w:val="标题 1 字符"/>
    <w:basedOn w:val="38"/>
    <w:link w:val="2"/>
    <w:qFormat/>
    <w:uiPriority w:val="0"/>
    <w:rPr>
      <w:rFonts w:ascii="Times New Roman" w:hAnsi="Times New Roman" w:eastAsia="宋体" w:cs="Times New Roman"/>
      <w:b/>
      <w:spacing w:val="20"/>
      <w:kern w:val="44"/>
      <w:sz w:val="32"/>
      <w:szCs w:val="20"/>
    </w:rPr>
  </w:style>
  <w:style w:type="character" w:customStyle="1" w:styleId="49">
    <w:name w:val="标题 2 字符"/>
    <w:basedOn w:val="38"/>
    <w:link w:val="3"/>
    <w:qFormat/>
    <w:uiPriority w:val="0"/>
    <w:rPr>
      <w:rFonts w:ascii="Arial" w:hAnsi="Arial" w:eastAsia="宋体" w:cs="Times New Roman"/>
      <w:b/>
      <w:kern w:val="0"/>
      <w:sz w:val="30"/>
      <w:szCs w:val="20"/>
    </w:rPr>
  </w:style>
  <w:style w:type="character" w:customStyle="1" w:styleId="50">
    <w:name w:val="标题 3 字符"/>
    <w:basedOn w:val="38"/>
    <w:link w:val="4"/>
    <w:qFormat/>
    <w:uiPriority w:val="0"/>
    <w:rPr>
      <w:rFonts w:ascii="宋体" w:hAnsi="Times New Roman" w:eastAsia="宋体" w:cs="Times New Roman"/>
      <w:b/>
      <w:sz w:val="24"/>
      <w:szCs w:val="20"/>
    </w:rPr>
  </w:style>
  <w:style w:type="character" w:customStyle="1" w:styleId="51">
    <w:name w:val="标题 4 字符"/>
    <w:basedOn w:val="38"/>
    <w:link w:val="5"/>
    <w:qFormat/>
    <w:uiPriority w:val="0"/>
    <w:rPr>
      <w:rFonts w:ascii="Arial" w:hAnsi="Arial" w:eastAsia="黑体" w:cs="Times New Roman"/>
      <w:b/>
      <w:bCs/>
      <w:sz w:val="28"/>
      <w:szCs w:val="28"/>
    </w:rPr>
  </w:style>
  <w:style w:type="character" w:customStyle="1" w:styleId="52">
    <w:name w:val="标题 5 字符"/>
    <w:basedOn w:val="38"/>
    <w:link w:val="6"/>
    <w:qFormat/>
    <w:uiPriority w:val="0"/>
    <w:rPr>
      <w:rFonts w:ascii="仿宋_GB2312" w:hAnsi="Times New Roman" w:eastAsia="仿宋_GB2312" w:cs="Times New Roman"/>
      <w:b/>
      <w:bCs/>
      <w:sz w:val="24"/>
      <w:szCs w:val="20"/>
    </w:rPr>
  </w:style>
  <w:style w:type="character" w:customStyle="1" w:styleId="53">
    <w:name w:val="正文段 Char"/>
    <w:link w:val="54"/>
    <w:qFormat/>
    <w:uiPriority w:val="0"/>
    <w:rPr>
      <w:rFonts w:ascii="宋体" w:eastAsia="宋体"/>
      <w:sz w:val="24"/>
    </w:rPr>
  </w:style>
  <w:style w:type="paragraph" w:customStyle="1" w:styleId="54">
    <w:name w:val="正文段"/>
    <w:basedOn w:val="1"/>
    <w:link w:val="53"/>
    <w:qFormat/>
    <w:uiPriority w:val="0"/>
    <w:pPr>
      <w:snapToGrid w:val="0"/>
      <w:spacing w:after="240" w:line="240" w:lineRule="atLeast"/>
      <w:ind w:firstLine="425"/>
    </w:pPr>
    <w:rPr>
      <w:rFonts w:ascii="宋体" w:hAnsiTheme="minorHAnsi" w:cstheme="minorBidi"/>
      <w:sz w:val="24"/>
      <w:szCs w:val="22"/>
    </w:rPr>
  </w:style>
  <w:style w:type="character" w:customStyle="1" w:styleId="55">
    <w:name w:val="规划正文 Char Char Char"/>
    <w:link w:val="56"/>
    <w:qFormat/>
    <w:uiPriority w:val="0"/>
    <w:rPr>
      <w:rFonts w:eastAsia="宋体"/>
      <w:sz w:val="28"/>
      <w:szCs w:val="28"/>
    </w:rPr>
  </w:style>
  <w:style w:type="paragraph" w:customStyle="1" w:styleId="56">
    <w:name w:val="规划正文 Char Char"/>
    <w:basedOn w:val="1"/>
    <w:link w:val="55"/>
    <w:qFormat/>
    <w:uiPriority w:val="0"/>
    <w:pPr>
      <w:widowControl/>
      <w:spacing w:line="360" w:lineRule="auto"/>
      <w:ind w:firstLine="200" w:firstLineChars="200"/>
      <w:jc w:val="left"/>
    </w:pPr>
    <w:rPr>
      <w:rFonts w:asciiTheme="minorHAnsi" w:hAnsiTheme="minorHAnsi" w:cstheme="minorBidi"/>
      <w:sz w:val="28"/>
      <w:szCs w:val="28"/>
    </w:rPr>
  </w:style>
  <w:style w:type="character" w:customStyle="1" w:styleId="57">
    <w:name w:val="font41"/>
    <w:qFormat/>
    <w:uiPriority w:val="0"/>
    <w:rPr>
      <w:rFonts w:hint="eastAsia" w:ascii="宋体" w:hAnsi="宋体" w:eastAsia="宋体" w:cs="宋体"/>
      <w:color w:val="000000"/>
      <w:sz w:val="18"/>
      <w:szCs w:val="18"/>
      <w:u w:val="none"/>
    </w:rPr>
  </w:style>
  <w:style w:type="character" w:customStyle="1" w:styleId="58">
    <w:name w:val="p41"/>
    <w:qFormat/>
    <w:uiPriority w:val="0"/>
    <w:rPr>
      <w:rFonts w:hint="eastAsia" w:ascii="宋体" w:hAnsi="宋体" w:eastAsia="宋体"/>
      <w:sz w:val="22"/>
      <w:szCs w:val="22"/>
    </w:rPr>
  </w:style>
  <w:style w:type="character" w:customStyle="1" w:styleId="59">
    <w:name w:val="正文缩进 字符"/>
    <w:link w:val="8"/>
    <w:qFormat/>
    <w:uiPriority w:val="0"/>
    <w:rPr>
      <w:rFonts w:eastAsia="宋体"/>
    </w:rPr>
  </w:style>
  <w:style w:type="character" w:customStyle="1" w:styleId="60">
    <w:name w:val="font21"/>
    <w:qFormat/>
    <w:uiPriority w:val="0"/>
    <w:rPr>
      <w:rFonts w:hint="eastAsia" w:ascii="宋体" w:hAnsi="宋体" w:eastAsia="宋体" w:cs="宋体"/>
      <w:color w:val="000000"/>
      <w:sz w:val="22"/>
      <w:szCs w:val="22"/>
      <w:u w:val="none"/>
    </w:rPr>
  </w:style>
  <w:style w:type="character" w:customStyle="1" w:styleId="61">
    <w:name w:val="font31"/>
    <w:qFormat/>
    <w:uiPriority w:val="0"/>
    <w:rPr>
      <w:rFonts w:hint="default" w:ascii="Arial" w:hAnsi="Arial" w:cs="Arial"/>
      <w:color w:val="000000"/>
      <w:sz w:val="18"/>
      <w:szCs w:val="18"/>
      <w:u w:val="none"/>
    </w:rPr>
  </w:style>
  <w:style w:type="character" w:customStyle="1" w:styleId="62">
    <w:name w:val="title_emph"/>
    <w:basedOn w:val="38"/>
    <w:qFormat/>
    <w:uiPriority w:val="0"/>
  </w:style>
  <w:style w:type="character" w:customStyle="1" w:styleId="63">
    <w:name w:val="para"/>
    <w:basedOn w:val="38"/>
    <w:qFormat/>
    <w:uiPriority w:val="0"/>
  </w:style>
  <w:style w:type="character" w:customStyle="1" w:styleId="64">
    <w:name w:val="small1"/>
    <w:qFormat/>
    <w:uiPriority w:val="0"/>
    <w:rPr>
      <w:rFonts w:hint="default" w:ascii="Verdana" w:hAnsi="Verdana"/>
      <w:sz w:val="17"/>
      <w:szCs w:val="17"/>
    </w:rPr>
  </w:style>
  <w:style w:type="character" w:customStyle="1" w:styleId="65">
    <w:name w:val="普通文字 Char1"/>
    <w:qFormat/>
    <w:uiPriority w:val="0"/>
    <w:rPr>
      <w:rFonts w:ascii="宋体" w:hAnsi="Courier New" w:eastAsia="宋体"/>
      <w:kern w:val="2"/>
      <w:sz w:val="21"/>
      <w:lang w:val="en-US" w:eastAsia="zh-CN" w:bidi="ar-SA"/>
    </w:rPr>
  </w:style>
  <w:style w:type="character" w:customStyle="1" w:styleId="66">
    <w:name w:val="font01"/>
    <w:qFormat/>
    <w:uiPriority w:val="0"/>
    <w:rPr>
      <w:rFonts w:hint="eastAsia" w:ascii="宋体" w:hAnsi="宋体" w:eastAsia="宋体" w:cs="宋体"/>
      <w:color w:val="000000"/>
      <w:sz w:val="18"/>
      <w:szCs w:val="18"/>
      <w:u w:val="none"/>
    </w:rPr>
  </w:style>
  <w:style w:type="character" w:customStyle="1" w:styleId="67">
    <w:name w:val="point_normal"/>
    <w:basedOn w:val="38"/>
    <w:qFormat/>
    <w:uiPriority w:val="0"/>
  </w:style>
  <w:style w:type="character" w:customStyle="1" w:styleId="68">
    <w:name w:val="Char Char2"/>
    <w:qFormat/>
    <w:uiPriority w:val="0"/>
    <w:rPr>
      <w:rFonts w:ascii="宋体" w:eastAsia="宋体"/>
      <w:kern w:val="2"/>
      <w:sz w:val="21"/>
      <w:lang w:val="en-US" w:eastAsia="zh-CN" w:bidi="ar-SA"/>
    </w:rPr>
  </w:style>
  <w:style w:type="character" w:customStyle="1" w:styleId="69">
    <w:name w:val="页脚 字符"/>
    <w:link w:val="22"/>
    <w:qFormat/>
    <w:uiPriority w:val="99"/>
    <w:rPr>
      <w:sz w:val="18"/>
    </w:rPr>
  </w:style>
  <w:style w:type="character" w:customStyle="1" w:styleId="70">
    <w:name w:val="正文（首行缩进两字） Char1"/>
    <w:qFormat/>
    <w:uiPriority w:val="0"/>
    <w:rPr>
      <w:rFonts w:eastAsia="宋体"/>
      <w:kern w:val="2"/>
      <w:sz w:val="21"/>
      <w:lang w:val="en-US" w:eastAsia="zh-CN" w:bidi="ar-SA"/>
    </w:rPr>
  </w:style>
  <w:style w:type="character" w:customStyle="1" w:styleId="71">
    <w:name w:val="纯文本 字符"/>
    <w:link w:val="17"/>
    <w:qFormat/>
    <w:uiPriority w:val="0"/>
    <w:rPr>
      <w:rFonts w:ascii="宋体" w:hAnsi="Courier New" w:eastAsia="宋体"/>
    </w:rPr>
  </w:style>
  <w:style w:type="character" w:customStyle="1" w:styleId="72">
    <w:name w:val="v151"/>
    <w:qFormat/>
    <w:uiPriority w:val="0"/>
    <w:rPr>
      <w:sz w:val="18"/>
      <w:szCs w:val="18"/>
    </w:rPr>
  </w:style>
  <w:style w:type="character" w:customStyle="1" w:styleId="73">
    <w:name w:val="style4 style5"/>
    <w:basedOn w:val="38"/>
    <w:qFormat/>
    <w:uiPriority w:val="0"/>
  </w:style>
  <w:style w:type="character" w:customStyle="1" w:styleId="74">
    <w:name w:val="标题 1 Char"/>
    <w:qFormat/>
    <w:uiPriority w:val="0"/>
    <w:rPr>
      <w:rFonts w:eastAsia="宋体"/>
      <w:b/>
      <w:bCs/>
      <w:kern w:val="44"/>
      <w:sz w:val="44"/>
      <w:lang w:val="en-US" w:eastAsia="zh-CN" w:bidi="ar-SA"/>
    </w:rPr>
  </w:style>
  <w:style w:type="character" w:customStyle="1" w:styleId="75">
    <w:name w:val="样式 规划正文 Char + 宋体 Char"/>
    <w:link w:val="76"/>
    <w:qFormat/>
    <w:uiPriority w:val="0"/>
    <w:rPr>
      <w:rFonts w:ascii="宋体" w:hAnsi="宋体" w:eastAsia="宋体"/>
      <w:sz w:val="28"/>
      <w:szCs w:val="28"/>
    </w:rPr>
  </w:style>
  <w:style w:type="paragraph" w:customStyle="1" w:styleId="76">
    <w:name w:val="样式 规划正文 Char + 宋体"/>
    <w:basedOn w:val="56"/>
    <w:link w:val="75"/>
    <w:qFormat/>
    <w:uiPriority w:val="0"/>
    <w:rPr>
      <w:rFonts w:ascii="宋体" w:hAnsi="宋体"/>
    </w:rPr>
  </w:style>
  <w:style w:type="paragraph" w:customStyle="1" w:styleId="77">
    <w:name w:val="列出段落1"/>
    <w:basedOn w:val="1"/>
    <w:qFormat/>
    <w:uiPriority w:val="34"/>
    <w:pPr>
      <w:ind w:left="720"/>
    </w:pPr>
    <w:rPr>
      <w:sz w:val="28"/>
    </w:rPr>
  </w:style>
  <w:style w:type="paragraph" w:customStyle="1" w:styleId="78">
    <w:name w:val="Char Char Char Char Char Char Char Char Char Char1"/>
    <w:basedOn w:val="1"/>
    <w:qFormat/>
    <w:uiPriority w:val="0"/>
    <w:pPr>
      <w:tabs>
        <w:tab w:val="left" w:pos="425"/>
      </w:tabs>
      <w:ind w:left="425" w:hanging="425"/>
    </w:pPr>
  </w:style>
  <w:style w:type="paragraph" w:customStyle="1" w:styleId="79">
    <w:name w:val="Char Char Char Char Char Char Char Char Char Char"/>
    <w:basedOn w:val="1"/>
    <w:qFormat/>
    <w:uiPriority w:val="0"/>
    <w:pPr>
      <w:spacing w:line="240" w:lineRule="atLeast"/>
      <w:ind w:left="420" w:firstLine="420"/>
    </w:pPr>
    <w:rPr>
      <w:kern w:val="0"/>
      <w:szCs w:val="21"/>
    </w:rPr>
  </w:style>
  <w:style w:type="paragraph" w:customStyle="1" w:styleId="80">
    <w:name w:val="Absatz2AL"/>
    <w:basedOn w:val="13"/>
    <w:next w:val="1"/>
    <w:qFormat/>
    <w:uiPriority w:val="0"/>
    <w:pPr>
      <w:widowControl/>
      <w:overflowPunct w:val="0"/>
      <w:autoSpaceDE w:val="0"/>
      <w:autoSpaceDN w:val="0"/>
      <w:spacing w:line="240" w:lineRule="auto"/>
    </w:pPr>
    <w:rPr>
      <w:rFonts w:ascii="Times New Roman" w:hAnsi="Times New Roman" w:eastAsia="楷体_GB2312"/>
      <w:bCs w:val="0"/>
      <w:color w:val="auto"/>
      <w:kern w:val="0"/>
      <w:lang w:val="de-DE"/>
    </w:rPr>
  </w:style>
  <w:style w:type="character" w:customStyle="1" w:styleId="81">
    <w:name w:val="正文文本缩进 2 字符"/>
    <w:basedOn w:val="38"/>
    <w:link w:val="20"/>
    <w:qFormat/>
    <w:uiPriority w:val="0"/>
    <w:rPr>
      <w:rFonts w:ascii="宋体" w:hAnsi="Times New Roman" w:eastAsia="宋体" w:cs="Times New Roman"/>
      <w:sz w:val="24"/>
      <w:szCs w:val="20"/>
    </w:rPr>
  </w:style>
  <w:style w:type="character" w:customStyle="1" w:styleId="82">
    <w:name w:val="页脚 字符1"/>
    <w:basedOn w:val="38"/>
    <w:semiHidden/>
    <w:qFormat/>
    <w:uiPriority w:val="99"/>
    <w:rPr>
      <w:rFonts w:ascii="Times New Roman" w:hAnsi="Times New Roman" w:eastAsia="宋体" w:cs="Times New Roman"/>
      <w:sz w:val="18"/>
      <w:szCs w:val="18"/>
    </w:rPr>
  </w:style>
  <w:style w:type="paragraph" w:customStyle="1" w:styleId="83">
    <w:name w:val="小标题"/>
    <w:basedOn w:val="84"/>
    <w:qFormat/>
    <w:uiPriority w:val="0"/>
    <w:pPr>
      <w:numPr>
        <w:numId w:val="1"/>
      </w:numPr>
      <w:tabs>
        <w:tab w:val="left" w:pos="360"/>
        <w:tab w:val="left" w:pos="814"/>
        <w:tab w:val="left" w:pos="920"/>
      </w:tabs>
      <w:ind w:left="737" w:hanging="283"/>
    </w:pPr>
  </w:style>
  <w:style w:type="paragraph" w:customStyle="1" w:styleId="84">
    <w:name w:val="样式 规划正文 Char + 宋体 两端对齐 首行缩进:  2 字符 行距: 固定值 26 磅"/>
    <w:basedOn w:val="56"/>
    <w:qFormat/>
    <w:uiPriority w:val="0"/>
    <w:pPr>
      <w:numPr>
        <w:ilvl w:val="0"/>
        <w:numId w:val="2"/>
      </w:numPr>
      <w:tabs>
        <w:tab w:val="left" w:pos="360"/>
        <w:tab w:val="clear" w:pos="840"/>
      </w:tabs>
      <w:spacing w:line="520" w:lineRule="exact"/>
      <w:ind w:left="0" w:firstLine="200" w:firstLineChars="0"/>
      <w:jc w:val="both"/>
    </w:pPr>
    <w:rPr>
      <w:rFonts w:ascii="宋体" w:hAnsi="宋体" w:cs="宋体"/>
      <w:szCs w:val="20"/>
    </w:rPr>
  </w:style>
  <w:style w:type="paragraph" w:customStyle="1" w:styleId="85">
    <w:name w:val="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86">
    <w:name w:val="规划正文"/>
    <w:basedOn w:val="1"/>
    <w:qFormat/>
    <w:uiPriority w:val="0"/>
    <w:pPr>
      <w:widowControl/>
      <w:spacing w:line="360" w:lineRule="auto"/>
      <w:ind w:firstLine="200" w:firstLineChars="200"/>
      <w:jc w:val="left"/>
    </w:pPr>
    <w:rPr>
      <w:kern w:val="0"/>
      <w:sz w:val="28"/>
      <w:szCs w:val="28"/>
    </w:rPr>
  </w:style>
  <w:style w:type="character" w:customStyle="1" w:styleId="87">
    <w:name w:val="正文文本缩进 3 字符"/>
    <w:basedOn w:val="38"/>
    <w:link w:val="28"/>
    <w:qFormat/>
    <w:uiPriority w:val="0"/>
    <w:rPr>
      <w:rFonts w:ascii="Times New Roman" w:hAnsi="Times New Roman" w:eastAsia="宋体" w:cs="Times New Roman"/>
      <w:sz w:val="24"/>
      <w:szCs w:val="24"/>
    </w:rPr>
  </w:style>
  <w:style w:type="paragraph" w:customStyle="1" w:styleId="88">
    <w:name w:val="并列项-点"/>
    <w:basedOn w:val="1"/>
    <w:qFormat/>
    <w:uiPriority w:val="0"/>
    <w:pPr>
      <w:numPr>
        <w:ilvl w:val="0"/>
        <w:numId w:val="3"/>
      </w:numPr>
      <w:tabs>
        <w:tab w:val="left" w:pos="840"/>
        <w:tab w:val="clear" w:pos="480"/>
      </w:tabs>
      <w:adjustRightInd w:val="0"/>
      <w:snapToGrid w:val="0"/>
      <w:spacing w:after="120" w:line="360" w:lineRule="exact"/>
      <w:ind w:left="840"/>
    </w:pPr>
    <w:rPr>
      <w:rFonts w:eastAsia="仿宋_GB2312"/>
      <w:sz w:val="32"/>
    </w:rPr>
  </w:style>
  <w:style w:type="paragraph" w:customStyle="1" w:styleId="89">
    <w:name w:val="要点1"/>
    <w:basedOn w:val="8"/>
    <w:qFormat/>
    <w:uiPriority w:val="0"/>
    <w:pPr>
      <w:numPr>
        <w:ilvl w:val="0"/>
        <w:numId w:val="4"/>
      </w:numPr>
      <w:spacing w:line="520" w:lineRule="exact"/>
      <w:ind w:left="0" w:firstLine="200" w:firstLineChars="200"/>
    </w:pPr>
    <w:rPr>
      <w:rFonts w:ascii="宋体" w:hAnsi="宋体"/>
      <w:sz w:val="28"/>
      <w:szCs w:val="28"/>
    </w:rPr>
  </w:style>
  <w:style w:type="paragraph" w:customStyle="1" w:styleId="90">
    <w:name w:val="字元 字元 字元 字元 字元"/>
    <w:basedOn w:val="1"/>
    <w:qFormat/>
    <w:uiPriority w:val="0"/>
  </w:style>
  <w:style w:type="character" w:customStyle="1" w:styleId="91">
    <w:name w:val="正文文本 字符"/>
    <w:basedOn w:val="38"/>
    <w:link w:val="13"/>
    <w:qFormat/>
    <w:uiPriority w:val="0"/>
    <w:rPr>
      <w:rFonts w:ascii="宋体" w:hAnsi="宋体" w:eastAsia="宋体" w:cs="Times New Roman"/>
      <w:bCs/>
      <w:color w:val="000000"/>
      <w:sz w:val="24"/>
      <w:szCs w:val="20"/>
    </w:rPr>
  </w:style>
  <w:style w:type="paragraph" w:customStyle="1" w:styleId="92">
    <w:name w:val="p0"/>
    <w:basedOn w:val="1"/>
    <w:qFormat/>
    <w:uiPriority w:val="0"/>
    <w:pPr>
      <w:widowControl/>
    </w:pPr>
    <w:rPr>
      <w:kern w:val="0"/>
      <w:szCs w:val="21"/>
    </w:rPr>
  </w:style>
  <w:style w:type="paragraph" w:customStyle="1" w:styleId="93">
    <w:name w:val="默认段落字体 Para Char"/>
    <w:basedOn w:val="1"/>
    <w:qFormat/>
    <w:uiPriority w:val="0"/>
  </w:style>
  <w:style w:type="character" w:customStyle="1" w:styleId="94">
    <w:name w:val="页眉 字符"/>
    <w:basedOn w:val="38"/>
    <w:link w:val="23"/>
    <w:qFormat/>
    <w:uiPriority w:val="0"/>
    <w:rPr>
      <w:rFonts w:ascii="Times New Roman" w:hAnsi="Times New Roman" w:eastAsia="宋体" w:cs="Times New Roman"/>
      <w:sz w:val="18"/>
      <w:szCs w:val="20"/>
    </w:rPr>
  </w:style>
  <w:style w:type="paragraph" w:customStyle="1" w:styleId="95">
    <w:name w:val="图片"/>
    <w:basedOn w:val="1"/>
    <w:next w:val="9"/>
    <w:qFormat/>
    <w:uiPriority w:val="0"/>
    <w:pPr>
      <w:keepNext/>
      <w:widowControl/>
      <w:jc w:val="left"/>
    </w:pPr>
    <w:rPr>
      <w:rFonts w:ascii="Garamond" w:hAnsi="Garamond"/>
      <w:kern w:val="0"/>
    </w:rPr>
  </w:style>
  <w:style w:type="character" w:customStyle="1" w:styleId="96">
    <w:name w:val="文档结构图 字符"/>
    <w:basedOn w:val="38"/>
    <w:link w:val="10"/>
    <w:qFormat/>
    <w:uiPriority w:val="0"/>
    <w:rPr>
      <w:rFonts w:ascii="Times New Roman" w:hAnsi="Times New Roman" w:eastAsia="宋体" w:cs="Times New Roman"/>
      <w:szCs w:val="20"/>
      <w:shd w:val="clear" w:color="auto" w:fill="000080"/>
    </w:rPr>
  </w:style>
  <w:style w:type="character" w:customStyle="1" w:styleId="97">
    <w:name w:val="正文文本 2 字符"/>
    <w:basedOn w:val="38"/>
    <w:link w:val="31"/>
    <w:qFormat/>
    <w:uiPriority w:val="0"/>
    <w:rPr>
      <w:rFonts w:ascii="仿宋_GB2312" w:hAnsi="Times New Roman" w:eastAsia="仿宋_GB2312" w:cs="Times New Roman"/>
      <w:b/>
      <w:color w:val="000000"/>
      <w:kern w:val="0"/>
      <w:sz w:val="44"/>
      <w:szCs w:val="20"/>
    </w:rPr>
  </w:style>
  <w:style w:type="paragraph" w:customStyle="1" w:styleId="98">
    <w:name w:val="09正文_wh"/>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paragraph" w:customStyle="1" w:styleId="99">
    <w:name w:val="表格内字体"/>
    <w:basedOn w:val="1"/>
    <w:qFormat/>
    <w:uiPriority w:val="0"/>
    <w:pPr>
      <w:spacing w:before="360" w:line="360" w:lineRule="auto"/>
      <w:jc w:val="center"/>
    </w:pPr>
    <w:rPr>
      <w:rFonts w:ascii="宋体" w:eastAsia="仿宋_GB2312"/>
    </w:rPr>
  </w:style>
  <w:style w:type="paragraph" w:customStyle="1" w:styleId="100">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character" w:customStyle="1" w:styleId="101">
    <w:name w:val="纯文本 字符1"/>
    <w:basedOn w:val="38"/>
    <w:semiHidden/>
    <w:qFormat/>
    <w:uiPriority w:val="99"/>
    <w:rPr>
      <w:rFonts w:hAnsi="Courier New" w:cs="Courier New" w:asciiTheme="minorEastAsia"/>
      <w:szCs w:val="20"/>
    </w:rPr>
  </w:style>
  <w:style w:type="paragraph" w:customStyle="1" w:styleId="102">
    <w:name w:val="字元 字元"/>
    <w:basedOn w:val="1"/>
    <w:qFormat/>
    <w:uiPriority w:val="0"/>
  </w:style>
  <w:style w:type="paragraph" w:customStyle="1" w:styleId="103">
    <w:name w:val="新编号"/>
    <w:basedOn w:val="84"/>
    <w:qFormat/>
    <w:uiPriority w:val="0"/>
    <w:pPr>
      <w:numPr>
        <w:numId w:val="5"/>
      </w:numPr>
      <w:tabs>
        <w:tab w:val="left" w:pos="0"/>
        <w:tab w:val="clear" w:pos="360"/>
      </w:tabs>
    </w:pPr>
    <w:rPr>
      <w:kern w:val="0"/>
    </w:rPr>
  </w:style>
  <w:style w:type="character" w:customStyle="1" w:styleId="104">
    <w:name w:val="批注框文本 字符"/>
    <w:basedOn w:val="38"/>
    <w:link w:val="21"/>
    <w:qFormat/>
    <w:uiPriority w:val="0"/>
    <w:rPr>
      <w:rFonts w:ascii="Times New Roman" w:hAnsi="Times New Roman" w:eastAsia="宋体" w:cs="Times New Roman"/>
      <w:sz w:val="18"/>
      <w:szCs w:val="18"/>
    </w:rPr>
  </w:style>
  <w:style w:type="character" w:customStyle="1" w:styleId="105">
    <w:name w:val="正文文本缩进 字符"/>
    <w:basedOn w:val="38"/>
    <w:link w:val="14"/>
    <w:qFormat/>
    <w:uiPriority w:val="0"/>
    <w:rPr>
      <w:rFonts w:ascii="Times New Roman" w:hAnsi="Times New Roman" w:eastAsia="宋体" w:cs="Times New Roman"/>
      <w:szCs w:val="20"/>
    </w:rPr>
  </w:style>
  <w:style w:type="paragraph" w:customStyle="1" w:styleId="106">
    <w:name w:val="Char1"/>
    <w:basedOn w:val="1"/>
    <w:qFormat/>
    <w:uiPriority w:val="0"/>
    <w:rPr>
      <w:rFonts w:ascii="仿宋_GB2312" w:eastAsia="仿宋_GB2312"/>
      <w:b/>
      <w:sz w:val="32"/>
      <w:szCs w:val="32"/>
    </w:rPr>
  </w:style>
  <w:style w:type="paragraph" w:customStyle="1" w:styleId="107">
    <w:name w:val="Char Char Char Char"/>
    <w:basedOn w:val="1"/>
    <w:qFormat/>
    <w:uiPriority w:val="0"/>
    <w:pPr>
      <w:widowControl/>
      <w:spacing w:after="160" w:line="240" w:lineRule="exact"/>
      <w:jc w:val="left"/>
    </w:pPr>
    <w:rPr>
      <w:rFonts w:ascii="Verdana" w:hAnsi="Verdana" w:eastAsia="仿宋_GB2312"/>
      <w:kern w:val="0"/>
      <w:sz w:val="24"/>
      <w:lang w:eastAsia="en-US"/>
    </w:rPr>
  </w:style>
  <w:style w:type="character" w:customStyle="1" w:styleId="108">
    <w:name w:val="日期 字符"/>
    <w:basedOn w:val="38"/>
    <w:link w:val="19"/>
    <w:qFormat/>
    <w:uiPriority w:val="0"/>
    <w:rPr>
      <w:rFonts w:ascii="Times New Roman" w:hAnsi="Times New Roman" w:eastAsia="楷体_GB2312" w:cs="Times New Roman"/>
      <w:sz w:val="48"/>
      <w:szCs w:val="24"/>
    </w:rPr>
  </w:style>
  <w:style w:type="paragraph" w:customStyle="1" w:styleId="109">
    <w:name w:val="Char Char5 Char Char"/>
    <w:basedOn w:val="1"/>
    <w:qFormat/>
    <w:uiPriority w:val="0"/>
    <w:pPr>
      <w:adjustRightInd w:val="0"/>
      <w:spacing w:line="360" w:lineRule="auto"/>
    </w:pPr>
    <w:rPr>
      <w:kern w:val="0"/>
      <w:sz w:val="24"/>
    </w:rPr>
  </w:style>
  <w:style w:type="character" w:customStyle="1" w:styleId="110">
    <w:name w:val="HTML 预设格式 字符"/>
    <w:basedOn w:val="38"/>
    <w:link w:val="32"/>
    <w:qFormat/>
    <w:uiPriority w:val="0"/>
    <w:rPr>
      <w:rFonts w:ascii="宋体" w:hAnsi="宋体" w:eastAsia="宋体" w:cs="宋体"/>
      <w:kern w:val="0"/>
      <w:sz w:val="24"/>
      <w:szCs w:val="24"/>
    </w:rPr>
  </w:style>
  <w:style w:type="character" w:customStyle="1" w:styleId="111">
    <w:name w:val="批注文字 字符"/>
    <w:basedOn w:val="38"/>
    <w:link w:val="12"/>
    <w:qFormat/>
    <w:uiPriority w:val="0"/>
    <w:rPr>
      <w:rFonts w:ascii="宋体" w:hAnsi="宋体" w:eastAsia="宋体" w:cs="Times New Roman"/>
      <w:szCs w:val="20"/>
    </w:rPr>
  </w:style>
  <w:style w:type="paragraph" w:styleId="112">
    <w:name w:val="List Paragraph"/>
    <w:basedOn w:val="1"/>
    <w:qFormat/>
    <w:uiPriority w:val="0"/>
    <w:pPr>
      <w:ind w:firstLine="420" w:firstLineChars="200"/>
    </w:pPr>
  </w:style>
  <w:style w:type="character" w:customStyle="1" w:styleId="113">
    <w:name w:val="font71"/>
    <w:basedOn w:val="38"/>
    <w:qFormat/>
    <w:uiPriority w:val="0"/>
    <w:rPr>
      <w:rFonts w:hint="eastAsia" w:ascii="宋体" w:hAnsi="宋体" w:eastAsia="宋体" w:cs="宋体"/>
      <w:color w:val="000000"/>
      <w:sz w:val="22"/>
      <w:szCs w:val="22"/>
      <w:u w:val="none"/>
    </w:rPr>
  </w:style>
  <w:style w:type="paragraph" w:customStyle="1" w:styleId="114">
    <w:name w:val="Table Paragraph"/>
    <w:basedOn w:val="1"/>
    <w:qFormat/>
    <w:uiPriority w:val="1"/>
    <w:rPr>
      <w:rFonts w:ascii="宋体" w:hAnsi="宋体" w:cs="宋体"/>
      <w:lang w:val="zh-CN" w:bidi="zh-CN"/>
    </w:rPr>
  </w:style>
  <w:style w:type="paragraph" w:customStyle="1" w:styleId="11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116">
    <w:name w:val="无"/>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DE0DA7-F06E-41BE-ACB2-702298A002C0}">
  <ds:schemaRefs/>
</ds:datastoreItem>
</file>

<file path=docProps/app.xml><?xml version="1.0" encoding="utf-8"?>
<Properties xmlns="http://schemas.openxmlformats.org/officeDocument/2006/extended-properties" xmlns:vt="http://schemas.openxmlformats.org/officeDocument/2006/docPropsVTypes">
  <Template>Normal.dotm</Template>
  <Pages>62</Pages>
  <Words>18437</Words>
  <Characters>20533</Characters>
  <Lines>280</Lines>
  <Paragraphs>79</Paragraphs>
  <TotalTime>5</TotalTime>
  <ScaleCrop>false</ScaleCrop>
  <LinksUpToDate>false</LinksUpToDate>
  <CharactersWithSpaces>20878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2026-05-12T03:09:00Z</dcterms:created>
  <dc:creator>维康 王</dc:creator>
  <cp:lastModifiedBy>✎﹏ℳ๓ζั͡₯㎕...</cp:lastModifiedBy>
  <cp:lastPrinted>2020-12-24T11:04:00Z</cp:lastPrinted>
  <dcterms:modified xsi:type="dcterms:W3CDTF">2026-05-29T08:24:32Z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B32263CFBF83426791A4D3EA675FDB2E</vt:lpwstr>
  </property>
  <property fmtid="{D5CDD505-2E9C-101B-9397-08002B2CF9AE}" pid="4" name="KSOTemplateDocerSaveRecord">
    <vt:lpwstr>eyJoZGlkIjoiYmRjYjI4OWEzM2QwYmJhMzU2MTEzMmJlMzMxMmU2YzYiLCJ1c2VySWQiOiI2MTM1NzAwODAifQ==</vt:lpwstr>
  </property>
</Properties>
</file>