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3DFA0">
      <w:pPr>
        <w:pStyle w:val="7"/>
        <w:spacing w:line="255" w:lineRule="auto"/>
        <w:rPr>
          <w:rFonts w:hint="eastAsia" w:ascii="仿宋" w:hAnsi="仿宋" w:eastAsia="仿宋" w:cs="仿宋"/>
          <w:color w:val="auto"/>
          <w:highlight w:val="none"/>
        </w:rPr>
      </w:pPr>
    </w:p>
    <w:p w14:paraId="48A8A22F">
      <w:pPr>
        <w:pStyle w:val="7"/>
        <w:spacing w:line="255" w:lineRule="auto"/>
        <w:jc w:val="center"/>
        <w:rPr>
          <w:rFonts w:hint="eastAsia" w:ascii="仿宋" w:hAnsi="仿宋" w:eastAsia="仿宋" w:cs="仿宋"/>
          <w:color w:val="auto"/>
          <w:highlight w:val="none"/>
        </w:rPr>
      </w:pPr>
    </w:p>
    <w:p w14:paraId="1DB9534E">
      <w:pPr>
        <w:spacing w:before="212" w:line="225" w:lineRule="auto"/>
        <w:jc w:val="center"/>
        <w:rPr>
          <w:rFonts w:hint="eastAsia" w:ascii="方正小标宋简体" w:hAnsi="方正小标宋简体" w:eastAsia="方正小标宋简体" w:cs="方正小标宋简体"/>
          <w:b/>
          <w:bCs/>
          <w:color w:val="auto"/>
          <w:spacing w:val="20"/>
          <w:sz w:val="48"/>
          <w:szCs w:val="48"/>
          <w:highlight w:val="none"/>
          <w:lang w:eastAsia="zh-CN"/>
        </w:rPr>
      </w:pPr>
      <w:r>
        <w:rPr>
          <w:rFonts w:hint="eastAsia" w:ascii="方正小标宋简体" w:hAnsi="方正小标宋简体" w:eastAsia="方正小标宋简体" w:cs="方正小标宋简体"/>
          <w:b/>
          <w:bCs/>
          <w:color w:val="auto"/>
          <w:spacing w:val="20"/>
          <w:sz w:val="48"/>
          <w:szCs w:val="48"/>
          <w:highlight w:val="none"/>
          <w:lang w:eastAsia="zh-CN"/>
        </w:rPr>
        <w:t>中华人民共和国新疆出入境边防检查总站繁育种犬及待训警犬采购项目</w:t>
      </w:r>
    </w:p>
    <w:p w14:paraId="2021D9CC">
      <w:pPr>
        <w:spacing w:before="212" w:line="225" w:lineRule="auto"/>
        <w:jc w:val="center"/>
        <w:rPr>
          <w:rFonts w:hint="eastAsia" w:ascii="仿宋" w:hAnsi="仿宋" w:eastAsia="仿宋" w:cs="仿宋"/>
          <w:b/>
          <w:bCs/>
          <w:color w:val="auto"/>
          <w:spacing w:val="20"/>
          <w:sz w:val="34"/>
          <w:szCs w:val="34"/>
          <w:highlight w:val="none"/>
          <w:lang w:eastAsia="zh-CN"/>
        </w:rPr>
      </w:pPr>
    </w:p>
    <w:p w14:paraId="058BF273">
      <w:pPr>
        <w:spacing w:before="212" w:line="225" w:lineRule="auto"/>
        <w:jc w:val="center"/>
        <w:rPr>
          <w:rFonts w:hint="eastAsia" w:ascii="方正小标宋简体" w:hAnsi="方正小标宋简体" w:eastAsia="方正小标宋简体" w:cs="方正小标宋简体"/>
          <w:color w:val="auto"/>
          <w:sz w:val="52"/>
          <w:szCs w:val="52"/>
          <w:highlight w:val="none"/>
        </w:rPr>
      </w:pPr>
      <w:bookmarkStart w:id="0" w:name="_Toc11348"/>
      <w:r>
        <w:rPr>
          <w:rFonts w:hint="eastAsia" w:ascii="方正小标宋简体" w:hAnsi="方正小标宋简体" w:eastAsia="方正小标宋简体" w:cs="方正小标宋简体"/>
          <w:b/>
          <w:bCs/>
          <w:color w:val="auto"/>
          <w:spacing w:val="15"/>
          <w:sz w:val="52"/>
          <w:szCs w:val="52"/>
          <w:highlight w:val="none"/>
        </w:rPr>
        <w:t>竞争性谈判文件</w:t>
      </w:r>
      <w:bookmarkEnd w:id="0"/>
    </w:p>
    <w:p w14:paraId="407DC71A">
      <w:pPr>
        <w:rPr>
          <w:rFonts w:hint="eastAsia" w:ascii="仿宋" w:hAnsi="仿宋" w:eastAsia="仿宋" w:cs="仿宋"/>
          <w:color w:val="auto"/>
          <w:highlight w:val="none"/>
        </w:rPr>
      </w:pPr>
    </w:p>
    <w:p w14:paraId="0C9AAE66">
      <w:pPr>
        <w:pStyle w:val="7"/>
        <w:rPr>
          <w:rFonts w:hint="eastAsia" w:ascii="仿宋" w:hAnsi="仿宋" w:eastAsia="仿宋" w:cs="仿宋"/>
          <w:color w:val="auto"/>
          <w:highlight w:val="none"/>
        </w:rPr>
      </w:pPr>
    </w:p>
    <w:p w14:paraId="1C4869FE">
      <w:pPr>
        <w:pStyle w:val="7"/>
        <w:spacing w:line="272" w:lineRule="auto"/>
        <w:rPr>
          <w:rFonts w:hint="eastAsia" w:ascii="仿宋" w:hAnsi="仿宋" w:eastAsia="仿宋" w:cs="仿宋"/>
          <w:color w:val="auto"/>
          <w:highlight w:val="none"/>
        </w:rPr>
      </w:pPr>
    </w:p>
    <w:p w14:paraId="7CBDFE6C">
      <w:pPr>
        <w:pStyle w:val="7"/>
        <w:spacing w:line="272" w:lineRule="auto"/>
        <w:jc w:val="center"/>
        <w:rPr>
          <w:rFonts w:hint="eastAsia" w:ascii="仿宋" w:hAnsi="仿宋" w:eastAsia="仿宋" w:cs="仿宋"/>
          <w:color w:val="auto"/>
          <w:highlight w:val="none"/>
        </w:rPr>
      </w:pPr>
    </w:p>
    <w:p w14:paraId="7BBDA817">
      <w:pPr>
        <w:pStyle w:val="7"/>
        <w:spacing w:line="272" w:lineRule="auto"/>
        <w:jc w:val="center"/>
        <w:rPr>
          <w:rFonts w:hint="eastAsia" w:ascii="仿宋" w:hAnsi="仿宋" w:eastAsia="仿宋" w:cs="仿宋"/>
          <w:color w:val="auto"/>
          <w:highlight w:val="none"/>
        </w:rPr>
      </w:pPr>
    </w:p>
    <w:p w14:paraId="5BC81AAC">
      <w:pPr>
        <w:pStyle w:val="7"/>
        <w:spacing w:line="272" w:lineRule="auto"/>
        <w:jc w:val="center"/>
        <w:rPr>
          <w:rFonts w:hint="eastAsia" w:ascii="仿宋" w:hAnsi="仿宋" w:eastAsia="仿宋" w:cs="仿宋"/>
          <w:color w:val="auto"/>
          <w:highlight w:val="none"/>
        </w:rPr>
      </w:pPr>
    </w:p>
    <w:p w14:paraId="406E01ED">
      <w:pPr>
        <w:pStyle w:val="7"/>
        <w:spacing w:line="272" w:lineRule="auto"/>
        <w:jc w:val="both"/>
        <w:rPr>
          <w:rFonts w:hint="eastAsia" w:ascii="仿宋" w:hAnsi="仿宋" w:eastAsia="仿宋" w:cs="仿宋"/>
          <w:color w:val="auto"/>
          <w:highlight w:val="none"/>
        </w:rPr>
      </w:pPr>
    </w:p>
    <w:p w14:paraId="67060D4B">
      <w:pPr>
        <w:pStyle w:val="7"/>
        <w:spacing w:line="272" w:lineRule="auto"/>
        <w:jc w:val="center"/>
        <w:rPr>
          <w:rFonts w:hint="eastAsia" w:ascii="仿宋" w:hAnsi="仿宋" w:eastAsia="仿宋" w:cs="仿宋"/>
          <w:color w:val="auto"/>
          <w:highlight w:val="none"/>
        </w:rPr>
      </w:pPr>
    </w:p>
    <w:p w14:paraId="2A5476D1">
      <w:pPr>
        <w:pStyle w:val="7"/>
        <w:spacing w:line="272" w:lineRule="auto"/>
        <w:jc w:val="center"/>
        <w:rPr>
          <w:rFonts w:hint="eastAsia" w:ascii="仿宋" w:hAnsi="仿宋" w:eastAsia="仿宋" w:cs="仿宋"/>
          <w:color w:val="auto"/>
          <w:highlight w:val="none"/>
        </w:rPr>
      </w:pPr>
    </w:p>
    <w:p w14:paraId="098C8A5E">
      <w:pPr>
        <w:spacing w:before="94" w:line="223" w:lineRule="auto"/>
        <w:rPr>
          <w:rFonts w:hint="eastAsia" w:ascii="仿宋" w:hAnsi="仿宋" w:eastAsia="仿宋" w:cs="仿宋"/>
          <w:color w:val="auto"/>
          <w:spacing w:val="8"/>
          <w:sz w:val="29"/>
          <w:szCs w:val="29"/>
          <w:highlight w:val="none"/>
        </w:rPr>
      </w:pPr>
    </w:p>
    <w:p w14:paraId="5CAD8776">
      <w:pPr>
        <w:spacing w:before="94" w:line="223" w:lineRule="auto"/>
        <w:jc w:val="center"/>
        <w:rPr>
          <w:rFonts w:hint="eastAsia" w:ascii="仿宋" w:hAnsi="仿宋" w:eastAsia="仿宋" w:cs="仿宋"/>
          <w:color w:val="auto"/>
          <w:sz w:val="29"/>
          <w:szCs w:val="29"/>
          <w:highlight w:val="none"/>
          <w:lang w:eastAsia="zh-CN"/>
        </w:rPr>
      </w:pPr>
      <w:bookmarkStart w:id="1" w:name="_Toc13682"/>
      <w:r>
        <w:rPr>
          <w:rFonts w:hint="eastAsia" w:ascii="仿宋" w:hAnsi="仿宋" w:eastAsia="仿宋" w:cs="仿宋"/>
          <w:color w:val="auto"/>
          <w:spacing w:val="8"/>
          <w:sz w:val="29"/>
          <w:szCs w:val="29"/>
          <w:highlight w:val="none"/>
          <w:lang w:eastAsia="zh-CN"/>
        </w:rPr>
        <w:t>（全流程电子化评标）</w:t>
      </w:r>
      <w:bookmarkEnd w:id="1"/>
    </w:p>
    <w:p w14:paraId="7451943C">
      <w:pPr>
        <w:pStyle w:val="7"/>
        <w:spacing w:line="338" w:lineRule="auto"/>
        <w:rPr>
          <w:rFonts w:hint="eastAsia" w:ascii="仿宋" w:hAnsi="仿宋" w:eastAsia="仿宋" w:cs="仿宋"/>
          <w:color w:val="auto"/>
          <w:highlight w:val="none"/>
          <w:lang w:eastAsia="zh-CN"/>
        </w:rPr>
      </w:pPr>
    </w:p>
    <w:p w14:paraId="4F7CA219">
      <w:pPr>
        <w:pStyle w:val="7"/>
        <w:spacing w:line="351" w:lineRule="auto"/>
        <w:rPr>
          <w:rFonts w:hint="eastAsia" w:ascii="仿宋" w:hAnsi="仿宋" w:eastAsia="仿宋" w:cs="仿宋"/>
          <w:b/>
          <w:bCs/>
          <w:color w:val="auto"/>
          <w:highlight w:val="none"/>
          <w:lang w:eastAsia="zh-CN"/>
        </w:rPr>
      </w:pPr>
      <w:r>
        <w:rPr>
          <w:rFonts w:hint="eastAsia" w:ascii="仿宋" w:hAnsi="仿宋" w:eastAsia="仿宋" w:cs="仿宋"/>
          <w:b/>
          <w:bCs/>
          <w:color w:val="auto"/>
          <w:spacing w:val="5"/>
          <w:sz w:val="29"/>
          <w:szCs w:val="29"/>
          <w:highlight w:val="none"/>
          <w:lang w:eastAsia="zh-CN"/>
        </w:rPr>
        <w:t>项目名称：中华人民共和国新疆出入境边防检查总站繁育种犬及待训警犬采购项目</w:t>
      </w:r>
    </w:p>
    <w:p w14:paraId="7E1E6A4B">
      <w:pPr>
        <w:spacing w:before="94" w:line="224" w:lineRule="auto"/>
        <w:ind w:left="3"/>
        <w:rPr>
          <w:rFonts w:hint="eastAsia" w:ascii="仿宋" w:hAnsi="仿宋" w:eastAsia="仿宋" w:cs="仿宋"/>
          <w:b/>
          <w:bCs/>
          <w:color w:val="auto"/>
          <w:highlight w:val="none"/>
          <w:lang w:eastAsia="zh-CN"/>
        </w:rPr>
      </w:pPr>
      <w:bookmarkStart w:id="2" w:name="_Toc30539"/>
      <w:r>
        <w:rPr>
          <w:rFonts w:hint="eastAsia" w:ascii="仿宋" w:hAnsi="仿宋" w:eastAsia="仿宋" w:cs="仿宋"/>
          <w:b/>
          <w:bCs/>
          <w:color w:val="auto"/>
          <w:spacing w:val="4"/>
          <w:sz w:val="29"/>
          <w:szCs w:val="29"/>
          <w:highlight w:val="none"/>
          <w:lang w:eastAsia="zh-CN"/>
        </w:rPr>
        <w:t>项目编号：</w:t>
      </w:r>
      <w:bookmarkEnd w:id="2"/>
      <w:r>
        <w:rPr>
          <w:rFonts w:hint="eastAsia" w:ascii="仿宋" w:hAnsi="仿宋" w:eastAsia="仿宋" w:cs="仿宋"/>
          <w:b/>
          <w:bCs/>
          <w:color w:val="auto"/>
          <w:spacing w:val="4"/>
          <w:sz w:val="29"/>
          <w:szCs w:val="29"/>
          <w:highlight w:val="none"/>
          <w:lang w:eastAsia="zh-CN"/>
        </w:rPr>
        <w:t>hcxjczt-2026-527</w:t>
      </w:r>
    </w:p>
    <w:p w14:paraId="5E6BCD2C">
      <w:pPr>
        <w:pStyle w:val="7"/>
        <w:spacing w:line="315" w:lineRule="auto"/>
        <w:rPr>
          <w:rFonts w:hint="eastAsia" w:ascii="仿宋" w:hAnsi="仿宋" w:eastAsia="仿宋" w:cs="仿宋"/>
          <w:b/>
          <w:bCs/>
          <w:color w:val="auto"/>
          <w:highlight w:val="none"/>
          <w:lang w:eastAsia="zh-CN"/>
        </w:rPr>
      </w:pPr>
    </w:p>
    <w:p w14:paraId="02FE5D39">
      <w:pPr>
        <w:spacing w:before="95" w:line="223" w:lineRule="auto"/>
        <w:rPr>
          <w:rFonts w:hint="eastAsia" w:ascii="仿宋" w:hAnsi="仿宋" w:eastAsia="仿宋" w:cs="仿宋"/>
          <w:b/>
          <w:bCs/>
          <w:color w:val="auto"/>
          <w:sz w:val="29"/>
          <w:szCs w:val="29"/>
          <w:highlight w:val="none"/>
          <w:lang w:eastAsia="zh-CN"/>
        </w:rPr>
      </w:pPr>
      <w:bookmarkStart w:id="3" w:name="_Toc25815"/>
      <w:r>
        <w:rPr>
          <w:rFonts w:hint="eastAsia" w:ascii="仿宋" w:hAnsi="仿宋" w:eastAsia="仿宋" w:cs="仿宋"/>
          <w:b/>
          <w:bCs/>
          <w:color w:val="auto"/>
          <w:spacing w:val="-6"/>
          <w:sz w:val="29"/>
          <w:szCs w:val="29"/>
          <w:highlight w:val="none"/>
          <w:lang w:eastAsia="zh-CN"/>
        </w:rPr>
        <w:t>采 购 人：中华人民共和国新疆出入境边防检查总站</w:t>
      </w:r>
      <w:bookmarkEnd w:id="3"/>
    </w:p>
    <w:p w14:paraId="18FC25C7">
      <w:pPr>
        <w:pStyle w:val="7"/>
        <w:spacing w:line="307" w:lineRule="auto"/>
        <w:rPr>
          <w:rFonts w:hint="eastAsia" w:ascii="仿宋" w:hAnsi="仿宋" w:eastAsia="仿宋" w:cs="仿宋"/>
          <w:b/>
          <w:bCs/>
          <w:color w:val="auto"/>
          <w:highlight w:val="none"/>
          <w:lang w:eastAsia="zh-CN"/>
        </w:rPr>
      </w:pPr>
    </w:p>
    <w:p w14:paraId="319056C2">
      <w:pPr>
        <w:spacing w:before="95" w:line="493" w:lineRule="exact"/>
        <w:rPr>
          <w:rFonts w:hint="eastAsia" w:ascii="仿宋" w:hAnsi="仿宋" w:eastAsia="仿宋" w:cs="仿宋"/>
          <w:b/>
          <w:bCs/>
          <w:color w:val="auto"/>
          <w:spacing w:val="-7"/>
          <w:position w:val="14"/>
          <w:sz w:val="29"/>
          <w:szCs w:val="29"/>
          <w:highlight w:val="none"/>
          <w:lang w:eastAsia="zh-CN"/>
        </w:rPr>
      </w:pPr>
      <w:r>
        <w:rPr>
          <w:rFonts w:hint="eastAsia" w:ascii="仿宋" w:hAnsi="仿宋" w:eastAsia="仿宋" w:cs="仿宋"/>
          <w:b/>
          <w:bCs/>
          <w:color w:val="auto"/>
          <w:spacing w:val="-7"/>
          <w:position w:val="14"/>
          <w:sz w:val="29"/>
          <w:szCs w:val="29"/>
          <w:highlight w:val="none"/>
          <w:lang w:eastAsia="zh-CN"/>
        </w:rPr>
        <w:t>采购代理机构：华春建设工程项目管理有限责任公司</w:t>
      </w:r>
    </w:p>
    <w:p w14:paraId="70CBE3DC">
      <w:pPr>
        <w:spacing w:before="95" w:line="493" w:lineRule="exact"/>
        <w:rPr>
          <w:rFonts w:hint="eastAsia" w:ascii="仿宋" w:hAnsi="仿宋" w:eastAsia="仿宋" w:cs="仿宋"/>
          <w:color w:val="auto"/>
          <w:spacing w:val="-7"/>
          <w:position w:val="14"/>
          <w:sz w:val="29"/>
          <w:szCs w:val="29"/>
          <w:highlight w:val="none"/>
          <w:lang w:eastAsia="zh-CN"/>
        </w:rPr>
      </w:pPr>
    </w:p>
    <w:p w14:paraId="7DEE9886">
      <w:pPr>
        <w:spacing w:before="1" w:line="225" w:lineRule="auto"/>
        <w:ind w:left="3689"/>
        <w:rPr>
          <w:rFonts w:hint="eastAsia" w:ascii="仿宋" w:hAnsi="仿宋" w:eastAsia="仿宋" w:cs="仿宋"/>
          <w:color w:val="auto"/>
          <w:spacing w:val="-5"/>
          <w:sz w:val="29"/>
          <w:szCs w:val="29"/>
          <w:highlight w:val="none"/>
        </w:rPr>
      </w:pPr>
      <w:r>
        <w:rPr>
          <w:rFonts w:hint="eastAsia" w:ascii="仿宋" w:hAnsi="仿宋" w:eastAsia="仿宋" w:cs="仿宋"/>
          <w:color w:val="auto"/>
          <w:spacing w:val="-5"/>
          <w:sz w:val="29"/>
          <w:szCs w:val="29"/>
          <w:highlight w:val="none"/>
        </w:rPr>
        <w:t>202</w:t>
      </w:r>
      <w:r>
        <w:rPr>
          <w:rFonts w:hint="eastAsia" w:ascii="仿宋" w:hAnsi="仿宋" w:eastAsia="仿宋" w:cs="仿宋"/>
          <w:color w:val="auto"/>
          <w:spacing w:val="-5"/>
          <w:sz w:val="29"/>
          <w:szCs w:val="29"/>
          <w:highlight w:val="none"/>
          <w:lang w:val="en-US" w:eastAsia="zh-CN"/>
        </w:rPr>
        <w:t>6</w:t>
      </w:r>
      <w:r>
        <w:rPr>
          <w:rFonts w:hint="eastAsia" w:ascii="仿宋" w:hAnsi="仿宋" w:eastAsia="仿宋" w:cs="仿宋"/>
          <w:color w:val="auto"/>
          <w:spacing w:val="-5"/>
          <w:sz w:val="29"/>
          <w:szCs w:val="29"/>
          <w:highlight w:val="none"/>
        </w:rPr>
        <w:t>年0</w:t>
      </w:r>
      <w:r>
        <w:rPr>
          <w:rFonts w:hint="eastAsia" w:ascii="仿宋" w:hAnsi="仿宋" w:eastAsia="仿宋" w:cs="仿宋"/>
          <w:color w:val="auto"/>
          <w:spacing w:val="-5"/>
          <w:sz w:val="29"/>
          <w:szCs w:val="29"/>
          <w:highlight w:val="none"/>
          <w:lang w:val="en-US" w:eastAsia="zh-CN"/>
        </w:rPr>
        <w:t>5</w:t>
      </w:r>
      <w:r>
        <w:rPr>
          <w:rFonts w:hint="eastAsia" w:ascii="仿宋" w:hAnsi="仿宋" w:eastAsia="仿宋" w:cs="仿宋"/>
          <w:color w:val="auto"/>
          <w:spacing w:val="-5"/>
          <w:sz w:val="29"/>
          <w:szCs w:val="29"/>
          <w:highlight w:val="none"/>
        </w:rPr>
        <w:t>月</w:t>
      </w:r>
    </w:p>
    <w:p w14:paraId="233B07FA">
      <w:pPr>
        <w:pStyle w:val="7"/>
        <w:spacing w:line="268" w:lineRule="auto"/>
        <w:rPr>
          <w:rFonts w:hint="eastAsia" w:ascii="仿宋" w:hAnsi="仿宋" w:eastAsia="仿宋" w:cs="仿宋"/>
          <w:color w:val="auto"/>
          <w:highlight w:val="none"/>
        </w:rPr>
        <w:sectPr>
          <w:headerReference r:id="rId3" w:type="default"/>
          <w:footerReference r:id="rId4" w:type="default"/>
          <w:pgSz w:w="11906" w:h="16838"/>
          <w:pgMar w:top="1440" w:right="1077" w:bottom="1440" w:left="1077" w:header="0" w:footer="805" w:gutter="0"/>
          <w:cols w:space="720" w:num="1"/>
        </w:sectPr>
      </w:pPr>
    </w:p>
    <w:p w14:paraId="62E9E359">
      <w:pPr>
        <w:pStyle w:val="7"/>
        <w:spacing w:line="268" w:lineRule="auto"/>
        <w:rPr>
          <w:rFonts w:hint="eastAsia" w:ascii="仿宋" w:hAnsi="仿宋" w:eastAsia="仿宋" w:cs="仿宋"/>
          <w:color w:val="auto"/>
          <w:highlight w:val="none"/>
        </w:rPr>
      </w:pPr>
    </w:p>
    <w:sdt>
      <w:sdtPr>
        <w:rPr>
          <w:rFonts w:hint="eastAsia" w:ascii="仿宋" w:hAnsi="仿宋" w:eastAsia="仿宋" w:cs="仿宋"/>
          <w:color w:val="auto"/>
          <w:highlight w:val="none"/>
        </w:rPr>
        <w:id w:val="147480244"/>
        <w15:color w:val="DBDBDB"/>
        <w:docPartObj>
          <w:docPartGallery w:val="Table of Contents"/>
          <w:docPartUnique/>
        </w:docPartObj>
      </w:sdtPr>
      <w:sdtEndPr>
        <w:rPr>
          <w:rFonts w:hint="eastAsia" w:ascii="仿宋" w:hAnsi="仿宋" w:eastAsia="仿宋" w:cs="仿宋"/>
          <w:color w:val="auto"/>
          <w:highlight w:val="none"/>
        </w:rPr>
      </w:sdtEndPr>
      <w:sdtContent>
        <w:p w14:paraId="6C2FE454">
          <w:pPr>
            <w:spacing w:line="480" w:lineRule="auto"/>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目</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rPr>
            <w:t>录</w:t>
          </w:r>
        </w:p>
        <w:p w14:paraId="48182B7E">
          <w:pPr>
            <w:pStyle w:val="16"/>
            <w:tabs>
              <w:tab w:val="right" w:leader="dot" w:pos="8691"/>
            </w:tabs>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TOC \o "1-3" \h \u </w:instrText>
          </w:r>
          <w:r>
            <w:rPr>
              <w:rFonts w:hint="eastAsia" w:ascii="仿宋" w:hAnsi="仿宋" w:eastAsia="仿宋" w:cs="仿宋"/>
              <w:color w:val="auto"/>
              <w:sz w:val="24"/>
              <w:szCs w:val="24"/>
              <w:highlight w:val="none"/>
            </w:rPr>
            <w:fldChar w:fldCharType="separate"/>
          </w:r>
        </w:p>
        <w:p w14:paraId="4688CD73">
          <w:pPr>
            <w:pStyle w:val="16"/>
            <w:tabs>
              <w:tab w:val="right" w:leader="dot" w:pos="8691"/>
            </w:tabs>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"_Toc13565"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rPr>
            <w:t>第一章谈判公告</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_Toc13565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1AE80DE">
          <w:pPr>
            <w:pStyle w:val="16"/>
            <w:tabs>
              <w:tab w:val="right" w:leader="dot" w:pos="8691"/>
            </w:tabs>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"_Toc6274"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5"/>
              <w:sz w:val="24"/>
              <w:szCs w:val="24"/>
              <w:highlight w:val="none"/>
            </w:rPr>
            <w:t>第二章谈判须知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_Toc6274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01AB060">
          <w:pPr>
            <w:pStyle w:val="16"/>
            <w:tabs>
              <w:tab w:val="right" w:leader="dot" w:pos="8691"/>
            </w:tabs>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"_Toc1940"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rPr>
            <w:t>第三章采购需求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3254E3">
          <w:pPr>
            <w:pStyle w:val="16"/>
            <w:tabs>
              <w:tab w:val="right" w:leader="dot" w:pos="8691"/>
            </w:tabs>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"_Toc6109"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rPr>
            <w:t>第四章评审方法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_Toc6109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F3AE9DA">
          <w:pPr>
            <w:pStyle w:val="16"/>
            <w:tabs>
              <w:tab w:val="right" w:leader="dot" w:pos="8691"/>
            </w:tabs>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"_Toc28374"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3"/>
              <w:sz w:val="24"/>
              <w:szCs w:val="24"/>
              <w:highlight w:val="none"/>
            </w:rPr>
            <w:t>第五章合同</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_Toc28374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9581624">
          <w:pPr>
            <w:pStyle w:val="16"/>
            <w:tabs>
              <w:tab w:val="right" w:leader="dot" w:pos="8691"/>
            </w:tabs>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"_Toc5171"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3"/>
              <w:sz w:val="24"/>
              <w:szCs w:val="24"/>
              <w:highlight w:val="none"/>
            </w:rPr>
            <w:t>第六章响应文件格式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_Toc5171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82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8C24CF3">
          <w:pPr>
            <w:pStyle w:val="17"/>
            <w:tabs>
              <w:tab w:val="right" w:leader="dot" w:pos="8691"/>
            </w:tabs>
            <w:spacing w:line="480" w:lineRule="auto"/>
            <w:ind w:left="840"/>
            <w:rPr>
              <w:rFonts w:hint="eastAsia" w:ascii="仿宋" w:hAnsi="仿宋" w:eastAsia="仿宋" w:cs="仿宋"/>
              <w:color w:val="auto"/>
              <w:sz w:val="24"/>
              <w:szCs w:val="24"/>
              <w:highlight w:val="none"/>
            </w:rPr>
          </w:pPr>
        </w:p>
        <w:p w14:paraId="1740F935">
          <w:pPr>
            <w:spacing w:line="480" w:lineRule="auto"/>
            <w:rPr>
              <w:rFonts w:hint="eastAsia" w:ascii="仿宋" w:hAnsi="仿宋" w:eastAsia="仿宋" w:cs="仿宋"/>
              <w:color w:val="auto"/>
              <w:highlight w:val="none"/>
            </w:rPr>
          </w:pPr>
          <w:r>
            <w:rPr>
              <w:rFonts w:hint="eastAsia" w:ascii="仿宋" w:hAnsi="仿宋" w:eastAsia="仿宋" w:cs="仿宋"/>
              <w:color w:val="auto"/>
              <w:sz w:val="24"/>
              <w:szCs w:val="24"/>
              <w:highlight w:val="none"/>
            </w:rPr>
            <w:fldChar w:fldCharType="end"/>
          </w:r>
        </w:p>
      </w:sdtContent>
    </w:sdt>
    <w:p w14:paraId="4BD0EE2C">
      <w:pPr>
        <w:rPr>
          <w:rFonts w:hint="eastAsia" w:ascii="仿宋" w:hAnsi="仿宋" w:eastAsia="仿宋" w:cs="仿宋"/>
          <w:color w:val="auto"/>
          <w:highlight w:val="none"/>
        </w:rPr>
      </w:pPr>
    </w:p>
    <w:p w14:paraId="6E1C148D">
      <w:pPr>
        <w:spacing w:line="186" w:lineRule="auto"/>
        <w:rPr>
          <w:rFonts w:hint="eastAsia" w:ascii="仿宋" w:hAnsi="仿宋" w:eastAsia="仿宋" w:cs="仿宋"/>
          <w:color w:val="auto"/>
          <w:sz w:val="28"/>
          <w:szCs w:val="28"/>
          <w:highlight w:val="none"/>
        </w:rPr>
        <w:sectPr>
          <w:footerReference r:id="rId5" w:type="default"/>
          <w:pgSz w:w="11906" w:h="16838"/>
          <w:pgMar w:top="1440" w:right="1800" w:bottom="1440" w:left="1800" w:header="0" w:footer="805" w:gutter="0"/>
          <w:pgNumType w:start="1"/>
          <w:cols w:space="720" w:num="1"/>
        </w:sectPr>
      </w:pPr>
    </w:p>
    <w:p w14:paraId="6B286925">
      <w:pPr>
        <w:pStyle w:val="2"/>
        <w:spacing w:before="111" w:line="240" w:lineRule="auto"/>
        <w:jc w:val="center"/>
        <w:rPr>
          <w:rFonts w:hint="eastAsia" w:ascii="仿宋" w:hAnsi="仿宋" w:eastAsia="仿宋" w:cs="仿宋"/>
          <w:color w:val="auto"/>
          <w:highlight w:val="none"/>
        </w:rPr>
      </w:pPr>
      <w:bookmarkStart w:id="4" w:name="_Toc25309"/>
      <w:r>
        <w:rPr>
          <w:rFonts w:hint="eastAsia" w:ascii="仿宋" w:hAnsi="仿宋" w:eastAsia="仿宋" w:cs="仿宋"/>
          <w:color w:val="auto"/>
          <w:highlight w:val="none"/>
        </w:rPr>
        <w:t>第一章谈判公告</w:t>
      </w:r>
    </w:p>
    <w:tbl>
      <w:tblPr>
        <w:tblStyle w:val="18"/>
        <w:tblW w:w="880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00"/>
      </w:tblGrid>
      <w:tr w14:paraId="565105D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32" w:hRule="atLeast"/>
        </w:trPr>
        <w:tc>
          <w:tcPr>
            <w:tcW w:w="8800" w:type="dxa"/>
          </w:tcPr>
          <w:p w14:paraId="549B9039">
            <w:pPr>
              <w:spacing w:before="58" w:line="191"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项目概况：</w:t>
            </w:r>
          </w:p>
          <w:p w14:paraId="3E355B66">
            <w:pPr>
              <w:pStyle w:val="19"/>
              <w:spacing w:before="157" w:line="285" w:lineRule="auto"/>
              <w:ind w:left="93" w:right="124" w:firstLine="476"/>
              <w:rPr>
                <w:rFonts w:hint="eastAsia" w:ascii="仿宋" w:hAnsi="仿宋" w:eastAsia="仿宋" w:cs="仿宋"/>
                <w:color w:val="auto"/>
                <w:highlight w:val="none"/>
                <w:lang w:eastAsia="zh-CN"/>
              </w:rPr>
            </w:pPr>
            <w:r>
              <w:rPr>
                <w:rFonts w:hint="eastAsia" w:ascii="仿宋" w:hAnsi="仿宋" w:eastAsia="仿宋" w:cs="仿宋"/>
                <w:color w:val="auto"/>
                <w:spacing w:val="9"/>
                <w:sz w:val="24"/>
                <w:szCs w:val="24"/>
                <w:highlight w:val="none"/>
                <w:u w:val="single"/>
                <w:lang w:eastAsia="zh-CN"/>
              </w:rPr>
              <w:t>中华人民共和国新疆出入境边防检查总站繁育种犬及待训警犬采购项目</w:t>
            </w:r>
            <w:r>
              <w:rPr>
                <w:rFonts w:hint="eastAsia" w:ascii="仿宋" w:hAnsi="仿宋" w:eastAsia="仿宋" w:cs="仿宋"/>
                <w:color w:val="auto"/>
                <w:spacing w:val="9"/>
                <w:sz w:val="24"/>
                <w:szCs w:val="24"/>
                <w:highlight w:val="none"/>
                <w:lang w:eastAsia="zh-CN"/>
              </w:rPr>
              <w:t>的潜在供应商应登陆政采</w:t>
            </w:r>
            <w:r>
              <w:rPr>
                <w:rFonts w:hint="eastAsia" w:ascii="仿宋" w:hAnsi="仿宋" w:eastAsia="仿宋" w:cs="仿宋"/>
                <w:color w:val="auto"/>
                <w:spacing w:val="12"/>
                <w:sz w:val="24"/>
                <w:szCs w:val="24"/>
                <w:highlight w:val="none"/>
                <w:lang w:eastAsia="zh-CN"/>
              </w:rPr>
              <w:t>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https</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z w:val="24"/>
                <w:szCs w:val="24"/>
                <w:highlight w:val="none"/>
                <w:lang w:eastAsia="zh-CN"/>
              </w:rPr>
              <w:t>www</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z w:val="24"/>
                <w:szCs w:val="24"/>
                <w:highlight w:val="none"/>
                <w:lang w:eastAsia="zh-CN"/>
              </w:rPr>
              <w:t>zcygov</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z w:val="24"/>
                <w:szCs w:val="24"/>
                <w:highlight w:val="none"/>
                <w:lang w:eastAsia="zh-CN"/>
              </w:rPr>
              <w:t>cn</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pacing w:val="12"/>
                <w:sz w:val="24"/>
                <w:szCs w:val="24"/>
                <w:highlight w:val="none"/>
                <w:lang w:eastAsia="zh-CN"/>
              </w:rPr>
              <w:fldChar w:fldCharType="end"/>
            </w:r>
            <w:r>
              <w:rPr>
                <w:rFonts w:hint="eastAsia" w:ascii="仿宋" w:hAnsi="仿宋" w:eastAsia="仿宋" w:cs="仿宋"/>
                <w:color w:val="auto"/>
                <w:spacing w:val="12"/>
                <w:sz w:val="24"/>
                <w:szCs w:val="24"/>
                <w:highlight w:val="none"/>
                <w:lang w:eastAsia="zh-CN"/>
              </w:rPr>
              <w:t>在线申请获取采购文件，并于</w:t>
            </w:r>
            <w:r>
              <w:rPr>
                <w:rFonts w:hint="eastAsia" w:ascii="仿宋" w:hAnsi="仿宋" w:eastAsia="仿宋" w:cs="仿宋"/>
                <w:color w:val="auto"/>
                <w:spacing w:val="6"/>
                <w:sz w:val="24"/>
                <w:szCs w:val="24"/>
                <w:highlight w:val="none"/>
                <w:lang w:eastAsia="zh-CN"/>
              </w:rPr>
              <w:t>202</w:t>
            </w:r>
            <w:r>
              <w:rPr>
                <w:rFonts w:hint="eastAsia" w:ascii="仿宋" w:hAnsi="仿宋" w:eastAsia="仿宋" w:cs="仿宋"/>
                <w:color w:val="auto"/>
                <w:spacing w:val="6"/>
                <w:sz w:val="24"/>
                <w:szCs w:val="24"/>
                <w:highlight w:val="none"/>
                <w:lang w:val="en-US" w:eastAsia="zh-CN"/>
              </w:rPr>
              <w:t>6</w:t>
            </w:r>
            <w:r>
              <w:rPr>
                <w:rFonts w:hint="eastAsia" w:ascii="仿宋" w:hAnsi="仿宋" w:eastAsia="仿宋" w:cs="仿宋"/>
                <w:color w:val="auto"/>
                <w:spacing w:val="6"/>
                <w:sz w:val="24"/>
                <w:szCs w:val="24"/>
                <w:highlight w:val="none"/>
                <w:lang w:eastAsia="zh-CN"/>
              </w:rPr>
              <w:t>年</w:t>
            </w:r>
            <w:r>
              <w:rPr>
                <w:rFonts w:hint="eastAsia" w:ascii="仿宋" w:hAnsi="仿宋" w:eastAsia="仿宋" w:cs="仿宋"/>
                <w:color w:val="auto"/>
                <w:spacing w:val="6"/>
                <w:sz w:val="24"/>
                <w:szCs w:val="24"/>
                <w:highlight w:val="none"/>
                <w:lang w:val="en-US" w:eastAsia="zh-CN"/>
              </w:rPr>
              <w:t>06</w:t>
            </w:r>
            <w:r>
              <w:rPr>
                <w:rFonts w:hint="eastAsia" w:ascii="仿宋" w:hAnsi="仿宋" w:eastAsia="仿宋" w:cs="仿宋"/>
                <w:color w:val="auto"/>
                <w:spacing w:val="6"/>
                <w:sz w:val="24"/>
                <w:szCs w:val="24"/>
                <w:highlight w:val="none"/>
                <w:lang w:eastAsia="zh-CN"/>
              </w:rPr>
              <w:t>月</w:t>
            </w:r>
            <w:r>
              <w:rPr>
                <w:rFonts w:hint="eastAsia" w:ascii="仿宋" w:hAnsi="仿宋" w:eastAsia="仿宋" w:cs="仿宋"/>
                <w:color w:val="auto"/>
                <w:spacing w:val="6"/>
                <w:sz w:val="24"/>
                <w:szCs w:val="24"/>
                <w:highlight w:val="none"/>
                <w:lang w:val="en-US" w:eastAsia="zh-CN"/>
              </w:rPr>
              <w:t>02</w:t>
            </w:r>
            <w:r>
              <w:rPr>
                <w:rFonts w:hint="eastAsia" w:ascii="仿宋" w:hAnsi="仿宋" w:eastAsia="仿宋" w:cs="仿宋"/>
                <w:color w:val="auto"/>
                <w:spacing w:val="6"/>
                <w:sz w:val="24"/>
                <w:szCs w:val="24"/>
                <w:highlight w:val="none"/>
                <w:lang w:eastAsia="zh-CN"/>
              </w:rPr>
              <w:t>日1</w:t>
            </w: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lang w:eastAsia="zh-CN"/>
              </w:rPr>
              <w:t>:00(北京时间）前提交响应文件。</w:t>
            </w:r>
          </w:p>
        </w:tc>
      </w:tr>
    </w:tbl>
    <w:p w14:paraId="0C41CA64">
      <w:pPr>
        <w:pStyle w:val="7"/>
        <w:spacing w:line="312" w:lineRule="auto"/>
        <w:rPr>
          <w:rFonts w:hint="eastAsia" w:ascii="仿宋" w:hAnsi="仿宋" w:eastAsia="仿宋" w:cs="仿宋"/>
          <w:color w:val="auto"/>
          <w:highlight w:val="none"/>
          <w:lang w:eastAsia="zh-CN"/>
        </w:rPr>
      </w:pPr>
    </w:p>
    <w:p w14:paraId="3A76D5D8">
      <w:pPr>
        <w:spacing w:before="74" w:line="360" w:lineRule="auto"/>
        <w:ind w:left="101"/>
        <w:outlineLvl w:val="1"/>
        <w:rPr>
          <w:rFonts w:hint="eastAsia" w:ascii="仿宋" w:hAnsi="仿宋" w:eastAsia="仿宋" w:cs="仿宋"/>
          <w:color w:val="auto"/>
          <w:sz w:val="24"/>
          <w:szCs w:val="24"/>
          <w:highlight w:val="none"/>
          <w:lang w:eastAsia="zh-CN"/>
        </w:rPr>
      </w:pPr>
      <w:bookmarkStart w:id="5" w:name="_Toc14714"/>
      <w:r>
        <w:rPr>
          <w:rFonts w:hint="eastAsia" w:ascii="仿宋" w:hAnsi="仿宋" w:eastAsia="仿宋" w:cs="仿宋"/>
          <w:color w:val="auto"/>
          <w:spacing w:val="6"/>
          <w:sz w:val="24"/>
          <w:szCs w:val="24"/>
          <w:highlight w:val="none"/>
          <w:lang w:eastAsia="zh-CN"/>
        </w:rPr>
        <w:t xml:space="preserve">一、 </w:t>
      </w:r>
      <w:r>
        <w:rPr>
          <w:rFonts w:hint="eastAsia" w:ascii="仿宋" w:hAnsi="仿宋" w:eastAsia="仿宋" w:cs="仿宋"/>
          <w:color w:val="auto"/>
          <w:spacing w:val="6"/>
          <w:sz w:val="24"/>
          <w:szCs w:val="24"/>
          <w:highlight w:val="none"/>
          <w:lang w:eastAsia="zh-CN"/>
          <w14:textOutline w14:w="4394" w14:cap="flat" w14:cmpd="sng" w14:algn="ctr">
            <w14:solidFill>
              <w14:srgbClr w14:val="000000"/>
            </w14:solidFill>
            <w14:prstDash w14:val="solid"/>
            <w14:miter w14:val="0"/>
          </w14:textOutline>
        </w:rPr>
        <w:t>项目基本情况</w:t>
      </w:r>
      <w:bookmarkEnd w:id="5"/>
    </w:p>
    <w:p w14:paraId="2075D4C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仿宋" w:hAnsi="仿宋" w:eastAsia="仿宋" w:cs="仿宋"/>
          <w:color w:val="auto"/>
          <w:sz w:val="24"/>
          <w:szCs w:val="24"/>
          <w:highlight w:val="none"/>
          <w:lang w:eastAsia="zh-CN"/>
        </w:rPr>
      </w:pPr>
      <w:bookmarkStart w:id="6" w:name="_Toc23836"/>
      <w:r>
        <w:rPr>
          <w:rFonts w:hint="eastAsia" w:ascii="仿宋" w:hAnsi="仿宋" w:eastAsia="仿宋" w:cs="仿宋"/>
          <w:color w:val="auto"/>
          <w:spacing w:val="-3"/>
          <w:sz w:val="24"/>
          <w:szCs w:val="24"/>
          <w:highlight w:val="none"/>
          <w:lang w:eastAsia="zh-CN"/>
        </w:rPr>
        <w:t>项目编号：</w:t>
      </w:r>
      <w:bookmarkEnd w:id="6"/>
      <w:r>
        <w:rPr>
          <w:rFonts w:hint="eastAsia" w:ascii="仿宋" w:hAnsi="仿宋" w:eastAsia="仿宋" w:cs="仿宋"/>
          <w:color w:val="auto"/>
          <w:spacing w:val="-3"/>
          <w:sz w:val="24"/>
          <w:szCs w:val="24"/>
          <w:highlight w:val="none"/>
          <w:lang w:eastAsia="zh-CN"/>
        </w:rPr>
        <w:t>hcxjczt-2026-527</w:t>
      </w:r>
      <w:r>
        <w:rPr>
          <w:rFonts w:hint="eastAsia" w:ascii="仿宋" w:hAnsi="仿宋" w:eastAsia="仿宋" w:cs="仿宋"/>
          <w:color w:val="auto"/>
          <w:spacing w:val="71"/>
          <w:sz w:val="24"/>
          <w:szCs w:val="24"/>
          <w:highlight w:val="none"/>
          <w:lang w:eastAsia="zh-CN"/>
        </w:rPr>
        <w:t xml:space="preserve"> </w:t>
      </w:r>
    </w:p>
    <w:p w14:paraId="626EE8B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项目名称：</w:t>
      </w:r>
      <w:r>
        <w:rPr>
          <w:rFonts w:hint="eastAsia" w:ascii="仿宋" w:hAnsi="仿宋" w:eastAsia="仿宋" w:cs="仿宋"/>
          <w:color w:val="auto"/>
          <w:spacing w:val="2"/>
          <w:sz w:val="24"/>
          <w:szCs w:val="24"/>
          <w:highlight w:val="none"/>
          <w:u w:val="single"/>
          <w:lang w:eastAsia="zh-CN"/>
        </w:rPr>
        <w:t>中华人民共和国新疆出入境边防检查总站繁育种犬及待训警犬采购项目</w:t>
      </w:r>
    </w:p>
    <w:p w14:paraId="6C5F8D3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采购方式：</w:t>
      </w:r>
      <w:r>
        <w:rPr>
          <w:rFonts w:hint="eastAsia" w:ascii="仿宋" w:hAnsi="仿宋" w:eastAsia="仿宋" w:cs="仿宋"/>
          <w:color w:val="auto"/>
          <w:spacing w:val="-10"/>
          <w:sz w:val="24"/>
          <w:szCs w:val="24"/>
          <w:highlight w:val="none"/>
          <w:u w:val="single"/>
          <w:lang w:eastAsia="zh-CN"/>
        </w:rPr>
        <w:t>竞争性谈判</w:t>
      </w:r>
    </w:p>
    <w:p w14:paraId="5903DDF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hint="eastAsia" w:ascii="仿宋" w:hAnsi="仿宋" w:eastAsia="仿宋" w:cs="仿宋"/>
          <w:color w:val="auto"/>
          <w:spacing w:val="-6"/>
          <w:sz w:val="24"/>
          <w:szCs w:val="24"/>
          <w:highlight w:val="none"/>
          <w:u w:val="single"/>
          <w:lang w:eastAsia="zh-CN"/>
        </w:rPr>
      </w:pPr>
      <w:r>
        <w:rPr>
          <w:rFonts w:hint="eastAsia" w:ascii="仿宋" w:hAnsi="仿宋" w:eastAsia="仿宋" w:cs="仿宋"/>
          <w:color w:val="auto"/>
          <w:spacing w:val="-6"/>
          <w:sz w:val="24"/>
          <w:szCs w:val="24"/>
          <w:highlight w:val="none"/>
          <w:lang w:eastAsia="zh-CN"/>
        </w:rPr>
        <w:t>预算金额：</w:t>
      </w:r>
      <w:r>
        <w:rPr>
          <w:rFonts w:hint="eastAsia" w:ascii="仿宋" w:hAnsi="仿宋" w:eastAsia="仿宋" w:cs="仿宋"/>
          <w:color w:val="auto"/>
          <w:spacing w:val="-6"/>
          <w:sz w:val="24"/>
          <w:szCs w:val="24"/>
          <w:highlight w:val="none"/>
          <w:u w:val="single"/>
          <w:lang w:val="en-US" w:eastAsia="zh-CN"/>
        </w:rPr>
        <w:t>930000</w:t>
      </w:r>
      <w:r>
        <w:rPr>
          <w:rFonts w:hint="eastAsia" w:ascii="仿宋" w:hAnsi="仿宋" w:eastAsia="仿宋" w:cs="仿宋"/>
          <w:color w:val="auto"/>
          <w:spacing w:val="-6"/>
          <w:sz w:val="24"/>
          <w:szCs w:val="24"/>
          <w:highlight w:val="none"/>
          <w:u w:val="single"/>
          <w:lang w:eastAsia="zh-CN"/>
        </w:rPr>
        <w:t>.00 元</w:t>
      </w:r>
    </w:p>
    <w:p w14:paraId="7FA51ED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最高限价</w:t>
      </w:r>
      <w:r>
        <w:rPr>
          <w:rFonts w:hint="eastAsia" w:ascii="仿宋" w:hAnsi="仿宋" w:eastAsia="仿宋" w:cs="仿宋"/>
          <w:color w:val="auto"/>
          <w:spacing w:val="-6"/>
          <w:sz w:val="24"/>
          <w:szCs w:val="24"/>
          <w:highlight w:val="none"/>
          <w:u w:val="none"/>
          <w:lang w:eastAsia="zh-CN"/>
        </w:rPr>
        <w:t>：</w:t>
      </w:r>
      <w:r>
        <w:rPr>
          <w:rFonts w:hint="eastAsia" w:ascii="仿宋" w:hAnsi="仿宋" w:eastAsia="仿宋" w:cs="仿宋"/>
          <w:color w:val="auto"/>
          <w:spacing w:val="-6"/>
          <w:sz w:val="24"/>
          <w:szCs w:val="24"/>
          <w:highlight w:val="none"/>
          <w:u w:val="single"/>
          <w:lang w:val="en-US" w:eastAsia="zh-CN"/>
        </w:rPr>
        <w:t>930000</w:t>
      </w:r>
      <w:r>
        <w:rPr>
          <w:rFonts w:hint="eastAsia" w:ascii="仿宋" w:hAnsi="仿宋" w:eastAsia="仿宋" w:cs="仿宋"/>
          <w:color w:val="auto"/>
          <w:spacing w:val="-6"/>
          <w:sz w:val="24"/>
          <w:szCs w:val="24"/>
          <w:highlight w:val="none"/>
          <w:u w:val="single"/>
          <w:lang w:eastAsia="zh-CN"/>
        </w:rPr>
        <w:t>.00 元</w:t>
      </w:r>
    </w:p>
    <w:p w14:paraId="40EA2B5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采购需求：</w:t>
      </w:r>
    </w:p>
    <w:p w14:paraId="15BFE63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数量：</w:t>
      </w:r>
      <w:r>
        <w:rPr>
          <w:rFonts w:hint="eastAsia" w:ascii="仿宋" w:hAnsi="仿宋" w:eastAsia="仿宋" w:cs="仿宋"/>
          <w:color w:val="auto"/>
          <w:spacing w:val="-10"/>
          <w:sz w:val="24"/>
          <w:szCs w:val="24"/>
          <w:highlight w:val="none"/>
          <w:lang w:val="en-US" w:eastAsia="zh-CN"/>
        </w:rPr>
        <w:t>51</w:t>
      </w:r>
      <w:r>
        <w:rPr>
          <w:rFonts w:hint="eastAsia" w:ascii="仿宋" w:hAnsi="仿宋" w:eastAsia="仿宋" w:cs="仿宋"/>
          <w:color w:val="auto"/>
          <w:spacing w:val="-10"/>
          <w:sz w:val="24"/>
          <w:szCs w:val="24"/>
          <w:highlight w:val="none"/>
          <w:lang w:eastAsia="zh-CN"/>
        </w:rPr>
        <w:t>头</w:t>
      </w:r>
    </w:p>
    <w:p w14:paraId="020D4DC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仿宋" w:hAnsi="仿宋" w:eastAsia="仿宋" w:cs="仿宋"/>
          <w:color w:val="auto"/>
          <w:spacing w:val="-6"/>
          <w:sz w:val="24"/>
          <w:szCs w:val="24"/>
          <w:highlight w:val="none"/>
          <w:u w:val="single"/>
          <w:lang w:eastAsia="zh-CN"/>
        </w:rPr>
      </w:pPr>
      <w:r>
        <w:rPr>
          <w:rFonts w:hint="eastAsia" w:ascii="仿宋" w:hAnsi="仿宋" w:eastAsia="仿宋" w:cs="仿宋"/>
          <w:color w:val="auto"/>
          <w:spacing w:val="-10"/>
          <w:sz w:val="24"/>
          <w:szCs w:val="24"/>
          <w:highlight w:val="none"/>
          <w:lang w:eastAsia="zh-CN"/>
        </w:rPr>
        <w:t>预算金额（元）</w:t>
      </w:r>
      <w:r>
        <w:rPr>
          <w:rFonts w:hint="eastAsia" w:ascii="仿宋" w:hAnsi="仿宋" w:eastAsia="仿宋" w:cs="仿宋"/>
          <w:color w:val="auto"/>
          <w:spacing w:val="-10"/>
          <w:sz w:val="24"/>
          <w:szCs w:val="24"/>
          <w:highlight w:val="none"/>
          <w:u w:val="none"/>
          <w:lang w:eastAsia="zh-CN"/>
        </w:rPr>
        <w:t>：</w:t>
      </w:r>
      <w:r>
        <w:rPr>
          <w:rFonts w:hint="eastAsia" w:ascii="仿宋" w:hAnsi="仿宋" w:eastAsia="仿宋" w:cs="仿宋"/>
          <w:color w:val="auto"/>
          <w:spacing w:val="-6"/>
          <w:sz w:val="24"/>
          <w:szCs w:val="24"/>
          <w:highlight w:val="none"/>
          <w:u w:val="single"/>
          <w:lang w:val="en-US" w:eastAsia="zh-CN"/>
        </w:rPr>
        <w:t>930000</w:t>
      </w:r>
      <w:r>
        <w:rPr>
          <w:rFonts w:hint="eastAsia" w:ascii="仿宋" w:hAnsi="仿宋" w:eastAsia="仿宋" w:cs="仿宋"/>
          <w:color w:val="auto"/>
          <w:spacing w:val="-6"/>
          <w:sz w:val="24"/>
          <w:szCs w:val="24"/>
          <w:highlight w:val="none"/>
          <w:u w:val="single"/>
          <w:lang w:eastAsia="zh-CN"/>
        </w:rPr>
        <w:t>.00 元</w:t>
      </w:r>
    </w:p>
    <w:p w14:paraId="28EA49B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单位：批</w:t>
      </w:r>
    </w:p>
    <w:p w14:paraId="121F0B5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lang w:eastAsia="zh-CN"/>
        </w:rPr>
        <w:t>简要规格描述：</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4776"/>
        <w:gridCol w:w="1875"/>
        <w:gridCol w:w="1337"/>
      </w:tblGrid>
      <w:tr w14:paraId="4065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74" w:type="dxa"/>
            <w:vAlign w:val="center"/>
          </w:tcPr>
          <w:p w14:paraId="0E26F13B">
            <w:pPr>
              <w:numPr>
                <w:ilvl w:val="-1"/>
                <w:numId w:val="0"/>
              </w:numPr>
              <w:adjustRightInd/>
              <w:spacing w:line="240" w:lineRule="auto"/>
              <w:ind w:firstLine="0"/>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序号</w:t>
            </w:r>
          </w:p>
        </w:tc>
        <w:tc>
          <w:tcPr>
            <w:tcW w:w="4776" w:type="dxa"/>
            <w:vAlign w:val="center"/>
          </w:tcPr>
          <w:p w14:paraId="3D3CB241">
            <w:pPr>
              <w:numPr>
                <w:ilvl w:val="-1"/>
                <w:numId w:val="0"/>
              </w:numPr>
              <w:adjustRightInd/>
              <w:spacing w:line="240" w:lineRule="auto"/>
              <w:ind w:firstLine="0"/>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标的名称</w:t>
            </w:r>
          </w:p>
        </w:tc>
        <w:tc>
          <w:tcPr>
            <w:tcW w:w="1875" w:type="dxa"/>
            <w:vAlign w:val="center"/>
          </w:tcPr>
          <w:p w14:paraId="5D0C543D">
            <w:pPr>
              <w:numPr>
                <w:ilvl w:val="-1"/>
                <w:numId w:val="0"/>
              </w:numPr>
              <w:adjustRightInd/>
              <w:spacing w:line="240" w:lineRule="auto"/>
              <w:ind w:firstLine="0"/>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计量单位</w:t>
            </w:r>
          </w:p>
        </w:tc>
        <w:tc>
          <w:tcPr>
            <w:tcW w:w="1337" w:type="dxa"/>
            <w:vAlign w:val="center"/>
          </w:tcPr>
          <w:p w14:paraId="31D280E6">
            <w:pPr>
              <w:numPr>
                <w:ilvl w:val="-1"/>
                <w:numId w:val="0"/>
              </w:numPr>
              <w:adjustRightInd/>
              <w:spacing w:line="240" w:lineRule="auto"/>
              <w:ind w:firstLine="0"/>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数量</w:t>
            </w:r>
          </w:p>
        </w:tc>
      </w:tr>
      <w:tr w14:paraId="683D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EFAD01F">
            <w:pPr>
              <w:numPr>
                <w:ilvl w:val="-1"/>
                <w:numId w:val="0"/>
              </w:numPr>
              <w:adjustRightInd w:val="0"/>
              <w:snapToGrid w:val="0"/>
              <w:spacing w:line="400" w:lineRule="exact"/>
              <w:ind w:firstLine="0"/>
              <w:jc w:val="center"/>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w:t>
            </w:r>
          </w:p>
        </w:tc>
        <w:tc>
          <w:tcPr>
            <w:tcW w:w="4776" w:type="dxa"/>
            <w:vAlign w:val="center"/>
          </w:tcPr>
          <w:p w14:paraId="2E5A7ED9">
            <w:pPr>
              <w:keepNext w:val="0"/>
              <w:keepLines w:val="0"/>
              <w:widowControl/>
              <w:numPr>
                <w:ilvl w:val="-1"/>
                <w:numId w:val="0"/>
              </w:numPr>
              <w:suppressLineNumbers w:val="0"/>
              <w:adjustRightInd/>
              <w:spacing w:line="400" w:lineRule="exact"/>
              <w:ind w:left="0" w:leftChars="0" w:firstLine="0" w:firstLineChars="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德国牧羊犬母犬（12-30月）</w:t>
            </w:r>
          </w:p>
        </w:tc>
        <w:tc>
          <w:tcPr>
            <w:tcW w:w="1875" w:type="dxa"/>
            <w:vAlign w:val="center"/>
          </w:tcPr>
          <w:p w14:paraId="1EFAE498">
            <w:pPr>
              <w:numPr>
                <w:ilvl w:val="-1"/>
                <w:numId w:val="0"/>
              </w:numPr>
              <w:adjustRightInd/>
              <w:spacing w:line="400" w:lineRule="exact"/>
              <w:ind w:firstLine="0"/>
              <w:jc w:val="center"/>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val="en-US" w:eastAsia="zh-CN"/>
              </w:rPr>
              <w:t>只</w:t>
            </w:r>
          </w:p>
        </w:tc>
        <w:tc>
          <w:tcPr>
            <w:tcW w:w="1337" w:type="dxa"/>
            <w:vAlign w:val="center"/>
          </w:tcPr>
          <w:p w14:paraId="71540BAB">
            <w:pPr>
              <w:keepNext w:val="0"/>
              <w:keepLines w:val="0"/>
              <w:widowControl/>
              <w:numPr>
                <w:ilvl w:val="-1"/>
                <w:numId w:val="0"/>
              </w:numPr>
              <w:suppressLineNumbers w:val="0"/>
              <w:adjustRightInd/>
              <w:spacing w:line="240" w:lineRule="auto"/>
              <w:ind w:left="0" w:leftChars="0" w:firstLine="0" w:firstLineChars="0"/>
              <w:jc w:val="center"/>
              <w:textAlignment w:val="center"/>
              <w:rPr>
                <w:rFonts w:hint="eastAsia" w:ascii="仿宋" w:hAnsi="仿宋" w:eastAsia="仿宋" w:cs="仿宋"/>
                <w:color w:val="auto"/>
                <w:kern w:val="2"/>
                <w:sz w:val="24"/>
                <w:szCs w:val="24"/>
                <w:highlight w:val="none"/>
                <w:lang w:val="en-US"/>
              </w:rPr>
            </w:pPr>
            <w:r>
              <w:rPr>
                <w:rFonts w:hint="eastAsia" w:ascii="仿宋" w:hAnsi="仿宋" w:eastAsia="仿宋" w:cs="仿宋"/>
                <w:i w:val="0"/>
                <w:color w:val="auto"/>
                <w:kern w:val="0"/>
                <w:sz w:val="20"/>
                <w:szCs w:val="20"/>
                <w:highlight w:val="none"/>
                <w:u w:val="none"/>
                <w:lang w:val="en-US" w:eastAsia="zh-CN" w:bidi="ar"/>
              </w:rPr>
              <w:t>1</w:t>
            </w:r>
          </w:p>
        </w:tc>
      </w:tr>
      <w:tr w14:paraId="472E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04941DE1">
            <w:pPr>
              <w:numPr>
                <w:ilvl w:val="-1"/>
                <w:numId w:val="0"/>
              </w:numPr>
              <w:adjustRightInd w:val="0"/>
              <w:snapToGrid w:val="0"/>
              <w:spacing w:line="400" w:lineRule="exact"/>
              <w:ind w:firstLine="0"/>
              <w:jc w:val="center"/>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w:t>
            </w:r>
          </w:p>
        </w:tc>
        <w:tc>
          <w:tcPr>
            <w:tcW w:w="4776" w:type="dxa"/>
            <w:vAlign w:val="center"/>
          </w:tcPr>
          <w:p w14:paraId="54C44C4B">
            <w:pPr>
              <w:keepNext w:val="0"/>
              <w:keepLines w:val="0"/>
              <w:widowControl/>
              <w:numPr>
                <w:ilvl w:val="-1"/>
                <w:numId w:val="0"/>
              </w:numPr>
              <w:suppressLineNumbers w:val="0"/>
              <w:adjustRightInd/>
              <w:spacing w:line="400" w:lineRule="exact"/>
              <w:ind w:left="0" w:leftChars="0" w:firstLine="0" w:firstLineChars="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昆明犬公犬（18-36月）</w:t>
            </w:r>
          </w:p>
        </w:tc>
        <w:tc>
          <w:tcPr>
            <w:tcW w:w="1875" w:type="dxa"/>
            <w:vAlign w:val="center"/>
          </w:tcPr>
          <w:p w14:paraId="358270B0">
            <w:pPr>
              <w:numPr>
                <w:ilvl w:val="-1"/>
                <w:numId w:val="0"/>
              </w:numPr>
              <w:adjustRightInd/>
              <w:spacing w:line="400" w:lineRule="exac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只</w:t>
            </w:r>
          </w:p>
        </w:tc>
        <w:tc>
          <w:tcPr>
            <w:tcW w:w="1337" w:type="dxa"/>
            <w:vAlign w:val="center"/>
          </w:tcPr>
          <w:p w14:paraId="7EA92AF2">
            <w:pPr>
              <w:keepNext w:val="0"/>
              <w:keepLines w:val="0"/>
              <w:widowControl/>
              <w:numPr>
                <w:ilvl w:val="-1"/>
                <w:numId w:val="0"/>
              </w:numPr>
              <w:suppressLineNumbers w:val="0"/>
              <w:adjustRightInd/>
              <w:spacing w:line="240" w:lineRule="auto"/>
              <w:ind w:left="0" w:leftChars="0" w:firstLine="0" w:firstLineChars="0"/>
              <w:jc w:val="center"/>
              <w:textAlignment w:val="center"/>
              <w:rPr>
                <w:rFonts w:hint="eastAsia" w:ascii="仿宋" w:hAnsi="仿宋" w:eastAsia="仿宋" w:cs="仿宋"/>
                <w:color w:val="auto"/>
                <w:kern w:val="2"/>
                <w:sz w:val="24"/>
                <w:szCs w:val="24"/>
                <w:highlight w:val="none"/>
              </w:rPr>
            </w:pPr>
            <w:r>
              <w:rPr>
                <w:rFonts w:hint="eastAsia" w:ascii="仿宋" w:hAnsi="仿宋" w:eastAsia="仿宋" w:cs="仿宋"/>
                <w:i w:val="0"/>
                <w:color w:val="auto"/>
                <w:kern w:val="0"/>
                <w:sz w:val="20"/>
                <w:szCs w:val="20"/>
                <w:highlight w:val="none"/>
                <w:u w:val="none"/>
                <w:lang w:val="en-US" w:eastAsia="zh-CN" w:bidi="ar"/>
              </w:rPr>
              <w:t>1</w:t>
            </w:r>
          </w:p>
        </w:tc>
      </w:tr>
      <w:tr w14:paraId="212D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504D188F">
            <w:pPr>
              <w:numPr>
                <w:ilvl w:val="-1"/>
                <w:numId w:val="0"/>
              </w:numPr>
              <w:adjustRightInd w:val="0"/>
              <w:snapToGrid w:val="0"/>
              <w:spacing w:line="400" w:lineRule="exact"/>
              <w:ind w:firstLine="0"/>
              <w:jc w:val="center"/>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w:t>
            </w:r>
          </w:p>
        </w:tc>
        <w:tc>
          <w:tcPr>
            <w:tcW w:w="4776" w:type="dxa"/>
            <w:vAlign w:val="center"/>
          </w:tcPr>
          <w:p w14:paraId="14CEC284">
            <w:pPr>
              <w:keepNext w:val="0"/>
              <w:keepLines w:val="0"/>
              <w:widowControl/>
              <w:numPr>
                <w:ilvl w:val="-1"/>
                <w:numId w:val="0"/>
              </w:numPr>
              <w:suppressLineNumbers w:val="0"/>
              <w:adjustRightInd/>
              <w:spacing w:line="400" w:lineRule="exact"/>
              <w:ind w:left="0" w:leftChars="0" w:firstLine="0" w:firstLineChars="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昆明犬母犬（12-30月）</w:t>
            </w:r>
          </w:p>
        </w:tc>
        <w:tc>
          <w:tcPr>
            <w:tcW w:w="1875" w:type="dxa"/>
            <w:vAlign w:val="center"/>
          </w:tcPr>
          <w:p w14:paraId="0F788A9A">
            <w:pPr>
              <w:numPr>
                <w:ilvl w:val="-1"/>
                <w:numId w:val="0"/>
              </w:numPr>
              <w:adjustRightInd/>
              <w:spacing w:line="400" w:lineRule="exac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只</w:t>
            </w:r>
          </w:p>
        </w:tc>
        <w:tc>
          <w:tcPr>
            <w:tcW w:w="1337" w:type="dxa"/>
            <w:vAlign w:val="center"/>
          </w:tcPr>
          <w:p w14:paraId="0F8F3CA3">
            <w:pPr>
              <w:keepNext w:val="0"/>
              <w:keepLines w:val="0"/>
              <w:widowControl/>
              <w:numPr>
                <w:ilvl w:val="-1"/>
                <w:numId w:val="0"/>
              </w:numPr>
              <w:suppressLineNumbers w:val="0"/>
              <w:adjustRightInd/>
              <w:spacing w:line="240" w:lineRule="auto"/>
              <w:ind w:left="0" w:leftChars="0" w:firstLine="0" w:firstLineChars="0"/>
              <w:jc w:val="center"/>
              <w:textAlignment w:val="center"/>
              <w:rPr>
                <w:rFonts w:hint="eastAsia" w:ascii="仿宋" w:hAnsi="仿宋" w:eastAsia="仿宋" w:cs="仿宋"/>
                <w:color w:val="auto"/>
                <w:kern w:val="2"/>
                <w:sz w:val="24"/>
                <w:szCs w:val="24"/>
                <w:highlight w:val="none"/>
                <w:lang w:val="en-US"/>
              </w:rPr>
            </w:pPr>
            <w:r>
              <w:rPr>
                <w:rFonts w:hint="eastAsia" w:ascii="仿宋" w:hAnsi="仿宋" w:eastAsia="仿宋" w:cs="仿宋"/>
                <w:i w:val="0"/>
                <w:color w:val="auto"/>
                <w:kern w:val="0"/>
                <w:sz w:val="20"/>
                <w:szCs w:val="20"/>
                <w:highlight w:val="none"/>
                <w:u w:val="none"/>
                <w:lang w:val="en-US" w:eastAsia="zh-CN" w:bidi="ar"/>
              </w:rPr>
              <w:t>3</w:t>
            </w:r>
          </w:p>
        </w:tc>
      </w:tr>
      <w:tr w14:paraId="7B12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125383A5">
            <w:pPr>
              <w:numPr>
                <w:ilvl w:val="-1"/>
                <w:numId w:val="0"/>
              </w:numPr>
              <w:adjustRightInd w:val="0"/>
              <w:snapToGrid w:val="0"/>
              <w:spacing w:line="400" w:lineRule="exact"/>
              <w:ind w:firstLine="0"/>
              <w:jc w:val="center"/>
              <w:textAlignment w:val="auto"/>
              <w:outlineLvl w:val="0"/>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4</w:t>
            </w:r>
          </w:p>
        </w:tc>
        <w:tc>
          <w:tcPr>
            <w:tcW w:w="4776" w:type="dxa"/>
            <w:vAlign w:val="center"/>
          </w:tcPr>
          <w:p w14:paraId="2A13537F">
            <w:pPr>
              <w:keepNext w:val="0"/>
              <w:keepLines w:val="0"/>
              <w:widowControl/>
              <w:numPr>
                <w:ilvl w:val="-1"/>
                <w:numId w:val="0"/>
              </w:numPr>
              <w:suppressLineNumbers w:val="0"/>
              <w:adjustRightInd/>
              <w:spacing w:line="400" w:lineRule="exact"/>
              <w:ind w:left="0" w:leftChars="0" w:firstLine="0" w:firstLineChars="0"/>
              <w:jc w:val="center"/>
              <w:textAlignment w:val="auto"/>
              <w:outlineLvl w:val="9"/>
              <w:rPr>
                <w:rFonts w:hint="eastAsia" w:ascii="仿宋" w:hAnsi="仿宋" w:eastAsia="仿宋" w:cs="仿宋"/>
                <w:i w:val="0"/>
                <w:color w:val="auto"/>
                <w:kern w:val="2"/>
                <w:sz w:val="24"/>
                <w:szCs w:val="24"/>
                <w:highlight w:val="none"/>
                <w:u w:val="none"/>
                <w:lang w:val="en-US" w:eastAsia="zh-CN" w:bidi="ar"/>
              </w:rPr>
            </w:pPr>
            <w:r>
              <w:rPr>
                <w:rFonts w:hint="eastAsia" w:ascii="仿宋" w:hAnsi="仿宋" w:eastAsia="仿宋" w:cs="仿宋"/>
                <w:color w:val="auto"/>
                <w:kern w:val="2"/>
                <w:sz w:val="24"/>
                <w:szCs w:val="24"/>
                <w:highlight w:val="none"/>
              </w:rPr>
              <w:t>史宾格犬母犬（12-30月）</w:t>
            </w:r>
          </w:p>
        </w:tc>
        <w:tc>
          <w:tcPr>
            <w:tcW w:w="1875" w:type="dxa"/>
            <w:vAlign w:val="center"/>
          </w:tcPr>
          <w:p w14:paraId="3F9DEFD7">
            <w:pPr>
              <w:numPr>
                <w:ilvl w:val="-1"/>
                <w:numId w:val="0"/>
              </w:numPr>
              <w:adjustRightInd/>
              <w:spacing w:line="400" w:lineRule="exact"/>
              <w:ind w:firstLine="0"/>
              <w:jc w:val="center"/>
              <w:textAlignment w:val="auto"/>
              <w:outlineLvl w:val="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只</w:t>
            </w:r>
          </w:p>
        </w:tc>
        <w:tc>
          <w:tcPr>
            <w:tcW w:w="1337" w:type="dxa"/>
            <w:vAlign w:val="center"/>
          </w:tcPr>
          <w:p w14:paraId="0387D3F2">
            <w:pPr>
              <w:keepNext w:val="0"/>
              <w:keepLines w:val="0"/>
              <w:widowControl/>
              <w:numPr>
                <w:ilvl w:val="-1"/>
                <w:numId w:val="0"/>
              </w:numPr>
              <w:suppressLineNumbers w:val="0"/>
              <w:adjustRightInd/>
              <w:spacing w:line="240" w:lineRule="auto"/>
              <w:ind w:left="0" w:leftChars="0" w:firstLine="0" w:firstLineChars="0"/>
              <w:jc w:val="center"/>
              <w:textAlignment w:val="center"/>
              <w:outlineLvl w:val="0"/>
              <w:rPr>
                <w:rFonts w:hint="eastAsia" w:ascii="仿宋" w:hAnsi="仿宋" w:eastAsia="仿宋" w:cs="仿宋"/>
                <w:i w:val="0"/>
                <w:color w:val="auto"/>
                <w:kern w:val="0"/>
                <w:sz w:val="20"/>
                <w:szCs w:val="20"/>
                <w:highlight w:val="none"/>
                <w:u w:val="none"/>
                <w:lang w:val="en-US" w:eastAsia="zh-CN" w:bidi="ar"/>
              </w:rPr>
            </w:pPr>
            <w:r>
              <w:rPr>
                <w:rFonts w:hint="eastAsia" w:ascii="仿宋" w:hAnsi="仿宋" w:eastAsia="仿宋" w:cs="仿宋"/>
                <w:i w:val="0"/>
                <w:color w:val="auto"/>
                <w:kern w:val="0"/>
                <w:sz w:val="20"/>
                <w:szCs w:val="20"/>
                <w:highlight w:val="none"/>
                <w:u w:val="none"/>
                <w:lang w:val="en-US" w:eastAsia="zh-CN" w:bidi="ar"/>
              </w:rPr>
              <w:t>1</w:t>
            </w:r>
          </w:p>
        </w:tc>
      </w:tr>
      <w:tr w14:paraId="0BA7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4DAC45FA">
            <w:pPr>
              <w:numPr>
                <w:ilvl w:val="-1"/>
                <w:numId w:val="0"/>
              </w:numPr>
              <w:adjustRightInd w:val="0"/>
              <w:snapToGrid w:val="0"/>
              <w:spacing w:line="400" w:lineRule="exact"/>
              <w:ind w:firstLine="0"/>
              <w:jc w:val="center"/>
              <w:textAlignment w:val="auto"/>
              <w:outlineLvl w:val="0"/>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5</w:t>
            </w:r>
          </w:p>
        </w:tc>
        <w:tc>
          <w:tcPr>
            <w:tcW w:w="4776" w:type="dxa"/>
            <w:vAlign w:val="center"/>
          </w:tcPr>
          <w:p w14:paraId="0AF03373">
            <w:pPr>
              <w:keepNext w:val="0"/>
              <w:keepLines w:val="0"/>
              <w:widowControl/>
              <w:numPr>
                <w:ilvl w:val="-1"/>
                <w:numId w:val="0"/>
              </w:numPr>
              <w:suppressLineNumbers w:val="0"/>
              <w:adjustRightInd/>
              <w:spacing w:line="400" w:lineRule="exact"/>
              <w:ind w:left="0" w:leftChars="0" w:firstLine="0" w:firstLineChars="0"/>
              <w:jc w:val="center"/>
              <w:textAlignment w:val="auto"/>
              <w:outlineLvl w:val="9"/>
              <w:rPr>
                <w:rFonts w:hint="eastAsia" w:ascii="仿宋" w:hAnsi="仿宋" w:eastAsia="仿宋" w:cs="仿宋"/>
                <w:i w:val="0"/>
                <w:color w:val="auto"/>
                <w:kern w:val="2"/>
                <w:sz w:val="24"/>
                <w:szCs w:val="24"/>
                <w:highlight w:val="none"/>
                <w:u w:val="none"/>
                <w:lang w:val="en-US" w:eastAsia="zh-CN" w:bidi="ar"/>
              </w:rPr>
            </w:pPr>
            <w:r>
              <w:rPr>
                <w:rFonts w:hint="eastAsia" w:ascii="仿宋" w:hAnsi="仿宋" w:eastAsia="仿宋" w:cs="仿宋"/>
                <w:color w:val="auto"/>
                <w:kern w:val="2"/>
                <w:sz w:val="24"/>
                <w:szCs w:val="24"/>
                <w:highlight w:val="none"/>
              </w:rPr>
              <w:t>德国牧羊犬公犬</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8-18月</w:t>
            </w:r>
            <w:r>
              <w:rPr>
                <w:rFonts w:hint="eastAsia" w:ascii="仿宋" w:hAnsi="仿宋" w:eastAsia="仿宋" w:cs="仿宋"/>
                <w:color w:val="auto"/>
                <w:kern w:val="2"/>
                <w:sz w:val="24"/>
                <w:szCs w:val="24"/>
                <w:highlight w:val="none"/>
                <w:lang w:eastAsia="zh-CN"/>
              </w:rPr>
              <w:t>）</w:t>
            </w:r>
          </w:p>
        </w:tc>
        <w:tc>
          <w:tcPr>
            <w:tcW w:w="1875" w:type="dxa"/>
            <w:vAlign w:val="center"/>
          </w:tcPr>
          <w:p w14:paraId="2498E71C">
            <w:pPr>
              <w:numPr>
                <w:ilvl w:val="-1"/>
                <w:numId w:val="0"/>
              </w:numPr>
              <w:adjustRightInd/>
              <w:spacing w:line="400" w:lineRule="exact"/>
              <w:ind w:firstLine="0"/>
              <w:jc w:val="center"/>
              <w:textAlignment w:val="auto"/>
              <w:outlineLvl w:val="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只</w:t>
            </w:r>
          </w:p>
        </w:tc>
        <w:tc>
          <w:tcPr>
            <w:tcW w:w="1337" w:type="dxa"/>
            <w:vAlign w:val="center"/>
          </w:tcPr>
          <w:p w14:paraId="06D8E433">
            <w:pPr>
              <w:keepNext w:val="0"/>
              <w:keepLines w:val="0"/>
              <w:widowControl/>
              <w:numPr>
                <w:ilvl w:val="-1"/>
                <w:numId w:val="0"/>
              </w:numPr>
              <w:suppressLineNumbers w:val="0"/>
              <w:adjustRightInd/>
              <w:spacing w:line="400" w:lineRule="exact"/>
              <w:ind w:left="0" w:leftChars="0" w:firstLine="0" w:firstLineChars="0"/>
              <w:jc w:val="center"/>
              <w:textAlignment w:val="auto"/>
              <w:outlineLvl w:val="9"/>
              <w:rPr>
                <w:rFonts w:hint="eastAsia" w:ascii="仿宋" w:hAnsi="仿宋" w:eastAsia="仿宋" w:cs="仿宋"/>
                <w:i w:val="0"/>
                <w:color w:val="auto"/>
                <w:kern w:val="2"/>
                <w:sz w:val="24"/>
                <w:szCs w:val="24"/>
                <w:highlight w:val="none"/>
                <w:u w:val="none"/>
                <w:lang w:val="en-US" w:eastAsia="zh-CN" w:bidi="ar"/>
              </w:rPr>
            </w:pPr>
            <w:r>
              <w:rPr>
                <w:rFonts w:hint="eastAsia" w:ascii="仿宋" w:hAnsi="仿宋" w:eastAsia="仿宋" w:cs="仿宋"/>
                <w:color w:val="auto"/>
                <w:kern w:val="2"/>
                <w:sz w:val="24"/>
                <w:szCs w:val="24"/>
                <w:highlight w:val="none"/>
              </w:rPr>
              <w:t>15</w:t>
            </w:r>
          </w:p>
        </w:tc>
      </w:tr>
      <w:tr w14:paraId="26C6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16C052A">
            <w:pPr>
              <w:numPr>
                <w:ilvl w:val="-1"/>
                <w:numId w:val="0"/>
              </w:numPr>
              <w:adjustRightInd w:val="0"/>
              <w:snapToGrid w:val="0"/>
              <w:spacing w:line="400" w:lineRule="exact"/>
              <w:ind w:firstLine="0"/>
              <w:jc w:val="center"/>
              <w:textAlignment w:val="auto"/>
              <w:outlineLvl w:val="0"/>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6</w:t>
            </w:r>
          </w:p>
        </w:tc>
        <w:tc>
          <w:tcPr>
            <w:tcW w:w="4776" w:type="dxa"/>
            <w:vAlign w:val="center"/>
          </w:tcPr>
          <w:p w14:paraId="59AF5434">
            <w:pPr>
              <w:keepNext w:val="0"/>
              <w:keepLines w:val="0"/>
              <w:widowControl/>
              <w:numPr>
                <w:ilvl w:val="-1"/>
                <w:numId w:val="0"/>
              </w:numPr>
              <w:suppressLineNumbers w:val="0"/>
              <w:adjustRightInd/>
              <w:spacing w:line="400" w:lineRule="exact"/>
              <w:ind w:left="0" w:leftChars="0" w:firstLine="0" w:firstLineChars="0"/>
              <w:jc w:val="center"/>
              <w:textAlignment w:val="auto"/>
              <w:outlineLvl w:val="9"/>
              <w:rPr>
                <w:rFonts w:hint="eastAsia" w:ascii="仿宋" w:hAnsi="仿宋" w:eastAsia="仿宋" w:cs="仿宋"/>
                <w:i w:val="0"/>
                <w:color w:val="auto"/>
                <w:kern w:val="2"/>
                <w:sz w:val="24"/>
                <w:szCs w:val="24"/>
                <w:highlight w:val="none"/>
                <w:u w:val="none"/>
                <w:lang w:val="en-US" w:eastAsia="zh-CN" w:bidi="ar"/>
              </w:rPr>
            </w:pPr>
            <w:r>
              <w:rPr>
                <w:rFonts w:hint="eastAsia" w:ascii="仿宋" w:hAnsi="仿宋" w:eastAsia="仿宋" w:cs="仿宋"/>
                <w:color w:val="auto"/>
                <w:kern w:val="2"/>
                <w:sz w:val="24"/>
                <w:szCs w:val="24"/>
                <w:highlight w:val="none"/>
              </w:rPr>
              <w:t>马里努阿犬公犬</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8-18月</w:t>
            </w:r>
            <w:r>
              <w:rPr>
                <w:rFonts w:hint="eastAsia" w:ascii="仿宋" w:hAnsi="仿宋" w:eastAsia="仿宋" w:cs="仿宋"/>
                <w:color w:val="auto"/>
                <w:kern w:val="2"/>
                <w:sz w:val="24"/>
                <w:szCs w:val="24"/>
                <w:highlight w:val="none"/>
                <w:lang w:eastAsia="zh-CN"/>
              </w:rPr>
              <w:t>）</w:t>
            </w:r>
          </w:p>
        </w:tc>
        <w:tc>
          <w:tcPr>
            <w:tcW w:w="1875" w:type="dxa"/>
            <w:vAlign w:val="center"/>
          </w:tcPr>
          <w:p w14:paraId="67AE0CA4">
            <w:pPr>
              <w:numPr>
                <w:ilvl w:val="-1"/>
                <w:numId w:val="0"/>
              </w:numPr>
              <w:adjustRightInd/>
              <w:spacing w:line="400" w:lineRule="exact"/>
              <w:ind w:firstLine="0"/>
              <w:jc w:val="center"/>
              <w:textAlignment w:val="auto"/>
              <w:outlineLvl w:val="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只</w:t>
            </w:r>
          </w:p>
        </w:tc>
        <w:tc>
          <w:tcPr>
            <w:tcW w:w="1337" w:type="dxa"/>
            <w:vAlign w:val="center"/>
          </w:tcPr>
          <w:p w14:paraId="4D563F36">
            <w:pPr>
              <w:keepNext w:val="0"/>
              <w:keepLines w:val="0"/>
              <w:widowControl/>
              <w:numPr>
                <w:ilvl w:val="-1"/>
                <w:numId w:val="0"/>
              </w:numPr>
              <w:suppressLineNumbers w:val="0"/>
              <w:adjustRightInd/>
              <w:spacing w:line="400" w:lineRule="exact"/>
              <w:ind w:left="0" w:leftChars="0" w:firstLine="0" w:firstLineChars="0"/>
              <w:jc w:val="center"/>
              <w:textAlignment w:val="auto"/>
              <w:outlineLvl w:val="9"/>
              <w:rPr>
                <w:rFonts w:hint="eastAsia" w:ascii="仿宋" w:hAnsi="仿宋" w:eastAsia="仿宋" w:cs="仿宋"/>
                <w:i w:val="0"/>
                <w:color w:val="auto"/>
                <w:kern w:val="2"/>
                <w:sz w:val="24"/>
                <w:szCs w:val="24"/>
                <w:highlight w:val="none"/>
                <w:u w:val="none"/>
                <w:lang w:val="en-US" w:eastAsia="zh-CN" w:bidi="ar"/>
              </w:rPr>
            </w:pPr>
            <w:r>
              <w:rPr>
                <w:rFonts w:hint="eastAsia" w:ascii="仿宋" w:hAnsi="仿宋" w:eastAsia="仿宋" w:cs="仿宋"/>
                <w:color w:val="auto"/>
                <w:kern w:val="2"/>
                <w:sz w:val="24"/>
                <w:szCs w:val="24"/>
                <w:highlight w:val="none"/>
              </w:rPr>
              <w:t>10</w:t>
            </w:r>
          </w:p>
        </w:tc>
      </w:tr>
      <w:tr w14:paraId="2084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4" w:type="dxa"/>
            <w:vAlign w:val="center"/>
          </w:tcPr>
          <w:p w14:paraId="397F168D">
            <w:pPr>
              <w:numPr>
                <w:ilvl w:val="-1"/>
                <w:numId w:val="0"/>
              </w:numPr>
              <w:adjustRightInd w:val="0"/>
              <w:snapToGrid w:val="0"/>
              <w:spacing w:line="400" w:lineRule="exact"/>
              <w:ind w:firstLine="0"/>
              <w:jc w:val="center"/>
              <w:textAlignment w:val="auto"/>
              <w:outlineLvl w:val="0"/>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7</w:t>
            </w:r>
          </w:p>
        </w:tc>
        <w:tc>
          <w:tcPr>
            <w:tcW w:w="4776" w:type="dxa"/>
            <w:vAlign w:val="center"/>
          </w:tcPr>
          <w:p w14:paraId="7222C9D3">
            <w:pPr>
              <w:keepNext w:val="0"/>
              <w:keepLines w:val="0"/>
              <w:widowControl/>
              <w:numPr>
                <w:ilvl w:val="-1"/>
                <w:numId w:val="0"/>
              </w:numPr>
              <w:suppressLineNumbers w:val="0"/>
              <w:adjustRightInd/>
              <w:spacing w:line="400" w:lineRule="exact"/>
              <w:ind w:left="0" w:leftChars="0" w:firstLine="0" w:firstLineChars="0"/>
              <w:jc w:val="center"/>
              <w:textAlignment w:val="auto"/>
              <w:outlineLvl w:val="9"/>
              <w:rPr>
                <w:rFonts w:hint="eastAsia" w:ascii="仿宋" w:hAnsi="仿宋" w:eastAsia="仿宋" w:cs="仿宋"/>
                <w:i w:val="0"/>
                <w:color w:val="auto"/>
                <w:kern w:val="2"/>
                <w:sz w:val="24"/>
                <w:szCs w:val="24"/>
                <w:highlight w:val="none"/>
                <w:u w:val="none"/>
                <w:lang w:val="en-US" w:eastAsia="zh-CN" w:bidi="ar"/>
              </w:rPr>
            </w:pPr>
            <w:r>
              <w:rPr>
                <w:rFonts w:hint="eastAsia" w:ascii="仿宋" w:hAnsi="仿宋" w:eastAsia="仿宋" w:cs="仿宋"/>
                <w:color w:val="auto"/>
                <w:kern w:val="2"/>
                <w:sz w:val="24"/>
                <w:szCs w:val="24"/>
                <w:highlight w:val="none"/>
              </w:rPr>
              <w:t>昆明犬公犬</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8-18月</w:t>
            </w:r>
            <w:r>
              <w:rPr>
                <w:rFonts w:hint="eastAsia" w:ascii="仿宋" w:hAnsi="仿宋" w:eastAsia="仿宋" w:cs="仿宋"/>
                <w:color w:val="auto"/>
                <w:kern w:val="2"/>
                <w:sz w:val="24"/>
                <w:szCs w:val="24"/>
                <w:highlight w:val="none"/>
                <w:lang w:eastAsia="zh-CN"/>
              </w:rPr>
              <w:t>）</w:t>
            </w:r>
          </w:p>
        </w:tc>
        <w:tc>
          <w:tcPr>
            <w:tcW w:w="1875" w:type="dxa"/>
            <w:vAlign w:val="center"/>
          </w:tcPr>
          <w:p w14:paraId="1F8B50DF">
            <w:pPr>
              <w:numPr>
                <w:ilvl w:val="-1"/>
                <w:numId w:val="0"/>
              </w:numPr>
              <w:adjustRightInd/>
              <w:spacing w:line="400" w:lineRule="exact"/>
              <w:ind w:firstLine="0"/>
              <w:jc w:val="center"/>
              <w:textAlignment w:val="auto"/>
              <w:outlineLvl w:val="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只</w:t>
            </w:r>
          </w:p>
        </w:tc>
        <w:tc>
          <w:tcPr>
            <w:tcW w:w="1337" w:type="dxa"/>
            <w:vAlign w:val="center"/>
          </w:tcPr>
          <w:p w14:paraId="0D0079EA">
            <w:pPr>
              <w:keepNext w:val="0"/>
              <w:keepLines w:val="0"/>
              <w:widowControl/>
              <w:numPr>
                <w:ilvl w:val="-1"/>
                <w:numId w:val="0"/>
              </w:numPr>
              <w:suppressLineNumbers w:val="0"/>
              <w:adjustRightInd/>
              <w:spacing w:line="400" w:lineRule="exact"/>
              <w:ind w:left="0" w:leftChars="0" w:firstLine="0" w:firstLineChars="0"/>
              <w:jc w:val="center"/>
              <w:textAlignment w:val="auto"/>
              <w:outlineLvl w:val="9"/>
              <w:rPr>
                <w:rFonts w:hint="eastAsia" w:ascii="仿宋" w:hAnsi="仿宋" w:eastAsia="仿宋" w:cs="仿宋"/>
                <w:i w:val="0"/>
                <w:color w:val="auto"/>
                <w:kern w:val="2"/>
                <w:sz w:val="24"/>
                <w:szCs w:val="24"/>
                <w:highlight w:val="none"/>
                <w:u w:val="none"/>
                <w:lang w:val="en-US" w:eastAsia="zh-CN" w:bidi="ar"/>
              </w:rPr>
            </w:pPr>
            <w:r>
              <w:rPr>
                <w:rFonts w:hint="eastAsia" w:ascii="仿宋" w:hAnsi="仿宋" w:eastAsia="仿宋" w:cs="仿宋"/>
                <w:color w:val="auto"/>
                <w:kern w:val="2"/>
                <w:sz w:val="24"/>
                <w:szCs w:val="24"/>
                <w:highlight w:val="none"/>
              </w:rPr>
              <w:t>15</w:t>
            </w:r>
          </w:p>
        </w:tc>
      </w:tr>
      <w:tr w14:paraId="7A48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 w:type="dxa"/>
            <w:vAlign w:val="center"/>
          </w:tcPr>
          <w:p w14:paraId="326552D6">
            <w:pPr>
              <w:numPr>
                <w:ilvl w:val="-1"/>
                <w:numId w:val="0"/>
              </w:numPr>
              <w:adjustRightInd w:val="0"/>
              <w:snapToGrid w:val="0"/>
              <w:spacing w:line="400" w:lineRule="exact"/>
              <w:ind w:firstLine="0"/>
              <w:jc w:val="center"/>
              <w:textAlignment w:val="auto"/>
              <w:outlineLvl w:val="0"/>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8</w:t>
            </w:r>
          </w:p>
        </w:tc>
        <w:tc>
          <w:tcPr>
            <w:tcW w:w="4776" w:type="dxa"/>
            <w:vAlign w:val="center"/>
          </w:tcPr>
          <w:p w14:paraId="2B7551D0">
            <w:pPr>
              <w:keepNext w:val="0"/>
              <w:keepLines w:val="0"/>
              <w:widowControl/>
              <w:numPr>
                <w:ilvl w:val="-1"/>
                <w:numId w:val="0"/>
              </w:numPr>
              <w:suppressLineNumbers w:val="0"/>
              <w:adjustRightInd/>
              <w:spacing w:line="400" w:lineRule="exact"/>
              <w:ind w:left="0" w:leftChars="0" w:firstLine="0" w:firstLineChars="0"/>
              <w:jc w:val="center"/>
              <w:textAlignment w:val="auto"/>
              <w:outlineLvl w:val="9"/>
              <w:rPr>
                <w:rFonts w:hint="eastAsia" w:ascii="仿宋" w:hAnsi="仿宋" w:eastAsia="仿宋" w:cs="仿宋"/>
                <w:i w:val="0"/>
                <w:color w:val="auto"/>
                <w:kern w:val="2"/>
                <w:sz w:val="24"/>
                <w:szCs w:val="24"/>
                <w:highlight w:val="none"/>
                <w:u w:val="none"/>
                <w:lang w:val="en-US" w:eastAsia="zh-CN" w:bidi="ar"/>
              </w:rPr>
            </w:pPr>
            <w:r>
              <w:rPr>
                <w:rFonts w:hint="eastAsia" w:ascii="仿宋" w:hAnsi="仿宋" w:eastAsia="仿宋" w:cs="仿宋"/>
                <w:color w:val="auto"/>
                <w:kern w:val="2"/>
                <w:sz w:val="24"/>
                <w:szCs w:val="24"/>
                <w:highlight w:val="none"/>
              </w:rPr>
              <w:t>史宾格犬公犬</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8-18月</w:t>
            </w:r>
            <w:r>
              <w:rPr>
                <w:rFonts w:hint="eastAsia" w:ascii="仿宋" w:hAnsi="仿宋" w:eastAsia="仿宋" w:cs="仿宋"/>
                <w:color w:val="auto"/>
                <w:kern w:val="2"/>
                <w:sz w:val="24"/>
                <w:szCs w:val="24"/>
                <w:highlight w:val="none"/>
                <w:lang w:eastAsia="zh-CN"/>
              </w:rPr>
              <w:t>）</w:t>
            </w:r>
          </w:p>
        </w:tc>
        <w:tc>
          <w:tcPr>
            <w:tcW w:w="1875" w:type="dxa"/>
            <w:vAlign w:val="center"/>
          </w:tcPr>
          <w:p w14:paraId="5BA6796A">
            <w:pPr>
              <w:numPr>
                <w:ilvl w:val="-1"/>
                <w:numId w:val="0"/>
              </w:numPr>
              <w:adjustRightInd/>
              <w:spacing w:line="400" w:lineRule="exact"/>
              <w:ind w:firstLine="0"/>
              <w:jc w:val="center"/>
              <w:textAlignment w:val="auto"/>
              <w:outlineLvl w:val="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只</w:t>
            </w:r>
          </w:p>
        </w:tc>
        <w:tc>
          <w:tcPr>
            <w:tcW w:w="1337" w:type="dxa"/>
            <w:vAlign w:val="center"/>
          </w:tcPr>
          <w:p w14:paraId="3A7EE0A4">
            <w:pPr>
              <w:keepNext w:val="0"/>
              <w:keepLines w:val="0"/>
              <w:widowControl/>
              <w:numPr>
                <w:ilvl w:val="-1"/>
                <w:numId w:val="0"/>
              </w:numPr>
              <w:suppressLineNumbers w:val="0"/>
              <w:adjustRightInd/>
              <w:spacing w:line="400" w:lineRule="exact"/>
              <w:ind w:left="0" w:leftChars="0" w:firstLine="0" w:firstLineChars="0"/>
              <w:jc w:val="center"/>
              <w:textAlignment w:val="auto"/>
              <w:outlineLvl w:val="9"/>
              <w:rPr>
                <w:rFonts w:hint="eastAsia" w:ascii="仿宋" w:hAnsi="仿宋" w:eastAsia="仿宋" w:cs="仿宋"/>
                <w:i w:val="0"/>
                <w:color w:val="auto"/>
                <w:kern w:val="2"/>
                <w:sz w:val="24"/>
                <w:szCs w:val="24"/>
                <w:highlight w:val="none"/>
                <w:u w:val="none"/>
                <w:lang w:val="en-US" w:eastAsia="zh-CN" w:bidi="ar"/>
              </w:rPr>
            </w:pPr>
            <w:r>
              <w:rPr>
                <w:rFonts w:hint="eastAsia" w:ascii="仿宋" w:hAnsi="仿宋" w:eastAsia="仿宋" w:cs="仿宋"/>
                <w:color w:val="auto"/>
                <w:kern w:val="2"/>
                <w:sz w:val="24"/>
                <w:szCs w:val="24"/>
                <w:highlight w:val="none"/>
              </w:rPr>
              <w:t>5</w:t>
            </w:r>
          </w:p>
        </w:tc>
      </w:tr>
    </w:tbl>
    <w:p w14:paraId="40DEB94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仿宋" w:hAnsi="仿宋" w:eastAsia="仿宋" w:cs="仿宋"/>
          <w:color w:val="auto"/>
          <w:spacing w:val="-1"/>
          <w:position w:val="18"/>
          <w:sz w:val="24"/>
          <w:szCs w:val="24"/>
          <w:highlight w:val="none"/>
          <w:lang w:eastAsia="zh-CN"/>
        </w:rPr>
      </w:pPr>
      <w:r>
        <w:rPr>
          <w:rFonts w:hint="eastAsia" w:ascii="仿宋" w:hAnsi="仿宋" w:eastAsia="仿宋" w:cs="仿宋"/>
          <w:color w:val="auto"/>
          <w:spacing w:val="-1"/>
          <w:position w:val="18"/>
          <w:sz w:val="24"/>
          <w:szCs w:val="24"/>
          <w:highlight w:val="none"/>
          <w:lang w:eastAsia="zh-CN"/>
        </w:rPr>
        <w:t>合同履约期限：</w:t>
      </w:r>
      <w:r>
        <w:rPr>
          <w:rFonts w:hint="eastAsia" w:ascii="仿宋" w:hAnsi="仿宋" w:eastAsia="仿宋" w:cs="仿宋"/>
          <w:color w:val="auto"/>
          <w:spacing w:val="-1"/>
          <w:position w:val="18"/>
          <w:sz w:val="24"/>
          <w:szCs w:val="24"/>
          <w:highlight w:val="none"/>
          <w:lang w:val="en-US" w:eastAsia="zh-CN"/>
        </w:rPr>
        <w:t>合同签订后，乙方应按照甲方要求，分两批次</w:t>
      </w:r>
      <w:r>
        <w:rPr>
          <w:rFonts w:hint="eastAsia" w:ascii="仿宋" w:hAnsi="仿宋" w:eastAsia="仿宋" w:cs="仿宋"/>
          <w:color w:val="auto"/>
          <w:spacing w:val="-1"/>
          <w:position w:val="18"/>
          <w:sz w:val="24"/>
          <w:szCs w:val="24"/>
          <w:highlight w:val="none"/>
          <w:lang w:eastAsia="zh-CN"/>
        </w:rPr>
        <w:t>进行</w:t>
      </w:r>
      <w:r>
        <w:rPr>
          <w:rFonts w:hint="eastAsia" w:ascii="仿宋" w:hAnsi="仿宋" w:eastAsia="仿宋" w:cs="仿宋"/>
          <w:color w:val="auto"/>
          <w:spacing w:val="-1"/>
          <w:position w:val="18"/>
          <w:sz w:val="24"/>
          <w:szCs w:val="24"/>
          <w:highlight w:val="none"/>
          <w:lang w:val="en-US" w:eastAsia="zh-CN"/>
        </w:rPr>
        <w:t>供货，其中：（1）繁育种犬：合同签订之日起75个日历日内，完成犬只筹备、隔离、选取、体检、防疫驱虫等验收前全部工作；（2）待训警犬：合同签订之日起20个日历日内，完成犬只筹备、隔离、选取、体检、防疫驱虫等验收前全部工作。</w:t>
      </w:r>
    </w:p>
    <w:p w14:paraId="3CF3634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8"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本项目（否）接受联合体投标。</w:t>
      </w:r>
    </w:p>
    <w:p w14:paraId="4FD18E1B">
      <w:pPr>
        <w:spacing w:before="162" w:line="360" w:lineRule="auto"/>
        <w:ind w:left="103"/>
        <w:outlineLvl w:val="1"/>
        <w:rPr>
          <w:rFonts w:hint="eastAsia" w:ascii="仿宋" w:hAnsi="仿宋" w:eastAsia="仿宋" w:cs="仿宋"/>
          <w:color w:val="auto"/>
          <w:sz w:val="24"/>
          <w:szCs w:val="24"/>
          <w:highlight w:val="none"/>
          <w:lang w:eastAsia="zh-CN"/>
        </w:rPr>
      </w:pPr>
      <w:bookmarkStart w:id="7" w:name="_Toc31729"/>
      <w:r>
        <w:rPr>
          <w:rFonts w:hint="eastAsia" w:ascii="仿宋" w:hAnsi="仿宋" w:eastAsia="仿宋" w:cs="仿宋"/>
          <w:color w:val="auto"/>
          <w:spacing w:val="-6"/>
          <w:sz w:val="24"/>
          <w:szCs w:val="24"/>
          <w:highlight w:val="none"/>
          <w:lang w:eastAsia="zh-CN"/>
          <w14:textOutline w14:w="4394" w14:cap="flat" w14:cmpd="sng" w14:algn="ctr">
            <w14:solidFill>
              <w14:srgbClr w14:val="000000"/>
            </w14:solidFill>
            <w14:prstDash w14:val="solid"/>
            <w14:miter w14:val="0"/>
          </w14:textOutline>
        </w:rPr>
        <w:t>二、申请人的资格要求：</w:t>
      </w:r>
      <w:bookmarkEnd w:id="7"/>
    </w:p>
    <w:p w14:paraId="1A45F171">
      <w:pPr>
        <w:spacing w:line="240" w:lineRule="auto"/>
        <w:rPr>
          <w:rFonts w:hint="eastAsia" w:ascii="仿宋" w:hAnsi="仿宋" w:eastAsia="仿宋" w:cs="仿宋"/>
          <w:color w:val="auto"/>
          <w:spacing w:val="9"/>
          <w:position w:val="18"/>
          <w:sz w:val="24"/>
          <w:szCs w:val="24"/>
          <w:highlight w:val="none"/>
          <w:lang w:eastAsia="zh-CN"/>
        </w:rPr>
      </w:pPr>
      <w:bookmarkStart w:id="8" w:name="_Toc24372"/>
      <w:r>
        <w:rPr>
          <w:rFonts w:hint="eastAsia" w:ascii="仿宋" w:hAnsi="仿宋" w:eastAsia="仿宋" w:cs="仿宋"/>
          <w:color w:val="auto"/>
          <w:spacing w:val="9"/>
          <w:position w:val="18"/>
          <w:sz w:val="24"/>
          <w:szCs w:val="24"/>
          <w:highlight w:val="none"/>
          <w:lang w:eastAsia="zh-CN"/>
        </w:rPr>
        <w:t>1、满足《中华人民共和国政府采购法》第二十二条规定；</w:t>
      </w:r>
      <w:bookmarkEnd w:id="8"/>
    </w:p>
    <w:p w14:paraId="4D18926D">
      <w:pPr>
        <w:spacing w:line="240" w:lineRule="auto"/>
        <w:rPr>
          <w:rFonts w:hint="eastAsia" w:ascii="仿宋" w:hAnsi="仿宋" w:eastAsia="仿宋" w:cs="仿宋"/>
          <w:color w:val="auto"/>
          <w:spacing w:val="9"/>
          <w:position w:val="18"/>
          <w:sz w:val="24"/>
          <w:szCs w:val="24"/>
          <w:highlight w:val="none"/>
          <w:lang w:eastAsia="zh-CN"/>
        </w:rPr>
      </w:pPr>
      <w:r>
        <w:rPr>
          <w:rFonts w:hint="eastAsia" w:ascii="仿宋" w:hAnsi="仿宋" w:eastAsia="仿宋" w:cs="仿宋"/>
          <w:color w:val="auto"/>
          <w:spacing w:val="9"/>
          <w:position w:val="18"/>
          <w:sz w:val="24"/>
          <w:szCs w:val="24"/>
          <w:highlight w:val="none"/>
          <w:lang w:eastAsia="zh-CN"/>
        </w:rPr>
        <w:t>2、落实政府采购政策需满足的资格要求：本项目专门面向中小企业采购</w:t>
      </w:r>
    </w:p>
    <w:p w14:paraId="4F2F639C">
      <w:pPr>
        <w:pStyle w:val="19"/>
        <w:spacing w:before="35" w:line="240" w:lineRule="auto"/>
        <w:ind w:right="136"/>
        <w:rPr>
          <w:rFonts w:hint="eastAsia" w:ascii="仿宋" w:hAnsi="仿宋" w:eastAsia="仿宋" w:cs="仿宋"/>
          <w:color w:val="auto"/>
          <w:spacing w:val="-1"/>
          <w:position w:val="18"/>
          <w:sz w:val="24"/>
          <w:szCs w:val="24"/>
          <w:highlight w:val="none"/>
          <w:lang w:val="en-US" w:eastAsia="zh-CN"/>
        </w:rPr>
      </w:pPr>
      <w:r>
        <w:rPr>
          <w:rFonts w:hint="eastAsia" w:ascii="仿宋" w:hAnsi="仿宋" w:eastAsia="仿宋" w:cs="仿宋"/>
          <w:color w:val="auto"/>
          <w:spacing w:val="-1"/>
          <w:position w:val="18"/>
          <w:sz w:val="24"/>
          <w:szCs w:val="24"/>
          <w:highlight w:val="none"/>
          <w:lang w:val="en-US" w:eastAsia="zh-CN"/>
        </w:rPr>
        <w:t>3、本项目的特定资格要求:无</w:t>
      </w:r>
    </w:p>
    <w:p w14:paraId="7A844495">
      <w:pPr>
        <w:pStyle w:val="19"/>
        <w:spacing w:before="35" w:line="240" w:lineRule="auto"/>
        <w:ind w:right="136"/>
        <w:rPr>
          <w:rFonts w:hint="eastAsia" w:ascii="仿宋" w:hAnsi="仿宋" w:eastAsia="仿宋" w:cs="仿宋"/>
          <w:color w:val="auto"/>
          <w:spacing w:val="-1"/>
          <w:position w:val="18"/>
          <w:sz w:val="24"/>
          <w:szCs w:val="24"/>
          <w:highlight w:val="none"/>
          <w:lang w:eastAsia="zh-CN"/>
        </w:rPr>
      </w:pPr>
      <w:r>
        <w:rPr>
          <w:rFonts w:hint="eastAsia" w:ascii="仿宋" w:hAnsi="仿宋" w:eastAsia="仿宋" w:cs="仿宋"/>
          <w:color w:val="auto"/>
          <w:spacing w:val="-1"/>
          <w:position w:val="18"/>
          <w:sz w:val="24"/>
          <w:szCs w:val="24"/>
          <w:highlight w:val="none"/>
          <w:lang w:val="en-US" w:eastAsia="zh-CN"/>
        </w:rPr>
        <w:t>4、</w:t>
      </w:r>
      <w:r>
        <w:rPr>
          <w:rFonts w:hint="eastAsia" w:ascii="仿宋" w:hAnsi="仿宋" w:eastAsia="仿宋" w:cs="仿宋"/>
          <w:color w:val="auto"/>
          <w:spacing w:val="-1"/>
          <w:position w:val="18"/>
          <w:sz w:val="24"/>
          <w:szCs w:val="24"/>
          <w:highlight w:val="none"/>
          <w:lang w:eastAsia="zh-CN"/>
        </w:rPr>
        <w:t>企业诚信信息未被行业主管部门通报</w:t>
      </w:r>
      <w:r>
        <w:rPr>
          <w:rFonts w:hint="eastAsia" w:ascii="仿宋" w:hAnsi="仿宋" w:eastAsia="仿宋" w:cs="仿宋"/>
          <w:color w:val="auto"/>
          <w:spacing w:val="-1"/>
          <w:position w:val="18"/>
          <w:sz w:val="24"/>
          <w:szCs w:val="24"/>
          <w:highlight w:val="none"/>
          <w:lang w:val="zh-CN" w:eastAsia="zh-CN"/>
        </w:rPr>
        <w:t>（提供网页截图等证明材料或承诺函）；</w:t>
      </w:r>
    </w:p>
    <w:p w14:paraId="465722BC">
      <w:pPr>
        <w:pStyle w:val="19"/>
        <w:spacing w:before="35" w:line="240" w:lineRule="auto"/>
        <w:ind w:right="136"/>
        <w:rPr>
          <w:rFonts w:hint="eastAsia" w:ascii="仿宋" w:hAnsi="仿宋" w:eastAsia="仿宋" w:cs="仿宋"/>
          <w:color w:val="auto"/>
          <w:spacing w:val="-1"/>
          <w:position w:val="18"/>
          <w:sz w:val="24"/>
          <w:szCs w:val="24"/>
          <w:highlight w:val="none"/>
          <w:lang w:eastAsia="zh-CN"/>
        </w:rPr>
      </w:pPr>
      <w:r>
        <w:rPr>
          <w:rFonts w:hint="eastAsia" w:ascii="仿宋" w:hAnsi="仿宋" w:eastAsia="仿宋" w:cs="仿宋"/>
          <w:color w:val="auto"/>
          <w:spacing w:val="-1"/>
          <w:position w:val="18"/>
          <w:sz w:val="24"/>
          <w:szCs w:val="24"/>
          <w:highlight w:val="none"/>
          <w:lang w:val="en-US" w:eastAsia="zh-CN"/>
        </w:rPr>
        <w:t>5、</w:t>
      </w:r>
      <w:r>
        <w:rPr>
          <w:rFonts w:hint="eastAsia" w:ascii="仿宋" w:hAnsi="仿宋" w:eastAsia="仿宋" w:cs="仿宋"/>
          <w:color w:val="auto"/>
          <w:spacing w:val="-1"/>
          <w:position w:val="18"/>
          <w:sz w:val="24"/>
          <w:szCs w:val="24"/>
          <w:highlight w:val="none"/>
          <w:lang w:eastAsia="zh-CN"/>
        </w:rPr>
        <w:t>供应商必须为响应文件递交截止之日前未被列入“信用中国”网站（www.creditchina.gov.cn）、中国政府采购网（www.ccgp.gov.cn）信用记录失信被执行人、重大税收违法案件当事人名单、政府采购严重违法失信行为记录名单的；</w:t>
      </w:r>
    </w:p>
    <w:p w14:paraId="3A299EFB">
      <w:pPr>
        <w:pStyle w:val="19"/>
        <w:spacing w:before="35" w:line="240" w:lineRule="auto"/>
        <w:ind w:right="136"/>
        <w:rPr>
          <w:rFonts w:hint="eastAsia" w:ascii="仿宋" w:hAnsi="仿宋" w:eastAsia="仿宋" w:cs="仿宋"/>
          <w:color w:val="auto"/>
          <w:spacing w:val="-1"/>
          <w:position w:val="18"/>
          <w:sz w:val="24"/>
          <w:szCs w:val="24"/>
          <w:highlight w:val="none"/>
          <w:lang w:eastAsia="zh-CN"/>
        </w:rPr>
      </w:pPr>
      <w:r>
        <w:rPr>
          <w:rFonts w:hint="eastAsia" w:ascii="仿宋" w:hAnsi="仿宋" w:eastAsia="仿宋" w:cs="仿宋"/>
          <w:color w:val="auto"/>
          <w:spacing w:val="-1"/>
          <w:position w:val="18"/>
          <w:sz w:val="24"/>
          <w:szCs w:val="24"/>
          <w:highlight w:val="none"/>
          <w:lang w:val="en-US" w:eastAsia="zh-CN"/>
        </w:rPr>
        <w:t>6、</w:t>
      </w:r>
      <w:r>
        <w:rPr>
          <w:rFonts w:hint="eastAsia" w:ascii="仿宋" w:hAnsi="仿宋" w:eastAsia="仿宋" w:cs="仿宋"/>
          <w:color w:val="auto"/>
          <w:spacing w:val="-1"/>
          <w:position w:val="18"/>
          <w:sz w:val="24"/>
          <w:szCs w:val="24"/>
          <w:highlight w:val="none"/>
          <w:lang w:eastAsia="zh-CN"/>
        </w:rPr>
        <w:t>单位负责人为同一人或者存在控股、管理关系的不同单位，不得同时参加本项目的投标。为本项目提供整体设计、规范编制或者项目管理、监理、检测等服务的投标人，不得再参加本项目投标；</w:t>
      </w:r>
    </w:p>
    <w:p w14:paraId="0D24BC96">
      <w:pPr>
        <w:pStyle w:val="3"/>
        <w:spacing w:before="35" w:line="360" w:lineRule="auto"/>
        <w:ind w:left="107" w:right="138"/>
        <w:rPr>
          <w:rFonts w:hint="eastAsia" w:ascii="仿宋" w:hAnsi="仿宋" w:eastAsia="仿宋" w:cs="仿宋"/>
          <w:color w:val="auto"/>
          <w:spacing w:val="-6"/>
          <w:sz w:val="24"/>
          <w:szCs w:val="24"/>
          <w:highlight w:val="none"/>
          <w:lang w:eastAsia="zh-CN"/>
          <w14:textOutline w14:w="4394" w14:cap="flat" w14:cmpd="sng" w14:algn="ctr">
            <w14:solidFill>
              <w14:srgbClr w14:val="000000"/>
            </w14:solidFill>
            <w14:prstDash w14:val="solid"/>
            <w14:miter w14:val="0"/>
          </w14:textOutline>
        </w:rPr>
      </w:pPr>
      <w:bookmarkStart w:id="9" w:name="_Toc24932"/>
      <w:r>
        <w:rPr>
          <w:rFonts w:hint="eastAsia" w:ascii="仿宋" w:hAnsi="仿宋" w:eastAsia="仿宋" w:cs="仿宋"/>
          <w:color w:val="auto"/>
          <w:spacing w:val="-6"/>
          <w:sz w:val="24"/>
          <w:szCs w:val="24"/>
          <w:highlight w:val="none"/>
          <w:lang w:eastAsia="zh-CN"/>
          <w14:textOutline w14:w="4394" w14:cap="flat" w14:cmpd="sng" w14:algn="ctr">
            <w14:solidFill>
              <w14:srgbClr w14:val="000000"/>
            </w14:solidFill>
            <w14:prstDash w14:val="solid"/>
            <w14:miter w14:val="0"/>
          </w14:textOutline>
        </w:rPr>
        <w:t>三、获取采购文件</w:t>
      </w:r>
      <w:bookmarkEnd w:id="9"/>
    </w:p>
    <w:p w14:paraId="2A117151">
      <w:pPr>
        <w:pStyle w:val="19"/>
        <w:spacing w:before="35" w:line="240" w:lineRule="auto"/>
        <w:ind w:right="136" w:firstLine="238" w:firstLineChars="100"/>
        <w:rPr>
          <w:rFonts w:hint="eastAsia" w:ascii="仿宋" w:hAnsi="仿宋" w:eastAsia="仿宋" w:cs="仿宋"/>
          <w:color w:val="auto"/>
          <w:spacing w:val="-1"/>
          <w:position w:val="18"/>
          <w:sz w:val="24"/>
          <w:szCs w:val="24"/>
          <w:highlight w:val="none"/>
          <w:lang w:val="en-US" w:eastAsia="zh-CN"/>
        </w:rPr>
      </w:pPr>
      <w:r>
        <w:rPr>
          <w:rFonts w:hint="eastAsia" w:ascii="仿宋" w:hAnsi="仿宋" w:eastAsia="仿宋" w:cs="仿宋"/>
          <w:color w:val="auto"/>
          <w:spacing w:val="-1"/>
          <w:position w:val="18"/>
          <w:sz w:val="24"/>
          <w:szCs w:val="24"/>
          <w:highlight w:val="none"/>
          <w:lang w:val="en-US" w:eastAsia="zh-CN"/>
        </w:rPr>
        <w:t>时间：2026年05月 22 日至2026年05月26 日，每天上午10:30至13:30，下午15:30至19:30（北京时间，法定节假日除外）</w:t>
      </w:r>
    </w:p>
    <w:p w14:paraId="2E1BEF1B">
      <w:pPr>
        <w:pStyle w:val="19"/>
        <w:spacing w:before="35" w:line="240" w:lineRule="auto"/>
        <w:ind w:right="136"/>
        <w:rPr>
          <w:rFonts w:hint="eastAsia" w:ascii="仿宋" w:hAnsi="仿宋" w:eastAsia="仿宋" w:cs="仿宋"/>
          <w:color w:val="auto"/>
          <w:spacing w:val="-1"/>
          <w:position w:val="18"/>
          <w:sz w:val="24"/>
          <w:szCs w:val="24"/>
          <w:highlight w:val="none"/>
          <w:lang w:val="en-US" w:eastAsia="zh-CN"/>
        </w:rPr>
      </w:pPr>
      <w:r>
        <w:rPr>
          <w:rFonts w:hint="eastAsia" w:ascii="仿宋" w:hAnsi="仿宋" w:eastAsia="仿宋" w:cs="仿宋"/>
          <w:color w:val="auto"/>
          <w:spacing w:val="-1"/>
          <w:position w:val="18"/>
          <w:sz w:val="24"/>
          <w:szCs w:val="24"/>
          <w:highlight w:val="none"/>
          <w:lang w:val="en-US" w:eastAsia="zh-CN"/>
        </w:rPr>
        <w:t>地点：新疆政府采购网（</w:t>
      </w:r>
      <w:r>
        <w:rPr>
          <w:rFonts w:hint="eastAsia" w:ascii="仿宋" w:hAnsi="仿宋" w:eastAsia="仿宋" w:cs="仿宋"/>
          <w:color w:val="auto"/>
          <w:spacing w:val="-1"/>
          <w:position w:val="18"/>
          <w:sz w:val="24"/>
          <w:szCs w:val="24"/>
          <w:highlight w:val="none"/>
          <w:lang w:val="en-US" w:eastAsia="zh-CN"/>
        </w:rPr>
        <w:fldChar w:fldCharType="begin"/>
      </w:r>
      <w:r>
        <w:rPr>
          <w:rFonts w:hint="eastAsia" w:ascii="仿宋" w:hAnsi="仿宋" w:eastAsia="仿宋" w:cs="仿宋"/>
          <w:color w:val="auto"/>
          <w:spacing w:val="-1"/>
          <w:position w:val="18"/>
          <w:sz w:val="24"/>
          <w:szCs w:val="24"/>
          <w:highlight w:val="none"/>
          <w:lang w:val="en-US" w:eastAsia="zh-CN"/>
        </w:rPr>
        <w:instrText xml:space="preserve"> HYPERLINK "http://www.ccgp-xinjiang.gov.cn" </w:instrText>
      </w:r>
      <w:r>
        <w:rPr>
          <w:rFonts w:hint="eastAsia" w:ascii="仿宋" w:hAnsi="仿宋" w:eastAsia="仿宋" w:cs="仿宋"/>
          <w:color w:val="auto"/>
          <w:spacing w:val="-1"/>
          <w:position w:val="18"/>
          <w:sz w:val="24"/>
          <w:szCs w:val="24"/>
          <w:highlight w:val="none"/>
          <w:lang w:val="en-US" w:eastAsia="zh-CN"/>
        </w:rPr>
        <w:fldChar w:fldCharType="separate"/>
      </w:r>
      <w:r>
        <w:rPr>
          <w:rFonts w:hint="eastAsia" w:ascii="仿宋" w:hAnsi="仿宋" w:eastAsia="仿宋" w:cs="仿宋"/>
          <w:color w:val="auto"/>
          <w:spacing w:val="-1"/>
          <w:position w:val="18"/>
          <w:sz w:val="24"/>
          <w:szCs w:val="24"/>
          <w:highlight w:val="none"/>
          <w:lang w:val="en-US" w:eastAsia="zh-CN"/>
        </w:rPr>
        <w:t>http://www.ccgp-xinjiang.gov.cn</w:t>
      </w:r>
      <w:r>
        <w:rPr>
          <w:rFonts w:hint="eastAsia" w:ascii="仿宋" w:hAnsi="仿宋" w:eastAsia="仿宋" w:cs="仿宋"/>
          <w:color w:val="auto"/>
          <w:spacing w:val="-1"/>
          <w:position w:val="18"/>
          <w:sz w:val="24"/>
          <w:szCs w:val="24"/>
          <w:highlight w:val="none"/>
          <w:lang w:val="en-US" w:eastAsia="zh-CN"/>
        </w:rPr>
        <w:fldChar w:fldCharType="end"/>
      </w:r>
      <w:r>
        <w:rPr>
          <w:rFonts w:hint="eastAsia" w:ascii="仿宋" w:hAnsi="仿宋" w:eastAsia="仿宋" w:cs="仿宋"/>
          <w:color w:val="auto"/>
          <w:spacing w:val="-1"/>
          <w:position w:val="18"/>
          <w:sz w:val="24"/>
          <w:szCs w:val="24"/>
          <w:highlight w:val="none"/>
          <w:lang w:val="en-US" w:eastAsia="zh-CN"/>
        </w:rPr>
        <w:t>）政采云平台</w:t>
      </w:r>
    </w:p>
    <w:p w14:paraId="28A480F7">
      <w:pPr>
        <w:pStyle w:val="19"/>
        <w:spacing w:before="35" w:line="240" w:lineRule="auto"/>
        <w:ind w:right="136"/>
        <w:rPr>
          <w:rFonts w:hint="eastAsia" w:ascii="仿宋" w:hAnsi="仿宋" w:eastAsia="仿宋" w:cs="仿宋"/>
          <w:color w:val="auto"/>
          <w:spacing w:val="-1"/>
          <w:position w:val="18"/>
          <w:sz w:val="24"/>
          <w:szCs w:val="24"/>
          <w:highlight w:val="none"/>
          <w:lang w:val="en-US" w:eastAsia="zh-CN"/>
        </w:rPr>
      </w:pPr>
      <w:r>
        <w:rPr>
          <w:rFonts w:hint="eastAsia" w:ascii="仿宋" w:hAnsi="仿宋" w:eastAsia="仿宋" w:cs="仿宋"/>
          <w:color w:val="auto"/>
          <w:spacing w:val="-1"/>
          <w:position w:val="18"/>
          <w:sz w:val="24"/>
          <w:szCs w:val="24"/>
          <w:highlight w:val="none"/>
          <w:lang w:val="en-US" w:eastAsia="zh-CN"/>
        </w:rPr>
        <w:t>线上获取。</w:t>
      </w:r>
    </w:p>
    <w:p w14:paraId="104F52DC">
      <w:pPr>
        <w:pStyle w:val="19"/>
        <w:spacing w:before="35" w:line="240" w:lineRule="auto"/>
        <w:ind w:right="136"/>
        <w:rPr>
          <w:rFonts w:hint="eastAsia" w:ascii="仿宋" w:hAnsi="仿宋" w:eastAsia="仿宋" w:cs="仿宋"/>
          <w:color w:val="auto"/>
          <w:spacing w:val="-1"/>
          <w:position w:val="18"/>
          <w:sz w:val="24"/>
          <w:szCs w:val="24"/>
          <w:highlight w:val="none"/>
          <w:lang w:val="en-US" w:eastAsia="zh-CN"/>
        </w:rPr>
      </w:pPr>
      <w:r>
        <w:rPr>
          <w:rFonts w:hint="eastAsia" w:ascii="仿宋" w:hAnsi="仿宋" w:eastAsia="仿宋" w:cs="仿宋"/>
          <w:color w:val="auto"/>
          <w:spacing w:val="-1"/>
          <w:position w:val="18"/>
          <w:sz w:val="24"/>
          <w:szCs w:val="24"/>
          <w:highlight w:val="none"/>
          <w:lang w:val="en-US" w:eastAsia="zh-CN"/>
        </w:rPr>
        <w:t>方式：供应商登录政采云平台https://www.zcygov.cn/在线申请获取采购文件（进入“项目采购”应用，在获取采购文件菜单中选择项目，申请获取采购文件）</w:t>
      </w:r>
    </w:p>
    <w:p w14:paraId="666C3439">
      <w:pPr>
        <w:pStyle w:val="19"/>
        <w:spacing w:before="35" w:line="240" w:lineRule="auto"/>
        <w:ind w:right="136"/>
        <w:rPr>
          <w:rFonts w:hint="eastAsia" w:ascii="仿宋" w:hAnsi="仿宋" w:eastAsia="仿宋" w:cs="仿宋"/>
          <w:color w:val="auto"/>
          <w:spacing w:val="-1"/>
          <w:position w:val="18"/>
          <w:sz w:val="24"/>
          <w:szCs w:val="24"/>
          <w:highlight w:val="none"/>
          <w:lang w:val="en-US" w:eastAsia="zh-CN"/>
        </w:rPr>
      </w:pPr>
      <w:r>
        <w:rPr>
          <w:rFonts w:hint="eastAsia" w:ascii="仿宋" w:hAnsi="仿宋" w:eastAsia="仿宋" w:cs="仿宋"/>
          <w:color w:val="auto"/>
          <w:spacing w:val="-1"/>
          <w:position w:val="18"/>
          <w:sz w:val="24"/>
          <w:szCs w:val="24"/>
          <w:highlight w:val="none"/>
          <w:lang w:val="en-US" w:eastAsia="zh-CN"/>
        </w:rPr>
        <w:t>售价（元）：0元</w:t>
      </w:r>
      <w:r>
        <w:rPr>
          <w:rFonts w:hint="eastAsia" w:ascii="仿宋" w:hAnsi="仿宋" w:eastAsia="仿宋" w:cs="仿宋"/>
          <w:color w:val="auto"/>
          <w:spacing w:val="-1"/>
          <w:position w:val="18"/>
          <w:sz w:val="24"/>
          <w:szCs w:val="24"/>
          <w:highlight w:val="none"/>
          <w:lang w:val="en-US" w:eastAsia="zh-CN"/>
        </w:rPr>
        <w:tab/>
      </w:r>
    </w:p>
    <w:p w14:paraId="2F42F095">
      <w:pPr>
        <w:spacing w:before="187"/>
        <w:ind w:left="25"/>
        <w:outlineLvl w:val="1"/>
        <w:rPr>
          <w:rFonts w:hint="eastAsia" w:ascii="仿宋" w:hAnsi="仿宋" w:eastAsia="仿宋" w:cs="仿宋"/>
          <w:color w:val="auto"/>
          <w:sz w:val="24"/>
          <w:szCs w:val="24"/>
          <w:highlight w:val="none"/>
          <w:lang w:eastAsia="zh-CN"/>
        </w:rPr>
      </w:pPr>
      <w:bookmarkStart w:id="10" w:name="_Toc7385"/>
      <w:r>
        <w:rPr>
          <w:rFonts w:hint="eastAsia" w:ascii="仿宋" w:hAnsi="仿宋" w:eastAsia="仿宋" w:cs="仿宋"/>
          <w:color w:val="auto"/>
          <w:spacing w:val="-6"/>
          <w:sz w:val="24"/>
          <w:szCs w:val="24"/>
          <w:highlight w:val="none"/>
          <w:lang w:eastAsia="zh-CN"/>
          <w14:textOutline w14:w="4394" w14:cap="flat" w14:cmpd="sng" w14:algn="ctr">
            <w14:solidFill>
              <w14:srgbClr w14:val="000000"/>
            </w14:solidFill>
            <w14:prstDash w14:val="solid"/>
            <w14:miter w14:val="0"/>
          </w14:textOutline>
        </w:rPr>
        <w:t>四、</w:t>
      </w:r>
      <w:r>
        <w:rPr>
          <w:rFonts w:hint="eastAsia" w:ascii="仿宋" w:hAnsi="仿宋" w:eastAsia="仿宋" w:cs="仿宋"/>
          <w:color w:val="auto"/>
          <w:spacing w:val="-16"/>
          <w:sz w:val="24"/>
          <w:szCs w:val="24"/>
          <w:highlight w:val="none"/>
          <w:lang w:eastAsia="zh-CN"/>
        </w:rPr>
        <w:t xml:space="preserve"> </w:t>
      </w:r>
      <w:r>
        <w:rPr>
          <w:rFonts w:hint="eastAsia" w:ascii="仿宋" w:hAnsi="仿宋" w:eastAsia="仿宋" w:cs="仿宋"/>
          <w:color w:val="auto"/>
          <w:spacing w:val="-6"/>
          <w:sz w:val="24"/>
          <w:szCs w:val="24"/>
          <w:highlight w:val="none"/>
          <w:lang w:eastAsia="zh-CN"/>
          <w14:textOutline w14:w="4394" w14:cap="flat" w14:cmpd="sng" w14:algn="ctr">
            <w14:solidFill>
              <w14:srgbClr w14:val="000000"/>
            </w14:solidFill>
            <w14:prstDash w14:val="solid"/>
            <w14:miter w14:val="0"/>
          </w14:textOutline>
        </w:rPr>
        <w:t>响应文件提交</w:t>
      </w:r>
      <w:bookmarkEnd w:id="10"/>
    </w:p>
    <w:p w14:paraId="4F8983CA">
      <w:pPr>
        <w:spacing w:before="182" w:line="240" w:lineRule="auto"/>
        <w:ind w:left="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截止时间：</w:t>
      </w:r>
      <w:r>
        <w:rPr>
          <w:rFonts w:hint="eastAsia" w:ascii="仿宋" w:hAnsi="仿宋" w:eastAsia="仿宋" w:cs="仿宋"/>
          <w:color w:val="auto"/>
          <w:spacing w:val="19"/>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202</w:t>
      </w:r>
      <w:r>
        <w:rPr>
          <w:rFonts w:hint="eastAsia" w:ascii="仿宋" w:hAnsi="仿宋" w:eastAsia="仿宋" w:cs="仿宋"/>
          <w:color w:val="auto"/>
          <w:spacing w:val="2"/>
          <w:sz w:val="24"/>
          <w:szCs w:val="24"/>
          <w:highlight w:val="none"/>
          <w:lang w:val="en-US" w:eastAsia="zh-CN"/>
        </w:rPr>
        <w:t>6</w:t>
      </w:r>
      <w:r>
        <w:rPr>
          <w:rFonts w:hint="eastAsia" w:ascii="仿宋" w:hAnsi="仿宋" w:eastAsia="仿宋" w:cs="仿宋"/>
          <w:color w:val="auto"/>
          <w:spacing w:val="2"/>
          <w:sz w:val="24"/>
          <w:szCs w:val="24"/>
          <w:highlight w:val="none"/>
          <w:lang w:eastAsia="zh-CN"/>
        </w:rPr>
        <w:t>年</w:t>
      </w:r>
      <w:r>
        <w:rPr>
          <w:rFonts w:hint="eastAsia" w:ascii="仿宋" w:hAnsi="仿宋" w:eastAsia="仿宋" w:cs="仿宋"/>
          <w:color w:val="auto"/>
          <w:spacing w:val="2"/>
          <w:sz w:val="24"/>
          <w:szCs w:val="24"/>
          <w:highlight w:val="none"/>
          <w:lang w:val="en-US" w:eastAsia="zh-CN"/>
        </w:rPr>
        <w:t>06</w:t>
      </w:r>
      <w:r>
        <w:rPr>
          <w:rFonts w:hint="eastAsia" w:ascii="仿宋" w:hAnsi="仿宋" w:eastAsia="仿宋" w:cs="仿宋"/>
          <w:color w:val="auto"/>
          <w:spacing w:val="2"/>
          <w:sz w:val="24"/>
          <w:szCs w:val="24"/>
          <w:highlight w:val="none"/>
          <w:lang w:eastAsia="zh-CN"/>
        </w:rPr>
        <w:t>月</w:t>
      </w:r>
      <w:r>
        <w:rPr>
          <w:rFonts w:hint="eastAsia" w:ascii="仿宋" w:hAnsi="仿宋" w:eastAsia="仿宋" w:cs="仿宋"/>
          <w:color w:val="auto"/>
          <w:spacing w:val="2"/>
          <w:sz w:val="24"/>
          <w:szCs w:val="24"/>
          <w:highlight w:val="none"/>
          <w:lang w:val="en-US" w:eastAsia="zh-CN"/>
        </w:rPr>
        <w:t>02</w:t>
      </w:r>
      <w:r>
        <w:rPr>
          <w:rFonts w:hint="eastAsia" w:ascii="仿宋" w:hAnsi="仿宋" w:eastAsia="仿宋" w:cs="仿宋"/>
          <w:color w:val="auto"/>
          <w:spacing w:val="2"/>
          <w:sz w:val="24"/>
          <w:szCs w:val="24"/>
          <w:highlight w:val="none"/>
          <w:lang w:eastAsia="zh-CN"/>
        </w:rPr>
        <w:t>日1</w:t>
      </w:r>
      <w:r>
        <w:rPr>
          <w:rFonts w:hint="eastAsia" w:ascii="仿宋" w:hAnsi="仿宋" w:eastAsia="仿宋" w:cs="仿宋"/>
          <w:color w:val="auto"/>
          <w:spacing w:val="2"/>
          <w:sz w:val="24"/>
          <w:szCs w:val="24"/>
          <w:highlight w:val="none"/>
          <w:lang w:val="en-US" w:eastAsia="zh-CN"/>
        </w:rPr>
        <w:t>1</w:t>
      </w:r>
      <w:r>
        <w:rPr>
          <w:rFonts w:hint="eastAsia" w:ascii="仿宋" w:hAnsi="仿宋" w:eastAsia="仿宋" w:cs="仿宋"/>
          <w:color w:val="auto"/>
          <w:spacing w:val="2"/>
          <w:sz w:val="24"/>
          <w:szCs w:val="24"/>
          <w:highlight w:val="none"/>
          <w:lang w:eastAsia="zh-CN"/>
        </w:rPr>
        <w:t>:00 （北京时间</w:t>
      </w:r>
      <w:r>
        <w:rPr>
          <w:rFonts w:hint="eastAsia" w:ascii="仿宋" w:hAnsi="仿宋" w:eastAsia="仿宋" w:cs="仿宋"/>
          <w:color w:val="auto"/>
          <w:spacing w:val="1"/>
          <w:sz w:val="24"/>
          <w:szCs w:val="24"/>
          <w:highlight w:val="none"/>
          <w:lang w:eastAsia="zh-CN"/>
        </w:rPr>
        <w:t>）新疆政府采购网（</w:t>
      </w:r>
      <w:r>
        <w:rPr>
          <w:rFonts w:hint="eastAsia" w:ascii="仿宋" w:hAnsi="仿宋" w:eastAsia="仿宋" w:cs="仿宋"/>
          <w:color w:val="auto"/>
          <w:sz w:val="24"/>
          <w:szCs w:val="24"/>
          <w:highlight w:val="none"/>
          <w:lang w:eastAsia="zh-CN"/>
        </w:rPr>
        <w:t>http</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lang w:eastAsia="zh-CN"/>
        </w:rPr>
        <w:t>www</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lang w:eastAsia="zh-CN"/>
        </w:rPr>
        <w:t>ccg</w:t>
      </w:r>
      <w:r>
        <w:rPr>
          <w:rFonts w:hint="eastAsia" w:ascii="仿宋" w:hAnsi="仿宋" w:eastAsia="仿宋" w:cs="仿宋"/>
          <w:color w:val="auto"/>
          <w:spacing w:val="7"/>
          <w:sz w:val="24"/>
          <w:szCs w:val="24"/>
          <w:highlight w:val="none"/>
          <w:lang w:eastAsia="zh-CN"/>
        </w:rPr>
        <w:t>p-</w:t>
      </w:r>
      <w:r>
        <w:rPr>
          <w:rFonts w:hint="eastAsia" w:ascii="仿宋" w:hAnsi="仿宋" w:eastAsia="仿宋" w:cs="仿宋"/>
          <w:color w:val="auto"/>
          <w:sz w:val="24"/>
          <w:szCs w:val="24"/>
          <w:highlight w:val="none"/>
          <w:lang w:eastAsia="zh-CN"/>
        </w:rPr>
        <w:t>xinjiang</w:t>
      </w: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z w:val="24"/>
          <w:szCs w:val="24"/>
          <w:highlight w:val="none"/>
          <w:lang w:eastAsia="zh-CN"/>
        </w:rPr>
        <w:t>gov</w:t>
      </w: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z w:val="24"/>
          <w:szCs w:val="24"/>
          <w:highlight w:val="none"/>
          <w:lang w:eastAsia="zh-CN"/>
        </w:rPr>
        <w:t>cn</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）政采云平台）</w:t>
      </w:r>
    </w:p>
    <w:p w14:paraId="33D90BE9">
      <w:pPr>
        <w:pStyle w:val="7"/>
        <w:spacing w:before="225" w:line="240" w:lineRule="auto"/>
        <w:ind w:left="47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地点：</w:t>
      </w:r>
      <w:r>
        <w:rPr>
          <w:rFonts w:hint="eastAsia" w:ascii="仿宋" w:hAnsi="仿宋" w:eastAsia="仿宋" w:cs="仿宋"/>
          <w:color w:val="auto"/>
          <w:sz w:val="24"/>
          <w:szCs w:val="24"/>
          <w:highlight w:val="none"/>
        </w:rPr>
        <w:t>政采云平台（https://www.zcygov.cn/）</w:t>
      </w:r>
    </w:p>
    <w:p w14:paraId="0BA491EB">
      <w:pPr>
        <w:spacing w:before="214"/>
        <w:ind w:left="6"/>
        <w:outlineLvl w:val="1"/>
        <w:rPr>
          <w:rFonts w:hint="eastAsia" w:ascii="仿宋" w:hAnsi="仿宋" w:eastAsia="仿宋" w:cs="仿宋"/>
          <w:color w:val="auto"/>
          <w:sz w:val="24"/>
          <w:szCs w:val="24"/>
          <w:highlight w:val="none"/>
          <w:lang w:eastAsia="zh-CN"/>
        </w:rPr>
      </w:pPr>
      <w:bookmarkStart w:id="11" w:name="_Toc4761"/>
      <w:r>
        <w:rPr>
          <w:rFonts w:hint="eastAsia" w:ascii="仿宋" w:hAnsi="仿宋" w:eastAsia="仿宋" w:cs="仿宋"/>
          <w:color w:val="auto"/>
          <w:spacing w:val="8"/>
          <w:sz w:val="24"/>
          <w:szCs w:val="24"/>
          <w:highlight w:val="none"/>
          <w:lang w:eastAsia="zh-CN"/>
          <w14:textOutline w14:w="4394" w14:cap="flat" w14:cmpd="sng" w14:algn="ctr">
            <w14:solidFill>
              <w14:srgbClr w14:val="000000"/>
            </w14:solidFill>
            <w14:prstDash w14:val="solid"/>
            <w14:miter w14:val="0"/>
          </w14:textOutline>
        </w:rPr>
        <w:t>五、响应文件开启</w:t>
      </w:r>
      <w:bookmarkEnd w:id="11"/>
    </w:p>
    <w:p w14:paraId="539CBF35">
      <w:pPr>
        <w:spacing w:before="182"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开启时间：</w:t>
      </w:r>
      <w:r>
        <w:rPr>
          <w:rFonts w:hint="eastAsia" w:ascii="仿宋" w:hAnsi="仿宋" w:eastAsia="仿宋" w:cs="仿宋"/>
          <w:color w:val="auto"/>
          <w:spacing w:val="2"/>
          <w:sz w:val="24"/>
          <w:szCs w:val="24"/>
          <w:highlight w:val="none"/>
          <w:lang w:eastAsia="zh-CN"/>
        </w:rPr>
        <w:t>202</w:t>
      </w:r>
      <w:r>
        <w:rPr>
          <w:rFonts w:hint="eastAsia" w:ascii="仿宋" w:hAnsi="仿宋" w:eastAsia="仿宋" w:cs="仿宋"/>
          <w:color w:val="auto"/>
          <w:spacing w:val="2"/>
          <w:sz w:val="24"/>
          <w:szCs w:val="24"/>
          <w:highlight w:val="none"/>
          <w:lang w:val="en-US" w:eastAsia="zh-CN"/>
        </w:rPr>
        <w:t>6</w:t>
      </w:r>
      <w:r>
        <w:rPr>
          <w:rFonts w:hint="eastAsia" w:ascii="仿宋" w:hAnsi="仿宋" w:eastAsia="仿宋" w:cs="仿宋"/>
          <w:color w:val="auto"/>
          <w:spacing w:val="2"/>
          <w:sz w:val="24"/>
          <w:szCs w:val="24"/>
          <w:highlight w:val="none"/>
          <w:lang w:eastAsia="zh-CN"/>
        </w:rPr>
        <w:t>年</w:t>
      </w:r>
      <w:r>
        <w:rPr>
          <w:rFonts w:hint="eastAsia" w:ascii="仿宋" w:hAnsi="仿宋" w:eastAsia="仿宋" w:cs="仿宋"/>
          <w:color w:val="auto"/>
          <w:spacing w:val="2"/>
          <w:sz w:val="24"/>
          <w:szCs w:val="24"/>
          <w:highlight w:val="none"/>
          <w:lang w:val="en-US" w:eastAsia="zh-CN"/>
        </w:rPr>
        <w:t>06</w:t>
      </w:r>
      <w:r>
        <w:rPr>
          <w:rFonts w:hint="eastAsia" w:ascii="仿宋" w:hAnsi="仿宋" w:eastAsia="仿宋" w:cs="仿宋"/>
          <w:color w:val="auto"/>
          <w:spacing w:val="2"/>
          <w:sz w:val="24"/>
          <w:szCs w:val="24"/>
          <w:highlight w:val="none"/>
          <w:lang w:eastAsia="zh-CN"/>
        </w:rPr>
        <w:t>月</w:t>
      </w:r>
      <w:r>
        <w:rPr>
          <w:rFonts w:hint="eastAsia" w:ascii="仿宋" w:hAnsi="仿宋" w:eastAsia="仿宋" w:cs="仿宋"/>
          <w:color w:val="auto"/>
          <w:spacing w:val="2"/>
          <w:sz w:val="24"/>
          <w:szCs w:val="24"/>
          <w:highlight w:val="none"/>
          <w:lang w:val="en-US" w:eastAsia="zh-CN"/>
        </w:rPr>
        <w:t>02</w:t>
      </w:r>
      <w:r>
        <w:rPr>
          <w:rFonts w:hint="eastAsia" w:ascii="仿宋" w:hAnsi="仿宋" w:eastAsia="仿宋" w:cs="仿宋"/>
          <w:color w:val="auto"/>
          <w:spacing w:val="2"/>
          <w:sz w:val="24"/>
          <w:szCs w:val="24"/>
          <w:highlight w:val="none"/>
          <w:lang w:eastAsia="zh-CN"/>
        </w:rPr>
        <w:t>日1</w:t>
      </w:r>
      <w:r>
        <w:rPr>
          <w:rFonts w:hint="eastAsia" w:ascii="仿宋" w:hAnsi="仿宋" w:eastAsia="仿宋" w:cs="仿宋"/>
          <w:color w:val="auto"/>
          <w:spacing w:val="2"/>
          <w:sz w:val="24"/>
          <w:szCs w:val="24"/>
          <w:highlight w:val="none"/>
          <w:lang w:val="en-US" w:eastAsia="zh-CN"/>
        </w:rPr>
        <w:t>1</w:t>
      </w:r>
      <w:r>
        <w:rPr>
          <w:rFonts w:hint="eastAsia" w:ascii="仿宋" w:hAnsi="仿宋" w:eastAsia="仿宋" w:cs="仿宋"/>
          <w:color w:val="auto"/>
          <w:spacing w:val="2"/>
          <w:sz w:val="24"/>
          <w:szCs w:val="24"/>
          <w:highlight w:val="none"/>
          <w:lang w:eastAsia="zh-CN"/>
        </w:rPr>
        <w:t>:00</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北京</w:t>
      </w:r>
      <w:r>
        <w:rPr>
          <w:rFonts w:hint="eastAsia" w:ascii="仿宋" w:hAnsi="仿宋" w:eastAsia="仿宋" w:cs="仿宋"/>
          <w:color w:val="auto"/>
          <w:spacing w:val="-7"/>
          <w:sz w:val="24"/>
          <w:szCs w:val="24"/>
          <w:highlight w:val="none"/>
          <w:lang w:eastAsia="zh-CN"/>
        </w:rPr>
        <w:t>时间）</w:t>
      </w:r>
    </w:p>
    <w:p w14:paraId="1A3F5FAE">
      <w:pPr>
        <w:spacing w:before="1" w:line="360" w:lineRule="auto"/>
        <w:ind w:left="482"/>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地点：政采云平台（</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"https://www.zcygov.cn/"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www</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zcygov</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11"/>
          <w:sz w:val="24"/>
          <w:szCs w:val="24"/>
          <w:highlight w:val="none"/>
        </w:rPr>
        <w:t>/</w:t>
      </w:r>
      <w:r>
        <w:rPr>
          <w:rFonts w:hint="eastAsia" w:ascii="仿宋" w:hAnsi="仿宋" w:eastAsia="仿宋" w:cs="仿宋"/>
          <w:color w:val="auto"/>
          <w:spacing w:val="11"/>
          <w:sz w:val="24"/>
          <w:szCs w:val="24"/>
          <w:highlight w:val="none"/>
        </w:rPr>
        <w:fldChar w:fldCharType="end"/>
      </w:r>
      <w:r>
        <w:rPr>
          <w:rFonts w:hint="eastAsia" w:ascii="仿宋" w:hAnsi="仿宋" w:eastAsia="仿宋" w:cs="仿宋"/>
          <w:color w:val="auto"/>
          <w:spacing w:val="11"/>
          <w:sz w:val="24"/>
          <w:szCs w:val="24"/>
          <w:highlight w:val="none"/>
        </w:rPr>
        <w:t>）</w:t>
      </w:r>
    </w:p>
    <w:p w14:paraId="4A2202B5">
      <w:pPr>
        <w:spacing w:before="252"/>
        <w:ind w:left="4"/>
        <w:outlineLvl w:val="1"/>
        <w:rPr>
          <w:rFonts w:hint="eastAsia" w:ascii="仿宋" w:hAnsi="仿宋" w:eastAsia="仿宋" w:cs="仿宋"/>
          <w:color w:val="auto"/>
          <w:sz w:val="24"/>
          <w:szCs w:val="24"/>
          <w:highlight w:val="none"/>
          <w:lang w:eastAsia="zh-CN"/>
        </w:rPr>
      </w:pPr>
      <w:bookmarkStart w:id="12" w:name="_Toc11885"/>
      <w:r>
        <w:rPr>
          <w:rFonts w:hint="eastAsia" w:ascii="仿宋" w:hAnsi="仿宋" w:eastAsia="仿宋" w:cs="仿宋"/>
          <w:color w:val="auto"/>
          <w:spacing w:val="-8"/>
          <w:sz w:val="24"/>
          <w:szCs w:val="24"/>
          <w:highlight w:val="none"/>
          <w:lang w:eastAsia="zh-CN"/>
          <w14:textOutline w14:w="4394" w14:cap="flat" w14:cmpd="sng" w14:algn="ctr">
            <w14:solidFill>
              <w14:srgbClr w14:val="000000"/>
            </w14:solidFill>
            <w14:prstDash w14:val="solid"/>
            <w14:miter w14:val="0"/>
          </w14:textOutline>
        </w:rPr>
        <w:t>六、</w:t>
      </w:r>
      <w:r>
        <w:rPr>
          <w:rFonts w:hint="eastAsia" w:ascii="仿宋" w:hAnsi="仿宋" w:eastAsia="仿宋" w:cs="仿宋"/>
          <w:color w:val="auto"/>
          <w:spacing w:val="-17"/>
          <w:sz w:val="24"/>
          <w:szCs w:val="24"/>
          <w:highlight w:val="none"/>
          <w:lang w:eastAsia="zh-CN"/>
        </w:rPr>
        <w:t xml:space="preserve"> </w:t>
      </w:r>
      <w:r>
        <w:rPr>
          <w:rFonts w:hint="eastAsia" w:ascii="仿宋" w:hAnsi="仿宋" w:eastAsia="仿宋" w:cs="仿宋"/>
          <w:color w:val="auto"/>
          <w:spacing w:val="-8"/>
          <w:sz w:val="24"/>
          <w:szCs w:val="24"/>
          <w:highlight w:val="none"/>
          <w:lang w:eastAsia="zh-CN"/>
          <w14:textOutline w14:w="4394" w14:cap="flat" w14:cmpd="sng" w14:algn="ctr">
            <w14:solidFill>
              <w14:srgbClr w14:val="000000"/>
            </w14:solidFill>
            <w14:prstDash w14:val="solid"/>
            <w14:miter w14:val="0"/>
          </w14:textOutline>
        </w:rPr>
        <w:t>公告期限</w:t>
      </w:r>
      <w:bookmarkEnd w:id="12"/>
    </w:p>
    <w:p w14:paraId="1C797D40">
      <w:pPr>
        <w:spacing w:before="186"/>
        <w:ind w:left="5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自本公告发布之日起 3 个工作日。</w:t>
      </w:r>
    </w:p>
    <w:p w14:paraId="3E301D96">
      <w:pPr>
        <w:spacing w:before="184"/>
        <w:ind w:left="1"/>
        <w:outlineLvl w:val="1"/>
        <w:rPr>
          <w:rFonts w:hint="eastAsia" w:ascii="仿宋" w:hAnsi="仿宋" w:eastAsia="仿宋" w:cs="仿宋"/>
          <w:color w:val="auto"/>
          <w:sz w:val="24"/>
          <w:szCs w:val="24"/>
          <w:highlight w:val="none"/>
          <w:lang w:eastAsia="zh-CN"/>
        </w:rPr>
      </w:pPr>
      <w:bookmarkStart w:id="13" w:name="_Toc17252"/>
      <w:r>
        <w:rPr>
          <w:rFonts w:hint="eastAsia" w:ascii="仿宋" w:hAnsi="仿宋" w:eastAsia="仿宋" w:cs="仿宋"/>
          <w:color w:val="auto"/>
          <w:spacing w:val="-3"/>
          <w:sz w:val="24"/>
          <w:szCs w:val="24"/>
          <w:highlight w:val="none"/>
          <w:lang w:eastAsia="zh-CN"/>
          <w14:textOutline w14:w="4394" w14:cap="flat" w14:cmpd="sng" w14:algn="ctr">
            <w14:solidFill>
              <w14:srgbClr w14:val="000000"/>
            </w14:solidFill>
            <w14:prstDash w14:val="solid"/>
            <w14:miter w14:val="0"/>
          </w14:textOutline>
        </w:rPr>
        <w:t>七、</w:t>
      </w:r>
      <w:r>
        <w:rPr>
          <w:rFonts w:hint="eastAsia" w:ascii="仿宋" w:hAnsi="仿宋" w:eastAsia="仿宋" w:cs="仿宋"/>
          <w:color w:val="auto"/>
          <w:spacing w:val="-16"/>
          <w:sz w:val="24"/>
          <w:szCs w:val="24"/>
          <w:highlight w:val="none"/>
          <w:lang w:eastAsia="zh-CN"/>
        </w:rPr>
        <w:t xml:space="preserve"> </w:t>
      </w:r>
      <w:r>
        <w:rPr>
          <w:rFonts w:hint="eastAsia" w:ascii="仿宋" w:hAnsi="仿宋" w:eastAsia="仿宋" w:cs="仿宋"/>
          <w:color w:val="auto"/>
          <w:spacing w:val="-3"/>
          <w:sz w:val="24"/>
          <w:szCs w:val="24"/>
          <w:highlight w:val="none"/>
          <w:lang w:eastAsia="zh-CN"/>
          <w14:textOutline w14:w="4394" w14:cap="flat" w14:cmpd="sng" w14:algn="ctr">
            <w14:solidFill>
              <w14:srgbClr w14:val="000000"/>
            </w14:solidFill>
            <w14:prstDash w14:val="solid"/>
            <w14:miter w14:val="0"/>
          </w14:textOutline>
        </w:rPr>
        <w:t>其他补充事宜</w:t>
      </w:r>
      <w:bookmarkEnd w:id="13"/>
    </w:p>
    <w:p w14:paraId="168D9748">
      <w:pPr>
        <w:pStyle w:val="12"/>
        <w:keepNext w:val="0"/>
        <w:keepLines w:val="0"/>
        <w:pageBreakBefore w:val="0"/>
        <w:kinsoku/>
        <w:wordWrap w:val="0"/>
        <w:overflowPunct/>
        <w:topLinePunct w:val="0"/>
        <w:autoSpaceDE/>
        <w:autoSpaceDN/>
        <w:bidi w:val="0"/>
        <w:adjustRightInd/>
        <w:snapToGrid/>
        <w:spacing w:line="400" w:lineRule="exact"/>
        <w:ind w:right="84" w:rightChars="40" w:firstLine="420"/>
        <w:textAlignment w:val="auto"/>
        <w:rPr>
          <w:rFonts w:hint="eastAsia" w:ascii="仿宋" w:hAnsi="仿宋" w:eastAsia="仿宋" w:cs="仿宋"/>
          <w:color w:val="auto"/>
          <w:sz w:val="24"/>
          <w:szCs w:val="24"/>
          <w:highlight w:val="none"/>
          <w:lang w:eastAsia="zh-CN"/>
        </w:rPr>
      </w:pPr>
      <w:bookmarkStart w:id="14" w:name="_Toc27669"/>
      <w:r>
        <w:rPr>
          <w:rFonts w:hint="eastAsia" w:ascii="仿宋" w:hAnsi="仿宋" w:eastAsia="仿宋" w:cs="仿宋"/>
          <w:color w:val="auto"/>
          <w:sz w:val="24"/>
          <w:szCs w:val="24"/>
          <w:highlight w:val="none"/>
          <w:lang w:eastAsia="zh-CN"/>
        </w:rPr>
        <w:t>1、本项目实行网上投标，采用电子响应文件；</w:t>
      </w:r>
      <w:bookmarkEnd w:id="14"/>
    </w:p>
    <w:p w14:paraId="4F07CB1D">
      <w:pPr>
        <w:pStyle w:val="12"/>
        <w:keepNext w:val="0"/>
        <w:keepLines w:val="0"/>
        <w:pageBreakBefore w:val="0"/>
        <w:kinsoku/>
        <w:wordWrap w:val="0"/>
        <w:overflowPunct/>
        <w:topLinePunct w:val="0"/>
        <w:autoSpaceDE/>
        <w:autoSpaceDN/>
        <w:bidi w:val="0"/>
        <w:adjustRightInd/>
        <w:snapToGrid/>
        <w:spacing w:line="400" w:lineRule="exact"/>
        <w:ind w:right="84" w:rightChars="40" w:firstLine="42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本项目采用远程不见面交易的模式。招标当日，供应商无需到达招标现场，仅需在任意地点登录政采云平台（https://www.zcygov.cn）不见面开标系统（进入“项目采购”应用，在开标评标菜单中选择进入开标大厅）</w:t>
      </w:r>
    </w:p>
    <w:p w14:paraId="7B7750F9">
      <w:pPr>
        <w:pStyle w:val="12"/>
        <w:keepNext w:val="0"/>
        <w:keepLines w:val="0"/>
        <w:pageBreakBefore w:val="0"/>
        <w:kinsoku/>
        <w:wordWrap w:val="0"/>
        <w:overflowPunct/>
        <w:topLinePunct w:val="0"/>
        <w:autoSpaceDE/>
        <w:autoSpaceDN/>
        <w:bidi w:val="0"/>
        <w:adjustRightInd/>
        <w:snapToGrid/>
        <w:spacing w:line="400" w:lineRule="exact"/>
        <w:ind w:right="84" w:rightChars="40" w:firstLine="42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各供应商应在开标前应确保成为政采云平台供应商，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进行申领。如需咨询，请联系新疆CA服务热线0991-2819290；</w:t>
      </w:r>
    </w:p>
    <w:p w14:paraId="1AE47245">
      <w:pPr>
        <w:pStyle w:val="12"/>
        <w:keepNext w:val="0"/>
        <w:keepLines w:val="0"/>
        <w:pageBreakBefore w:val="0"/>
        <w:widowControl w:val="0"/>
        <w:kinsoku/>
        <w:wordWrap w:val="0"/>
        <w:overflowPunct/>
        <w:topLinePunct w:val="0"/>
        <w:bidi w:val="0"/>
        <w:adjustRightInd/>
        <w:snapToGrid/>
        <w:spacing w:line="460" w:lineRule="exact"/>
        <w:ind w:right="84" w:rightChars="40"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供应商将政采云电子投标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159E8D27">
      <w:pPr>
        <w:pStyle w:val="12"/>
        <w:keepNext w:val="0"/>
        <w:keepLines w:val="0"/>
        <w:pageBreakBefore w:val="0"/>
        <w:widowControl w:val="0"/>
        <w:kinsoku/>
        <w:wordWrap w:val="0"/>
        <w:overflowPunct/>
        <w:topLinePunct w:val="0"/>
        <w:bidi w:val="0"/>
        <w:adjustRightInd/>
        <w:snapToGrid/>
        <w:spacing w:line="460" w:lineRule="exact"/>
        <w:ind w:right="84" w:rightChars="4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rPr>
        <w:t>及未被列入新疆税务局失信惩戒企业名单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https://etax.xinjiang.chinatax.gov.cn/zdsswfaj/pages/swmh/wfcx.html</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近三年政府采购合同履约过程中及其他经营活动履约过程中因围标串标、偷税漏税、制售假冒伪劣商品等行为被有关行政部门处罚（处理）记录的，本项目不认定其具有良好的商业信誉，将拒绝其参本次招标活动。</w:t>
      </w:r>
    </w:p>
    <w:p w14:paraId="48D0DD10">
      <w:pPr>
        <w:spacing w:before="178"/>
        <w:ind w:left="6"/>
        <w:outlineLvl w:val="1"/>
        <w:rPr>
          <w:rFonts w:hint="eastAsia" w:ascii="仿宋" w:hAnsi="仿宋" w:eastAsia="仿宋" w:cs="仿宋"/>
          <w:color w:val="auto"/>
          <w:sz w:val="24"/>
          <w:szCs w:val="24"/>
          <w:highlight w:val="none"/>
          <w:lang w:eastAsia="zh-CN"/>
        </w:rPr>
      </w:pPr>
      <w:bookmarkStart w:id="15" w:name="_Toc6258"/>
      <w:r>
        <w:rPr>
          <w:rFonts w:hint="eastAsia" w:ascii="仿宋" w:hAnsi="仿宋" w:eastAsia="仿宋" w:cs="仿宋"/>
          <w:color w:val="auto"/>
          <w:spacing w:val="4"/>
          <w:sz w:val="24"/>
          <w:szCs w:val="24"/>
          <w:highlight w:val="none"/>
          <w:lang w:eastAsia="zh-CN"/>
          <w14:textOutline w14:w="4394" w14:cap="flat" w14:cmpd="sng" w14:algn="ctr">
            <w14:solidFill>
              <w14:srgbClr w14:val="000000"/>
            </w14:solidFill>
            <w14:prstDash w14:val="solid"/>
            <w14:miter w14:val="0"/>
          </w14:textOutline>
        </w:rPr>
        <w:t>八、</w:t>
      </w:r>
      <w:r>
        <w:rPr>
          <w:rFonts w:hint="eastAsia" w:ascii="仿宋" w:hAnsi="仿宋" w:eastAsia="仿宋" w:cs="仿宋"/>
          <w:color w:val="auto"/>
          <w:spacing w:val="-18"/>
          <w:sz w:val="24"/>
          <w:szCs w:val="24"/>
          <w:highlight w:val="none"/>
          <w:lang w:eastAsia="zh-CN"/>
        </w:rPr>
        <w:t xml:space="preserve"> </w:t>
      </w:r>
      <w:r>
        <w:rPr>
          <w:rFonts w:hint="eastAsia" w:ascii="仿宋" w:hAnsi="仿宋" w:eastAsia="仿宋" w:cs="仿宋"/>
          <w:color w:val="auto"/>
          <w:spacing w:val="4"/>
          <w:sz w:val="24"/>
          <w:szCs w:val="24"/>
          <w:highlight w:val="none"/>
          <w:lang w:eastAsia="zh-CN"/>
          <w14:textOutline w14:w="4394" w14:cap="flat" w14:cmpd="sng" w14:algn="ctr">
            <w14:solidFill>
              <w14:srgbClr w14:val="000000"/>
            </w14:solidFill>
            <w14:prstDash w14:val="solid"/>
            <w14:miter w14:val="0"/>
          </w14:textOutline>
        </w:rPr>
        <w:t>对本次招标提出询问，请按以下方式联系。</w:t>
      </w:r>
      <w:bookmarkEnd w:id="15"/>
    </w:p>
    <w:p w14:paraId="5EBA2E5D">
      <w:pPr>
        <w:spacing w:before="184" w:line="360" w:lineRule="auto"/>
        <w:ind w:left="529"/>
        <w:rPr>
          <w:rFonts w:hint="eastAsia" w:ascii="仿宋" w:hAnsi="仿宋" w:eastAsia="仿宋" w:cs="仿宋"/>
          <w:color w:val="auto"/>
          <w:sz w:val="24"/>
          <w:szCs w:val="24"/>
          <w:highlight w:val="none"/>
          <w:lang w:eastAsia="zh-CN"/>
        </w:rPr>
      </w:pPr>
      <w:bookmarkStart w:id="16" w:name="_Toc18557"/>
      <w:r>
        <w:rPr>
          <w:rFonts w:hint="eastAsia" w:ascii="仿宋" w:hAnsi="仿宋" w:eastAsia="仿宋" w:cs="仿宋"/>
          <w:color w:val="auto"/>
          <w:spacing w:val="-1"/>
          <w:sz w:val="24"/>
          <w:szCs w:val="24"/>
          <w:highlight w:val="none"/>
          <w:lang w:eastAsia="zh-CN"/>
        </w:rPr>
        <w:t>1、采购人信息：</w:t>
      </w:r>
      <w:bookmarkEnd w:id="16"/>
    </w:p>
    <w:p w14:paraId="488E68B8">
      <w:pPr>
        <w:spacing w:before="1" w:line="360" w:lineRule="auto"/>
        <w:ind w:left="514"/>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招 标 人：中华人民共和国新疆出入境边防检查总站</w:t>
      </w:r>
    </w:p>
    <w:p w14:paraId="53497AA3">
      <w:pPr>
        <w:spacing w:before="1" w:line="360" w:lineRule="auto"/>
        <w:ind w:left="514"/>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地    址：新疆乌鲁木齐市天山区团结路1551号</w:t>
      </w:r>
    </w:p>
    <w:p w14:paraId="4346EA41">
      <w:pPr>
        <w:spacing w:before="1" w:line="360" w:lineRule="auto"/>
        <w:ind w:left="514"/>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联 系 人：王警官   </w:t>
      </w:r>
    </w:p>
    <w:p w14:paraId="0B51E5D6">
      <w:pPr>
        <w:spacing w:before="1" w:line="360" w:lineRule="auto"/>
        <w:ind w:left="514"/>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 xml:space="preserve">联系电话：0991-8512158   </w:t>
      </w:r>
    </w:p>
    <w:p w14:paraId="32F6FA48">
      <w:pPr>
        <w:spacing w:before="1" w:line="360" w:lineRule="auto"/>
        <w:ind w:left="514"/>
        <w:rPr>
          <w:rFonts w:hint="eastAsia" w:ascii="仿宋" w:hAnsi="仿宋" w:eastAsia="仿宋" w:cs="仿宋"/>
          <w:color w:val="auto"/>
          <w:spacing w:val="4"/>
          <w:sz w:val="24"/>
          <w:szCs w:val="24"/>
          <w:highlight w:val="none"/>
          <w:lang w:eastAsia="zh-CN"/>
        </w:rPr>
      </w:pPr>
      <w:bookmarkStart w:id="17" w:name="_Toc24488"/>
      <w:r>
        <w:rPr>
          <w:rFonts w:hint="eastAsia" w:ascii="仿宋" w:hAnsi="仿宋" w:eastAsia="仿宋" w:cs="仿宋"/>
          <w:color w:val="auto"/>
          <w:spacing w:val="4"/>
          <w:sz w:val="24"/>
          <w:szCs w:val="24"/>
          <w:highlight w:val="none"/>
          <w:lang w:eastAsia="zh-CN"/>
        </w:rPr>
        <w:t>2.采购代理机构信息</w:t>
      </w:r>
      <w:bookmarkEnd w:id="17"/>
    </w:p>
    <w:p w14:paraId="04915182">
      <w:pPr>
        <w:spacing w:before="1" w:line="360" w:lineRule="auto"/>
        <w:ind w:left="514"/>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名 称：华春建设工程项目管理有限责任公司</w:t>
      </w:r>
    </w:p>
    <w:p w14:paraId="09C96A3F">
      <w:pPr>
        <w:spacing w:before="1" w:line="360" w:lineRule="auto"/>
        <w:ind w:left="514"/>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地 址：新疆乌鲁木齐市水磨沟区浙商大厦15楼1505室</w:t>
      </w:r>
    </w:p>
    <w:p w14:paraId="15C9B41F">
      <w:pPr>
        <w:spacing w:before="1" w:line="360" w:lineRule="auto"/>
        <w:ind w:left="514"/>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eastAsia="zh-CN"/>
        </w:rPr>
        <w:t>电 话：0991-2629781、</w:t>
      </w:r>
      <w:r>
        <w:rPr>
          <w:rFonts w:hint="eastAsia" w:ascii="仿宋" w:hAnsi="仿宋" w:eastAsia="仿宋" w:cs="仿宋"/>
          <w:color w:val="auto"/>
          <w:spacing w:val="4"/>
          <w:sz w:val="24"/>
          <w:szCs w:val="24"/>
          <w:highlight w:val="none"/>
          <w:lang w:val="en-US" w:eastAsia="zh-CN"/>
        </w:rPr>
        <w:t>15199460624</w:t>
      </w:r>
    </w:p>
    <w:p w14:paraId="20E5B778">
      <w:pPr>
        <w:spacing w:before="1" w:line="360" w:lineRule="auto"/>
        <w:ind w:left="514"/>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3.项目联系方式</w:t>
      </w:r>
    </w:p>
    <w:p w14:paraId="00ED32AC">
      <w:pPr>
        <w:spacing w:before="1" w:line="360" w:lineRule="auto"/>
        <w:ind w:left="514"/>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eastAsia="zh-CN"/>
        </w:rPr>
        <w:t>项目联系人：</w:t>
      </w:r>
      <w:r>
        <w:rPr>
          <w:rFonts w:hint="eastAsia" w:ascii="仿宋" w:hAnsi="仿宋" w:eastAsia="仿宋" w:cs="仿宋"/>
          <w:color w:val="auto"/>
          <w:spacing w:val="4"/>
          <w:sz w:val="24"/>
          <w:szCs w:val="24"/>
          <w:highlight w:val="none"/>
          <w:lang w:val="en-US" w:eastAsia="zh-CN"/>
        </w:rPr>
        <w:t>郭占霞</w:t>
      </w:r>
    </w:p>
    <w:p w14:paraId="5F902722">
      <w:pPr>
        <w:spacing w:before="1" w:line="360" w:lineRule="auto"/>
        <w:ind w:left="514"/>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电 话： 0991-2629781、</w:t>
      </w:r>
      <w:r>
        <w:rPr>
          <w:rFonts w:hint="eastAsia" w:ascii="仿宋" w:hAnsi="仿宋" w:eastAsia="仿宋" w:cs="仿宋"/>
          <w:color w:val="auto"/>
          <w:spacing w:val="4"/>
          <w:sz w:val="24"/>
          <w:szCs w:val="24"/>
          <w:highlight w:val="none"/>
          <w:lang w:val="en-US" w:eastAsia="zh-CN"/>
        </w:rPr>
        <w:t>15199460624</w:t>
      </w:r>
    </w:p>
    <w:p w14:paraId="6383D5CA">
      <w:pPr>
        <w:rPr>
          <w:rFonts w:hint="eastAsia" w:ascii="仿宋" w:hAnsi="仿宋" w:eastAsia="仿宋" w:cs="仿宋"/>
          <w:color w:val="auto"/>
          <w:highlight w:val="none"/>
        </w:rPr>
      </w:pPr>
    </w:p>
    <w:p w14:paraId="439D634C">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0463075">
      <w:pPr>
        <w:pStyle w:val="2"/>
        <w:pageBreakBefore w:val="0"/>
        <w:widowControl/>
        <w:overflowPunct/>
        <w:topLinePunct w:val="0"/>
        <w:autoSpaceDE w:val="0"/>
        <w:autoSpaceDN w:val="0"/>
        <w:bidi w:val="0"/>
        <w:adjustRightInd w:val="0"/>
        <w:snapToGrid w:val="0"/>
        <w:spacing w:line="0" w:lineRule="atLeas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谈判须知前附表</w:t>
      </w:r>
      <w:bookmarkEnd w:id="4"/>
    </w:p>
    <w:p w14:paraId="6DBDD3A1">
      <w:pPr>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z w:val="24"/>
          <w:szCs w:val="24"/>
          <w:highlight w:val="none"/>
        </w:rPr>
      </w:pPr>
    </w:p>
    <w:tbl>
      <w:tblPr>
        <w:tblStyle w:val="18"/>
        <w:tblW w:w="94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47"/>
        <w:gridCol w:w="1934"/>
        <w:gridCol w:w="6390"/>
      </w:tblGrid>
      <w:tr w14:paraId="62EEA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147" w:type="dxa"/>
            <w:tcBorders>
              <w:top w:val="single" w:color="000000" w:sz="2" w:space="0"/>
              <w:left w:val="single" w:color="000000" w:sz="2" w:space="0"/>
            </w:tcBorders>
            <w:vAlign w:val="center"/>
          </w:tcPr>
          <w:p w14:paraId="6FD48C02">
            <w:pPr>
              <w:pStyle w:val="19"/>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14:textOutline w14:w="5130" w14:cap="flat" w14:cmpd="sng" w14:algn="ctr">
                  <w14:solidFill>
                    <w14:srgbClr w14:val="000000"/>
                  </w14:solidFill>
                  <w14:prstDash w14:val="solid"/>
                  <w14:miter w14:val="0"/>
                </w14:textOutline>
              </w:rPr>
              <w:t>序列号</w:t>
            </w:r>
          </w:p>
        </w:tc>
        <w:tc>
          <w:tcPr>
            <w:tcW w:w="1934" w:type="dxa"/>
            <w:tcBorders>
              <w:top w:val="single" w:color="000000" w:sz="2" w:space="0"/>
            </w:tcBorders>
            <w:vAlign w:val="center"/>
          </w:tcPr>
          <w:p w14:paraId="4400B77C">
            <w:pPr>
              <w:pStyle w:val="19"/>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14:textOutline w14:w="5130" w14:cap="flat" w14:cmpd="sng" w14:algn="ctr">
                  <w14:solidFill>
                    <w14:srgbClr w14:val="000000"/>
                  </w14:solidFill>
                  <w14:prstDash w14:val="solid"/>
                  <w14:miter w14:val="0"/>
                </w14:textOutline>
              </w:rPr>
              <w:t>条款名称</w:t>
            </w:r>
          </w:p>
        </w:tc>
        <w:tc>
          <w:tcPr>
            <w:tcW w:w="6390" w:type="dxa"/>
            <w:tcBorders>
              <w:top w:val="single" w:color="000000" w:sz="2" w:space="0"/>
              <w:right w:val="single" w:color="000000" w:sz="2" w:space="0"/>
            </w:tcBorders>
            <w:vAlign w:val="center"/>
          </w:tcPr>
          <w:p w14:paraId="424C31A9">
            <w:pPr>
              <w:pStyle w:val="19"/>
              <w:keepNext w:val="0"/>
              <w:keepLines w:val="0"/>
              <w:pageBreakBefore w:val="0"/>
              <w:widowControl/>
              <w:kinsoku w:val="0"/>
              <w:wordWrap/>
              <w:overflowPunct/>
              <w:topLinePunct w:val="0"/>
              <w:autoSpaceDE w:val="0"/>
              <w:autoSpaceDN w:val="0"/>
              <w:bidi w:val="0"/>
              <w:adjustRightInd w:val="0"/>
              <w:snapToGrid w:val="0"/>
              <w:spacing w:line="0" w:lineRule="atLeast"/>
              <w:ind w:left="0"/>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14:textOutline w14:w="5130" w14:cap="flat" w14:cmpd="sng" w14:algn="ctr">
                  <w14:solidFill>
                    <w14:srgbClr w14:val="000000"/>
                  </w14:solidFill>
                  <w14:prstDash w14:val="solid"/>
                  <w14:miter w14:val="0"/>
                </w14:textOutline>
              </w:rPr>
              <w:t>编列内容规定</w:t>
            </w:r>
          </w:p>
        </w:tc>
      </w:tr>
      <w:tr w14:paraId="1DB3D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jc w:val="center"/>
        </w:trPr>
        <w:tc>
          <w:tcPr>
            <w:tcW w:w="1147" w:type="dxa"/>
            <w:tcBorders>
              <w:left w:val="single" w:color="000000" w:sz="2" w:space="0"/>
            </w:tcBorders>
            <w:vAlign w:val="center"/>
          </w:tcPr>
          <w:p w14:paraId="69E5A1A6">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1</w:t>
            </w:r>
          </w:p>
        </w:tc>
        <w:tc>
          <w:tcPr>
            <w:tcW w:w="1934" w:type="dxa"/>
            <w:vAlign w:val="center"/>
          </w:tcPr>
          <w:p w14:paraId="4253B6E2">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项目名称</w:t>
            </w:r>
          </w:p>
        </w:tc>
        <w:tc>
          <w:tcPr>
            <w:tcW w:w="6390" w:type="dxa"/>
            <w:tcBorders>
              <w:right w:val="single" w:color="000000" w:sz="2" w:space="0"/>
            </w:tcBorders>
            <w:vAlign w:val="center"/>
          </w:tcPr>
          <w:p w14:paraId="3B02D356">
            <w:pPr>
              <w:pStyle w:val="19"/>
              <w:keepNext w:val="0"/>
              <w:keepLines w:val="0"/>
              <w:pageBreakBefore w:val="0"/>
              <w:widowControl/>
              <w:overflowPunct/>
              <w:topLinePunct w:val="0"/>
              <w:autoSpaceDE w:val="0"/>
              <w:autoSpaceDN w:val="0"/>
              <w:bidi w:val="0"/>
              <w:adjustRightInd w:val="0"/>
              <w:snapToGrid w:val="0"/>
              <w:spacing w:line="0" w:lineRule="atLeast"/>
              <w:ind w:left="115" w:right="117" w:hanging="2"/>
              <w:jc w:val="both"/>
              <w:rPr>
                <w:rFonts w:hint="eastAsia" w:ascii="仿宋" w:hAnsi="仿宋" w:eastAsia="仿宋" w:cs="仿宋"/>
                <w:color w:val="auto"/>
                <w:spacing w:val="12"/>
                <w:sz w:val="21"/>
                <w:szCs w:val="21"/>
                <w:highlight w:val="none"/>
                <w:lang w:eastAsia="zh-CN"/>
              </w:rPr>
            </w:pPr>
            <w:r>
              <w:rPr>
                <w:rFonts w:hint="eastAsia" w:ascii="仿宋" w:hAnsi="仿宋" w:eastAsia="仿宋" w:cs="仿宋"/>
                <w:color w:val="auto"/>
                <w:spacing w:val="12"/>
                <w:sz w:val="21"/>
                <w:szCs w:val="21"/>
                <w:highlight w:val="none"/>
                <w:lang w:eastAsia="zh-CN"/>
              </w:rPr>
              <w:t>中华人民共和国新疆出入境边防检查总站繁育种犬及待训警犬采购项目</w:t>
            </w:r>
          </w:p>
          <w:p w14:paraId="504DAF34">
            <w:pPr>
              <w:pStyle w:val="19"/>
              <w:keepNext w:val="0"/>
              <w:keepLines w:val="0"/>
              <w:pageBreakBefore w:val="0"/>
              <w:widowControl/>
              <w:overflowPunct/>
              <w:topLinePunct w:val="0"/>
              <w:autoSpaceDE w:val="0"/>
              <w:autoSpaceDN w:val="0"/>
              <w:bidi w:val="0"/>
              <w:adjustRightInd w:val="0"/>
              <w:snapToGrid w:val="0"/>
              <w:spacing w:line="0" w:lineRule="atLeast"/>
              <w:ind w:left="115" w:right="117" w:hanging="2"/>
              <w:jc w:val="both"/>
              <w:rPr>
                <w:rFonts w:hint="eastAsia" w:ascii="仿宋" w:hAnsi="仿宋" w:eastAsia="仿宋" w:cs="仿宋"/>
                <w:color w:val="auto"/>
                <w:spacing w:val="12"/>
                <w:sz w:val="21"/>
                <w:szCs w:val="21"/>
                <w:highlight w:val="none"/>
                <w:lang w:eastAsia="zh-CN"/>
              </w:rPr>
            </w:pPr>
            <w:r>
              <w:rPr>
                <w:rFonts w:hint="eastAsia" w:ascii="仿宋" w:hAnsi="仿宋" w:eastAsia="仿宋" w:cs="仿宋"/>
                <w:color w:val="auto"/>
                <w:spacing w:val="12"/>
                <w:sz w:val="21"/>
                <w:szCs w:val="21"/>
                <w:highlight w:val="none"/>
                <w:lang w:eastAsia="zh-CN"/>
              </w:rPr>
              <w:t>项目编号：hcxjczt-2026-527</w:t>
            </w:r>
          </w:p>
        </w:tc>
      </w:tr>
      <w:tr w14:paraId="65380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147" w:type="dxa"/>
            <w:tcBorders>
              <w:left w:val="single" w:color="000000" w:sz="2" w:space="0"/>
            </w:tcBorders>
            <w:vAlign w:val="center"/>
          </w:tcPr>
          <w:p w14:paraId="023412BE">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eastAsia="zh-CN"/>
              </w:rPr>
            </w:pPr>
          </w:p>
          <w:p w14:paraId="195FBB61">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2</w:t>
            </w:r>
          </w:p>
        </w:tc>
        <w:tc>
          <w:tcPr>
            <w:tcW w:w="1934" w:type="dxa"/>
            <w:vAlign w:val="center"/>
          </w:tcPr>
          <w:p w14:paraId="4A29E8CB">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采购人</w:t>
            </w:r>
          </w:p>
        </w:tc>
        <w:tc>
          <w:tcPr>
            <w:tcW w:w="6390" w:type="dxa"/>
            <w:tcBorders>
              <w:right w:val="single" w:color="000000" w:sz="2" w:space="0"/>
            </w:tcBorders>
          </w:tcPr>
          <w:p w14:paraId="6CE4621D">
            <w:pPr>
              <w:pStyle w:val="19"/>
              <w:keepNext w:val="0"/>
              <w:keepLines w:val="0"/>
              <w:pageBreakBefore w:val="0"/>
              <w:widowControl/>
              <w:overflowPunct/>
              <w:topLinePunct w:val="0"/>
              <w:autoSpaceDE w:val="0"/>
              <w:autoSpaceDN w:val="0"/>
              <w:bidi w:val="0"/>
              <w:adjustRightInd w:val="0"/>
              <w:snapToGrid w:val="0"/>
              <w:spacing w:line="0" w:lineRule="atLeast"/>
              <w:ind w:left="115"/>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 xml:space="preserve">名称：中华人民共和国新疆出入境边防检查总站 </w:t>
            </w:r>
          </w:p>
          <w:p w14:paraId="527C6F35">
            <w:pPr>
              <w:pStyle w:val="19"/>
              <w:keepNext w:val="0"/>
              <w:keepLines w:val="0"/>
              <w:pageBreakBefore w:val="0"/>
              <w:widowControl/>
              <w:overflowPunct/>
              <w:topLinePunct w:val="0"/>
              <w:autoSpaceDE w:val="0"/>
              <w:autoSpaceDN w:val="0"/>
              <w:bidi w:val="0"/>
              <w:adjustRightInd w:val="0"/>
              <w:snapToGrid w:val="0"/>
              <w:spacing w:line="0" w:lineRule="atLeast"/>
              <w:ind w:left="112"/>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7"/>
                <w:sz w:val="21"/>
                <w:szCs w:val="21"/>
                <w:highlight w:val="none"/>
                <w:lang w:eastAsia="zh-CN"/>
              </w:rPr>
              <w:t>地址：新疆乌鲁木齐市天山区团结路1551号</w:t>
            </w:r>
          </w:p>
        </w:tc>
      </w:tr>
      <w:tr w14:paraId="06D37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jc w:val="center"/>
        </w:trPr>
        <w:tc>
          <w:tcPr>
            <w:tcW w:w="1147" w:type="dxa"/>
            <w:tcBorders>
              <w:left w:val="single" w:color="000000" w:sz="2" w:space="0"/>
            </w:tcBorders>
            <w:vAlign w:val="center"/>
          </w:tcPr>
          <w:p w14:paraId="260838D5">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eastAsia="zh-CN"/>
              </w:rPr>
            </w:pPr>
          </w:p>
          <w:p w14:paraId="17CB8B25">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3</w:t>
            </w:r>
          </w:p>
        </w:tc>
        <w:tc>
          <w:tcPr>
            <w:tcW w:w="1934" w:type="dxa"/>
            <w:vAlign w:val="center"/>
          </w:tcPr>
          <w:p w14:paraId="75DDA300">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采购代理机构</w:t>
            </w:r>
          </w:p>
        </w:tc>
        <w:tc>
          <w:tcPr>
            <w:tcW w:w="6390" w:type="dxa"/>
            <w:tcBorders>
              <w:right w:val="single" w:color="000000" w:sz="2" w:space="0"/>
            </w:tcBorders>
          </w:tcPr>
          <w:p w14:paraId="420DA1A7">
            <w:pPr>
              <w:pStyle w:val="19"/>
              <w:keepNext w:val="0"/>
              <w:keepLines w:val="0"/>
              <w:pageBreakBefore w:val="0"/>
              <w:widowControl/>
              <w:overflowPunct/>
              <w:topLinePunct w:val="0"/>
              <w:autoSpaceDE w:val="0"/>
              <w:autoSpaceDN w:val="0"/>
              <w:bidi w:val="0"/>
              <w:adjustRightInd w:val="0"/>
              <w:snapToGrid w:val="0"/>
              <w:spacing w:line="0" w:lineRule="atLeast"/>
              <w:ind w:left="115"/>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9"/>
                <w:sz w:val="21"/>
                <w:szCs w:val="21"/>
                <w:highlight w:val="none"/>
                <w:lang w:eastAsia="zh-CN"/>
              </w:rPr>
              <w:t>名 称：华春建设工程项目管理有限责任公司</w:t>
            </w:r>
          </w:p>
          <w:p w14:paraId="00E8C6FE">
            <w:pPr>
              <w:pStyle w:val="19"/>
              <w:keepNext w:val="0"/>
              <w:keepLines w:val="0"/>
              <w:pageBreakBefore w:val="0"/>
              <w:widowControl/>
              <w:overflowPunct/>
              <w:topLinePunct w:val="0"/>
              <w:autoSpaceDE w:val="0"/>
              <w:autoSpaceDN w:val="0"/>
              <w:bidi w:val="0"/>
              <w:adjustRightInd w:val="0"/>
              <w:snapToGrid w:val="0"/>
              <w:spacing w:line="0" w:lineRule="atLeast"/>
              <w:ind w:left="113" w:right="114" w:hanging="1"/>
              <w:rPr>
                <w:rFonts w:hint="eastAsia" w:ascii="仿宋" w:hAnsi="仿宋" w:eastAsia="仿宋" w:cs="仿宋"/>
                <w:color w:val="auto"/>
                <w:spacing w:val="16"/>
                <w:sz w:val="21"/>
                <w:szCs w:val="21"/>
                <w:highlight w:val="none"/>
                <w:lang w:eastAsia="zh-CN"/>
              </w:rPr>
            </w:pPr>
            <w:r>
              <w:rPr>
                <w:rFonts w:hint="eastAsia" w:ascii="仿宋" w:hAnsi="仿宋" w:eastAsia="仿宋" w:cs="仿宋"/>
                <w:color w:val="auto"/>
                <w:spacing w:val="16"/>
                <w:sz w:val="21"/>
                <w:szCs w:val="21"/>
                <w:highlight w:val="none"/>
                <w:lang w:eastAsia="zh-CN"/>
              </w:rPr>
              <w:t>地</w:t>
            </w:r>
            <w:r>
              <w:rPr>
                <w:rFonts w:hint="eastAsia" w:ascii="仿宋" w:hAnsi="仿宋" w:eastAsia="仿宋" w:cs="仿宋"/>
                <w:color w:val="auto"/>
                <w:spacing w:val="64"/>
                <w:sz w:val="21"/>
                <w:szCs w:val="21"/>
                <w:highlight w:val="none"/>
                <w:lang w:eastAsia="zh-CN"/>
              </w:rPr>
              <w:t xml:space="preserve"> </w:t>
            </w:r>
            <w:r>
              <w:rPr>
                <w:rFonts w:hint="eastAsia" w:ascii="仿宋" w:hAnsi="仿宋" w:eastAsia="仿宋" w:cs="仿宋"/>
                <w:color w:val="auto"/>
                <w:spacing w:val="16"/>
                <w:sz w:val="21"/>
                <w:szCs w:val="21"/>
                <w:highlight w:val="none"/>
                <w:lang w:eastAsia="zh-CN"/>
              </w:rPr>
              <w:t>址：新疆乌鲁木齐市水磨沟区浙商大厦15楼1505室</w:t>
            </w:r>
          </w:p>
          <w:p w14:paraId="4AF4A7F9">
            <w:pPr>
              <w:pStyle w:val="19"/>
              <w:keepNext w:val="0"/>
              <w:keepLines w:val="0"/>
              <w:pageBreakBefore w:val="0"/>
              <w:widowControl/>
              <w:overflowPunct/>
              <w:topLinePunct w:val="0"/>
              <w:autoSpaceDE w:val="0"/>
              <w:autoSpaceDN w:val="0"/>
              <w:bidi w:val="0"/>
              <w:adjustRightInd w:val="0"/>
              <w:snapToGrid w:val="0"/>
              <w:spacing w:line="0" w:lineRule="atLeast"/>
              <w:ind w:left="113" w:right="114" w:hanging="1"/>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项目联系人：</w:t>
            </w:r>
            <w:r>
              <w:rPr>
                <w:rFonts w:hint="eastAsia" w:ascii="仿宋" w:hAnsi="仿宋" w:eastAsia="仿宋" w:cs="仿宋"/>
                <w:color w:val="auto"/>
                <w:spacing w:val="6"/>
                <w:sz w:val="21"/>
                <w:szCs w:val="21"/>
                <w:highlight w:val="none"/>
                <w:lang w:val="en-US" w:eastAsia="zh-CN"/>
              </w:rPr>
              <w:t>郭占霞</w:t>
            </w:r>
          </w:p>
          <w:p w14:paraId="03B95000">
            <w:pPr>
              <w:pStyle w:val="19"/>
              <w:keepNext w:val="0"/>
              <w:keepLines w:val="0"/>
              <w:pageBreakBefore w:val="0"/>
              <w:widowControl/>
              <w:overflowPunct/>
              <w:topLinePunct w:val="0"/>
              <w:autoSpaceDE w:val="0"/>
              <w:autoSpaceDN w:val="0"/>
              <w:bidi w:val="0"/>
              <w:adjustRightInd w:val="0"/>
              <w:snapToGrid w:val="0"/>
              <w:spacing w:line="0" w:lineRule="atLeast"/>
              <w:ind w:left="113"/>
              <w:rPr>
                <w:rFonts w:hint="default" w:ascii="仿宋" w:hAnsi="仿宋" w:eastAsia="仿宋" w:cs="仿宋"/>
                <w:color w:val="auto"/>
                <w:sz w:val="21"/>
                <w:szCs w:val="21"/>
                <w:highlight w:val="none"/>
                <w:lang w:val="en-US" w:eastAsia="zh-CN"/>
              </w:rPr>
            </w:pPr>
            <w:r>
              <w:rPr>
                <w:rFonts w:hint="eastAsia" w:ascii="仿宋" w:hAnsi="仿宋" w:eastAsia="仿宋" w:cs="仿宋"/>
                <w:color w:val="auto"/>
                <w:spacing w:val="-2"/>
                <w:sz w:val="21"/>
                <w:szCs w:val="21"/>
                <w:highlight w:val="none"/>
              </w:rPr>
              <w:t>联系方式：</w:t>
            </w:r>
            <w:r>
              <w:rPr>
                <w:rFonts w:hint="eastAsia" w:ascii="仿宋" w:hAnsi="仿宋" w:eastAsia="仿宋" w:cs="仿宋"/>
                <w:color w:val="auto"/>
                <w:spacing w:val="-2"/>
                <w:sz w:val="21"/>
                <w:szCs w:val="21"/>
                <w:highlight w:val="none"/>
                <w:lang w:val="en-US" w:eastAsia="zh-CN"/>
              </w:rPr>
              <w:t>15199460624</w:t>
            </w:r>
          </w:p>
        </w:tc>
      </w:tr>
      <w:tr w14:paraId="79D5A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1" w:hRule="atLeast"/>
          <w:jc w:val="center"/>
        </w:trPr>
        <w:tc>
          <w:tcPr>
            <w:tcW w:w="1147" w:type="dxa"/>
            <w:tcBorders>
              <w:left w:val="single" w:color="000000" w:sz="2" w:space="0"/>
            </w:tcBorders>
            <w:vAlign w:val="center"/>
          </w:tcPr>
          <w:p w14:paraId="111184C1">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p>
          <w:p w14:paraId="79A2E43B">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p>
          <w:p w14:paraId="4EA1892E">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p>
          <w:p w14:paraId="6709ECB1">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4</w:t>
            </w:r>
          </w:p>
        </w:tc>
        <w:tc>
          <w:tcPr>
            <w:tcW w:w="1934" w:type="dxa"/>
            <w:vAlign w:val="center"/>
          </w:tcPr>
          <w:p w14:paraId="2191F3A2">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供应商资格条件</w:t>
            </w:r>
          </w:p>
        </w:tc>
        <w:tc>
          <w:tcPr>
            <w:tcW w:w="6390" w:type="dxa"/>
            <w:tcBorders>
              <w:right w:val="single" w:color="000000" w:sz="2" w:space="0"/>
            </w:tcBorders>
          </w:tcPr>
          <w:p w14:paraId="3CD6CB8A">
            <w:pPr>
              <w:pStyle w:val="19"/>
              <w:keepNext w:val="0"/>
              <w:keepLines w:val="0"/>
              <w:pageBreakBefore w:val="0"/>
              <w:widowControl/>
              <w:overflowPunct/>
              <w:topLinePunct w:val="0"/>
              <w:autoSpaceDE w:val="0"/>
              <w:autoSpaceDN w:val="0"/>
              <w:bidi w:val="0"/>
              <w:adjustRightInd w:val="0"/>
              <w:snapToGrid w:val="0"/>
              <w:spacing w:line="0" w:lineRule="atLeast"/>
              <w:ind w:left="107" w:right="136" w:firstLine="22"/>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lang w:eastAsia="zh-CN"/>
              </w:rPr>
              <w:t>1、满足《中华人民共和国政府采购法》第二十二条规定；</w:t>
            </w:r>
          </w:p>
          <w:p w14:paraId="662EB8E6">
            <w:pPr>
              <w:pStyle w:val="19"/>
              <w:keepNext w:val="0"/>
              <w:keepLines w:val="0"/>
              <w:pageBreakBefore w:val="0"/>
              <w:widowControl/>
              <w:overflowPunct/>
              <w:topLinePunct w:val="0"/>
              <w:autoSpaceDE w:val="0"/>
              <w:autoSpaceDN w:val="0"/>
              <w:bidi w:val="0"/>
              <w:adjustRightInd w:val="0"/>
              <w:snapToGrid w:val="0"/>
              <w:spacing w:line="0" w:lineRule="atLeast"/>
              <w:ind w:left="107" w:right="136" w:firstLine="22"/>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lang w:eastAsia="zh-CN"/>
              </w:rPr>
              <w:t>2、落实政府采购政策需满足的资格要求：本项目专门面向中小企业采购</w:t>
            </w:r>
            <w:bookmarkStart w:id="270" w:name="_GoBack"/>
            <w:bookmarkEnd w:id="270"/>
          </w:p>
          <w:p w14:paraId="1F4E53DA">
            <w:pPr>
              <w:pStyle w:val="19"/>
              <w:keepNext w:val="0"/>
              <w:keepLines w:val="0"/>
              <w:pageBreakBefore w:val="0"/>
              <w:widowControl/>
              <w:overflowPunct/>
              <w:topLinePunct w:val="0"/>
              <w:autoSpaceDE w:val="0"/>
              <w:autoSpaceDN w:val="0"/>
              <w:bidi w:val="0"/>
              <w:adjustRightInd w:val="0"/>
              <w:snapToGrid w:val="0"/>
              <w:spacing w:line="0" w:lineRule="atLeast"/>
              <w:ind w:left="107" w:right="136" w:firstLine="22"/>
              <w:rPr>
                <w:rFonts w:hint="eastAsia" w:ascii="仿宋" w:hAnsi="仿宋" w:eastAsia="仿宋" w:cs="仿宋"/>
                <w:color w:val="auto"/>
                <w:spacing w:val="8"/>
                <w:sz w:val="21"/>
                <w:szCs w:val="21"/>
                <w:highlight w:val="none"/>
                <w:lang w:val="en-US" w:eastAsia="zh-CN"/>
              </w:rPr>
            </w:pPr>
            <w:r>
              <w:rPr>
                <w:rFonts w:hint="eastAsia" w:ascii="仿宋" w:hAnsi="仿宋" w:eastAsia="仿宋" w:cs="仿宋"/>
                <w:color w:val="auto"/>
                <w:spacing w:val="8"/>
                <w:sz w:val="21"/>
                <w:szCs w:val="21"/>
                <w:highlight w:val="none"/>
                <w:lang w:val="en-US" w:eastAsia="zh-CN"/>
              </w:rPr>
              <w:t>3、本项目的特定资格要求:无</w:t>
            </w:r>
          </w:p>
          <w:p w14:paraId="4C530D36">
            <w:pPr>
              <w:pStyle w:val="19"/>
              <w:keepNext w:val="0"/>
              <w:keepLines w:val="0"/>
              <w:pageBreakBefore w:val="0"/>
              <w:widowControl/>
              <w:overflowPunct/>
              <w:topLinePunct w:val="0"/>
              <w:autoSpaceDE w:val="0"/>
              <w:autoSpaceDN w:val="0"/>
              <w:bidi w:val="0"/>
              <w:adjustRightInd w:val="0"/>
              <w:snapToGrid w:val="0"/>
              <w:spacing w:line="0" w:lineRule="atLeast"/>
              <w:ind w:left="107" w:right="136" w:firstLine="22"/>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lang w:val="en-US" w:eastAsia="zh-CN"/>
              </w:rPr>
              <w:t>4、</w:t>
            </w:r>
            <w:r>
              <w:rPr>
                <w:rFonts w:hint="eastAsia" w:ascii="仿宋" w:hAnsi="仿宋" w:eastAsia="仿宋" w:cs="仿宋"/>
                <w:color w:val="auto"/>
                <w:spacing w:val="8"/>
                <w:sz w:val="21"/>
                <w:szCs w:val="21"/>
                <w:highlight w:val="none"/>
                <w:lang w:eastAsia="zh-CN"/>
              </w:rPr>
              <w:t>企业诚信信息未被行业主管部门通报</w:t>
            </w:r>
            <w:r>
              <w:rPr>
                <w:rFonts w:hint="eastAsia" w:ascii="仿宋" w:hAnsi="仿宋" w:eastAsia="仿宋" w:cs="仿宋"/>
                <w:color w:val="auto"/>
                <w:spacing w:val="8"/>
                <w:sz w:val="21"/>
                <w:szCs w:val="21"/>
                <w:highlight w:val="none"/>
                <w:lang w:val="zh-CN" w:eastAsia="zh-CN"/>
              </w:rPr>
              <w:t>（提供网页截图等证明材料或承诺函）</w:t>
            </w:r>
            <w:r>
              <w:rPr>
                <w:rFonts w:hint="eastAsia" w:ascii="仿宋" w:hAnsi="仿宋" w:eastAsia="仿宋" w:cs="仿宋"/>
                <w:color w:val="auto"/>
                <w:spacing w:val="8"/>
                <w:sz w:val="21"/>
                <w:szCs w:val="21"/>
                <w:highlight w:val="none"/>
                <w:lang w:eastAsia="zh-CN"/>
              </w:rPr>
              <w:t>；</w:t>
            </w:r>
          </w:p>
          <w:p w14:paraId="65FFF473">
            <w:pPr>
              <w:pStyle w:val="19"/>
              <w:keepNext w:val="0"/>
              <w:keepLines w:val="0"/>
              <w:pageBreakBefore w:val="0"/>
              <w:widowControl/>
              <w:overflowPunct/>
              <w:topLinePunct w:val="0"/>
              <w:autoSpaceDE w:val="0"/>
              <w:autoSpaceDN w:val="0"/>
              <w:bidi w:val="0"/>
              <w:adjustRightInd w:val="0"/>
              <w:snapToGrid w:val="0"/>
              <w:spacing w:line="0" w:lineRule="atLeast"/>
              <w:ind w:left="107" w:right="136" w:firstLine="22"/>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lang w:val="en-US" w:eastAsia="zh-CN"/>
              </w:rPr>
              <w:t>5、</w:t>
            </w:r>
            <w:r>
              <w:rPr>
                <w:rFonts w:hint="eastAsia" w:ascii="仿宋" w:hAnsi="仿宋" w:eastAsia="仿宋" w:cs="仿宋"/>
                <w:color w:val="auto"/>
                <w:spacing w:val="8"/>
                <w:sz w:val="21"/>
                <w:szCs w:val="21"/>
                <w:highlight w:val="none"/>
                <w:lang w:eastAsia="zh-CN"/>
              </w:rPr>
              <w:t>投标人必须为投标文件递交截止之日前未被列入“信用中国”网站（www.creditchina.gov.cn）、中国政府采购网（www.ccgp.gov.cn）信用记录失信被执行人、重大税收违法案件当事人名单、政府采购严重违法失信行为记录名单的；</w:t>
            </w:r>
          </w:p>
          <w:p w14:paraId="1D98AA64">
            <w:pPr>
              <w:pStyle w:val="19"/>
              <w:keepNext w:val="0"/>
              <w:keepLines w:val="0"/>
              <w:pageBreakBefore w:val="0"/>
              <w:widowControl/>
              <w:overflowPunct/>
              <w:topLinePunct w:val="0"/>
              <w:autoSpaceDE w:val="0"/>
              <w:autoSpaceDN w:val="0"/>
              <w:bidi w:val="0"/>
              <w:adjustRightInd w:val="0"/>
              <w:snapToGrid w:val="0"/>
              <w:spacing w:line="0" w:lineRule="atLeast"/>
              <w:ind w:left="107" w:right="136" w:firstLine="22"/>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val="en-US" w:eastAsia="zh-CN"/>
              </w:rPr>
              <w:t>6、</w:t>
            </w:r>
            <w:r>
              <w:rPr>
                <w:rFonts w:hint="eastAsia" w:ascii="仿宋" w:hAnsi="仿宋" w:eastAsia="仿宋" w:cs="仿宋"/>
                <w:color w:val="auto"/>
                <w:spacing w:val="8"/>
                <w:sz w:val="21"/>
                <w:szCs w:val="21"/>
                <w:highlight w:val="none"/>
                <w:lang w:eastAsia="zh-CN"/>
              </w:rPr>
              <w:t xml:space="preserve">单位负责人为同一人或者存在控股、管理关系的不同单位，不得同时参加本项目的投标。为本项目提供整体设计、规范编制或者项目管理、监理、检测等服务的投标人，不得再参加本项目投标；           </w:t>
            </w:r>
          </w:p>
        </w:tc>
      </w:tr>
      <w:tr w14:paraId="64E2B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1147" w:type="dxa"/>
            <w:tcBorders>
              <w:left w:val="single" w:color="000000" w:sz="2" w:space="0"/>
            </w:tcBorders>
            <w:vAlign w:val="center"/>
          </w:tcPr>
          <w:p w14:paraId="79BD9E1B">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5</w:t>
            </w:r>
          </w:p>
        </w:tc>
        <w:tc>
          <w:tcPr>
            <w:tcW w:w="1934" w:type="dxa"/>
            <w:vAlign w:val="center"/>
          </w:tcPr>
          <w:p w14:paraId="2FD0F9F1">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val="en-US" w:eastAsia="zh-CN"/>
              </w:rPr>
            </w:pPr>
            <w:r>
              <w:rPr>
                <w:rFonts w:hint="eastAsia" w:ascii="仿宋" w:hAnsi="仿宋" w:eastAsia="仿宋" w:cs="仿宋"/>
                <w:color w:val="auto"/>
                <w:spacing w:val="8"/>
                <w:sz w:val="21"/>
                <w:szCs w:val="21"/>
                <w:highlight w:val="none"/>
              </w:rPr>
              <w:t>联合体投标</w:t>
            </w:r>
          </w:p>
        </w:tc>
        <w:tc>
          <w:tcPr>
            <w:tcW w:w="6390" w:type="dxa"/>
            <w:tcBorders>
              <w:right w:val="single" w:color="000000" w:sz="2" w:space="0"/>
            </w:tcBorders>
          </w:tcPr>
          <w:p w14:paraId="004D0010">
            <w:pPr>
              <w:pStyle w:val="19"/>
              <w:keepNext w:val="0"/>
              <w:keepLines w:val="0"/>
              <w:pageBreakBefore w:val="0"/>
              <w:widowControl/>
              <w:overflowPunct/>
              <w:topLinePunct w:val="0"/>
              <w:autoSpaceDE w:val="0"/>
              <w:autoSpaceDN w:val="0"/>
              <w:bidi w:val="0"/>
              <w:adjustRightInd w:val="0"/>
              <w:snapToGrid w:val="0"/>
              <w:spacing w:line="0" w:lineRule="atLeast"/>
              <w:ind w:left="116"/>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不接受</w:t>
            </w:r>
          </w:p>
        </w:tc>
      </w:tr>
      <w:tr w14:paraId="58C76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147" w:type="dxa"/>
            <w:tcBorders>
              <w:left w:val="single" w:color="000000" w:sz="2" w:space="0"/>
            </w:tcBorders>
            <w:vAlign w:val="center"/>
          </w:tcPr>
          <w:p w14:paraId="5D29CA9D">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6</w:t>
            </w:r>
          </w:p>
        </w:tc>
        <w:tc>
          <w:tcPr>
            <w:tcW w:w="1934" w:type="dxa"/>
            <w:vAlign w:val="center"/>
          </w:tcPr>
          <w:p w14:paraId="292C2AD8">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lang w:eastAsia="zh-CN"/>
              </w:rPr>
              <w:t>评标办法</w:t>
            </w:r>
          </w:p>
        </w:tc>
        <w:tc>
          <w:tcPr>
            <w:tcW w:w="6390" w:type="dxa"/>
            <w:tcBorders>
              <w:right w:val="single" w:color="000000" w:sz="2" w:space="0"/>
            </w:tcBorders>
          </w:tcPr>
          <w:p w14:paraId="37CD863D">
            <w:pPr>
              <w:pStyle w:val="19"/>
              <w:keepNext w:val="0"/>
              <w:keepLines w:val="0"/>
              <w:pageBreakBefore w:val="0"/>
              <w:widowControl/>
              <w:overflowPunct/>
              <w:topLinePunct w:val="0"/>
              <w:autoSpaceDE w:val="0"/>
              <w:autoSpaceDN w:val="0"/>
              <w:bidi w:val="0"/>
              <w:adjustRightInd w:val="0"/>
              <w:snapToGrid w:val="0"/>
              <w:spacing w:line="0" w:lineRule="atLeast"/>
              <w:ind w:left="116"/>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最低评标价法</w:t>
            </w:r>
          </w:p>
        </w:tc>
      </w:tr>
      <w:tr w14:paraId="04483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147" w:type="dxa"/>
            <w:tcBorders>
              <w:left w:val="single" w:color="000000" w:sz="2" w:space="0"/>
            </w:tcBorders>
            <w:vAlign w:val="center"/>
          </w:tcPr>
          <w:p w14:paraId="753624C2">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7</w:t>
            </w:r>
          </w:p>
        </w:tc>
        <w:tc>
          <w:tcPr>
            <w:tcW w:w="1934" w:type="dxa"/>
            <w:vAlign w:val="center"/>
          </w:tcPr>
          <w:p w14:paraId="633ACBFD">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信息公告媒体</w:t>
            </w:r>
          </w:p>
        </w:tc>
        <w:tc>
          <w:tcPr>
            <w:tcW w:w="6390" w:type="dxa"/>
            <w:tcBorders>
              <w:right w:val="single" w:color="000000" w:sz="2" w:space="0"/>
            </w:tcBorders>
          </w:tcPr>
          <w:p w14:paraId="2CEEB925">
            <w:pPr>
              <w:pStyle w:val="19"/>
              <w:keepNext w:val="0"/>
              <w:keepLines w:val="0"/>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4"/>
                <w:sz w:val="21"/>
                <w:szCs w:val="21"/>
                <w:highlight w:val="none"/>
              </w:rPr>
              <w:t>新疆政府采购网（</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"http://www.ccgpxinjiang.gov.cn"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http</w:t>
            </w:r>
            <w:r>
              <w:rPr>
                <w:rFonts w:hint="eastAsia" w:ascii="仿宋" w:hAnsi="仿宋" w:eastAsia="仿宋" w:cs="仿宋"/>
                <w:color w:val="auto"/>
                <w:spacing w:val="14"/>
                <w:sz w:val="21"/>
                <w:szCs w:val="21"/>
                <w:highlight w:val="none"/>
              </w:rPr>
              <w:t>://</w:t>
            </w:r>
            <w:r>
              <w:rPr>
                <w:rFonts w:hint="eastAsia" w:ascii="仿宋" w:hAnsi="仿宋" w:eastAsia="仿宋" w:cs="仿宋"/>
                <w:color w:val="auto"/>
                <w:sz w:val="21"/>
                <w:szCs w:val="21"/>
                <w:highlight w:val="none"/>
              </w:rPr>
              <w:t>www</w:t>
            </w:r>
            <w:r>
              <w:rPr>
                <w:rFonts w:hint="eastAsia" w:ascii="仿宋" w:hAnsi="仿宋" w:eastAsia="仿宋" w:cs="仿宋"/>
                <w:color w:val="auto"/>
                <w:spacing w:val="14"/>
                <w:sz w:val="21"/>
                <w:szCs w:val="21"/>
                <w:highlight w:val="none"/>
              </w:rPr>
              <w:t>.</w:t>
            </w:r>
            <w:r>
              <w:rPr>
                <w:rFonts w:hint="eastAsia" w:ascii="仿宋" w:hAnsi="仿宋" w:eastAsia="仿宋" w:cs="仿宋"/>
                <w:color w:val="auto"/>
                <w:sz w:val="21"/>
                <w:szCs w:val="21"/>
                <w:highlight w:val="none"/>
              </w:rPr>
              <w:t>ccgpxinjiang</w:t>
            </w:r>
            <w:r>
              <w:rPr>
                <w:rFonts w:hint="eastAsia" w:ascii="仿宋" w:hAnsi="仿宋" w:eastAsia="仿宋" w:cs="仿宋"/>
                <w:color w:val="auto"/>
                <w:spacing w:val="14"/>
                <w:sz w:val="21"/>
                <w:szCs w:val="21"/>
                <w:highlight w:val="none"/>
              </w:rPr>
              <w:t>.</w:t>
            </w:r>
            <w:r>
              <w:rPr>
                <w:rFonts w:hint="eastAsia" w:ascii="仿宋" w:hAnsi="仿宋" w:eastAsia="仿宋" w:cs="仿宋"/>
                <w:color w:val="auto"/>
                <w:sz w:val="21"/>
                <w:szCs w:val="21"/>
                <w:highlight w:val="none"/>
              </w:rPr>
              <w:t>gov</w:t>
            </w:r>
            <w:r>
              <w:rPr>
                <w:rFonts w:hint="eastAsia" w:ascii="仿宋" w:hAnsi="仿宋" w:eastAsia="仿宋" w:cs="仿宋"/>
                <w:color w:val="auto"/>
                <w:spacing w:val="14"/>
                <w:sz w:val="21"/>
                <w:szCs w:val="21"/>
                <w:highlight w:val="none"/>
              </w:rPr>
              <w:t>.</w:t>
            </w:r>
            <w:r>
              <w:rPr>
                <w:rFonts w:hint="eastAsia" w:ascii="仿宋" w:hAnsi="仿宋" w:eastAsia="仿宋" w:cs="仿宋"/>
                <w:color w:val="auto"/>
                <w:sz w:val="21"/>
                <w:szCs w:val="21"/>
                <w:highlight w:val="none"/>
              </w:rPr>
              <w:t>cn</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pacing w:val="14"/>
                <w:sz w:val="21"/>
                <w:szCs w:val="21"/>
                <w:highlight w:val="none"/>
              </w:rPr>
              <w:t>）</w:t>
            </w:r>
            <w:r>
              <w:rPr>
                <w:rFonts w:hint="eastAsia" w:ascii="仿宋" w:hAnsi="仿宋" w:eastAsia="仿宋" w:cs="仿宋"/>
                <w:color w:val="auto"/>
                <w:spacing w:val="14"/>
                <w:sz w:val="21"/>
                <w:szCs w:val="21"/>
                <w:highlight w:val="none"/>
                <w:lang w:eastAsia="zh-CN"/>
              </w:rPr>
              <w:t>和</w:t>
            </w:r>
            <w:r>
              <w:rPr>
                <w:rFonts w:hint="eastAsia" w:ascii="仿宋" w:hAnsi="仿宋" w:eastAsia="仿宋" w:cs="仿宋"/>
                <w:color w:val="auto"/>
                <w:spacing w:val="14"/>
                <w:sz w:val="21"/>
                <w:szCs w:val="21"/>
                <w:highlight w:val="none"/>
              </w:rPr>
              <w:t>中国政府采购网（http://www.ccgp.gov.cn/）</w:t>
            </w:r>
          </w:p>
        </w:tc>
      </w:tr>
      <w:tr w14:paraId="1431F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1147" w:type="dxa"/>
            <w:tcBorders>
              <w:left w:val="single" w:color="000000" w:sz="2" w:space="0"/>
            </w:tcBorders>
            <w:vAlign w:val="center"/>
          </w:tcPr>
          <w:p w14:paraId="17AEBDED">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8</w:t>
            </w:r>
          </w:p>
        </w:tc>
        <w:tc>
          <w:tcPr>
            <w:tcW w:w="1934" w:type="dxa"/>
            <w:vAlign w:val="center"/>
          </w:tcPr>
          <w:p w14:paraId="2D583D10">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lang w:eastAsia="zh-CN"/>
              </w:rPr>
              <w:t>谈判响应文件递交截止时间</w:t>
            </w:r>
          </w:p>
        </w:tc>
        <w:tc>
          <w:tcPr>
            <w:tcW w:w="6390" w:type="dxa"/>
            <w:tcBorders>
              <w:right w:val="single" w:color="000000" w:sz="2" w:space="0"/>
            </w:tcBorders>
            <w:vAlign w:val="center"/>
          </w:tcPr>
          <w:p w14:paraId="47B598A2">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left"/>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8"/>
                <w:sz w:val="21"/>
                <w:szCs w:val="21"/>
                <w:highlight w:val="none"/>
                <w:lang w:eastAsia="zh-CN"/>
              </w:rPr>
              <w:t>202</w:t>
            </w:r>
            <w:r>
              <w:rPr>
                <w:rFonts w:hint="eastAsia" w:ascii="仿宋" w:hAnsi="仿宋" w:eastAsia="仿宋" w:cs="仿宋"/>
                <w:color w:val="auto"/>
                <w:spacing w:val="8"/>
                <w:sz w:val="21"/>
                <w:szCs w:val="21"/>
                <w:highlight w:val="none"/>
                <w:lang w:val="en-US" w:eastAsia="zh-CN"/>
              </w:rPr>
              <w:t>6</w:t>
            </w:r>
            <w:r>
              <w:rPr>
                <w:rFonts w:hint="eastAsia" w:ascii="仿宋" w:hAnsi="仿宋" w:eastAsia="仿宋" w:cs="仿宋"/>
                <w:color w:val="auto"/>
                <w:spacing w:val="8"/>
                <w:sz w:val="21"/>
                <w:szCs w:val="21"/>
                <w:highlight w:val="none"/>
                <w:lang w:eastAsia="zh-CN"/>
              </w:rPr>
              <w:t>年</w:t>
            </w:r>
            <w:r>
              <w:rPr>
                <w:rFonts w:hint="eastAsia" w:ascii="仿宋" w:hAnsi="仿宋" w:eastAsia="仿宋" w:cs="仿宋"/>
                <w:color w:val="auto"/>
                <w:spacing w:val="8"/>
                <w:sz w:val="21"/>
                <w:szCs w:val="21"/>
                <w:highlight w:val="none"/>
                <w:lang w:val="en-US" w:eastAsia="zh-CN"/>
              </w:rPr>
              <w:t>06</w:t>
            </w:r>
            <w:r>
              <w:rPr>
                <w:rFonts w:hint="eastAsia" w:ascii="仿宋" w:hAnsi="仿宋" w:eastAsia="仿宋" w:cs="仿宋"/>
                <w:color w:val="auto"/>
                <w:spacing w:val="8"/>
                <w:sz w:val="21"/>
                <w:szCs w:val="21"/>
                <w:highlight w:val="none"/>
                <w:lang w:eastAsia="zh-CN"/>
              </w:rPr>
              <w:t>月</w:t>
            </w:r>
            <w:r>
              <w:rPr>
                <w:rFonts w:hint="eastAsia" w:ascii="仿宋" w:hAnsi="仿宋" w:eastAsia="仿宋" w:cs="仿宋"/>
                <w:color w:val="auto"/>
                <w:spacing w:val="8"/>
                <w:sz w:val="21"/>
                <w:szCs w:val="21"/>
                <w:highlight w:val="none"/>
                <w:lang w:val="en-US" w:eastAsia="zh-CN"/>
              </w:rPr>
              <w:t>02</w:t>
            </w:r>
            <w:r>
              <w:rPr>
                <w:rFonts w:hint="eastAsia" w:ascii="仿宋" w:hAnsi="仿宋" w:eastAsia="仿宋" w:cs="仿宋"/>
                <w:color w:val="auto"/>
                <w:spacing w:val="8"/>
                <w:sz w:val="21"/>
                <w:szCs w:val="21"/>
                <w:highlight w:val="none"/>
                <w:lang w:eastAsia="zh-CN"/>
              </w:rPr>
              <w:t>日1</w:t>
            </w:r>
            <w:r>
              <w:rPr>
                <w:rFonts w:hint="eastAsia" w:ascii="仿宋" w:hAnsi="仿宋" w:eastAsia="仿宋" w:cs="仿宋"/>
                <w:color w:val="auto"/>
                <w:spacing w:val="8"/>
                <w:sz w:val="21"/>
                <w:szCs w:val="21"/>
                <w:highlight w:val="none"/>
                <w:lang w:val="en-US" w:eastAsia="zh-CN"/>
              </w:rPr>
              <w:t>1</w:t>
            </w:r>
            <w:r>
              <w:rPr>
                <w:rFonts w:hint="eastAsia" w:ascii="仿宋" w:hAnsi="仿宋" w:eastAsia="仿宋" w:cs="仿宋"/>
                <w:color w:val="auto"/>
                <w:spacing w:val="8"/>
                <w:sz w:val="21"/>
                <w:szCs w:val="21"/>
                <w:highlight w:val="none"/>
                <w:lang w:eastAsia="zh-CN"/>
              </w:rPr>
              <w:t>:00（北京时间）</w:t>
            </w:r>
          </w:p>
        </w:tc>
      </w:tr>
      <w:tr w14:paraId="11BE0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3" w:hRule="atLeast"/>
          <w:jc w:val="center"/>
        </w:trPr>
        <w:tc>
          <w:tcPr>
            <w:tcW w:w="1147" w:type="dxa"/>
            <w:tcBorders>
              <w:left w:val="single" w:color="000000" w:sz="2" w:space="0"/>
            </w:tcBorders>
            <w:vAlign w:val="center"/>
          </w:tcPr>
          <w:p w14:paraId="0248B45F">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9</w:t>
            </w:r>
          </w:p>
        </w:tc>
        <w:tc>
          <w:tcPr>
            <w:tcW w:w="1934" w:type="dxa"/>
            <w:vAlign w:val="center"/>
          </w:tcPr>
          <w:p w14:paraId="1978D455">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lang w:eastAsia="zh-CN"/>
              </w:rPr>
              <w:t>谈判响应文件开启时间、地点</w:t>
            </w:r>
          </w:p>
        </w:tc>
        <w:tc>
          <w:tcPr>
            <w:tcW w:w="6390" w:type="dxa"/>
            <w:tcBorders>
              <w:right w:val="single" w:color="000000" w:sz="2" w:space="0"/>
            </w:tcBorders>
          </w:tcPr>
          <w:p w14:paraId="08562173">
            <w:pPr>
              <w:pStyle w:val="19"/>
              <w:keepNext w:val="0"/>
              <w:keepLines w:val="0"/>
              <w:pageBreakBefore w:val="0"/>
              <w:widowControl/>
              <w:overflowPunct/>
              <w:topLinePunct w:val="0"/>
              <w:autoSpaceDE w:val="0"/>
              <w:autoSpaceDN w:val="0"/>
              <w:bidi w:val="0"/>
              <w:adjustRightInd w:val="0"/>
              <w:snapToGrid w:val="0"/>
              <w:spacing w:line="0" w:lineRule="atLeast"/>
              <w:ind w:right="116"/>
              <w:rPr>
                <w:rFonts w:hint="eastAsia" w:ascii="仿宋" w:hAnsi="仿宋" w:eastAsia="仿宋" w:cs="仿宋"/>
                <w:color w:val="auto"/>
                <w:spacing w:val="18"/>
                <w:sz w:val="21"/>
                <w:szCs w:val="21"/>
                <w:highlight w:val="none"/>
                <w:lang w:eastAsia="zh-CN"/>
              </w:rPr>
            </w:pPr>
            <w:r>
              <w:rPr>
                <w:rFonts w:hint="eastAsia" w:ascii="仿宋" w:hAnsi="仿宋" w:eastAsia="仿宋" w:cs="仿宋"/>
                <w:color w:val="auto"/>
                <w:spacing w:val="18"/>
                <w:sz w:val="21"/>
                <w:szCs w:val="21"/>
                <w:highlight w:val="none"/>
                <w:lang w:eastAsia="zh-CN"/>
              </w:rPr>
              <w:t>时间：</w:t>
            </w:r>
            <w:r>
              <w:rPr>
                <w:rFonts w:hint="eastAsia" w:ascii="仿宋" w:hAnsi="仿宋" w:eastAsia="仿宋" w:cs="仿宋"/>
                <w:color w:val="auto"/>
                <w:spacing w:val="8"/>
                <w:sz w:val="21"/>
                <w:szCs w:val="21"/>
                <w:highlight w:val="none"/>
                <w:lang w:eastAsia="zh-CN"/>
              </w:rPr>
              <w:t>202</w:t>
            </w:r>
            <w:r>
              <w:rPr>
                <w:rFonts w:hint="eastAsia" w:ascii="仿宋" w:hAnsi="仿宋" w:eastAsia="仿宋" w:cs="仿宋"/>
                <w:color w:val="auto"/>
                <w:spacing w:val="8"/>
                <w:sz w:val="21"/>
                <w:szCs w:val="21"/>
                <w:highlight w:val="none"/>
                <w:lang w:val="en-US" w:eastAsia="zh-CN"/>
              </w:rPr>
              <w:t>6</w:t>
            </w:r>
            <w:r>
              <w:rPr>
                <w:rFonts w:hint="eastAsia" w:ascii="仿宋" w:hAnsi="仿宋" w:eastAsia="仿宋" w:cs="仿宋"/>
                <w:color w:val="auto"/>
                <w:spacing w:val="8"/>
                <w:sz w:val="21"/>
                <w:szCs w:val="21"/>
                <w:highlight w:val="none"/>
                <w:lang w:eastAsia="zh-CN"/>
              </w:rPr>
              <w:t>年</w:t>
            </w:r>
            <w:r>
              <w:rPr>
                <w:rFonts w:hint="eastAsia" w:ascii="仿宋" w:hAnsi="仿宋" w:eastAsia="仿宋" w:cs="仿宋"/>
                <w:color w:val="auto"/>
                <w:spacing w:val="8"/>
                <w:sz w:val="21"/>
                <w:szCs w:val="21"/>
                <w:highlight w:val="none"/>
                <w:lang w:val="en-US" w:eastAsia="zh-CN"/>
              </w:rPr>
              <w:t>06</w:t>
            </w:r>
            <w:r>
              <w:rPr>
                <w:rFonts w:hint="eastAsia" w:ascii="仿宋" w:hAnsi="仿宋" w:eastAsia="仿宋" w:cs="仿宋"/>
                <w:color w:val="auto"/>
                <w:spacing w:val="8"/>
                <w:sz w:val="21"/>
                <w:szCs w:val="21"/>
                <w:highlight w:val="none"/>
                <w:lang w:eastAsia="zh-CN"/>
              </w:rPr>
              <w:t>月</w:t>
            </w:r>
            <w:r>
              <w:rPr>
                <w:rFonts w:hint="eastAsia" w:ascii="仿宋" w:hAnsi="仿宋" w:eastAsia="仿宋" w:cs="仿宋"/>
                <w:color w:val="auto"/>
                <w:spacing w:val="8"/>
                <w:sz w:val="21"/>
                <w:szCs w:val="21"/>
                <w:highlight w:val="none"/>
                <w:lang w:val="en-US" w:eastAsia="zh-CN"/>
              </w:rPr>
              <w:t>02</w:t>
            </w:r>
            <w:r>
              <w:rPr>
                <w:rFonts w:hint="eastAsia" w:ascii="仿宋" w:hAnsi="仿宋" w:eastAsia="仿宋" w:cs="仿宋"/>
                <w:color w:val="auto"/>
                <w:spacing w:val="8"/>
                <w:sz w:val="21"/>
                <w:szCs w:val="21"/>
                <w:highlight w:val="none"/>
                <w:lang w:eastAsia="zh-CN"/>
              </w:rPr>
              <w:t>日1</w:t>
            </w:r>
            <w:r>
              <w:rPr>
                <w:rFonts w:hint="eastAsia" w:ascii="仿宋" w:hAnsi="仿宋" w:eastAsia="仿宋" w:cs="仿宋"/>
                <w:color w:val="auto"/>
                <w:spacing w:val="8"/>
                <w:sz w:val="21"/>
                <w:szCs w:val="21"/>
                <w:highlight w:val="none"/>
                <w:lang w:val="en-US" w:eastAsia="zh-CN"/>
              </w:rPr>
              <w:t>1</w:t>
            </w:r>
            <w:r>
              <w:rPr>
                <w:rFonts w:hint="eastAsia" w:ascii="仿宋" w:hAnsi="仿宋" w:eastAsia="仿宋" w:cs="仿宋"/>
                <w:color w:val="auto"/>
                <w:spacing w:val="8"/>
                <w:sz w:val="21"/>
                <w:szCs w:val="21"/>
                <w:highlight w:val="none"/>
                <w:lang w:eastAsia="zh-CN"/>
              </w:rPr>
              <w:t>:00</w:t>
            </w:r>
            <w:r>
              <w:rPr>
                <w:rFonts w:hint="eastAsia" w:ascii="仿宋" w:hAnsi="仿宋" w:eastAsia="仿宋" w:cs="仿宋"/>
                <w:color w:val="auto"/>
                <w:spacing w:val="18"/>
                <w:sz w:val="21"/>
                <w:szCs w:val="21"/>
                <w:highlight w:val="none"/>
                <w:lang w:eastAsia="zh-CN"/>
              </w:rPr>
              <w:t>（北京时间）</w:t>
            </w:r>
          </w:p>
          <w:p w14:paraId="4B305737">
            <w:pPr>
              <w:pStyle w:val="19"/>
              <w:keepNext w:val="0"/>
              <w:keepLines w:val="0"/>
              <w:pageBreakBefore w:val="0"/>
              <w:widowControl/>
              <w:overflowPunct/>
              <w:topLinePunct w:val="0"/>
              <w:autoSpaceDE w:val="0"/>
              <w:autoSpaceDN w:val="0"/>
              <w:bidi w:val="0"/>
              <w:adjustRightInd w:val="0"/>
              <w:snapToGrid w:val="0"/>
              <w:spacing w:line="0" w:lineRule="atLeast"/>
              <w:ind w:right="116"/>
              <w:rPr>
                <w:rFonts w:hint="eastAsia" w:ascii="仿宋" w:hAnsi="仿宋" w:eastAsia="仿宋" w:cs="仿宋"/>
                <w:color w:val="auto"/>
                <w:spacing w:val="18"/>
                <w:sz w:val="21"/>
                <w:szCs w:val="21"/>
                <w:highlight w:val="none"/>
                <w:lang w:eastAsia="zh-CN"/>
              </w:rPr>
            </w:pPr>
            <w:r>
              <w:rPr>
                <w:rFonts w:hint="eastAsia" w:ascii="仿宋" w:hAnsi="仿宋" w:eastAsia="仿宋" w:cs="仿宋"/>
                <w:color w:val="auto"/>
                <w:spacing w:val="18"/>
                <w:sz w:val="21"/>
                <w:szCs w:val="21"/>
                <w:highlight w:val="none"/>
                <w:lang w:eastAsia="zh-CN"/>
              </w:rPr>
              <w:t xml:space="preserve">地点：政采云；解密默认时长： 30 分钟   </w:t>
            </w:r>
          </w:p>
          <w:p w14:paraId="57BBA930">
            <w:pPr>
              <w:pStyle w:val="19"/>
              <w:keepNext w:val="0"/>
              <w:keepLines w:val="0"/>
              <w:pageBreakBefore w:val="0"/>
              <w:widowControl/>
              <w:kinsoku/>
              <w:wordWrap w:val="0"/>
              <w:overflowPunct/>
              <w:topLinePunct w:val="0"/>
              <w:autoSpaceDE w:val="0"/>
              <w:autoSpaceDN w:val="0"/>
              <w:bidi w:val="0"/>
              <w:adjustRightInd w:val="0"/>
              <w:snapToGrid w:val="0"/>
              <w:spacing w:line="0" w:lineRule="atLeast"/>
              <w:ind w:right="113"/>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8"/>
                <w:sz w:val="21"/>
                <w:szCs w:val="21"/>
                <w:highlight w:val="none"/>
                <w:lang w:eastAsia="zh-CN"/>
              </w:rPr>
              <w:t xml:space="preserve">注：本项目采用远程不见面交易的模式。供应商仅需在 任意地点通过政采云平台（ </w:t>
            </w:r>
            <w:r>
              <w:rPr>
                <w:rFonts w:hint="eastAsia" w:ascii="仿宋" w:hAnsi="仿宋" w:eastAsia="仿宋" w:cs="仿宋"/>
                <w:color w:val="auto"/>
                <w:spacing w:val="18"/>
                <w:sz w:val="21"/>
                <w:szCs w:val="21"/>
                <w:highlight w:val="none"/>
                <w:lang w:eastAsia="zh-CN"/>
              </w:rPr>
              <w:fldChar w:fldCharType="begin"/>
            </w:r>
            <w:r>
              <w:rPr>
                <w:rFonts w:hint="eastAsia" w:ascii="仿宋" w:hAnsi="仿宋" w:eastAsia="仿宋" w:cs="仿宋"/>
                <w:color w:val="auto"/>
                <w:spacing w:val="18"/>
                <w:sz w:val="21"/>
                <w:szCs w:val="21"/>
                <w:highlight w:val="none"/>
                <w:lang w:eastAsia="zh-CN"/>
              </w:rPr>
              <w:instrText xml:space="preserve"> HYPERLINK "https://www.zcygov.cn" </w:instrText>
            </w:r>
            <w:r>
              <w:rPr>
                <w:rFonts w:hint="eastAsia" w:ascii="仿宋" w:hAnsi="仿宋" w:eastAsia="仿宋" w:cs="仿宋"/>
                <w:color w:val="auto"/>
                <w:spacing w:val="18"/>
                <w:sz w:val="21"/>
                <w:szCs w:val="21"/>
                <w:highlight w:val="none"/>
                <w:lang w:eastAsia="zh-CN"/>
              </w:rPr>
              <w:fldChar w:fldCharType="separate"/>
            </w:r>
            <w:r>
              <w:rPr>
                <w:rFonts w:hint="eastAsia" w:ascii="仿宋" w:hAnsi="仿宋" w:eastAsia="仿宋" w:cs="仿宋"/>
                <w:color w:val="auto"/>
                <w:spacing w:val="18"/>
                <w:sz w:val="21"/>
                <w:szCs w:val="21"/>
                <w:highlight w:val="none"/>
                <w:lang w:eastAsia="zh-CN"/>
              </w:rPr>
              <w:t>https://www.zcygov.cn</w:t>
            </w:r>
            <w:r>
              <w:rPr>
                <w:rFonts w:hint="eastAsia" w:ascii="仿宋" w:hAnsi="仿宋" w:eastAsia="仿宋" w:cs="仿宋"/>
                <w:color w:val="auto"/>
                <w:spacing w:val="18"/>
                <w:sz w:val="21"/>
                <w:szCs w:val="21"/>
                <w:highlight w:val="none"/>
                <w:lang w:eastAsia="zh-CN"/>
              </w:rPr>
              <w:fldChar w:fldCharType="end"/>
            </w:r>
            <w:r>
              <w:rPr>
                <w:rFonts w:hint="eastAsia" w:ascii="仿宋" w:hAnsi="仿宋" w:eastAsia="仿宋" w:cs="仿宋"/>
                <w:color w:val="auto"/>
                <w:spacing w:val="18"/>
                <w:sz w:val="21"/>
                <w:szCs w:val="21"/>
                <w:highlight w:val="none"/>
                <w:lang w:eastAsia="zh-CN"/>
              </w:rPr>
              <w:t xml:space="preserve"> ） 不见面开标系统完成远程解密、提疑澄清、谈判报价、 结果公布等交互环节。供应商必须使用能正确解密投 标文件的“CA 锁 ”在规定的时间内完成远程解密， 因供应商原因未能解密、解密失败或解密超时，视为供应商撤销其投标文件，默认自动放弃； 因采购人原因或网上招投标平台发生故障，导致无法按时完成投标文件解密的，供应商需将未加密的投标文件提供给采购代理机构， 采购代理机构通过[异常处理]端口上传、解密。 （供应商编制标书的 CA 需与解密 CA 保持一致）。</w:t>
            </w:r>
          </w:p>
        </w:tc>
      </w:tr>
      <w:tr w14:paraId="39153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jc w:val="center"/>
        </w:trPr>
        <w:tc>
          <w:tcPr>
            <w:tcW w:w="1147" w:type="dxa"/>
            <w:tcBorders>
              <w:left w:val="single" w:color="000000" w:sz="2" w:space="0"/>
              <w:bottom w:val="single" w:color="000000" w:sz="2" w:space="0"/>
            </w:tcBorders>
            <w:vAlign w:val="center"/>
          </w:tcPr>
          <w:p w14:paraId="0E989E44">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10</w:t>
            </w:r>
          </w:p>
        </w:tc>
        <w:tc>
          <w:tcPr>
            <w:tcW w:w="1934" w:type="dxa"/>
            <w:tcBorders>
              <w:bottom w:val="single" w:color="000000" w:sz="2" w:space="0"/>
            </w:tcBorders>
            <w:vAlign w:val="center"/>
          </w:tcPr>
          <w:p w14:paraId="081C679B">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lang w:eastAsia="zh-CN"/>
              </w:rPr>
              <w:t>谈判小组的组建及确定方式</w:t>
            </w:r>
          </w:p>
        </w:tc>
        <w:tc>
          <w:tcPr>
            <w:tcW w:w="6390" w:type="dxa"/>
            <w:tcBorders>
              <w:bottom w:val="single" w:color="000000" w:sz="2" w:space="0"/>
              <w:right w:val="single" w:color="000000" w:sz="2" w:space="0"/>
            </w:tcBorders>
          </w:tcPr>
          <w:p w14:paraId="191C1DDC">
            <w:pPr>
              <w:pStyle w:val="19"/>
              <w:keepNext w:val="0"/>
              <w:keepLines w:val="0"/>
              <w:pageBreakBefore w:val="0"/>
              <w:widowControl/>
              <w:overflowPunct/>
              <w:topLinePunct w:val="0"/>
              <w:autoSpaceDE w:val="0"/>
              <w:autoSpaceDN w:val="0"/>
              <w:bidi w:val="0"/>
              <w:adjustRightInd w:val="0"/>
              <w:snapToGrid w:val="0"/>
              <w:spacing w:line="0" w:lineRule="atLeast"/>
              <w:ind w:right="116"/>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8"/>
                <w:sz w:val="21"/>
                <w:szCs w:val="21"/>
                <w:highlight w:val="none"/>
                <w:lang w:eastAsia="zh-CN"/>
              </w:rPr>
              <w:t>采购人依法组建谈判小组，共</w:t>
            </w:r>
            <w:r>
              <w:rPr>
                <w:rFonts w:hint="eastAsia" w:ascii="仿宋" w:hAnsi="仿宋" w:eastAsia="仿宋" w:cs="仿宋"/>
                <w:color w:val="auto"/>
                <w:spacing w:val="18"/>
                <w:sz w:val="21"/>
                <w:szCs w:val="21"/>
                <w:highlight w:val="none"/>
                <w:u w:val="single"/>
                <w:lang w:eastAsia="zh-CN"/>
              </w:rPr>
              <w:t xml:space="preserve"> 3 </w:t>
            </w:r>
            <w:r>
              <w:rPr>
                <w:rFonts w:hint="eastAsia" w:ascii="仿宋" w:hAnsi="仿宋" w:eastAsia="仿宋" w:cs="仿宋"/>
                <w:color w:val="auto"/>
                <w:spacing w:val="18"/>
                <w:sz w:val="21"/>
                <w:szCs w:val="21"/>
                <w:highlight w:val="none"/>
                <w:lang w:eastAsia="zh-CN"/>
              </w:rPr>
              <w:t>人组成，其中采购代表</w:t>
            </w:r>
            <w:r>
              <w:rPr>
                <w:rFonts w:hint="eastAsia" w:ascii="仿宋" w:hAnsi="仿宋" w:eastAsia="仿宋" w:cs="仿宋"/>
                <w:color w:val="auto"/>
                <w:spacing w:val="18"/>
                <w:sz w:val="21"/>
                <w:szCs w:val="21"/>
                <w:highlight w:val="none"/>
                <w:u w:val="single"/>
                <w:lang w:eastAsia="zh-CN"/>
              </w:rPr>
              <w:t>1</w:t>
            </w:r>
            <w:r>
              <w:rPr>
                <w:rFonts w:hint="eastAsia" w:ascii="仿宋" w:hAnsi="仿宋" w:eastAsia="仿宋" w:cs="仿宋"/>
                <w:color w:val="auto"/>
                <w:spacing w:val="18"/>
                <w:sz w:val="21"/>
                <w:szCs w:val="21"/>
                <w:highlight w:val="none"/>
                <w:lang w:eastAsia="zh-CN"/>
              </w:rPr>
              <w:t>人，专家库抽取专家</w:t>
            </w:r>
            <w:r>
              <w:rPr>
                <w:rFonts w:hint="eastAsia" w:ascii="仿宋" w:hAnsi="仿宋" w:eastAsia="仿宋" w:cs="仿宋"/>
                <w:color w:val="auto"/>
                <w:spacing w:val="18"/>
                <w:sz w:val="21"/>
                <w:szCs w:val="21"/>
                <w:highlight w:val="none"/>
                <w:u w:val="single"/>
                <w:lang w:eastAsia="zh-CN"/>
              </w:rPr>
              <w:t>2</w:t>
            </w:r>
            <w:r>
              <w:rPr>
                <w:rFonts w:hint="eastAsia" w:ascii="仿宋" w:hAnsi="仿宋" w:eastAsia="仿宋" w:cs="仿宋"/>
                <w:color w:val="auto"/>
                <w:spacing w:val="18"/>
                <w:sz w:val="21"/>
                <w:szCs w:val="21"/>
                <w:highlight w:val="none"/>
                <w:lang w:eastAsia="zh-CN"/>
              </w:rPr>
              <w:t>人。谈判小组有</w:t>
            </w:r>
            <w:r>
              <w:rPr>
                <w:rFonts w:hint="eastAsia" w:ascii="仿宋" w:hAnsi="仿宋" w:eastAsia="仿宋" w:cs="仿宋"/>
                <w:color w:val="auto"/>
                <w:sz w:val="21"/>
                <w:szCs w:val="21"/>
                <w:highlight w:val="none"/>
                <w:lang w:eastAsia="zh-CN"/>
              </w:rPr>
              <w:t>关专家确定方式：</w:t>
            </w:r>
            <w:r>
              <w:rPr>
                <w:rFonts w:hint="eastAsia" w:ascii="仿宋" w:hAnsi="仿宋" w:eastAsia="仿宋" w:cs="仿宋"/>
                <w:color w:val="auto"/>
                <w:sz w:val="21"/>
                <w:szCs w:val="21"/>
                <w:highlight w:val="none"/>
                <w:u w:val="single"/>
                <w:lang w:eastAsia="zh-CN"/>
              </w:rPr>
              <w:t>政采云专家库中随机抽取</w:t>
            </w:r>
          </w:p>
        </w:tc>
      </w:tr>
      <w:tr w14:paraId="09D52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47" w:type="dxa"/>
            <w:tcBorders>
              <w:left w:val="single" w:color="000000" w:sz="2" w:space="0"/>
            </w:tcBorders>
            <w:vAlign w:val="center"/>
          </w:tcPr>
          <w:p w14:paraId="3FA5F3C5">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11</w:t>
            </w:r>
          </w:p>
        </w:tc>
        <w:tc>
          <w:tcPr>
            <w:tcW w:w="1934" w:type="dxa"/>
            <w:vAlign w:val="center"/>
          </w:tcPr>
          <w:p w14:paraId="23362765">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谈判保证金</w:t>
            </w:r>
          </w:p>
        </w:tc>
        <w:tc>
          <w:tcPr>
            <w:tcW w:w="6390" w:type="dxa"/>
            <w:tcBorders>
              <w:right w:val="single" w:color="000000" w:sz="2" w:space="0"/>
            </w:tcBorders>
          </w:tcPr>
          <w:p w14:paraId="38271556">
            <w:pPr>
              <w:keepNext w:val="0"/>
              <w:keepLines w:val="0"/>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缴纳方式：电汇、银行转账、保函</w:t>
            </w:r>
          </w:p>
          <w:p w14:paraId="51A6CE08">
            <w:pPr>
              <w:keepNext w:val="0"/>
              <w:keepLines w:val="0"/>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金额（小写）</w:t>
            </w:r>
            <w:bookmarkStart w:id="18" w:name="EB3125e060f8db483b9a8f8d5836e72aff"/>
            <w:r>
              <w:rPr>
                <w:rFonts w:hint="eastAsia" w:ascii="仿宋" w:hAnsi="仿宋" w:eastAsia="仿宋" w:cs="仿宋"/>
                <w:color w:val="auto"/>
                <w:sz w:val="21"/>
                <w:szCs w:val="21"/>
                <w:highlight w:val="none"/>
                <w:lang w:val="en-US" w:eastAsia="zh-CN"/>
              </w:rPr>
              <w:t>：</w:t>
            </w:r>
            <w:bookmarkEnd w:id="18"/>
            <w:r>
              <w:rPr>
                <w:rFonts w:hint="eastAsia" w:ascii="仿宋" w:hAnsi="仿宋" w:eastAsia="仿宋" w:cs="仿宋"/>
                <w:color w:val="auto"/>
                <w:sz w:val="21"/>
                <w:szCs w:val="21"/>
                <w:highlight w:val="none"/>
                <w:lang w:val="en-US" w:eastAsia="zh-CN"/>
              </w:rPr>
              <w:t>18000.00元</w:t>
            </w:r>
          </w:p>
          <w:p w14:paraId="058D9CF8">
            <w:pPr>
              <w:keepNext w:val="0"/>
              <w:keepLines w:val="0"/>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金额（大写）：壹万捌仟元整</w:t>
            </w:r>
          </w:p>
          <w:p w14:paraId="26A35258">
            <w:pPr>
              <w:keepNext w:val="0"/>
              <w:keepLines w:val="0"/>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单位名称：华春建设工程项目管理有限责任公司乌鲁木齐分公司</w:t>
            </w:r>
          </w:p>
          <w:p w14:paraId="71BE285D">
            <w:pPr>
              <w:keepNext w:val="0"/>
              <w:keepLines w:val="0"/>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开户银行：中国农业银行股份有限公司乌鲁木齐北门支行</w:t>
            </w:r>
          </w:p>
          <w:p w14:paraId="1CA82BD1">
            <w:pPr>
              <w:keepNext w:val="0"/>
              <w:keepLines w:val="0"/>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帐号：30000601040004017</w:t>
            </w:r>
          </w:p>
          <w:p w14:paraId="5DDD81B5">
            <w:pPr>
              <w:keepNext w:val="0"/>
              <w:keepLines w:val="0"/>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行号：103881000068</w:t>
            </w:r>
          </w:p>
          <w:p w14:paraId="753C123C">
            <w:pPr>
              <w:keepNext w:val="0"/>
              <w:keepLines w:val="0"/>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到账截止时间：</w:t>
            </w:r>
            <w:r>
              <w:rPr>
                <w:rFonts w:hint="eastAsia" w:ascii="仿宋" w:hAnsi="仿宋" w:eastAsia="仿宋" w:cs="仿宋"/>
                <w:b/>
                <w:bCs/>
                <w:color w:val="auto"/>
                <w:sz w:val="21"/>
                <w:szCs w:val="21"/>
                <w:highlight w:val="none"/>
                <w:lang w:val="en-US" w:eastAsia="zh-CN"/>
              </w:rPr>
              <w:t>2026年06月02日 11:00</w:t>
            </w:r>
            <w:r>
              <w:rPr>
                <w:rFonts w:hint="eastAsia" w:ascii="仿宋" w:hAnsi="仿宋" w:eastAsia="仿宋" w:cs="仿宋"/>
                <w:color w:val="auto"/>
                <w:sz w:val="21"/>
                <w:szCs w:val="21"/>
                <w:highlight w:val="none"/>
                <w:lang w:val="en-US" w:eastAsia="zh-CN"/>
              </w:rPr>
              <w:t xml:space="preserve"> （北京时间）</w:t>
            </w:r>
          </w:p>
          <w:p w14:paraId="316B1421">
            <w:pPr>
              <w:pStyle w:val="19"/>
              <w:keepNext w:val="0"/>
              <w:keepLines w:val="0"/>
              <w:pageBreakBefore w:val="0"/>
              <w:widowControl/>
              <w:overflowPunct/>
              <w:topLinePunct w:val="0"/>
              <w:autoSpaceDE w:val="0"/>
              <w:autoSpaceDN w:val="0"/>
              <w:bidi w:val="0"/>
              <w:adjustRightInd w:val="0"/>
              <w:snapToGrid w:val="0"/>
              <w:spacing w:line="0" w:lineRule="atLeast"/>
              <w:ind w:hanging="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注意：不得以现金的方式和其他的形式缴纳，不得以办事处或其他机构名义缴纳，供应商在缴纳保证金时，需在进账凭证上明确自己用途和投标</w:t>
            </w:r>
            <w:r>
              <w:rPr>
                <w:rFonts w:hint="eastAsia" w:ascii="仿宋" w:hAnsi="仿宋" w:eastAsia="仿宋" w:cs="仿宋"/>
                <w:color w:val="auto"/>
                <w:sz w:val="21"/>
                <w:szCs w:val="21"/>
                <w:highlight w:val="none"/>
              </w:rPr>
              <w:t>项目，并注明联系人及电话，以便查对核实。请供应商按上述要求将投标保证金汇入指定的开户银行，未按规定提交投标保证金的投标，将被视为投标无效。保证金事宜请联系财务室：肖芳 0991-4181809</w:t>
            </w:r>
          </w:p>
        </w:tc>
      </w:tr>
      <w:tr w14:paraId="3BFB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147" w:type="dxa"/>
            <w:tcBorders>
              <w:left w:val="single" w:color="000000" w:sz="2" w:space="0"/>
            </w:tcBorders>
            <w:vAlign w:val="center"/>
          </w:tcPr>
          <w:p w14:paraId="7CA2C775">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12</w:t>
            </w:r>
          </w:p>
        </w:tc>
        <w:tc>
          <w:tcPr>
            <w:tcW w:w="1934" w:type="dxa"/>
            <w:vAlign w:val="center"/>
          </w:tcPr>
          <w:p w14:paraId="4DE81627">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谈判有效期</w:t>
            </w:r>
          </w:p>
        </w:tc>
        <w:tc>
          <w:tcPr>
            <w:tcW w:w="6390" w:type="dxa"/>
            <w:tcBorders>
              <w:right w:val="single" w:color="000000" w:sz="2" w:space="0"/>
            </w:tcBorders>
          </w:tcPr>
          <w:p w14:paraId="569AFD11">
            <w:pPr>
              <w:pStyle w:val="19"/>
              <w:keepNext w:val="0"/>
              <w:keepLines w:val="0"/>
              <w:pageBreakBefore w:val="0"/>
              <w:widowControl/>
              <w:overflowPunct/>
              <w:topLinePunct w:val="0"/>
              <w:autoSpaceDE w:val="0"/>
              <w:autoSpaceDN w:val="0"/>
              <w:bidi w:val="0"/>
              <w:adjustRightInd w:val="0"/>
              <w:snapToGrid w:val="0"/>
              <w:spacing w:line="0" w:lineRule="atLeast"/>
              <w:ind w:left="152"/>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 xml:space="preserve">自首次递交响应文件截止时间起计算 </w:t>
            </w:r>
            <w:r>
              <w:rPr>
                <w:rFonts w:hint="eastAsia" w:ascii="仿宋" w:hAnsi="仿宋" w:eastAsia="仿宋" w:cs="仿宋"/>
                <w:color w:val="auto"/>
                <w:spacing w:val="6"/>
                <w:sz w:val="21"/>
                <w:szCs w:val="21"/>
                <w:highlight w:val="none"/>
                <w:u w:val="single"/>
                <w:lang w:eastAsia="zh-CN"/>
              </w:rPr>
              <w:t>90</w:t>
            </w:r>
            <w:r>
              <w:rPr>
                <w:rFonts w:hint="eastAsia" w:ascii="仿宋" w:hAnsi="仿宋" w:eastAsia="仿宋" w:cs="仿宋"/>
                <w:color w:val="auto"/>
                <w:spacing w:val="6"/>
                <w:sz w:val="21"/>
                <w:szCs w:val="21"/>
                <w:highlight w:val="none"/>
                <w:lang w:eastAsia="zh-CN"/>
              </w:rPr>
              <w:t>个日历日</w:t>
            </w:r>
          </w:p>
        </w:tc>
      </w:tr>
      <w:tr w14:paraId="597DE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47" w:type="dxa"/>
            <w:tcBorders>
              <w:left w:val="single" w:color="000000" w:sz="2" w:space="0"/>
            </w:tcBorders>
            <w:vAlign w:val="center"/>
          </w:tcPr>
          <w:p w14:paraId="1BE60312">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13</w:t>
            </w:r>
          </w:p>
        </w:tc>
        <w:tc>
          <w:tcPr>
            <w:tcW w:w="1934" w:type="dxa"/>
            <w:vAlign w:val="center"/>
          </w:tcPr>
          <w:p w14:paraId="2FC40095">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谈判文件份数</w:t>
            </w:r>
          </w:p>
        </w:tc>
        <w:tc>
          <w:tcPr>
            <w:tcW w:w="6390" w:type="dxa"/>
            <w:tcBorders>
              <w:right w:val="single" w:color="000000" w:sz="2" w:space="0"/>
            </w:tcBorders>
          </w:tcPr>
          <w:p w14:paraId="3950D6F7">
            <w:pPr>
              <w:pStyle w:val="19"/>
              <w:keepNext w:val="0"/>
              <w:keepLines w:val="0"/>
              <w:pageBreakBefore w:val="0"/>
              <w:widowControl/>
              <w:overflowPunct/>
              <w:topLinePunct w:val="0"/>
              <w:autoSpaceDE w:val="0"/>
              <w:autoSpaceDN w:val="0"/>
              <w:bidi w:val="0"/>
              <w:adjustRightInd w:val="0"/>
              <w:snapToGrid w:val="0"/>
              <w:spacing w:line="0" w:lineRule="atLeast"/>
              <w:ind w:left="111" w:right="95" w:firstLine="1"/>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 xml:space="preserve">本项目采用不见面开标、供应商需要递交电子响应文件，加密的电子响应文件在投标截止时间前通过政采云平台（ </w:t>
            </w:r>
            <w:r>
              <w:rPr>
                <w:rFonts w:hint="eastAsia" w:ascii="仿宋" w:hAnsi="仿宋" w:eastAsia="仿宋" w:cs="仿宋"/>
                <w:color w:val="auto"/>
                <w:spacing w:val="6"/>
                <w:sz w:val="21"/>
                <w:szCs w:val="21"/>
                <w:highlight w:val="none"/>
                <w:lang w:eastAsia="zh-CN"/>
              </w:rPr>
              <w:fldChar w:fldCharType="begin"/>
            </w:r>
            <w:r>
              <w:rPr>
                <w:rFonts w:hint="eastAsia" w:ascii="仿宋" w:hAnsi="仿宋" w:eastAsia="仿宋" w:cs="仿宋"/>
                <w:color w:val="auto"/>
                <w:spacing w:val="6"/>
                <w:sz w:val="21"/>
                <w:szCs w:val="21"/>
                <w:highlight w:val="none"/>
                <w:lang w:eastAsia="zh-CN"/>
              </w:rPr>
              <w:instrText xml:space="preserve"> HYPERLINK "https://www.zcygov.cn" </w:instrText>
            </w:r>
            <w:r>
              <w:rPr>
                <w:rFonts w:hint="eastAsia" w:ascii="仿宋" w:hAnsi="仿宋" w:eastAsia="仿宋" w:cs="仿宋"/>
                <w:color w:val="auto"/>
                <w:spacing w:val="6"/>
                <w:sz w:val="21"/>
                <w:szCs w:val="21"/>
                <w:highlight w:val="none"/>
                <w:lang w:eastAsia="zh-CN"/>
              </w:rPr>
              <w:fldChar w:fldCharType="separate"/>
            </w:r>
            <w:r>
              <w:rPr>
                <w:rFonts w:hint="eastAsia" w:ascii="仿宋" w:hAnsi="仿宋" w:eastAsia="仿宋" w:cs="仿宋"/>
                <w:color w:val="auto"/>
                <w:spacing w:val="6"/>
                <w:sz w:val="21"/>
                <w:szCs w:val="21"/>
                <w:highlight w:val="none"/>
                <w:lang w:eastAsia="zh-CN"/>
              </w:rPr>
              <w:t>https://www.zcygov.cn</w:t>
            </w:r>
            <w:r>
              <w:rPr>
                <w:rFonts w:hint="eastAsia" w:ascii="仿宋" w:hAnsi="仿宋" w:eastAsia="仿宋" w:cs="仿宋"/>
                <w:color w:val="auto"/>
                <w:spacing w:val="6"/>
                <w:sz w:val="21"/>
                <w:szCs w:val="21"/>
                <w:highlight w:val="none"/>
                <w:lang w:eastAsia="zh-CN"/>
              </w:rPr>
              <w:fldChar w:fldCharType="end"/>
            </w:r>
            <w:r>
              <w:rPr>
                <w:rFonts w:hint="eastAsia" w:ascii="仿宋" w:hAnsi="仿宋" w:eastAsia="仿宋" w:cs="仿宋"/>
                <w:color w:val="auto"/>
                <w:spacing w:val="6"/>
                <w:sz w:val="21"/>
                <w:szCs w:val="21"/>
                <w:highlight w:val="none"/>
                <w:lang w:eastAsia="zh-CN"/>
              </w:rPr>
              <w:t xml:space="preserve"> ）上传到指定位置。无需递交纸质文件。</w:t>
            </w:r>
          </w:p>
        </w:tc>
      </w:tr>
      <w:tr w14:paraId="68FAE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147" w:type="dxa"/>
            <w:tcBorders>
              <w:left w:val="single" w:color="000000" w:sz="2" w:space="0"/>
            </w:tcBorders>
            <w:vAlign w:val="center"/>
          </w:tcPr>
          <w:p w14:paraId="453548FE">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rPr>
              <w:t>1</w:t>
            </w:r>
            <w:r>
              <w:rPr>
                <w:rFonts w:hint="eastAsia" w:ascii="仿宋" w:hAnsi="仿宋" w:eastAsia="仿宋" w:cs="仿宋"/>
                <w:color w:val="auto"/>
                <w:spacing w:val="8"/>
                <w:sz w:val="21"/>
                <w:szCs w:val="21"/>
                <w:highlight w:val="none"/>
                <w:lang w:eastAsia="zh-CN"/>
              </w:rPr>
              <w:t>4</w:t>
            </w:r>
          </w:p>
        </w:tc>
        <w:tc>
          <w:tcPr>
            <w:tcW w:w="1934" w:type="dxa"/>
            <w:vAlign w:val="center"/>
          </w:tcPr>
          <w:p w14:paraId="15BF406E">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lang w:eastAsia="zh-CN"/>
              </w:rPr>
              <w:t>合同履约期限</w:t>
            </w:r>
          </w:p>
        </w:tc>
        <w:tc>
          <w:tcPr>
            <w:tcW w:w="6390" w:type="dxa"/>
            <w:tcBorders>
              <w:right w:val="single" w:color="000000" w:sz="2" w:space="0"/>
            </w:tcBorders>
          </w:tcPr>
          <w:p w14:paraId="606C0331">
            <w:pPr>
              <w:pStyle w:val="19"/>
              <w:keepNext w:val="0"/>
              <w:keepLines w:val="0"/>
              <w:pageBreakBefore w:val="0"/>
              <w:widowControl/>
              <w:overflowPunct/>
              <w:topLinePunct w:val="0"/>
              <w:autoSpaceDE w:val="0"/>
              <w:autoSpaceDN w:val="0"/>
              <w:bidi w:val="0"/>
              <w:adjustRightInd w:val="0"/>
              <w:snapToGrid w:val="0"/>
              <w:spacing w:line="0" w:lineRule="atLeast"/>
              <w:jc w:val="both"/>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合同签订后，乙方应按照甲方要求，分两批次进行供货，其中：（1）繁育种犬：合同签订之日起75个日历日内，完成犬只筹备、隔离、选取、体检、防疫驱虫等验收前全部工作；（2）待训警犬：合同签订之日起20个日历日内，完成犬只筹备、隔离、选取、体检、防疫驱虫等验收前全部工作。</w:t>
            </w:r>
          </w:p>
        </w:tc>
      </w:tr>
      <w:tr w14:paraId="5680D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147" w:type="dxa"/>
            <w:tcBorders>
              <w:left w:val="single" w:color="000000" w:sz="2" w:space="0"/>
            </w:tcBorders>
            <w:vAlign w:val="center"/>
          </w:tcPr>
          <w:p w14:paraId="42376C17">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rPr>
              <w:t>1</w:t>
            </w:r>
            <w:r>
              <w:rPr>
                <w:rFonts w:hint="eastAsia" w:ascii="仿宋" w:hAnsi="仿宋" w:eastAsia="仿宋" w:cs="仿宋"/>
                <w:color w:val="auto"/>
                <w:spacing w:val="8"/>
                <w:sz w:val="21"/>
                <w:szCs w:val="21"/>
                <w:highlight w:val="none"/>
                <w:lang w:eastAsia="zh-CN"/>
              </w:rPr>
              <w:t>5</w:t>
            </w:r>
          </w:p>
        </w:tc>
        <w:tc>
          <w:tcPr>
            <w:tcW w:w="1934" w:type="dxa"/>
            <w:vAlign w:val="center"/>
          </w:tcPr>
          <w:p w14:paraId="7D6D34BA">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仿宋" w:hAnsi="仿宋" w:eastAsia="仿宋" w:cs="仿宋"/>
                <w:color w:val="auto"/>
                <w:spacing w:val="8"/>
                <w:sz w:val="21"/>
                <w:szCs w:val="21"/>
                <w:highlight w:val="none"/>
                <w:lang w:val="en-US" w:eastAsia="zh-CN"/>
              </w:rPr>
            </w:pPr>
            <w:r>
              <w:rPr>
                <w:rFonts w:hint="eastAsia" w:ascii="仿宋" w:hAnsi="仿宋" w:eastAsia="仿宋" w:cs="仿宋"/>
                <w:color w:val="auto"/>
                <w:spacing w:val="8"/>
                <w:sz w:val="21"/>
                <w:szCs w:val="21"/>
                <w:highlight w:val="none"/>
              </w:rPr>
              <w:t>付款方式</w:t>
            </w:r>
            <w:r>
              <w:rPr>
                <w:rFonts w:hint="eastAsia" w:ascii="仿宋" w:hAnsi="仿宋" w:eastAsia="仿宋" w:cs="仿宋"/>
                <w:color w:val="auto"/>
                <w:spacing w:val="8"/>
                <w:sz w:val="21"/>
                <w:szCs w:val="21"/>
                <w:highlight w:val="none"/>
                <w:lang w:val="en-US" w:eastAsia="zh-CN"/>
              </w:rPr>
              <w:t>及要求</w:t>
            </w:r>
          </w:p>
        </w:tc>
        <w:tc>
          <w:tcPr>
            <w:tcW w:w="6390" w:type="dxa"/>
            <w:tcBorders>
              <w:right w:val="single" w:color="000000" w:sz="2" w:space="0"/>
            </w:tcBorders>
          </w:tcPr>
          <w:p w14:paraId="7DA39770">
            <w:pPr>
              <w:keepNext w:val="0"/>
              <w:keepLines w:val="0"/>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付款方式及条件：</w:t>
            </w:r>
            <w:r>
              <w:rPr>
                <w:rFonts w:hint="eastAsia" w:ascii="仿宋" w:hAnsi="仿宋" w:eastAsia="仿宋" w:cs="仿宋"/>
                <w:color w:val="auto"/>
                <w:sz w:val="21"/>
                <w:szCs w:val="21"/>
                <w:highlight w:val="none"/>
                <w:lang w:val="en-US" w:eastAsia="zh-CN"/>
              </w:rPr>
              <w:t>成交通知书下达后7个日历日内，乙方向甲方提供成交价格3%的</w:t>
            </w:r>
            <w:r>
              <w:rPr>
                <w:rFonts w:hint="eastAsia" w:ascii="仿宋" w:hAnsi="仿宋" w:eastAsia="仿宋" w:cs="仿宋"/>
                <w:color w:val="auto"/>
                <w:kern w:val="0"/>
                <w:sz w:val="21"/>
                <w:szCs w:val="21"/>
                <w:highlight w:val="none"/>
                <w:lang w:val="en-US" w:eastAsia="zh-CN"/>
              </w:rPr>
              <w:t>，见索即付、不可撤销的独立</w:t>
            </w:r>
            <w:r>
              <w:rPr>
                <w:rFonts w:hint="eastAsia" w:ascii="仿宋" w:hAnsi="仿宋" w:eastAsia="仿宋" w:cs="仿宋"/>
                <w:color w:val="auto"/>
                <w:sz w:val="21"/>
                <w:szCs w:val="21"/>
                <w:highlight w:val="none"/>
                <w:lang w:val="en-US" w:eastAsia="zh-CN"/>
              </w:rPr>
              <w:t>履约保函（期限90个日历日），</w:t>
            </w:r>
            <w:r>
              <w:rPr>
                <w:rFonts w:hint="eastAsia" w:ascii="仿宋" w:hAnsi="仿宋" w:eastAsia="仿宋" w:cs="仿宋"/>
                <w:color w:val="auto"/>
                <w:sz w:val="21"/>
                <w:szCs w:val="21"/>
                <w:highlight w:val="none"/>
                <w:lang w:eastAsia="zh-CN"/>
              </w:rPr>
              <w:t>履约保函缴纳后，后期如乙方无故不履行合同，</w:t>
            </w:r>
            <w:r>
              <w:rPr>
                <w:rFonts w:hint="eastAsia" w:ascii="仿宋" w:hAnsi="仿宋" w:eastAsia="仿宋" w:cs="仿宋"/>
                <w:color w:val="auto"/>
                <w:sz w:val="21"/>
                <w:szCs w:val="21"/>
                <w:highlight w:val="none"/>
                <w:lang w:val="en-US" w:eastAsia="zh-CN"/>
              </w:rPr>
              <w:t>甲方有权索兑保函。乙方按要求分批次进行供货履约，其中，（1）繁育种犬：合同签订之日起75个日历日内，完成犬只筹备、隔离、选取、体检、防疫驱虫等验收前全部工作；（2）待训警犬：合同签订之日起20个日历日内，完成犬只筹备、隔离、选取、体检、防疫驱虫等验收前全部工作。履约完毕并验收合格后，</w:t>
            </w:r>
            <w:r>
              <w:rPr>
                <w:rFonts w:hint="eastAsia" w:ascii="仿宋" w:hAnsi="仿宋" w:eastAsia="仿宋" w:cs="仿宋"/>
                <w:color w:val="auto"/>
                <w:sz w:val="21"/>
                <w:szCs w:val="21"/>
                <w:highlight w:val="none"/>
                <w:lang w:eastAsia="zh-CN"/>
              </w:rPr>
              <w:t>乙方向甲方提供合同价款</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eastAsia="zh-CN"/>
              </w:rPr>
              <w:t>0%的发票，资料票据齐全后，在15个日历日内（除因甲方支付环节繁琐导致支付延误的情况除外）向乙方支付合同总额的</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eastAsia="zh-CN"/>
              </w:rPr>
              <w:t>0%；</w:t>
            </w:r>
          </w:p>
          <w:p w14:paraId="62C49E42">
            <w:pPr>
              <w:keepNext w:val="0"/>
              <w:keepLines w:val="0"/>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经甲方验收合格后，乙方所供产品及服务无质量问题且达到服务要求并无任何违约行为，甲方配合乙方</w:t>
            </w:r>
            <w:r>
              <w:rPr>
                <w:rFonts w:hint="eastAsia" w:ascii="仿宋" w:hAnsi="仿宋" w:eastAsia="仿宋" w:cs="仿宋"/>
                <w:color w:val="auto"/>
                <w:sz w:val="21"/>
                <w:szCs w:val="21"/>
                <w:highlight w:val="none"/>
                <w:lang w:val="en-US" w:eastAsia="zh-CN"/>
              </w:rPr>
              <w:t>完成履约保函退付（如需要）。</w:t>
            </w:r>
          </w:p>
          <w:p w14:paraId="1582E6FB">
            <w:pPr>
              <w:keepNext w:val="0"/>
              <w:keepLines w:val="0"/>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注：</w:t>
            </w:r>
            <w:r>
              <w:rPr>
                <w:rFonts w:hint="eastAsia" w:ascii="仿宋" w:hAnsi="仿宋" w:eastAsia="仿宋" w:cs="仿宋"/>
                <w:color w:val="auto"/>
                <w:sz w:val="21"/>
                <w:szCs w:val="21"/>
                <w:highlight w:val="none"/>
                <w:lang w:val="zh-TW" w:eastAsia="zh-CN"/>
              </w:rPr>
              <w:t>如</w:t>
            </w:r>
            <w:r>
              <w:rPr>
                <w:rFonts w:hint="eastAsia" w:ascii="仿宋" w:hAnsi="仿宋" w:eastAsia="仿宋" w:cs="仿宋"/>
                <w:color w:val="auto"/>
                <w:sz w:val="21"/>
                <w:szCs w:val="21"/>
                <w:highlight w:val="none"/>
                <w:lang w:val="en-US" w:eastAsia="zh-CN"/>
              </w:rPr>
              <w:t>供货履约</w:t>
            </w:r>
            <w:r>
              <w:rPr>
                <w:rFonts w:hint="eastAsia" w:ascii="仿宋" w:hAnsi="仿宋" w:eastAsia="仿宋" w:cs="仿宋"/>
                <w:color w:val="auto"/>
                <w:sz w:val="21"/>
                <w:szCs w:val="21"/>
                <w:highlight w:val="none"/>
                <w:lang w:val="zh-TW" w:eastAsia="zh-CN"/>
              </w:rPr>
              <w:t>服务周期内存在未按照合同履行服务部分，依据单价及数量在</w:t>
            </w:r>
            <w:r>
              <w:rPr>
                <w:rFonts w:hint="eastAsia" w:ascii="仿宋" w:hAnsi="仿宋" w:eastAsia="仿宋" w:cs="仿宋"/>
                <w:color w:val="auto"/>
                <w:sz w:val="21"/>
                <w:szCs w:val="21"/>
                <w:highlight w:val="none"/>
                <w:lang w:val="en-US" w:eastAsia="zh-CN"/>
              </w:rPr>
              <w:t>合同款</w:t>
            </w:r>
            <w:r>
              <w:rPr>
                <w:rFonts w:hint="eastAsia" w:ascii="仿宋" w:hAnsi="仿宋" w:eastAsia="仿宋" w:cs="仿宋"/>
                <w:color w:val="auto"/>
                <w:sz w:val="21"/>
                <w:szCs w:val="21"/>
                <w:highlight w:val="none"/>
                <w:lang w:val="zh-TW" w:eastAsia="zh-CN"/>
              </w:rPr>
              <w:t>中予以扣除。</w:t>
            </w:r>
            <w:r>
              <w:rPr>
                <w:rFonts w:hint="eastAsia" w:ascii="仿宋" w:hAnsi="仿宋" w:eastAsia="仿宋" w:cs="仿宋"/>
                <w:color w:val="auto"/>
                <w:sz w:val="21"/>
                <w:szCs w:val="21"/>
                <w:highlight w:val="none"/>
                <w:lang w:eastAsia="zh-CN"/>
              </w:rPr>
              <w:t xml:space="preserve">期间，甲方因支付环节繁琐导致支付延误的情况除外，上述款项支付前，乙方须按照甲方要求开具相应发票，若乙方延迟开具并交付相应发票或开具并交付的发票不符合税法或甲方的要求，则甲方付款时间顺延，由此造成的一切损失，乙方自行负责。乙方不得以此拒绝履行其合同义务，甲方不承担任何违约、赔偿责任。    </w:t>
            </w:r>
          </w:p>
          <w:p w14:paraId="7CBA69B1">
            <w:pPr>
              <w:keepNext w:val="0"/>
              <w:keepLines w:val="0"/>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2.乙方具备上述付款条件后向甲方申请货款时，先将相关结算资料提交甲方。乙方需要提供以下付款单据： </w:t>
            </w:r>
          </w:p>
          <w:p w14:paraId="49B148D5">
            <w:pPr>
              <w:keepNext w:val="0"/>
              <w:keepLines w:val="0"/>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2.1 甲方签署的到货验收合格证明正本一份；</w:t>
            </w:r>
          </w:p>
          <w:p w14:paraId="0CB29A96">
            <w:pPr>
              <w:keepNext w:val="0"/>
              <w:keepLines w:val="0"/>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2.2与申请货款等值的税务发票正本一份；</w:t>
            </w:r>
          </w:p>
          <w:p w14:paraId="734822A8">
            <w:pPr>
              <w:keepNext w:val="0"/>
              <w:keepLines w:val="0"/>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3.乙方申请付款时，发票必须由乙方提供，不得将货运等发票直接提供给甲方。</w:t>
            </w:r>
          </w:p>
        </w:tc>
      </w:tr>
      <w:tr w14:paraId="088E9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47" w:type="dxa"/>
            <w:tcBorders>
              <w:left w:val="single" w:color="000000" w:sz="2" w:space="0"/>
            </w:tcBorders>
            <w:vAlign w:val="center"/>
          </w:tcPr>
          <w:p w14:paraId="42C3244B">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lang w:eastAsia="zh-CN"/>
              </w:rPr>
              <w:t>16</w:t>
            </w:r>
          </w:p>
        </w:tc>
        <w:tc>
          <w:tcPr>
            <w:tcW w:w="1934" w:type="dxa"/>
            <w:vAlign w:val="center"/>
          </w:tcPr>
          <w:p w14:paraId="2BBB5508">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lang w:eastAsia="zh-CN"/>
              </w:rPr>
              <w:t>供货地点</w:t>
            </w:r>
          </w:p>
        </w:tc>
        <w:tc>
          <w:tcPr>
            <w:tcW w:w="6390" w:type="dxa"/>
            <w:tcBorders>
              <w:right w:val="single" w:color="000000" w:sz="2" w:space="0"/>
            </w:tcBorders>
            <w:vAlign w:val="center"/>
          </w:tcPr>
          <w:p w14:paraId="063D9DD2">
            <w:pPr>
              <w:pStyle w:val="19"/>
              <w:keepNext w:val="0"/>
              <w:keepLines w:val="0"/>
              <w:pageBreakBefore w:val="0"/>
              <w:widowControl/>
              <w:overflowPunct/>
              <w:topLinePunct w:val="0"/>
              <w:autoSpaceDE w:val="0"/>
              <w:autoSpaceDN w:val="0"/>
              <w:bidi w:val="0"/>
              <w:adjustRightInd w:val="0"/>
              <w:snapToGrid w:val="0"/>
              <w:spacing w:line="0" w:lineRule="atLeast"/>
              <w:ind w:left="108" w:right="113"/>
              <w:jc w:val="left"/>
              <w:rPr>
                <w:rFonts w:hint="eastAsia" w:ascii="仿宋" w:hAnsi="仿宋" w:eastAsia="仿宋" w:cs="仿宋"/>
                <w:color w:val="auto"/>
                <w:spacing w:val="9"/>
                <w:sz w:val="21"/>
                <w:szCs w:val="21"/>
                <w:highlight w:val="none"/>
                <w:lang w:eastAsia="zh-CN"/>
              </w:rPr>
            </w:pPr>
            <w:r>
              <w:rPr>
                <w:rFonts w:hint="eastAsia" w:ascii="仿宋" w:hAnsi="仿宋" w:eastAsia="仿宋" w:cs="仿宋"/>
                <w:color w:val="auto"/>
                <w:spacing w:val="9"/>
                <w:sz w:val="21"/>
                <w:szCs w:val="21"/>
                <w:highlight w:val="none"/>
                <w:lang w:eastAsia="zh-CN"/>
              </w:rPr>
              <w:t>乌鲁木齐县水西沟镇南康大道乌鲁木齐警犬训练基地</w:t>
            </w:r>
            <w:r>
              <w:rPr>
                <w:rFonts w:hint="eastAsia" w:ascii="仿宋" w:hAnsi="仿宋" w:eastAsia="仿宋" w:cs="仿宋"/>
                <w:color w:val="auto"/>
                <w:spacing w:val="9"/>
                <w:sz w:val="21"/>
                <w:szCs w:val="21"/>
                <w:highlight w:val="none"/>
                <w:lang w:val="en-US" w:eastAsia="zh-CN"/>
              </w:rPr>
              <w:t>，需按照甲方供货要求，乙方送至甲方指定地点并承担货运费用。</w:t>
            </w:r>
          </w:p>
        </w:tc>
      </w:tr>
      <w:tr w14:paraId="78AE1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1147" w:type="dxa"/>
            <w:tcBorders>
              <w:left w:val="single" w:color="000000" w:sz="2" w:space="0"/>
            </w:tcBorders>
            <w:vAlign w:val="center"/>
          </w:tcPr>
          <w:p w14:paraId="50B96AAF">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rPr>
              <w:t>1</w:t>
            </w:r>
            <w:r>
              <w:rPr>
                <w:rFonts w:hint="eastAsia" w:ascii="仿宋" w:hAnsi="仿宋" w:eastAsia="仿宋" w:cs="仿宋"/>
                <w:color w:val="auto"/>
                <w:spacing w:val="8"/>
                <w:sz w:val="21"/>
                <w:szCs w:val="21"/>
                <w:highlight w:val="none"/>
                <w:lang w:val="en-US" w:eastAsia="zh-CN"/>
              </w:rPr>
              <w:t>7</w:t>
            </w:r>
          </w:p>
        </w:tc>
        <w:tc>
          <w:tcPr>
            <w:tcW w:w="1934" w:type="dxa"/>
            <w:vAlign w:val="center"/>
          </w:tcPr>
          <w:p w14:paraId="06CA77AF">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lang w:eastAsia="zh-CN"/>
              </w:rPr>
              <w:t>本次采购标的所属行业</w:t>
            </w:r>
          </w:p>
        </w:tc>
        <w:tc>
          <w:tcPr>
            <w:tcW w:w="6390" w:type="dxa"/>
            <w:tcBorders>
              <w:right w:val="single" w:color="000000" w:sz="2" w:space="0"/>
            </w:tcBorders>
          </w:tcPr>
          <w:p w14:paraId="3A1D2133">
            <w:pPr>
              <w:pStyle w:val="19"/>
              <w:keepNext w:val="0"/>
              <w:keepLines w:val="0"/>
              <w:pageBreakBefore w:val="0"/>
              <w:widowControl/>
              <w:overflowPunct/>
              <w:topLinePunct w:val="0"/>
              <w:autoSpaceDE w:val="0"/>
              <w:autoSpaceDN w:val="0"/>
              <w:bidi w:val="0"/>
              <w:adjustRightInd w:val="0"/>
              <w:snapToGrid w:val="0"/>
              <w:spacing w:line="0" w:lineRule="atLeast"/>
              <w:ind w:left="113"/>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lang w:eastAsia="zh-CN"/>
              </w:rPr>
              <w:t>其它未列明行业</w:t>
            </w:r>
          </w:p>
        </w:tc>
      </w:tr>
      <w:tr w14:paraId="7441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1147" w:type="dxa"/>
            <w:tcBorders>
              <w:left w:val="single" w:color="000000" w:sz="2" w:space="0"/>
            </w:tcBorders>
            <w:vAlign w:val="center"/>
          </w:tcPr>
          <w:p w14:paraId="661BE670">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rPr>
              <w:t>1</w:t>
            </w:r>
            <w:r>
              <w:rPr>
                <w:rFonts w:hint="eastAsia" w:ascii="仿宋" w:hAnsi="仿宋" w:eastAsia="仿宋" w:cs="仿宋"/>
                <w:color w:val="auto"/>
                <w:spacing w:val="8"/>
                <w:sz w:val="21"/>
                <w:szCs w:val="21"/>
                <w:highlight w:val="none"/>
                <w:lang w:val="en-US" w:eastAsia="zh-CN"/>
              </w:rPr>
              <w:t>8</w:t>
            </w:r>
          </w:p>
        </w:tc>
        <w:tc>
          <w:tcPr>
            <w:tcW w:w="1934" w:type="dxa"/>
            <w:vAlign w:val="center"/>
          </w:tcPr>
          <w:p w14:paraId="6529CFCE">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rPr>
              <w:t>采购预算</w:t>
            </w:r>
            <w:r>
              <w:rPr>
                <w:rFonts w:hint="eastAsia" w:ascii="仿宋" w:hAnsi="仿宋" w:eastAsia="仿宋" w:cs="仿宋"/>
                <w:color w:val="auto"/>
                <w:spacing w:val="8"/>
                <w:sz w:val="21"/>
                <w:szCs w:val="21"/>
                <w:highlight w:val="none"/>
                <w:lang w:eastAsia="zh-CN"/>
              </w:rPr>
              <w:t>及最高限价</w:t>
            </w:r>
          </w:p>
        </w:tc>
        <w:tc>
          <w:tcPr>
            <w:tcW w:w="6390" w:type="dxa"/>
            <w:tcBorders>
              <w:right w:val="single" w:color="000000" w:sz="2" w:space="0"/>
            </w:tcBorders>
          </w:tcPr>
          <w:p w14:paraId="6A726B30">
            <w:pPr>
              <w:pStyle w:val="19"/>
              <w:keepNext w:val="0"/>
              <w:keepLines w:val="0"/>
              <w:pageBreakBefore w:val="0"/>
              <w:widowControl/>
              <w:kinsoku w:val="0"/>
              <w:wordWrap/>
              <w:overflowPunct/>
              <w:topLinePunct w:val="0"/>
              <w:autoSpaceDE w:val="0"/>
              <w:autoSpaceDN w:val="0"/>
              <w:bidi w:val="0"/>
              <w:adjustRightInd w:val="0"/>
              <w:snapToGrid w:val="0"/>
              <w:spacing w:line="0" w:lineRule="atLeast"/>
              <w:ind w:left="0"/>
              <w:textAlignment w:val="baseline"/>
              <w:rPr>
                <w:rFonts w:hint="eastAsia" w:ascii="仿宋" w:hAnsi="仿宋" w:eastAsia="仿宋" w:cs="仿宋"/>
                <w:b/>
                <w:bCs/>
                <w:color w:val="auto"/>
                <w:spacing w:val="9"/>
                <w:sz w:val="21"/>
                <w:szCs w:val="21"/>
                <w:highlight w:val="none"/>
                <w:lang w:eastAsia="zh-CN"/>
              </w:rPr>
            </w:pPr>
            <w:r>
              <w:rPr>
                <w:rFonts w:hint="eastAsia" w:ascii="仿宋" w:hAnsi="仿宋" w:eastAsia="仿宋" w:cs="仿宋"/>
                <w:b/>
                <w:bCs/>
                <w:color w:val="auto"/>
                <w:spacing w:val="9"/>
                <w:sz w:val="21"/>
                <w:szCs w:val="21"/>
                <w:highlight w:val="none"/>
                <w:lang w:eastAsia="zh-CN"/>
              </w:rPr>
              <w:t>预（概）算：</w:t>
            </w:r>
            <w:r>
              <w:rPr>
                <w:rFonts w:hint="eastAsia" w:ascii="仿宋" w:hAnsi="仿宋" w:eastAsia="仿宋" w:cs="仿宋"/>
                <w:b/>
                <w:bCs/>
                <w:color w:val="auto"/>
                <w:spacing w:val="9"/>
                <w:sz w:val="21"/>
                <w:szCs w:val="21"/>
                <w:highlight w:val="none"/>
                <w:lang w:val="en-US" w:eastAsia="zh-CN"/>
              </w:rPr>
              <w:t>93</w:t>
            </w:r>
            <w:r>
              <w:rPr>
                <w:rFonts w:hint="eastAsia" w:ascii="仿宋" w:hAnsi="仿宋" w:eastAsia="仿宋" w:cs="仿宋"/>
                <w:b/>
                <w:bCs/>
                <w:color w:val="auto"/>
                <w:spacing w:val="9"/>
                <w:sz w:val="21"/>
                <w:szCs w:val="21"/>
                <w:highlight w:val="none"/>
                <w:lang w:eastAsia="zh-CN"/>
              </w:rPr>
              <w:t xml:space="preserve">万元   </w:t>
            </w:r>
          </w:p>
          <w:p w14:paraId="11F7F84D">
            <w:pPr>
              <w:pStyle w:val="19"/>
              <w:keepNext w:val="0"/>
              <w:keepLines w:val="0"/>
              <w:pageBreakBefore w:val="0"/>
              <w:widowControl/>
              <w:kinsoku w:val="0"/>
              <w:wordWrap/>
              <w:overflowPunct/>
              <w:topLinePunct w:val="0"/>
              <w:autoSpaceDE w:val="0"/>
              <w:autoSpaceDN w:val="0"/>
              <w:bidi w:val="0"/>
              <w:adjustRightInd w:val="0"/>
              <w:snapToGrid w:val="0"/>
              <w:spacing w:line="0" w:lineRule="atLeast"/>
              <w:ind w:left="0"/>
              <w:textAlignment w:val="baseline"/>
              <w:rPr>
                <w:rFonts w:hint="eastAsia" w:ascii="仿宋" w:hAnsi="仿宋" w:eastAsia="仿宋" w:cs="仿宋"/>
                <w:b/>
                <w:bCs/>
                <w:color w:val="auto"/>
                <w:spacing w:val="9"/>
                <w:sz w:val="21"/>
                <w:szCs w:val="21"/>
                <w:highlight w:val="none"/>
                <w:lang w:eastAsia="zh-CN"/>
              </w:rPr>
            </w:pPr>
            <w:r>
              <w:rPr>
                <w:rFonts w:hint="eastAsia" w:ascii="仿宋" w:hAnsi="仿宋" w:eastAsia="仿宋" w:cs="仿宋"/>
                <w:b/>
                <w:bCs/>
                <w:color w:val="auto"/>
                <w:spacing w:val="9"/>
                <w:sz w:val="21"/>
                <w:szCs w:val="21"/>
                <w:highlight w:val="none"/>
                <w:lang w:eastAsia="zh-CN"/>
              </w:rPr>
              <w:t>最高限价：</w:t>
            </w:r>
            <w:r>
              <w:rPr>
                <w:rFonts w:hint="eastAsia" w:ascii="仿宋" w:hAnsi="仿宋" w:eastAsia="仿宋" w:cs="仿宋"/>
                <w:b/>
                <w:bCs/>
                <w:color w:val="auto"/>
                <w:spacing w:val="9"/>
                <w:sz w:val="21"/>
                <w:szCs w:val="21"/>
                <w:highlight w:val="none"/>
                <w:lang w:val="en-US" w:eastAsia="zh-CN"/>
              </w:rPr>
              <w:t>93</w:t>
            </w:r>
            <w:r>
              <w:rPr>
                <w:rFonts w:hint="eastAsia" w:ascii="仿宋" w:hAnsi="仿宋" w:eastAsia="仿宋" w:cs="仿宋"/>
                <w:b/>
                <w:bCs/>
                <w:color w:val="auto"/>
                <w:spacing w:val="9"/>
                <w:sz w:val="21"/>
                <w:szCs w:val="21"/>
                <w:highlight w:val="none"/>
                <w:lang w:eastAsia="zh-CN"/>
              </w:rPr>
              <w:t xml:space="preserve">万元  </w:t>
            </w:r>
          </w:p>
          <w:p w14:paraId="78F24F40">
            <w:pPr>
              <w:pStyle w:val="19"/>
              <w:keepNext w:val="0"/>
              <w:keepLines w:val="0"/>
              <w:pageBreakBefore w:val="0"/>
              <w:widowControl/>
              <w:kinsoku w:val="0"/>
              <w:wordWrap/>
              <w:overflowPunct/>
              <w:topLinePunct w:val="0"/>
              <w:autoSpaceDE w:val="0"/>
              <w:autoSpaceDN w:val="0"/>
              <w:bidi w:val="0"/>
              <w:adjustRightInd w:val="0"/>
              <w:snapToGrid w:val="0"/>
              <w:spacing w:line="0" w:lineRule="atLeast"/>
              <w:ind w:left="0"/>
              <w:textAlignment w:val="baseline"/>
              <w:rPr>
                <w:rFonts w:hint="eastAsia" w:ascii="仿宋" w:hAnsi="仿宋" w:eastAsia="仿宋" w:cs="仿宋"/>
                <w:color w:val="auto"/>
                <w:spacing w:val="9"/>
                <w:sz w:val="21"/>
                <w:szCs w:val="21"/>
                <w:highlight w:val="none"/>
                <w:lang w:eastAsia="zh-CN"/>
              </w:rPr>
            </w:pPr>
            <w:r>
              <w:rPr>
                <w:rFonts w:hint="eastAsia" w:ascii="仿宋" w:hAnsi="仿宋" w:eastAsia="仿宋" w:cs="仿宋"/>
                <w:color w:val="auto"/>
                <w:spacing w:val="9"/>
                <w:sz w:val="21"/>
                <w:szCs w:val="21"/>
                <w:highlight w:val="none"/>
                <w:lang w:eastAsia="zh-CN"/>
              </w:rPr>
              <w:t>供应商在报价时，总价不得超过采购预算，超出采购预算做无效标处理；（</w:t>
            </w:r>
            <w:r>
              <w:rPr>
                <w:rFonts w:hint="eastAsia" w:ascii="仿宋" w:hAnsi="仿宋" w:eastAsia="仿宋" w:cs="仿宋"/>
                <w:b/>
                <w:bCs/>
                <w:color w:val="auto"/>
                <w:spacing w:val="9"/>
                <w:sz w:val="21"/>
                <w:szCs w:val="21"/>
                <w:highlight w:val="none"/>
                <w:lang w:eastAsia="zh-CN"/>
              </w:rPr>
              <w:t>本项目设定有单价限价，供应商报价不得超出单价限价，超出单价限价做无效标处理</w:t>
            </w:r>
            <w:r>
              <w:rPr>
                <w:rFonts w:hint="eastAsia" w:ascii="仿宋" w:hAnsi="仿宋" w:eastAsia="仿宋" w:cs="仿宋"/>
                <w:color w:val="auto"/>
                <w:spacing w:val="9"/>
                <w:sz w:val="21"/>
                <w:szCs w:val="21"/>
                <w:highlight w:val="none"/>
                <w:lang w:eastAsia="zh-CN"/>
              </w:rPr>
              <w:t>）。</w:t>
            </w:r>
          </w:p>
        </w:tc>
      </w:tr>
      <w:tr w14:paraId="2EA32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9" w:hRule="atLeast"/>
          <w:jc w:val="center"/>
        </w:trPr>
        <w:tc>
          <w:tcPr>
            <w:tcW w:w="1147" w:type="dxa"/>
            <w:tcBorders>
              <w:left w:val="single" w:color="000000" w:sz="2" w:space="0"/>
            </w:tcBorders>
            <w:vAlign w:val="center"/>
          </w:tcPr>
          <w:p w14:paraId="5BA47542">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仿宋" w:hAnsi="仿宋" w:eastAsia="仿宋" w:cs="仿宋"/>
                <w:color w:val="auto"/>
                <w:spacing w:val="8"/>
                <w:sz w:val="21"/>
                <w:szCs w:val="21"/>
                <w:highlight w:val="none"/>
                <w:lang w:val="en-US" w:eastAsia="zh-CN"/>
              </w:rPr>
            </w:pPr>
            <w:r>
              <w:rPr>
                <w:rFonts w:hint="eastAsia" w:ascii="仿宋" w:hAnsi="仿宋" w:eastAsia="仿宋" w:cs="仿宋"/>
                <w:color w:val="auto"/>
                <w:spacing w:val="8"/>
                <w:sz w:val="21"/>
                <w:szCs w:val="21"/>
                <w:highlight w:val="none"/>
                <w:lang w:val="en-US" w:eastAsia="zh-CN"/>
              </w:rPr>
              <w:t>19</w:t>
            </w:r>
          </w:p>
        </w:tc>
        <w:tc>
          <w:tcPr>
            <w:tcW w:w="1934" w:type="dxa"/>
            <w:vAlign w:val="center"/>
          </w:tcPr>
          <w:p w14:paraId="48F2AA4A">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报价说明</w:t>
            </w:r>
          </w:p>
        </w:tc>
        <w:tc>
          <w:tcPr>
            <w:tcW w:w="6390" w:type="dxa"/>
            <w:tcBorders>
              <w:right w:val="single" w:color="000000" w:sz="2" w:space="0"/>
            </w:tcBorders>
          </w:tcPr>
          <w:p w14:paraId="3381013F">
            <w:pPr>
              <w:pStyle w:val="19"/>
              <w:keepNext w:val="0"/>
              <w:keepLines w:val="0"/>
              <w:pageBreakBefore w:val="0"/>
              <w:widowControl/>
              <w:kinsoku w:val="0"/>
              <w:wordWrap/>
              <w:overflowPunct/>
              <w:topLinePunct w:val="0"/>
              <w:autoSpaceDE w:val="0"/>
              <w:autoSpaceDN w:val="0"/>
              <w:bidi w:val="0"/>
              <w:adjustRightInd w:val="0"/>
              <w:snapToGrid w:val="0"/>
              <w:spacing w:line="0" w:lineRule="atLeast"/>
              <w:ind w:left="0"/>
              <w:textAlignment w:val="baseline"/>
              <w:rPr>
                <w:rFonts w:hint="eastAsia" w:ascii="仿宋" w:hAnsi="仿宋" w:eastAsia="仿宋" w:cs="仿宋"/>
                <w:color w:val="auto"/>
                <w:spacing w:val="9"/>
                <w:sz w:val="21"/>
                <w:szCs w:val="21"/>
                <w:highlight w:val="none"/>
                <w:lang w:eastAsia="zh-CN"/>
              </w:rPr>
            </w:pPr>
            <w:r>
              <w:rPr>
                <w:rFonts w:hint="eastAsia" w:ascii="仿宋" w:hAnsi="仿宋" w:eastAsia="仿宋" w:cs="仿宋"/>
                <w:color w:val="auto"/>
                <w:spacing w:val="9"/>
                <w:sz w:val="21"/>
                <w:szCs w:val="21"/>
                <w:highlight w:val="none"/>
                <w:lang w:val="en-US" w:eastAsia="zh-CN"/>
              </w:rPr>
              <w:t>1、</w:t>
            </w:r>
            <w:r>
              <w:rPr>
                <w:rFonts w:hint="eastAsia" w:ascii="仿宋" w:hAnsi="仿宋" w:eastAsia="仿宋" w:cs="仿宋"/>
                <w:color w:val="auto"/>
                <w:spacing w:val="9"/>
                <w:sz w:val="21"/>
                <w:szCs w:val="21"/>
                <w:highlight w:val="none"/>
                <w:lang w:eastAsia="zh-CN"/>
              </w:rPr>
              <w:t>本项目采购方式为竞争性谈判，供应商最后报价为完成本项目的报价。最后报价是供应商响应文件的有效组成部分。</w:t>
            </w:r>
          </w:p>
          <w:p w14:paraId="16D1BA1E">
            <w:pPr>
              <w:pStyle w:val="19"/>
              <w:keepNext w:val="0"/>
              <w:keepLines w:val="0"/>
              <w:pageBreakBefore w:val="0"/>
              <w:widowControl/>
              <w:kinsoku w:val="0"/>
              <w:wordWrap/>
              <w:overflowPunct/>
              <w:topLinePunct w:val="0"/>
              <w:autoSpaceDE w:val="0"/>
              <w:autoSpaceDN w:val="0"/>
              <w:bidi w:val="0"/>
              <w:adjustRightInd w:val="0"/>
              <w:snapToGrid w:val="0"/>
              <w:spacing w:line="0" w:lineRule="atLeast"/>
              <w:ind w:left="0"/>
              <w:textAlignment w:val="baseline"/>
              <w:rPr>
                <w:rFonts w:hint="eastAsia" w:ascii="仿宋" w:hAnsi="仿宋" w:eastAsia="仿宋" w:cs="仿宋"/>
                <w:color w:val="auto"/>
                <w:spacing w:val="9"/>
                <w:sz w:val="21"/>
                <w:szCs w:val="21"/>
                <w:highlight w:val="none"/>
                <w:lang w:eastAsia="zh-CN"/>
              </w:rPr>
            </w:pPr>
            <w:r>
              <w:rPr>
                <w:rFonts w:hint="eastAsia" w:ascii="仿宋" w:hAnsi="仿宋" w:eastAsia="仿宋" w:cs="仿宋"/>
                <w:color w:val="auto"/>
                <w:spacing w:val="9"/>
                <w:sz w:val="21"/>
                <w:szCs w:val="21"/>
                <w:highlight w:val="none"/>
                <w:lang w:eastAsia="zh-CN"/>
              </w:rPr>
              <w:t>2、参加投标的供应商需在政采云平台规定的报价时间内进行最后报价，若投标供应商未在规定报价时间内向政采云平台提交所投项目最后报价的（以政采云平台收到最后报价的时间为准） ，视为自动放弃该项目的投标。 最后报价时长截止后不做任何延长。</w:t>
            </w:r>
          </w:p>
        </w:tc>
      </w:tr>
      <w:tr w14:paraId="73F9A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1147" w:type="dxa"/>
            <w:tcBorders>
              <w:left w:val="single" w:color="000000" w:sz="2" w:space="0"/>
            </w:tcBorders>
            <w:vAlign w:val="center"/>
          </w:tcPr>
          <w:p w14:paraId="3FB74101">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仿宋" w:hAnsi="仿宋" w:eastAsia="仿宋" w:cs="仿宋"/>
                <w:color w:val="auto"/>
                <w:spacing w:val="8"/>
                <w:sz w:val="21"/>
                <w:szCs w:val="21"/>
                <w:highlight w:val="none"/>
                <w:lang w:val="en-US" w:eastAsia="zh-CN"/>
              </w:rPr>
            </w:pPr>
            <w:r>
              <w:rPr>
                <w:rFonts w:hint="eastAsia" w:ascii="仿宋" w:hAnsi="仿宋" w:eastAsia="仿宋" w:cs="仿宋"/>
                <w:color w:val="auto"/>
                <w:spacing w:val="8"/>
                <w:sz w:val="21"/>
                <w:szCs w:val="21"/>
                <w:highlight w:val="none"/>
                <w:lang w:val="en-US" w:eastAsia="zh-CN"/>
              </w:rPr>
              <w:t>20</w:t>
            </w:r>
          </w:p>
        </w:tc>
        <w:tc>
          <w:tcPr>
            <w:tcW w:w="1934" w:type="dxa"/>
            <w:vAlign w:val="center"/>
          </w:tcPr>
          <w:p w14:paraId="0A7FB403">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资金来源</w:t>
            </w:r>
          </w:p>
        </w:tc>
        <w:tc>
          <w:tcPr>
            <w:tcW w:w="6390" w:type="dxa"/>
            <w:tcBorders>
              <w:right w:val="single" w:color="000000" w:sz="2" w:space="0"/>
            </w:tcBorders>
            <w:vAlign w:val="center"/>
          </w:tcPr>
          <w:p w14:paraId="2868B6E4">
            <w:pPr>
              <w:keepNext w:val="0"/>
              <w:keepLines w:val="0"/>
              <w:pageBreakBefore w:val="0"/>
              <w:widowControl/>
              <w:overflowPunct/>
              <w:topLinePunct w:val="0"/>
              <w:autoSpaceDE w:val="0"/>
              <w:autoSpaceDN w:val="0"/>
              <w:bidi w:val="0"/>
              <w:adjustRightInd w:val="0"/>
              <w:snapToGrid w:val="0"/>
              <w:spacing w:line="0" w:lineRule="atLeast"/>
              <w:textAlignment w:val="center"/>
              <w:rPr>
                <w:rFonts w:hint="eastAsia" w:ascii="仿宋" w:hAnsi="仿宋" w:eastAsia="仿宋" w:cs="仿宋"/>
                <w:color w:val="auto"/>
                <w:spacing w:val="20"/>
                <w:sz w:val="21"/>
                <w:szCs w:val="21"/>
                <w:highlight w:val="none"/>
                <w14:textOutline w14:w="4394" w14:cap="flat" w14:cmpd="sng" w14:algn="ctr">
                  <w14:solidFill>
                    <w14:srgbClr w14:val="000000"/>
                  </w14:solidFill>
                  <w14:prstDash w14:val="solid"/>
                  <w14:miter w14:val="0"/>
                </w14:textOutline>
              </w:rPr>
            </w:pPr>
            <w:r>
              <w:rPr>
                <w:rFonts w:hint="eastAsia" w:ascii="仿宋" w:hAnsi="仿宋" w:eastAsia="仿宋" w:cs="仿宋"/>
                <w:color w:val="auto"/>
                <w:sz w:val="21"/>
                <w:szCs w:val="21"/>
                <w:highlight w:val="none"/>
                <w:lang w:eastAsia="zh-CN"/>
              </w:rPr>
              <w:t>中央</w:t>
            </w:r>
            <w:r>
              <w:rPr>
                <w:rFonts w:hint="eastAsia" w:ascii="仿宋" w:hAnsi="仿宋" w:eastAsia="仿宋" w:cs="仿宋"/>
                <w:color w:val="auto"/>
                <w:sz w:val="21"/>
                <w:szCs w:val="21"/>
                <w:highlight w:val="none"/>
              </w:rPr>
              <w:t>财政资金</w:t>
            </w:r>
          </w:p>
        </w:tc>
      </w:tr>
      <w:tr w14:paraId="12729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jc w:val="center"/>
        </w:trPr>
        <w:tc>
          <w:tcPr>
            <w:tcW w:w="1147" w:type="dxa"/>
            <w:tcBorders>
              <w:left w:val="single" w:color="000000" w:sz="2" w:space="0"/>
            </w:tcBorders>
            <w:vAlign w:val="center"/>
          </w:tcPr>
          <w:p w14:paraId="1EC159DA">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lang w:eastAsia="zh-CN"/>
              </w:rPr>
              <w:t>2</w:t>
            </w:r>
            <w:r>
              <w:rPr>
                <w:rFonts w:hint="eastAsia" w:ascii="仿宋" w:hAnsi="仿宋" w:eastAsia="仿宋" w:cs="仿宋"/>
                <w:color w:val="auto"/>
                <w:spacing w:val="8"/>
                <w:sz w:val="21"/>
                <w:szCs w:val="21"/>
                <w:highlight w:val="none"/>
                <w:lang w:val="en-US" w:eastAsia="zh-CN"/>
              </w:rPr>
              <w:t>1</w:t>
            </w:r>
          </w:p>
        </w:tc>
        <w:tc>
          <w:tcPr>
            <w:tcW w:w="1934" w:type="dxa"/>
            <w:vAlign w:val="center"/>
          </w:tcPr>
          <w:p w14:paraId="2A627FE6">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lang w:eastAsia="zh-CN"/>
              </w:rPr>
              <w:t>采购代理</w:t>
            </w:r>
            <w:r>
              <w:rPr>
                <w:rFonts w:hint="eastAsia" w:ascii="仿宋" w:hAnsi="仿宋" w:eastAsia="仿宋" w:cs="仿宋"/>
                <w:color w:val="auto"/>
                <w:spacing w:val="8"/>
                <w:sz w:val="21"/>
                <w:szCs w:val="21"/>
                <w:highlight w:val="none"/>
              </w:rPr>
              <w:t>服务费</w:t>
            </w:r>
          </w:p>
        </w:tc>
        <w:tc>
          <w:tcPr>
            <w:tcW w:w="6390" w:type="dxa"/>
            <w:tcBorders>
              <w:right w:val="single" w:color="000000" w:sz="2" w:space="0"/>
            </w:tcBorders>
            <w:vAlign w:val="center"/>
          </w:tcPr>
          <w:p w14:paraId="0B919D3A">
            <w:pPr>
              <w:pStyle w:val="19"/>
              <w:keepNext w:val="0"/>
              <w:keepLines w:val="0"/>
              <w:pageBreakBefore w:val="0"/>
              <w:widowControl/>
              <w:kinsoku/>
              <w:overflowPunct/>
              <w:topLinePunct w:val="0"/>
              <w:autoSpaceDE w:val="0"/>
              <w:autoSpaceDN w:val="0"/>
              <w:bidi w:val="0"/>
              <w:adjustRightInd w:val="0"/>
              <w:snapToGrid w:val="0"/>
              <w:spacing w:line="0" w:lineRule="atLeast"/>
              <w:ind w:left="44" w:leftChars="20" w:hanging="2"/>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本项目招标代理服务费：采购代理服务费由成交供应商向采购代理机构支付，采购代理服务费参照以下标准按差额定率累进计算。例如：某货物类采购项目中标（成交）金额1200万元，计算招标代理服务费为：100万元×1.5%=1.5万元；（500-100）万元×1.1%=4.4万元；（1000-500）万元×0.8%=4万元；（1200-1000）万元×0.5%=1万元；合计收费=1.5+4.4+4+1=10.9万元。</w:t>
            </w:r>
          </w:p>
          <w:tbl>
            <w:tblPr>
              <w:tblStyle w:val="13"/>
              <w:tblW w:w="4632"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902"/>
              <w:gridCol w:w="946"/>
              <w:gridCol w:w="1030"/>
              <w:gridCol w:w="1006"/>
            </w:tblGrid>
            <w:tr w14:paraId="3CF93D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7" w:hRule="atLeast"/>
                <w:jc w:val="center"/>
              </w:trPr>
              <w:tc>
                <w:tcPr>
                  <w:tcW w:w="2465" w:type="pct"/>
                  <w:tcBorders>
                    <w:tl2br w:val="single" w:color="auto" w:sz="4" w:space="0"/>
                  </w:tcBorders>
                </w:tcPr>
                <w:p w14:paraId="2A5D51EA">
                  <w:pPr>
                    <w:keepNext w:val="0"/>
                    <w:keepLines w:val="0"/>
                    <w:pageBreakBefore w:val="0"/>
                    <w:widowControl/>
                    <w:shd w:val="clear" w:color="auto" w:fill="FFFFFF"/>
                    <w:overflowPunct/>
                    <w:topLinePunct w:val="0"/>
                    <w:autoSpaceDE w:val="0"/>
                    <w:autoSpaceDN w:val="0"/>
                    <w:bidi w:val="0"/>
                    <w:adjustRightInd w:val="0"/>
                    <w:snapToGrid w:val="0"/>
                    <w:spacing w:line="0" w:lineRule="atLeast"/>
                    <w:ind w:firstLine="480"/>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 xml:space="preserve">             采购类别</w:t>
                  </w:r>
                </w:p>
                <w:p w14:paraId="6688975A">
                  <w:pPr>
                    <w:keepNext w:val="0"/>
                    <w:keepLines w:val="0"/>
                    <w:pageBreakBefore w:val="0"/>
                    <w:widowControl/>
                    <w:shd w:val="clear" w:color="auto" w:fill="FFFFFF"/>
                    <w:overflowPunct/>
                    <w:topLinePunct w:val="0"/>
                    <w:autoSpaceDE w:val="0"/>
                    <w:autoSpaceDN w:val="0"/>
                    <w:bidi w:val="0"/>
                    <w:adjustRightInd w:val="0"/>
                    <w:snapToGrid w:val="0"/>
                    <w:spacing w:line="0" w:lineRule="atLeast"/>
                    <w:ind w:firstLine="480"/>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成交金额（万）</w:t>
                  </w:r>
                </w:p>
              </w:tc>
              <w:tc>
                <w:tcPr>
                  <w:tcW w:w="804" w:type="pct"/>
                  <w:vAlign w:val="center"/>
                </w:tcPr>
                <w:p w14:paraId="700CC198">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货物取费标准</w:t>
                  </w:r>
                </w:p>
              </w:tc>
              <w:tc>
                <w:tcPr>
                  <w:tcW w:w="875" w:type="pct"/>
                  <w:vAlign w:val="center"/>
                </w:tcPr>
                <w:p w14:paraId="11AFA285">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服务取费标准</w:t>
                  </w:r>
                </w:p>
              </w:tc>
              <w:tc>
                <w:tcPr>
                  <w:tcW w:w="854" w:type="pct"/>
                  <w:vAlign w:val="center"/>
                </w:tcPr>
                <w:p w14:paraId="6FF5AB26">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工程取费标准</w:t>
                  </w:r>
                </w:p>
              </w:tc>
            </w:tr>
            <w:tr w14:paraId="5BDF83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2465" w:type="pct"/>
                </w:tcPr>
                <w:p w14:paraId="6E1E966E">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100以下</w:t>
                  </w:r>
                </w:p>
              </w:tc>
              <w:tc>
                <w:tcPr>
                  <w:tcW w:w="804" w:type="pct"/>
                </w:tcPr>
                <w:p w14:paraId="63906E87">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1.5%</w:t>
                  </w:r>
                </w:p>
              </w:tc>
              <w:tc>
                <w:tcPr>
                  <w:tcW w:w="875" w:type="pct"/>
                </w:tcPr>
                <w:p w14:paraId="7E13A0D3">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1.5%</w:t>
                  </w:r>
                </w:p>
              </w:tc>
              <w:tc>
                <w:tcPr>
                  <w:tcW w:w="854" w:type="pct"/>
                </w:tcPr>
                <w:p w14:paraId="37398A8E">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1.0%</w:t>
                  </w:r>
                </w:p>
              </w:tc>
            </w:tr>
            <w:tr w14:paraId="66027F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2465" w:type="pct"/>
                </w:tcPr>
                <w:p w14:paraId="1768CC7F">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100-500</w:t>
                  </w:r>
                </w:p>
              </w:tc>
              <w:tc>
                <w:tcPr>
                  <w:tcW w:w="804" w:type="pct"/>
                </w:tcPr>
                <w:p w14:paraId="41F66560">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1.1%</w:t>
                  </w:r>
                </w:p>
              </w:tc>
              <w:tc>
                <w:tcPr>
                  <w:tcW w:w="875" w:type="pct"/>
                </w:tcPr>
                <w:p w14:paraId="4CD4C7A1">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0.8%</w:t>
                  </w:r>
                </w:p>
              </w:tc>
              <w:tc>
                <w:tcPr>
                  <w:tcW w:w="854" w:type="pct"/>
                </w:tcPr>
                <w:p w14:paraId="4923B8FC">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0.7%</w:t>
                  </w:r>
                </w:p>
              </w:tc>
            </w:tr>
            <w:tr w14:paraId="7BC5D5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2465" w:type="pct"/>
                </w:tcPr>
                <w:p w14:paraId="4D9E67D0">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500-1000</w:t>
                  </w:r>
                </w:p>
              </w:tc>
              <w:tc>
                <w:tcPr>
                  <w:tcW w:w="804" w:type="pct"/>
                </w:tcPr>
                <w:p w14:paraId="40FEBACF">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0.8%</w:t>
                  </w:r>
                </w:p>
              </w:tc>
              <w:tc>
                <w:tcPr>
                  <w:tcW w:w="875" w:type="pct"/>
                </w:tcPr>
                <w:p w14:paraId="347BF8CC">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0.45%</w:t>
                  </w:r>
                </w:p>
              </w:tc>
              <w:tc>
                <w:tcPr>
                  <w:tcW w:w="854" w:type="pct"/>
                </w:tcPr>
                <w:p w14:paraId="01FBC9C1">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0.55%</w:t>
                  </w:r>
                </w:p>
              </w:tc>
            </w:tr>
            <w:tr w14:paraId="7F31AA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2465" w:type="pct"/>
                </w:tcPr>
                <w:p w14:paraId="4FD1417F">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1000-5000</w:t>
                  </w:r>
                </w:p>
              </w:tc>
              <w:tc>
                <w:tcPr>
                  <w:tcW w:w="804" w:type="pct"/>
                </w:tcPr>
                <w:p w14:paraId="52C52035">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0.5%</w:t>
                  </w:r>
                </w:p>
              </w:tc>
              <w:tc>
                <w:tcPr>
                  <w:tcW w:w="875" w:type="pct"/>
                </w:tcPr>
                <w:p w14:paraId="4BFDF3B2">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0.25%</w:t>
                  </w:r>
                </w:p>
              </w:tc>
              <w:tc>
                <w:tcPr>
                  <w:tcW w:w="854" w:type="pct"/>
                </w:tcPr>
                <w:p w14:paraId="455FA877">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0.35%</w:t>
                  </w:r>
                </w:p>
              </w:tc>
            </w:tr>
            <w:tr w14:paraId="3803B4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2465" w:type="pct"/>
                </w:tcPr>
                <w:p w14:paraId="281F8FB1">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5000-10000</w:t>
                  </w:r>
                </w:p>
              </w:tc>
              <w:tc>
                <w:tcPr>
                  <w:tcW w:w="804" w:type="pct"/>
                </w:tcPr>
                <w:p w14:paraId="2910BE0E">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0.25%</w:t>
                  </w:r>
                </w:p>
              </w:tc>
              <w:tc>
                <w:tcPr>
                  <w:tcW w:w="875" w:type="pct"/>
                </w:tcPr>
                <w:p w14:paraId="498C30F2">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0.1%</w:t>
                  </w:r>
                </w:p>
              </w:tc>
              <w:tc>
                <w:tcPr>
                  <w:tcW w:w="854" w:type="pct"/>
                </w:tcPr>
                <w:p w14:paraId="341969C6">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0.2%</w:t>
                  </w:r>
                </w:p>
              </w:tc>
            </w:tr>
            <w:tr w14:paraId="67A969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2465" w:type="pct"/>
                </w:tcPr>
                <w:p w14:paraId="79D61763">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10000-100000</w:t>
                  </w:r>
                </w:p>
              </w:tc>
              <w:tc>
                <w:tcPr>
                  <w:tcW w:w="804" w:type="pct"/>
                </w:tcPr>
                <w:p w14:paraId="11D8973C">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0.05%</w:t>
                  </w:r>
                </w:p>
              </w:tc>
              <w:tc>
                <w:tcPr>
                  <w:tcW w:w="875" w:type="pct"/>
                </w:tcPr>
                <w:p w14:paraId="457228B7">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0.05%</w:t>
                  </w:r>
                </w:p>
              </w:tc>
              <w:tc>
                <w:tcPr>
                  <w:tcW w:w="854" w:type="pct"/>
                </w:tcPr>
                <w:p w14:paraId="7C478BE3">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0.05%</w:t>
                  </w:r>
                </w:p>
              </w:tc>
            </w:tr>
            <w:tr w14:paraId="18DD0F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2465" w:type="pct"/>
                </w:tcPr>
                <w:p w14:paraId="6ED9CD16">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100000以上</w:t>
                  </w:r>
                </w:p>
              </w:tc>
              <w:tc>
                <w:tcPr>
                  <w:tcW w:w="804" w:type="pct"/>
                </w:tcPr>
                <w:p w14:paraId="516417AC">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0.01%</w:t>
                  </w:r>
                </w:p>
              </w:tc>
              <w:tc>
                <w:tcPr>
                  <w:tcW w:w="875" w:type="pct"/>
                </w:tcPr>
                <w:p w14:paraId="4A886CB8">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0.01%</w:t>
                  </w:r>
                </w:p>
              </w:tc>
              <w:tc>
                <w:tcPr>
                  <w:tcW w:w="854" w:type="pct"/>
                </w:tcPr>
                <w:p w14:paraId="4A04BCF3">
                  <w:pPr>
                    <w:keepNext w:val="0"/>
                    <w:keepLines w:val="0"/>
                    <w:pageBreakBefore w:val="0"/>
                    <w:widowControl/>
                    <w:shd w:val="clear" w:color="auto" w:fill="FFFFFF"/>
                    <w:overflowPunct/>
                    <w:topLinePunct w:val="0"/>
                    <w:autoSpaceDE w:val="0"/>
                    <w:autoSpaceDN w:val="0"/>
                    <w:bidi w:val="0"/>
                    <w:adjustRightInd w:val="0"/>
                    <w:snapToGrid w:val="0"/>
                    <w:spacing w:line="0" w:lineRule="atLeas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0.01%</w:t>
                  </w:r>
                </w:p>
              </w:tc>
            </w:tr>
          </w:tbl>
          <w:p w14:paraId="0BA6605D">
            <w:pPr>
              <w:keepNext w:val="0"/>
              <w:keepLines w:val="0"/>
              <w:pageBreakBefore w:val="0"/>
              <w:widowControl/>
              <w:overflowPunct/>
              <w:topLinePunct w:val="0"/>
              <w:autoSpaceDE w:val="0"/>
              <w:autoSpaceDN w:val="0"/>
              <w:bidi w:val="0"/>
              <w:adjustRightInd w:val="0"/>
              <w:snapToGrid w:val="0"/>
              <w:spacing w:line="0" w:lineRule="atLeast"/>
              <w:textAlignment w:val="center"/>
              <w:rPr>
                <w:rFonts w:hint="eastAsia" w:ascii="仿宋" w:hAnsi="仿宋" w:eastAsia="仿宋" w:cs="仿宋"/>
                <w:color w:val="auto"/>
                <w:spacing w:val="20"/>
                <w:sz w:val="21"/>
                <w:szCs w:val="21"/>
                <w:highlight w:val="none"/>
                <w14:textOutline w14:w="4394" w14:cap="flat" w14:cmpd="sng" w14:algn="ctr">
                  <w14:solidFill>
                    <w14:srgbClr w14:val="000000"/>
                  </w14:solidFill>
                  <w14:prstDash w14:val="solid"/>
                  <w14:miter w14:val="0"/>
                </w14:textOutline>
              </w:rPr>
            </w:pPr>
          </w:p>
        </w:tc>
      </w:tr>
      <w:tr w14:paraId="57A46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147" w:type="dxa"/>
            <w:tcBorders>
              <w:left w:val="single" w:color="000000" w:sz="2" w:space="0"/>
            </w:tcBorders>
            <w:vAlign w:val="center"/>
          </w:tcPr>
          <w:p w14:paraId="09EE27B2">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rPr>
              <w:t>2</w:t>
            </w:r>
            <w:r>
              <w:rPr>
                <w:rFonts w:hint="eastAsia" w:ascii="仿宋" w:hAnsi="仿宋" w:eastAsia="仿宋" w:cs="仿宋"/>
                <w:color w:val="auto"/>
                <w:spacing w:val="8"/>
                <w:sz w:val="21"/>
                <w:szCs w:val="21"/>
                <w:highlight w:val="none"/>
                <w:lang w:val="en-US" w:eastAsia="zh-CN"/>
              </w:rPr>
              <w:t>2</w:t>
            </w:r>
          </w:p>
        </w:tc>
        <w:tc>
          <w:tcPr>
            <w:tcW w:w="1934" w:type="dxa"/>
            <w:vAlign w:val="center"/>
          </w:tcPr>
          <w:p w14:paraId="25988729">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rPr>
              <w:t>本项目所属行业</w:t>
            </w:r>
          </w:p>
        </w:tc>
        <w:tc>
          <w:tcPr>
            <w:tcW w:w="6390" w:type="dxa"/>
            <w:tcBorders>
              <w:right w:val="single" w:color="000000" w:sz="2" w:space="0"/>
            </w:tcBorders>
            <w:vAlign w:val="center"/>
          </w:tcPr>
          <w:p w14:paraId="737D8C7D">
            <w:pPr>
              <w:keepNext w:val="0"/>
              <w:keepLines w:val="0"/>
              <w:pageBreakBefore w:val="0"/>
              <w:widowControl/>
              <w:overflowPunct/>
              <w:topLinePunct w:val="0"/>
              <w:autoSpaceDE w:val="0"/>
              <w:autoSpaceDN w:val="0"/>
              <w:bidi w:val="0"/>
              <w:adjustRightInd w:val="0"/>
              <w:snapToGrid w:val="0"/>
              <w:spacing w:line="0" w:lineRule="atLeas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（1）根据工信部等部委发布的《关于印发中小企业划型标准规定的通知》（工信部联企业[2011]300号）规定执行；</w:t>
            </w:r>
          </w:p>
          <w:p w14:paraId="29BC194D">
            <w:pPr>
              <w:keepNext w:val="0"/>
              <w:keepLines w:val="0"/>
              <w:pageBreakBefore w:val="0"/>
              <w:widowControl/>
              <w:overflowPunct/>
              <w:topLinePunct w:val="0"/>
              <w:autoSpaceDE w:val="0"/>
              <w:autoSpaceDN w:val="0"/>
              <w:bidi w:val="0"/>
              <w:adjustRightInd w:val="0"/>
              <w:snapToGrid w:val="0"/>
              <w:spacing w:line="0" w:lineRule="atLeas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（2）本项目所属行业：</w:t>
            </w:r>
            <w:r>
              <w:rPr>
                <w:rFonts w:hint="eastAsia" w:ascii="仿宋" w:hAnsi="仿宋" w:eastAsia="仿宋" w:cs="仿宋"/>
                <w:b/>
                <w:bCs/>
                <w:color w:val="auto"/>
                <w:sz w:val="21"/>
                <w:szCs w:val="21"/>
                <w:highlight w:val="none"/>
                <w:u w:val="single"/>
                <w:lang w:eastAsia="zh-CN"/>
              </w:rPr>
              <w:t>其他未列明行业。</w:t>
            </w:r>
            <w:r>
              <w:rPr>
                <w:rFonts w:hint="eastAsia" w:ascii="仿宋" w:hAnsi="仿宋" w:eastAsia="仿宋" w:cs="仿宋"/>
                <w:color w:val="auto"/>
                <w:sz w:val="21"/>
                <w:szCs w:val="21"/>
                <w:highlight w:val="none"/>
                <w:lang w:eastAsia="zh-CN"/>
              </w:rPr>
              <w:t>从业人员300人以下的为中小微型企业。其中，从业人员100人及以上的为中型企业；从业人员10人及以上的为小型企业；从业人员10人以下的为微型企业。</w:t>
            </w:r>
          </w:p>
          <w:p w14:paraId="134467D3">
            <w:pPr>
              <w:keepNext w:val="0"/>
              <w:keepLines w:val="0"/>
              <w:pageBreakBefore w:val="0"/>
              <w:widowControl/>
              <w:overflowPunct/>
              <w:topLinePunct w:val="0"/>
              <w:autoSpaceDE w:val="0"/>
              <w:autoSpaceDN w:val="0"/>
              <w:bidi w:val="0"/>
              <w:adjustRightInd w:val="0"/>
              <w:snapToGrid w:val="0"/>
              <w:spacing w:line="0" w:lineRule="atLeas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依据财政部司法部《关于政府采购支持监狱企业发展有关问题的通知》（财库[2014]68号）的规定，监狱企业视同小型、微型企业，享受预留份额、评审中价格扣除等促进中小企业发展的政府采购政策。监狱企业应当提供由省级以上监狱管理局、戒毒管理局(含新疆生产建设兵团)出具的属于监狱企业的证明文件。依据财政部 民政部 中国残疾人联合会《关于促进残疾人就业政府采购政策的通知》（财库[2017]141号）的规定，残疾人福利性单位视同小型、微型企业，享受预留份额、评审中价格扣除等促进中小企业发展的政府采购政策。</w:t>
            </w:r>
          </w:p>
          <w:p w14:paraId="3B5F7F42">
            <w:pPr>
              <w:keepNext w:val="0"/>
              <w:keepLines w:val="0"/>
              <w:pageBreakBefore w:val="0"/>
              <w:widowControl/>
              <w:overflowPunct/>
              <w:topLinePunct w:val="0"/>
              <w:autoSpaceDE w:val="0"/>
              <w:autoSpaceDN w:val="0"/>
              <w:bidi w:val="0"/>
              <w:adjustRightInd w:val="0"/>
              <w:snapToGrid w:val="0"/>
              <w:spacing w:line="0" w:lineRule="atLeas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4C79AC">
            <w:pPr>
              <w:keepNext w:val="0"/>
              <w:keepLines w:val="0"/>
              <w:pageBreakBefore w:val="0"/>
              <w:widowControl/>
              <w:overflowPunct/>
              <w:topLinePunct w:val="0"/>
              <w:autoSpaceDE w:val="0"/>
              <w:autoSpaceDN w:val="0"/>
              <w:bidi w:val="0"/>
              <w:adjustRightInd w:val="0"/>
              <w:snapToGrid w:val="0"/>
              <w:spacing w:line="0" w:lineRule="atLeas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（4）根据中华人民共和国财政部、中华人民共和国工业和信息化部关于印发《政府采购促进中小企业发展管理办法》（财库[2020]46号）文件及财库〔2022〕19号的规定，属于中小企业评审优惠内容及幅度如下：</w:t>
            </w:r>
          </w:p>
          <w:p w14:paraId="521F7E0F">
            <w:pPr>
              <w:keepNext w:val="0"/>
              <w:keepLines w:val="0"/>
              <w:pageBreakBefore w:val="0"/>
              <w:widowControl/>
              <w:overflowPunct/>
              <w:topLinePunct w:val="0"/>
              <w:autoSpaceDE w:val="0"/>
              <w:autoSpaceDN w:val="0"/>
              <w:bidi w:val="0"/>
              <w:adjustRightInd w:val="0"/>
              <w:snapToGrid w:val="0"/>
              <w:spacing w:line="0" w:lineRule="atLeas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（一）中小企业（含中型、小型、微型企业）应当同时符合以下条件：</w:t>
            </w:r>
          </w:p>
          <w:p w14:paraId="6F9902B7">
            <w:pPr>
              <w:keepNext w:val="0"/>
              <w:keepLines w:val="0"/>
              <w:pageBreakBefore w:val="0"/>
              <w:widowControl/>
              <w:overflowPunct/>
              <w:topLinePunct w:val="0"/>
              <w:autoSpaceDE w:val="0"/>
              <w:autoSpaceDN w:val="0"/>
              <w:bidi w:val="0"/>
              <w:adjustRightInd w:val="0"/>
              <w:snapToGrid w:val="0"/>
              <w:spacing w:line="0" w:lineRule="atLeast"/>
              <w:textAlignment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 xml:space="preserve">①在货物采购项目中，货物由中小企业制造，即货物由中小企业生产且使用该中小企业商号或者注册商标； </w:t>
            </w:r>
          </w:p>
          <w:p w14:paraId="7677F415">
            <w:pPr>
              <w:keepNext w:val="0"/>
              <w:keepLines w:val="0"/>
              <w:pageBreakBefore w:val="0"/>
              <w:widowControl/>
              <w:overflowPunct/>
              <w:topLinePunct w:val="0"/>
              <w:autoSpaceDE w:val="0"/>
              <w:autoSpaceDN w:val="0"/>
              <w:bidi w:val="0"/>
              <w:adjustRightInd w:val="0"/>
              <w:snapToGrid w:val="0"/>
              <w:spacing w:line="0" w:lineRule="atLeas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②在工程采购项目中，工程由中小企业承建，即工程施工单位为中小企业； </w:t>
            </w:r>
          </w:p>
          <w:p w14:paraId="59FD694E">
            <w:pPr>
              <w:keepNext w:val="0"/>
              <w:keepLines w:val="0"/>
              <w:pageBreakBefore w:val="0"/>
              <w:widowControl/>
              <w:overflowPunct/>
              <w:topLinePunct w:val="0"/>
              <w:autoSpaceDE w:val="0"/>
              <w:autoSpaceDN w:val="0"/>
              <w:bidi w:val="0"/>
              <w:adjustRightInd w:val="0"/>
              <w:snapToGrid w:val="0"/>
              <w:spacing w:line="0" w:lineRule="atLeas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③在服务采购项目中，服务由中小企业承接，即提供服务的人员为中小企业依照《中华人民共和国劳动合同法》订立劳动合同的从业人员。</w:t>
            </w:r>
          </w:p>
          <w:p w14:paraId="23994930">
            <w:pPr>
              <w:keepNext w:val="0"/>
              <w:keepLines w:val="0"/>
              <w:pageBreakBefore w:val="0"/>
              <w:widowControl/>
              <w:overflowPunct/>
              <w:topLinePunct w:val="0"/>
              <w:autoSpaceDE w:val="0"/>
              <w:autoSpaceDN w:val="0"/>
              <w:bidi w:val="0"/>
              <w:adjustRightInd w:val="0"/>
              <w:snapToGrid w:val="0"/>
              <w:spacing w:line="0" w:lineRule="atLeast"/>
              <w:textAlignment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在货物采购项目中，供应商提供的货物既有中小企业制造货物，也有大型企业制造货物的，不享受本办法规定的中小企业扶持政策。</w:t>
            </w:r>
          </w:p>
          <w:p w14:paraId="36922FF5">
            <w:pPr>
              <w:keepNext w:val="0"/>
              <w:keepLines w:val="0"/>
              <w:pageBreakBefore w:val="0"/>
              <w:widowControl/>
              <w:overflowPunct/>
              <w:topLinePunct w:val="0"/>
              <w:autoSpaceDE w:val="0"/>
              <w:autoSpaceDN w:val="0"/>
              <w:bidi w:val="0"/>
              <w:adjustRightInd w:val="0"/>
              <w:snapToGrid w:val="0"/>
              <w:spacing w:line="0" w:lineRule="atLeast"/>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以联合体形式参加政府采购活动，联合体各方均为中小企业的，联合体视同中小企业。其中，联合体各方均为小微企业的，联合体视同小微企业。</w:t>
            </w:r>
          </w:p>
          <w:p w14:paraId="5B259C9F">
            <w:pPr>
              <w:keepNext w:val="0"/>
              <w:keepLines w:val="0"/>
              <w:pageBreakBefore w:val="0"/>
              <w:widowControl/>
              <w:overflowPunct/>
              <w:topLinePunct w:val="0"/>
              <w:autoSpaceDE w:val="0"/>
              <w:autoSpaceDN w:val="0"/>
              <w:bidi w:val="0"/>
              <w:adjustRightInd w:val="0"/>
              <w:snapToGrid w:val="0"/>
              <w:spacing w:line="0" w:lineRule="atLeast"/>
              <w:textAlignment w:val="center"/>
              <w:rPr>
                <w:rFonts w:hint="eastAsia" w:ascii="仿宋" w:hAnsi="仿宋" w:eastAsia="仿宋" w:cs="仿宋"/>
                <w:color w:val="auto"/>
                <w:spacing w:val="20"/>
                <w:sz w:val="21"/>
                <w:szCs w:val="21"/>
                <w:highlight w:val="none"/>
                <w:lang w:eastAsia="zh-CN"/>
                <w14:textOutline w14:w="4394" w14:cap="flat" w14:cmpd="sng" w14:algn="ctr">
                  <w14:solidFill>
                    <w14:srgbClr w14:val="000000"/>
                  </w14:solidFill>
                  <w14:prstDash w14:val="solid"/>
                  <w14:miter w14:val="0"/>
                </w14:textOutline>
              </w:rPr>
            </w:pPr>
            <w:r>
              <w:rPr>
                <w:rFonts w:hint="eastAsia" w:ascii="仿宋" w:hAnsi="仿宋" w:eastAsia="仿宋" w:cs="仿宋"/>
                <w:color w:val="auto"/>
                <w:sz w:val="21"/>
                <w:szCs w:val="21"/>
                <w:highlight w:val="none"/>
                <w:lang w:eastAsia="zh-CN"/>
              </w:rPr>
              <w:t>（二）中小企业适用价格扣除办法时应提供的相关资料：《中小企业声明函》</w:t>
            </w:r>
          </w:p>
        </w:tc>
      </w:tr>
      <w:tr w14:paraId="3EA53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jc w:val="center"/>
        </w:trPr>
        <w:tc>
          <w:tcPr>
            <w:tcW w:w="1147" w:type="dxa"/>
            <w:tcBorders>
              <w:left w:val="single" w:color="000000" w:sz="2" w:space="0"/>
            </w:tcBorders>
            <w:vAlign w:val="center"/>
          </w:tcPr>
          <w:p w14:paraId="0EB3075D">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eastAsia="zh-CN"/>
              </w:rPr>
            </w:pPr>
            <w:r>
              <w:rPr>
                <w:rFonts w:hint="eastAsia" w:ascii="仿宋" w:hAnsi="仿宋" w:eastAsia="仿宋" w:cs="仿宋"/>
                <w:color w:val="auto"/>
                <w:spacing w:val="8"/>
                <w:sz w:val="21"/>
                <w:szCs w:val="21"/>
                <w:highlight w:val="none"/>
                <w:lang w:eastAsia="zh-CN"/>
              </w:rPr>
              <w:t>2</w:t>
            </w:r>
            <w:r>
              <w:rPr>
                <w:rFonts w:hint="eastAsia" w:ascii="仿宋" w:hAnsi="仿宋" w:eastAsia="仿宋" w:cs="仿宋"/>
                <w:color w:val="auto"/>
                <w:spacing w:val="8"/>
                <w:sz w:val="21"/>
                <w:szCs w:val="21"/>
                <w:highlight w:val="none"/>
                <w:lang w:val="en-US" w:eastAsia="zh-CN"/>
              </w:rPr>
              <w:t>3</w:t>
            </w:r>
          </w:p>
        </w:tc>
        <w:tc>
          <w:tcPr>
            <w:tcW w:w="1934" w:type="dxa"/>
            <w:vAlign w:val="center"/>
          </w:tcPr>
          <w:p w14:paraId="68542C72">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lang w:eastAsia="zh-CN"/>
              </w:rPr>
              <w:t>同品牌产品评审规则</w:t>
            </w:r>
          </w:p>
        </w:tc>
        <w:tc>
          <w:tcPr>
            <w:tcW w:w="6390" w:type="dxa"/>
            <w:tcBorders>
              <w:right w:val="single" w:color="000000" w:sz="2" w:space="0"/>
            </w:tcBorders>
            <w:vAlign w:val="center"/>
          </w:tcPr>
          <w:p w14:paraId="3637801A">
            <w:pPr>
              <w:keepNext w:val="0"/>
              <w:keepLines w:val="0"/>
              <w:pageBreakBefore w:val="0"/>
              <w:widowControl/>
              <w:overflowPunct/>
              <w:topLinePunct w:val="0"/>
              <w:autoSpaceDE w:val="0"/>
              <w:autoSpaceDN w:val="0"/>
              <w:bidi w:val="0"/>
              <w:adjustRightInd w:val="0"/>
              <w:snapToGrid w:val="0"/>
              <w:spacing w:line="0" w:lineRule="atLeast"/>
              <w:textAlignment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本项目核心产品：犬</w:t>
            </w:r>
          </w:p>
          <w:p w14:paraId="6A612907">
            <w:pPr>
              <w:keepNext w:val="0"/>
              <w:keepLines w:val="0"/>
              <w:pageBreakBefore w:val="0"/>
              <w:widowControl/>
              <w:overflowPunct/>
              <w:topLinePunct w:val="0"/>
              <w:autoSpaceDE w:val="0"/>
              <w:autoSpaceDN w:val="0"/>
              <w:bidi w:val="0"/>
              <w:adjustRightInd w:val="0"/>
              <w:snapToGrid w:val="0"/>
              <w:spacing w:line="0" w:lineRule="atLeast"/>
              <w:textAlignment w:val="center"/>
              <w:rPr>
                <w:rFonts w:hint="eastAsia" w:ascii="仿宋" w:hAnsi="仿宋" w:eastAsia="仿宋" w:cs="仿宋"/>
                <w:color w:val="auto"/>
                <w:spacing w:val="20"/>
                <w:sz w:val="21"/>
                <w:szCs w:val="21"/>
                <w:highlight w:val="none"/>
                <w:lang w:eastAsia="zh-CN"/>
                <w14:textOutline w14:w="4394" w14:cap="flat" w14:cmpd="sng" w14:algn="ctr">
                  <w14:solidFill>
                    <w14:srgbClr w14:val="000000"/>
                  </w14:solidFill>
                  <w14:prstDash w14:val="solid"/>
                  <w14:miter w14:val="0"/>
                </w14:textOutline>
              </w:rPr>
            </w:pPr>
            <w:r>
              <w:rPr>
                <w:rFonts w:hint="eastAsia" w:ascii="仿宋" w:hAnsi="仿宋" w:eastAsia="仿宋" w:cs="仿宋"/>
                <w:color w:val="auto"/>
                <w:sz w:val="21"/>
                <w:szCs w:val="21"/>
                <w:highlight w:val="none"/>
                <w:lang w:eastAsia="zh-CN"/>
              </w:rPr>
              <w:t>核心产品提供相同品牌产品的不同供应商参加本项目下询价的，以其中通过资格审查、符合性审查且报价最低的参加评审，报价相同的，由询价小组采取随机抽取方式确定一家供应商参与项目评审。</w:t>
            </w:r>
          </w:p>
        </w:tc>
      </w:tr>
      <w:tr w14:paraId="32AFB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147" w:type="dxa"/>
            <w:tcBorders>
              <w:left w:val="single" w:color="000000" w:sz="2" w:space="0"/>
            </w:tcBorders>
            <w:vAlign w:val="center"/>
          </w:tcPr>
          <w:p w14:paraId="7895F7C4">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仿宋" w:hAnsi="仿宋" w:eastAsia="仿宋" w:cs="仿宋"/>
                <w:color w:val="auto"/>
                <w:spacing w:val="8"/>
                <w:sz w:val="21"/>
                <w:szCs w:val="21"/>
                <w:highlight w:val="none"/>
                <w:lang w:val="en-US" w:eastAsia="zh-CN"/>
              </w:rPr>
            </w:pPr>
            <w:r>
              <w:rPr>
                <w:rFonts w:hint="eastAsia" w:ascii="仿宋" w:hAnsi="仿宋" w:eastAsia="仿宋" w:cs="仿宋"/>
                <w:color w:val="auto"/>
                <w:spacing w:val="8"/>
                <w:sz w:val="21"/>
                <w:szCs w:val="21"/>
                <w:highlight w:val="none"/>
                <w:lang w:val="en-US" w:eastAsia="zh-CN"/>
              </w:rPr>
              <w:t>24</w:t>
            </w:r>
          </w:p>
        </w:tc>
        <w:tc>
          <w:tcPr>
            <w:tcW w:w="1934" w:type="dxa"/>
            <w:vAlign w:val="center"/>
          </w:tcPr>
          <w:p w14:paraId="37C3B95C">
            <w:pPr>
              <w:pStyle w:val="19"/>
              <w:keepNext w:val="0"/>
              <w:keepLines w:val="0"/>
              <w:pageBreakBefore w:val="0"/>
              <w:widowControl/>
              <w:overflowPunct/>
              <w:topLinePunct w:val="0"/>
              <w:autoSpaceDE w:val="0"/>
              <w:autoSpaceDN w:val="0"/>
              <w:bidi w:val="0"/>
              <w:adjustRightInd w:val="0"/>
              <w:snapToGrid w:val="0"/>
              <w:spacing w:line="0" w:lineRule="atLeast"/>
              <w:ind w:left="112" w:right="117" w:firstLine="11"/>
              <w:rPr>
                <w:rFonts w:hint="eastAsia" w:ascii="仿宋" w:hAnsi="仿宋" w:eastAsia="仿宋" w:cs="仿宋"/>
                <w:color w:val="auto"/>
                <w:spacing w:val="19"/>
                <w:sz w:val="21"/>
                <w:szCs w:val="21"/>
                <w:highlight w:val="none"/>
                <w:lang w:val="en-US" w:eastAsia="zh-CN"/>
              </w:rPr>
            </w:pPr>
            <w:r>
              <w:rPr>
                <w:rFonts w:hint="eastAsia" w:ascii="仿宋" w:hAnsi="仿宋" w:eastAsia="仿宋" w:cs="仿宋"/>
                <w:color w:val="auto"/>
                <w:spacing w:val="19"/>
                <w:sz w:val="21"/>
                <w:szCs w:val="21"/>
                <w:highlight w:val="none"/>
                <w:lang w:val="en-US" w:eastAsia="zh-CN"/>
              </w:rPr>
              <w:t>政府采购异常低价审查</w:t>
            </w:r>
          </w:p>
          <w:p w14:paraId="4C2D8D49">
            <w:pPr>
              <w:pStyle w:val="19"/>
              <w:keepNext w:val="0"/>
              <w:keepLines w:val="0"/>
              <w:pageBreakBefore w:val="0"/>
              <w:widowControl/>
              <w:overflowPunct/>
              <w:topLinePunct w:val="0"/>
              <w:autoSpaceDE w:val="0"/>
              <w:autoSpaceDN w:val="0"/>
              <w:bidi w:val="0"/>
              <w:adjustRightInd w:val="0"/>
              <w:snapToGrid w:val="0"/>
              <w:spacing w:line="0" w:lineRule="atLeast"/>
              <w:ind w:left="112" w:right="117" w:firstLine="11"/>
              <w:rPr>
                <w:rFonts w:hint="eastAsia" w:ascii="仿宋" w:hAnsi="仿宋" w:eastAsia="仿宋" w:cs="仿宋"/>
                <w:color w:val="auto"/>
                <w:spacing w:val="19"/>
                <w:sz w:val="21"/>
                <w:szCs w:val="21"/>
                <w:highlight w:val="none"/>
                <w:lang w:eastAsia="zh-CN"/>
              </w:rPr>
            </w:pPr>
          </w:p>
        </w:tc>
        <w:tc>
          <w:tcPr>
            <w:tcW w:w="6390" w:type="dxa"/>
            <w:tcBorders>
              <w:right w:val="single" w:color="000000" w:sz="2" w:space="0"/>
            </w:tcBorders>
            <w:vAlign w:val="center"/>
          </w:tcPr>
          <w:p w14:paraId="05EA6DDA">
            <w:pPr>
              <w:pStyle w:val="19"/>
              <w:keepNext w:val="0"/>
              <w:keepLines w:val="0"/>
              <w:pageBreakBefore w:val="0"/>
              <w:widowControl/>
              <w:kinsoku/>
              <w:wordWrap/>
              <w:overflowPunct/>
              <w:topLinePunct w:val="0"/>
              <w:autoSpaceDE w:val="0"/>
              <w:autoSpaceDN w:val="0"/>
              <w:bidi w:val="0"/>
              <w:adjustRightInd w:val="0"/>
              <w:snapToGrid w:val="0"/>
              <w:spacing w:line="0" w:lineRule="atLeast"/>
              <w:ind w:left="113" w:right="119" w:firstLine="11"/>
              <w:textAlignment w:val="baseline"/>
              <w:rPr>
                <w:rFonts w:hint="eastAsia" w:ascii="仿宋" w:hAnsi="仿宋" w:eastAsia="仿宋" w:cs="仿宋"/>
                <w:color w:val="auto"/>
                <w:spacing w:val="19"/>
                <w:sz w:val="21"/>
                <w:szCs w:val="21"/>
                <w:highlight w:val="none"/>
                <w:lang w:val="en-US" w:eastAsia="zh-CN"/>
              </w:rPr>
            </w:pPr>
            <w:r>
              <w:rPr>
                <w:rFonts w:hint="eastAsia" w:ascii="仿宋" w:hAnsi="仿宋" w:eastAsia="仿宋" w:cs="仿宋"/>
                <w:color w:val="auto"/>
                <w:spacing w:val="19"/>
                <w:sz w:val="21"/>
                <w:szCs w:val="21"/>
                <w:highlight w:val="none"/>
                <w:lang w:val="en-US" w:eastAsia="zh-CN"/>
              </w:rPr>
              <w:t>关于推动解决政府采购异常低价问题的通知财库〔2026〕2号：</w:t>
            </w:r>
          </w:p>
          <w:p w14:paraId="0F4F3C30">
            <w:pPr>
              <w:pStyle w:val="19"/>
              <w:keepNext w:val="0"/>
              <w:keepLines w:val="0"/>
              <w:pageBreakBefore w:val="0"/>
              <w:widowControl/>
              <w:kinsoku/>
              <w:wordWrap/>
              <w:overflowPunct/>
              <w:topLinePunct w:val="0"/>
              <w:autoSpaceDE w:val="0"/>
              <w:autoSpaceDN w:val="0"/>
              <w:bidi w:val="0"/>
              <w:adjustRightInd w:val="0"/>
              <w:snapToGrid w:val="0"/>
              <w:spacing w:line="0" w:lineRule="atLeast"/>
              <w:ind w:left="113" w:right="119" w:firstLine="11"/>
              <w:textAlignment w:val="baseline"/>
              <w:rPr>
                <w:rFonts w:hint="eastAsia" w:ascii="仿宋" w:hAnsi="仿宋" w:eastAsia="仿宋" w:cs="仿宋"/>
                <w:color w:val="auto"/>
                <w:spacing w:val="19"/>
                <w:sz w:val="21"/>
                <w:szCs w:val="21"/>
                <w:highlight w:val="none"/>
                <w:lang w:val="en-US" w:eastAsia="zh-CN"/>
              </w:rPr>
            </w:pPr>
            <w:r>
              <w:rPr>
                <w:rFonts w:hint="eastAsia" w:ascii="仿宋" w:hAnsi="仿宋" w:eastAsia="仿宋" w:cs="仿宋"/>
                <w:color w:val="auto"/>
                <w:spacing w:val="19"/>
                <w:sz w:val="21"/>
                <w:szCs w:val="21"/>
                <w:highlight w:val="none"/>
                <w:lang w:val="en-US" w:eastAsia="zh-CN"/>
              </w:rPr>
              <w:t xml:space="preserve">（一）采购人应当在采购文件中明确，政府采购评审中出现下列情形之一的，评审委员会应当启动异常低价投标（响应）审查程序： </w:t>
            </w:r>
          </w:p>
          <w:p w14:paraId="486CDAE6">
            <w:pPr>
              <w:pStyle w:val="19"/>
              <w:keepNext w:val="0"/>
              <w:keepLines w:val="0"/>
              <w:pageBreakBefore w:val="0"/>
              <w:widowControl/>
              <w:kinsoku/>
              <w:wordWrap/>
              <w:overflowPunct/>
              <w:topLinePunct w:val="0"/>
              <w:autoSpaceDE w:val="0"/>
              <w:autoSpaceDN w:val="0"/>
              <w:bidi w:val="0"/>
              <w:adjustRightInd w:val="0"/>
              <w:snapToGrid w:val="0"/>
              <w:spacing w:line="0" w:lineRule="atLeast"/>
              <w:ind w:left="113" w:right="119" w:firstLine="11"/>
              <w:textAlignment w:val="baseline"/>
              <w:rPr>
                <w:rFonts w:hint="eastAsia" w:ascii="仿宋" w:hAnsi="仿宋" w:eastAsia="仿宋" w:cs="仿宋"/>
                <w:color w:val="auto"/>
                <w:spacing w:val="19"/>
                <w:sz w:val="21"/>
                <w:szCs w:val="21"/>
                <w:highlight w:val="none"/>
                <w:lang w:val="en-US" w:eastAsia="zh-CN"/>
              </w:rPr>
            </w:pPr>
            <w:r>
              <w:rPr>
                <w:rFonts w:hint="eastAsia" w:ascii="仿宋" w:hAnsi="仿宋" w:eastAsia="仿宋" w:cs="仿宋"/>
                <w:color w:val="auto"/>
                <w:spacing w:val="19"/>
                <w:sz w:val="21"/>
                <w:szCs w:val="21"/>
                <w:highlight w:val="none"/>
                <w:lang w:val="en-US" w:eastAsia="zh-CN"/>
              </w:rPr>
              <w:t xml:space="preserve">1.投标（响应）报价低于全部通过符合性审查供应商投标（响应）报价平均值50%的，即投标（响应）报价&lt;全部通过符合性审查供应商投标（响应）报价平均值×50%； </w:t>
            </w:r>
          </w:p>
          <w:p w14:paraId="3C6EA001">
            <w:pPr>
              <w:pStyle w:val="19"/>
              <w:keepNext w:val="0"/>
              <w:keepLines w:val="0"/>
              <w:pageBreakBefore w:val="0"/>
              <w:widowControl/>
              <w:kinsoku/>
              <w:wordWrap/>
              <w:overflowPunct/>
              <w:topLinePunct w:val="0"/>
              <w:autoSpaceDE w:val="0"/>
              <w:autoSpaceDN w:val="0"/>
              <w:bidi w:val="0"/>
              <w:adjustRightInd w:val="0"/>
              <w:snapToGrid w:val="0"/>
              <w:spacing w:line="0" w:lineRule="atLeast"/>
              <w:ind w:left="113" w:right="119" w:firstLine="11"/>
              <w:textAlignment w:val="baseline"/>
              <w:rPr>
                <w:rFonts w:hint="eastAsia" w:ascii="仿宋" w:hAnsi="仿宋" w:eastAsia="仿宋" w:cs="仿宋"/>
                <w:color w:val="auto"/>
                <w:spacing w:val="19"/>
                <w:sz w:val="21"/>
                <w:szCs w:val="21"/>
                <w:highlight w:val="none"/>
                <w:lang w:val="en-US" w:eastAsia="zh-CN"/>
              </w:rPr>
            </w:pPr>
            <w:r>
              <w:rPr>
                <w:rFonts w:hint="eastAsia" w:ascii="仿宋" w:hAnsi="仿宋" w:eastAsia="仿宋" w:cs="仿宋"/>
                <w:color w:val="auto"/>
                <w:spacing w:val="19"/>
                <w:sz w:val="21"/>
                <w:szCs w:val="21"/>
                <w:highlight w:val="none"/>
                <w:lang w:val="en-US" w:eastAsia="zh-CN"/>
              </w:rPr>
              <w:t xml:space="preserve">2.投标（响应）报价低于通过符合性审查的次低报价供应商投标（响应）报价50%的，即投标（响应）报价&lt;通过符合性审查的次低报价供应商投标（响应）报价×50%； </w:t>
            </w:r>
          </w:p>
          <w:p w14:paraId="2375009C">
            <w:pPr>
              <w:pStyle w:val="19"/>
              <w:keepNext w:val="0"/>
              <w:keepLines w:val="0"/>
              <w:pageBreakBefore w:val="0"/>
              <w:widowControl/>
              <w:kinsoku/>
              <w:wordWrap/>
              <w:overflowPunct/>
              <w:topLinePunct w:val="0"/>
              <w:autoSpaceDE w:val="0"/>
              <w:autoSpaceDN w:val="0"/>
              <w:bidi w:val="0"/>
              <w:adjustRightInd w:val="0"/>
              <w:snapToGrid w:val="0"/>
              <w:spacing w:line="0" w:lineRule="atLeast"/>
              <w:ind w:left="113" w:right="119" w:firstLine="11"/>
              <w:textAlignment w:val="baseline"/>
              <w:rPr>
                <w:rFonts w:hint="eastAsia" w:ascii="仿宋" w:hAnsi="仿宋" w:eastAsia="仿宋" w:cs="仿宋"/>
                <w:color w:val="auto"/>
                <w:spacing w:val="19"/>
                <w:sz w:val="21"/>
                <w:szCs w:val="21"/>
                <w:highlight w:val="none"/>
                <w:lang w:val="en-US" w:eastAsia="zh-CN"/>
              </w:rPr>
            </w:pPr>
            <w:r>
              <w:rPr>
                <w:rFonts w:hint="eastAsia" w:ascii="仿宋" w:hAnsi="仿宋" w:eastAsia="仿宋" w:cs="仿宋"/>
                <w:color w:val="auto"/>
                <w:spacing w:val="19"/>
                <w:sz w:val="21"/>
                <w:szCs w:val="21"/>
                <w:highlight w:val="none"/>
                <w:lang w:val="en-US" w:eastAsia="zh-CN"/>
              </w:rPr>
              <w:t>3.投标（响应）报价低于采购项目最高限价45%的，即投标（响应）报价&lt;采购项目最高限价×45%；</w:t>
            </w:r>
          </w:p>
          <w:p w14:paraId="5D382F58">
            <w:pPr>
              <w:pStyle w:val="19"/>
              <w:keepNext w:val="0"/>
              <w:keepLines w:val="0"/>
              <w:pageBreakBefore w:val="0"/>
              <w:widowControl/>
              <w:kinsoku/>
              <w:wordWrap/>
              <w:overflowPunct/>
              <w:topLinePunct w:val="0"/>
              <w:autoSpaceDE w:val="0"/>
              <w:autoSpaceDN w:val="0"/>
              <w:bidi w:val="0"/>
              <w:adjustRightInd w:val="0"/>
              <w:snapToGrid w:val="0"/>
              <w:spacing w:line="0" w:lineRule="atLeast"/>
              <w:ind w:left="113" w:right="119" w:firstLine="11"/>
              <w:textAlignment w:val="baseline"/>
              <w:rPr>
                <w:rFonts w:hint="eastAsia" w:ascii="仿宋" w:hAnsi="仿宋" w:eastAsia="仿宋" w:cs="仿宋"/>
                <w:color w:val="auto"/>
                <w:spacing w:val="19"/>
                <w:sz w:val="21"/>
                <w:szCs w:val="21"/>
                <w:highlight w:val="none"/>
                <w:lang w:val="en-US" w:eastAsia="zh-CN"/>
              </w:rPr>
            </w:pPr>
            <w:r>
              <w:rPr>
                <w:rFonts w:hint="eastAsia" w:ascii="仿宋" w:hAnsi="仿宋" w:eastAsia="仿宋" w:cs="仿宋"/>
                <w:color w:val="auto"/>
                <w:spacing w:val="19"/>
                <w:sz w:val="21"/>
                <w:szCs w:val="21"/>
                <w:highlight w:val="none"/>
                <w:lang w:val="en-US" w:eastAsia="zh-CN"/>
              </w:rPr>
              <w:t xml:space="preserve">4.评审委员会基于专业判断，认为供应商报价过低，有可能影响产品质量或者不能诚信履约的其他情形。 </w:t>
            </w:r>
          </w:p>
          <w:p w14:paraId="6DC24EB0">
            <w:pPr>
              <w:pStyle w:val="19"/>
              <w:keepNext w:val="0"/>
              <w:keepLines w:val="0"/>
              <w:pageBreakBefore w:val="0"/>
              <w:widowControl/>
              <w:kinsoku/>
              <w:wordWrap/>
              <w:overflowPunct/>
              <w:topLinePunct w:val="0"/>
              <w:autoSpaceDE w:val="0"/>
              <w:autoSpaceDN w:val="0"/>
              <w:bidi w:val="0"/>
              <w:adjustRightInd w:val="0"/>
              <w:snapToGrid w:val="0"/>
              <w:spacing w:line="0" w:lineRule="atLeast"/>
              <w:ind w:left="113" w:right="119" w:firstLine="11"/>
              <w:textAlignment w:val="baseline"/>
              <w:rPr>
                <w:rFonts w:hint="eastAsia" w:ascii="仿宋" w:hAnsi="仿宋" w:eastAsia="仿宋" w:cs="仿宋"/>
                <w:color w:val="auto"/>
                <w:spacing w:val="19"/>
                <w:sz w:val="21"/>
                <w:szCs w:val="21"/>
                <w:highlight w:val="none"/>
                <w:lang w:val="en-US" w:eastAsia="zh-CN"/>
              </w:rPr>
            </w:pPr>
            <w:r>
              <w:rPr>
                <w:rFonts w:hint="eastAsia" w:ascii="仿宋" w:hAnsi="仿宋" w:eastAsia="仿宋" w:cs="仿宋"/>
                <w:color w:val="auto"/>
                <w:spacing w:val="19"/>
                <w:sz w:val="21"/>
                <w:szCs w:val="21"/>
                <w:highlight w:val="none"/>
                <w:lang w:val="en-US" w:eastAsia="zh-CN"/>
              </w:rPr>
              <w:t>采购人可以结合具体项目实际情况，提高上述第1项至第3项中启动异常低价投标（响应）审查的数值标准，但是最高不得超过65%。</w:t>
            </w:r>
          </w:p>
          <w:p w14:paraId="4219C682">
            <w:pPr>
              <w:pStyle w:val="19"/>
              <w:keepNext w:val="0"/>
              <w:keepLines w:val="0"/>
              <w:pageBreakBefore w:val="0"/>
              <w:widowControl/>
              <w:kinsoku/>
              <w:wordWrap/>
              <w:overflowPunct/>
              <w:topLinePunct w:val="0"/>
              <w:autoSpaceDE w:val="0"/>
              <w:autoSpaceDN w:val="0"/>
              <w:bidi w:val="0"/>
              <w:adjustRightInd w:val="0"/>
              <w:snapToGrid w:val="0"/>
              <w:spacing w:line="0" w:lineRule="atLeast"/>
              <w:ind w:left="113" w:right="119" w:firstLine="11"/>
              <w:textAlignment w:val="baseline"/>
              <w:rPr>
                <w:rFonts w:hint="eastAsia" w:ascii="仿宋" w:hAnsi="仿宋" w:eastAsia="仿宋" w:cs="仿宋"/>
                <w:color w:val="auto"/>
                <w:spacing w:val="19"/>
                <w:sz w:val="21"/>
                <w:szCs w:val="21"/>
                <w:highlight w:val="none"/>
                <w:lang w:val="en-US" w:eastAsia="zh-CN"/>
              </w:rPr>
            </w:pPr>
            <w:r>
              <w:rPr>
                <w:rFonts w:hint="eastAsia" w:ascii="仿宋" w:hAnsi="仿宋" w:eastAsia="仿宋" w:cs="仿宋"/>
                <w:color w:val="auto"/>
                <w:spacing w:val="19"/>
                <w:sz w:val="21"/>
                <w:szCs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86079CD">
            <w:pPr>
              <w:pStyle w:val="19"/>
              <w:keepNext w:val="0"/>
              <w:keepLines w:val="0"/>
              <w:pageBreakBefore w:val="0"/>
              <w:widowControl/>
              <w:kinsoku/>
              <w:wordWrap/>
              <w:overflowPunct/>
              <w:topLinePunct w:val="0"/>
              <w:autoSpaceDE w:val="0"/>
              <w:autoSpaceDN w:val="0"/>
              <w:bidi w:val="0"/>
              <w:adjustRightInd w:val="0"/>
              <w:snapToGrid w:val="0"/>
              <w:spacing w:line="0" w:lineRule="atLeast"/>
              <w:ind w:left="113" w:right="119" w:firstLine="11"/>
              <w:textAlignment w:val="baseline"/>
              <w:rPr>
                <w:rFonts w:hint="eastAsia" w:ascii="仿宋" w:hAnsi="仿宋" w:eastAsia="仿宋" w:cs="仿宋"/>
                <w:color w:val="auto"/>
                <w:spacing w:val="19"/>
                <w:sz w:val="21"/>
                <w:szCs w:val="21"/>
                <w:highlight w:val="none"/>
                <w:lang w:eastAsia="zh-CN"/>
              </w:rPr>
            </w:pPr>
            <w:r>
              <w:rPr>
                <w:rFonts w:hint="eastAsia" w:ascii="仿宋" w:hAnsi="仿宋" w:eastAsia="仿宋" w:cs="仿宋"/>
                <w:color w:val="auto"/>
                <w:spacing w:val="19"/>
                <w:sz w:val="21"/>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33747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3" w:hRule="atLeast"/>
          <w:jc w:val="center"/>
        </w:trPr>
        <w:tc>
          <w:tcPr>
            <w:tcW w:w="1147" w:type="dxa"/>
            <w:tcBorders>
              <w:left w:val="single" w:color="000000" w:sz="2" w:space="0"/>
            </w:tcBorders>
            <w:vAlign w:val="center"/>
          </w:tcPr>
          <w:p w14:paraId="2CA9F24C">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val="en-US" w:eastAsia="zh-CN"/>
              </w:rPr>
            </w:pPr>
            <w:r>
              <w:rPr>
                <w:rFonts w:hint="eastAsia" w:ascii="仿宋" w:hAnsi="仿宋" w:eastAsia="仿宋" w:cs="仿宋"/>
                <w:color w:val="auto"/>
                <w:spacing w:val="8"/>
                <w:sz w:val="21"/>
                <w:szCs w:val="21"/>
                <w:highlight w:val="none"/>
                <w:lang w:val="en-US" w:eastAsia="zh-CN"/>
              </w:rPr>
              <w:t>25</w:t>
            </w:r>
          </w:p>
        </w:tc>
        <w:tc>
          <w:tcPr>
            <w:tcW w:w="1934" w:type="dxa"/>
            <w:vAlign w:val="center"/>
          </w:tcPr>
          <w:p w14:paraId="2A9D5A91">
            <w:pPr>
              <w:pStyle w:val="19"/>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color w:val="auto"/>
                <w:spacing w:val="8"/>
                <w:sz w:val="21"/>
                <w:szCs w:val="21"/>
                <w:highlight w:val="none"/>
                <w:lang w:val="en-US" w:eastAsia="zh-CN"/>
              </w:rPr>
            </w:pPr>
            <w:r>
              <w:rPr>
                <w:rFonts w:hint="eastAsia" w:ascii="仿宋" w:hAnsi="仿宋" w:eastAsia="仿宋" w:cs="仿宋"/>
                <w:color w:val="auto"/>
                <w:spacing w:val="8"/>
                <w:sz w:val="21"/>
                <w:szCs w:val="21"/>
                <w:highlight w:val="none"/>
                <w:lang w:val="en-US" w:eastAsia="zh-CN"/>
              </w:rPr>
              <w:t>其他</w:t>
            </w:r>
          </w:p>
        </w:tc>
        <w:tc>
          <w:tcPr>
            <w:tcW w:w="6390" w:type="dxa"/>
            <w:tcBorders>
              <w:right w:val="single" w:color="000000" w:sz="2" w:space="0"/>
            </w:tcBorders>
          </w:tcPr>
          <w:p w14:paraId="5ACF5641">
            <w:pPr>
              <w:pStyle w:val="19"/>
              <w:keepNext w:val="0"/>
              <w:keepLines w:val="0"/>
              <w:pageBreakBefore w:val="0"/>
              <w:widowControl/>
              <w:overflowPunct/>
              <w:topLinePunct w:val="0"/>
              <w:autoSpaceDE w:val="0"/>
              <w:autoSpaceDN w:val="0"/>
              <w:bidi w:val="0"/>
              <w:adjustRightInd w:val="0"/>
              <w:snapToGrid w:val="0"/>
              <w:spacing w:line="0" w:lineRule="atLeast"/>
              <w:ind w:left="13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1、当出现下列情形之一，响应文件将予以退回：</w:t>
            </w:r>
          </w:p>
          <w:p w14:paraId="46A51CA1">
            <w:pPr>
              <w:pStyle w:val="19"/>
              <w:keepNext w:val="0"/>
              <w:keepLines w:val="0"/>
              <w:pageBreakBefore w:val="0"/>
              <w:widowControl/>
              <w:overflowPunct/>
              <w:topLinePunct w:val="0"/>
              <w:autoSpaceDE w:val="0"/>
              <w:autoSpaceDN w:val="0"/>
              <w:bidi w:val="0"/>
              <w:adjustRightInd w:val="0"/>
              <w:snapToGrid w:val="0"/>
              <w:spacing w:line="0" w:lineRule="atLeast"/>
              <w:ind w:left="110" w:right="116" w:firstLine="13"/>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（1）投标供应商在响应文件递交截止时间前未成功上 传加密电子响应文件；</w:t>
            </w:r>
          </w:p>
          <w:p w14:paraId="0273F283">
            <w:pPr>
              <w:pStyle w:val="19"/>
              <w:keepNext w:val="0"/>
              <w:keepLines w:val="0"/>
              <w:pageBreakBefore w:val="0"/>
              <w:widowControl/>
              <w:overflowPunct/>
              <w:topLinePunct w:val="0"/>
              <w:autoSpaceDE w:val="0"/>
              <w:autoSpaceDN w:val="0"/>
              <w:bidi w:val="0"/>
              <w:adjustRightInd w:val="0"/>
              <w:snapToGrid w:val="0"/>
              <w:spacing w:line="0" w:lineRule="atLeast"/>
              <w:ind w:left="112" w:right="117" w:firstLine="11"/>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（2）投标供应商使用解密的CA数字证书与上传加密响 应文件使用的CA数字证书不一致；</w:t>
            </w:r>
          </w:p>
          <w:p w14:paraId="58C86E03">
            <w:pPr>
              <w:pStyle w:val="19"/>
              <w:keepNext w:val="0"/>
              <w:keepLines w:val="0"/>
              <w:pageBreakBefore w:val="0"/>
              <w:widowControl/>
              <w:overflowPunct/>
              <w:topLinePunct w:val="0"/>
              <w:autoSpaceDE w:val="0"/>
              <w:autoSpaceDN w:val="0"/>
              <w:bidi w:val="0"/>
              <w:adjustRightInd w:val="0"/>
              <w:snapToGrid w:val="0"/>
              <w:spacing w:line="0" w:lineRule="atLeast"/>
              <w:ind w:left="117" w:right="114" w:firstLine="6"/>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（3）投标供应商解密时CA数字证书已过期， 导致无法 正常解密；</w:t>
            </w:r>
          </w:p>
          <w:p w14:paraId="3F051CD6">
            <w:pPr>
              <w:pStyle w:val="19"/>
              <w:keepNext w:val="0"/>
              <w:keepLines w:val="0"/>
              <w:pageBreakBefore w:val="0"/>
              <w:widowControl/>
              <w:overflowPunct/>
              <w:topLinePunct w:val="0"/>
              <w:autoSpaceDE w:val="0"/>
              <w:autoSpaceDN w:val="0"/>
              <w:bidi w:val="0"/>
              <w:adjustRightInd w:val="0"/>
              <w:snapToGrid w:val="0"/>
              <w:spacing w:line="0" w:lineRule="atLeast"/>
              <w:ind w:left="118" w:right="172" w:firstLine="5"/>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（4）加密响应文件时，CA数字证书未过期，解密时， 显示CA数字证书已过期，导致无法正常解密；</w:t>
            </w:r>
          </w:p>
          <w:p w14:paraId="222D98E3">
            <w:pPr>
              <w:pStyle w:val="19"/>
              <w:keepNext w:val="0"/>
              <w:keepLines w:val="0"/>
              <w:pageBreakBefore w:val="0"/>
              <w:widowControl/>
              <w:overflowPunct/>
              <w:topLinePunct w:val="0"/>
              <w:autoSpaceDE w:val="0"/>
              <w:autoSpaceDN w:val="0"/>
              <w:bidi w:val="0"/>
              <w:adjustRightInd w:val="0"/>
              <w:snapToGrid w:val="0"/>
              <w:spacing w:line="0" w:lineRule="atLeast"/>
              <w:ind w:left="124"/>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（5）未在规定的响应文件解密时间内进行解密的；</w:t>
            </w:r>
          </w:p>
          <w:p w14:paraId="23AF6840">
            <w:pPr>
              <w:pStyle w:val="19"/>
              <w:keepNext w:val="0"/>
              <w:keepLines w:val="0"/>
              <w:pageBreakBefore w:val="0"/>
              <w:widowControl/>
              <w:overflowPunct/>
              <w:topLinePunct w:val="0"/>
              <w:autoSpaceDE w:val="0"/>
              <w:autoSpaceDN w:val="0"/>
              <w:bidi w:val="0"/>
              <w:adjustRightInd w:val="0"/>
              <w:snapToGrid w:val="0"/>
              <w:spacing w:line="0" w:lineRule="atLeast"/>
              <w:ind w:left="115" w:right="127" w:firstLine="8"/>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（6 ） 投标供应商个人原因导致无法解密的其他情形。</w:t>
            </w:r>
          </w:p>
          <w:p w14:paraId="28E9CFA6">
            <w:pPr>
              <w:pStyle w:val="19"/>
              <w:keepNext w:val="0"/>
              <w:keepLines w:val="0"/>
              <w:pageBreakBefore w:val="0"/>
              <w:widowControl/>
              <w:overflowPunct/>
              <w:topLinePunct w:val="0"/>
              <w:autoSpaceDE w:val="0"/>
              <w:autoSpaceDN w:val="0"/>
              <w:bidi w:val="0"/>
              <w:adjustRightInd w:val="0"/>
              <w:snapToGrid w:val="0"/>
              <w:spacing w:line="0" w:lineRule="atLeast"/>
              <w:ind w:left="113" w:right="117" w:firstLine="1"/>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2、投标供应商应在投标截止时间前将投标时使用的计 算机安装相关的浏览器（推荐使用谷歌浏览器）、CA驱 动等软件，方便响应文件解密时能够正常解密。</w:t>
            </w:r>
          </w:p>
          <w:p w14:paraId="727781BE">
            <w:pPr>
              <w:pStyle w:val="19"/>
              <w:keepNext w:val="0"/>
              <w:keepLines w:val="0"/>
              <w:pageBreakBefore w:val="0"/>
              <w:widowControl/>
              <w:overflowPunct/>
              <w:topLinePunct w:val="0"/>
              <w:autoSpaceDE w:val="0"/>
              <w:autoSpaceDN w:val="0"/>
              <w:bidi w:val="0"/>
              <w:adjustRightInd w:val="0"/>
              <w:snapToGrid w:val="0"/>
              <w:spacing w:line="0" w:lineRule="atLeast"/>
              <w:ind w:left="113" w:right="117" w:firstLine="3"/>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3、投标供应商需在投标截止时间前自行测试开标时使 用的计算机，如因投标供应商自身原因导致响应文件解密失败的，由投标供应商自行承担相应后果。</w:t>
            </w:r>
          </w:p>
          <w:p w14:paraId="3C23EC9B">
            <w:pPr>
              <w:pStyle w:val="19"/>
              <w:keepNext w:val="0"/>
              <w:keepLines w:val="0"/>
              <w:pageBreakBefore w:val="0"/>
              <w:widowControl/>
              <w:overflowPunct/>
              <w:topLinePunct w:val="0"/>
              <w:autoSpaceDE w:val="0"/>
              <w:autoSpaceDN w:val="0"/>
              <w:bidi w:val="0"/>
              <w:adjustRightInd w:val="0"/>
              <w:snapToGrid w:val="0"/>
              <w:spacing w:line="0" w:lineRule="atLeast"/>
              <w:ind w:left="111" w:right="92"/>
              <w:rPr>
                <w:rFonts w:hint="eastAsia" w:ascii="仿宋" w:hAnsi="仿宋" w:eastAsia="仿宋" w:cs="仿宋"/>
                <w:color w:val="auto"/>
                <w:sz w:val="21"/>
                <w:szCs w:val="21"/>
                <w:highlight w:val="none"/>
                <w:lang w:eastAsia="zh-CN"/>
              </w:rPr>
            </w:pPr>
            <w:r>
              <w:rPr>
                <w:rFonts w:hint="eastAsia" w:ascii="仿宋" w:hAnsi="仿宋" w:eastAsia="仿宋" w:cs="仿宋"/>
                <w:b/>
                <w:bCs/>
                <w:snapToGrid w:val="0"/>
                <w:color w:val="auto"/>
                <w:sz w:val="21"/>
                <w:szCs w:val="21"/>
                <w:highlight w:val="none"/>
                <w:lang w:val="en-US" w:eastAsia="zh-CN" w:bidi="ar-SA"/>
              </w:rPr>
              <w:t>4、本项目为全流程电子化开评审，供应商自备视频及语音通话功能的设备。</w:t>
            </w:r>
          </w:p>
        </w:tc>
      </w:tr>
    </w:tbl>
    <w:p w14:paraId="0FE67F7C">
      <w:pPr>
        <w:pageBreakBefore w:val="0"/>
        <w:widowControl/>
        <w:overflowPunct/>
        <w:topLinePunct w:val="0"/>
        <w:autoSpaceDE w:val="0"/>
        <w:autoSpaceDN w:val="0"/>
        <w:bidi w:val="0"/>
        <w:adjustRightInd w:val="0"/>
        <w:snapToGrid w:val="0"/>
        <w:spacing w:line="0" w:lineRule="atLeas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备注：采购文件中其它内容与须知前附表不一致的情形下，以须知前附表内容为准。</w:t>
      </w:r>
    </w:p>
    <w:p w14:paraId="490ABB66">
      <w:pPr>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z w:val="24"/>
          <w:szCs w:val="24"/>
          <w:highlight w:val="none"/>
          <w:lang w:eastAsia="zh-CN"/>
        </w:rPr>
      </w:pPr>
    </w:p>
    <w:p w14:paraId="0F0A0EDA">
      <w:pPr>
        <w:keepNext w:val="0"/>
        <w:keepLines w:val="0"/>
        <w:pageBreakBefore w:val="0"/>
        <w:widowControl/>
        <w:kinsoku w:val="0"/>
        <w:wordWrap/>
        <w:overflowPunct/>
        <w:topLinePunct w:val="0"/>
        <w:autoSpaceDE w:val="0"/>
        <w:autoSpaceDN w:val="0"/>
        <w:bidi w:val="0"/>
        <w:adjustRightInd w:val="0"/>
        <w:snapToGrid w:val="0"/>
        <w:spacing w:before="111" w:line="0" w:lineRule="atLeast"/>
        <w:jc w:val="center"/>
        <w:textAlignment w:val="baseline"/>
        <w:outlineLvl w:val="0"/>
        <w:rPr>
          <w:rFonts w:hint="eastAsia" w:ascii="仿宋" w:hAnsi="仿宋" w:eastAsia="仿宋" w:cs="仿宋"/>
          <w:color w:val="auto"/>
          <w:spacing w:val="15"/>
          <w:sz w:val="24"/>
          <w:szCs w:val="24"/>
          <w:highlight w:val="none"/>
          <w:lang w:eastAsia="zh-CN"/>
        </w:rPr>
      </w:pPr>
      <w:bookmarkStart w:id="19" w:name="_Toc6274"/>
    </w:p>
    <w:p w14:paraId="5C9AF1BA">
      <w:pPr>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pacing w:val="15"/>
          <w:sz w:val="24"/>
          <w:szCs w:val="24"/>
          <w:highlight w:val="none"/>
          <w:lang w:eastAsia="zh-CN"/>
        </w:rPr>
      </w:pPr>
      <w:r>
        <w:rPr>
          <w:rFonts w:hint="eastAsia" w:ascii="仿宋" w:hAnsi="仿宋" w:eastAsia="仿宋" w:cs="仿宋"/>
          <w:color w:val="auto"/>
          <w:spacing w:val="15"/>
          <w:sz w:val="24"/>
          <w:szCs w:val="24"/>
          <w:highlight w:val="none"/>
          <w:lang w:eastAsia="zh-CN"/>
        </w:rPr>
        <w:br w:type="page"/>
      </w:r>
    </w:p>
    <w:p w14:paraId="61279BBA">
      <w:pPr>
        <w:keepNext w:val="0"/>
        <w:keepLines w:val="0"/>
        <w:pageBreakBefore w:val="0"/>
        <w:widowControl/>
        <w:kinsoku w:val="0"/>
        <w:wordWrap/>
        <w:overflowPunct/>
        <w:topLinePunct w:val="0"/>
        <w:autoSpaceDE w:val="0"/>
        <w:autoSpaceDN w:val="0"/>
        <w:bidi w:val="0"/>
        <w:adjustRightInd w:val="0"/>
        <w:snapToGrid w:val="0"/>
        <w:spacing w:before="111" w:line="0" w:lineRule="atLeast"/>
        <w:jc w:val="center"/>
        <w:textAlignment w:val="baseline"/>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5"/>
          <w:sz w:val="24"/>
          <w:szCs w:val="24"/>
          <w:highlight w:val="none"/>
          <w:lang w:eastAsia="zh-CN"/>
        </w:rPr>
        <w:t>第二章谈判须知</w:t>
      </w:r>
      <w:bookmarkEnd w:id="19"/>
    </w:p>
    <w:p w14:paraId="41F8B7BA">
      <w:pPr>
        <w:keepNext w:val="0"/>
        <w:keepLines w:val="0"/>
        <w:pageBreakBefore w:val="0"/>
        <w:widowControl/>
        <w:kinsoku w:val="0"/>
        <w:wordWrap/>
        <w:overflowPunct/>
        <w:topLinePunct w:val="0"/>
        <w:autoSpaceDE w:val="0"/>
        <w:autoSpaceDN w:val="0"/>
        <w:bidi w:val="0"/>
        <w:adjustRightInd w:val="0"/>
        <w:snapToGrid w:val="0"/>
        <w:spacing w:before="286" w:line="0" w:lineRule="atLeast"/>
        <w:textAlignment w:val="baseline"/>
        <w:outlineLvl w:val="1"/>
        <w:rPr>
          <w:rFonts w:hint="eastAsia" w:ascii="仿宋" w:hAnsi="仿宋" w:eastAsia="仿宋" w:cs="仿宋"/>
          <w:color w:val="auto"/>
          <w:sz w:val="24"/>
          <w:szCs w:val="24"/>
          <w:highlight w:val="none"/>
          <w:lang w:eastAsia="zh-CN"/>
        </w:rPr>
      </w:pPr>
      <w:bookmarkStart w:id="20" w:name="_Toc32032"/>
      <w:r>
        <w:rPr>
          <w:rFonts w:hint="eastAsia" w:ascii="仿宋" w:hAnsi="仿宋" w:eastAsia="仿宋" w:cs="仿宋"/>
          <w:color w:val="auto"/>
          <w:spacing w:val="-14"/>
          <w:sz w:val="24"/>
          <w:szCs w:val="24"/>
          <w:highlight w:val="none"/>
          <w:lang w:eastAsia="zh-CN"/>
        </w:rPr>
        <w:t>一、总则</w:t>
      </w:r>
      <w:bookmarkEnd w:id="20"/>
    </w:p>
    <w:p w14:paraId="143254AE">
      <w:pPr>
        <w:keepNext w:val="0"/>
        <w:keepLines w:val="0"/>
        <w:pageBreakBefore w:val="0"/>
        <w:widowControl/>
        <w:kinsoku w:val="0"/>
        <w:wordWrap/>
        <w:overflowPunct/>
        <w:topLinePunct w:val="0"/>
        <w:autoSpaceDE w:val="0"/>
        <w:autoSpaceDN w:val="0"/>
        <w:bidi w:val="0"/>
        <w:adjustRightInd w:val="0"/>
        <w:snapToGrid w:val="0"/>
        <w:spacing w:before="179" w:line="0" w:lineRule="atLeast"/>
        <w:ind w:left="25"/>
        <w:textAlignment w:val="baseline"/>
        <w:outlineLvl w:val="2"/>
        <w:rPr>
          <w:rFonts w:hint="eastAsia" w:ascii="仿宋" w:hAnsi="仿宋" w:eastAsia="仿宋" w:cs="仿宋"/>
          <w:color w:val="auto"/>
          <w:sz w:val="24"/>
          <w:szCs w:val="24"/>
          <w:highlight w:val="none"/>
          <w:lang w:eastAsia="zh-CN"/>
        </w:rPr>
      </w:pPr>
      <w:bookmarkStart w:id="21" w:name="_Toc13444"/>
      <w:r>
        <w:rPr>
          <w:rFonts w:hint="eastAsia" w:ascii="仿宋" w:hAnsi="仿宋" w:eastAsia="仿宋" w:cs="仿宋"/>
          <w:color w:val="auto"/>
          <w:spacing w:val="2"/>
          <w:sz w:val="24"/>
          <w:szCs w:val="24"/>
          <w:highlight w:val="none"/>
          <w:lang w:eastAsia="zh-CN"/>
          <w14:textOutline w14:w="4394" w14:cap="flat" w14:cmpd="sng" w14:algn="ctr">
            <w14:solidFill>
              <w14:srgbClr w14:val="000000"/>
            </w14:solidFill>
            <w14:prstDash w14:val="solid"/>
            <w14:miter w14:val="0"/>
          </w14:textOutline>
        </w:rPr>
        <w:t>1.</w:t>
      </w:r>
      <w:r>
        <w:rPr>
          <w:rFonts w:hint="eastAsia" w:ascii="仿宋" w:hAnsi="仿宋" w:eastAsia="仿宋" w:cs="仿宋"/>
          <w:color w:val="auto"/>
          <w:spacing w:val="19"/>
          <w:sz w:val="24"/>
          <w:szCs w:val="24"/>
          <w:highlight w:val="none"/>
          <w:lang w:eastAsia="zh-CN"/>
        </w:rPr>
        <w:t xml:space="preserve"> </w:t>
      </w:r>
      <w:r>
        <w:rPr>
          <w:rFonts w:hint="eastAsia" w:ascii="仿宋" w:hAnsi="仿宋" w:eastAsia="仿宋" w:cs="仿宋"/>
          <w:color w:val="auto"/>
          <w:spacing w:val="2"/>
          <w:sz w:val="24"/>
          <w:szCs w:val="24"/>
          <w:highlight w:val="none"/>
          <w:lang w:eastAsia="zh-CN"/>
          <w14:textOutline w14:w="4394" w14:cap="flat" w14:cmpd="sng" w14:algn="ctr">
            <w14:solidFill>
              <w14:srgbClr w14:val="000000"/>
            </w14:solidFill>
            <w14:prstDash w14:val="solid"/>
            <w14:miter w14:val="0"/>
          </w14:textOutline>
        </w:rPr>
        <w:t>适用范围</w:t>
      </w:r>
      <w:bookmarkEnd w:id="21"/>
    </w:p>
    <w:p w14:paraId="7990979C">
      <w:pPr>
        <w:keepNext w:val="0"/>
        <w:keepLines w:val="0"/>
        <w:pageBreakBefore w:val="0"/>
        <w:widowControl/>
        <w:kinsoku w:val="0"/>
        <w:wordWrap/>
        <w:overflowPunct/>
        <w:topLinePunct w:val="0"/>
        <w:autoSpaceDE w:val="0"/>
        <w:autoSpaceDN w:val="0"/>
        <w:bidi w:val="0"/>
        <w:adjustRightInd w:val="0"/>
        <w:snapToGrid w:val="0"/>
        <w:spacing w:before="214" w:line="0" w:lineRule="atLeast"/>
        <w:textAlignment w:val="baseline"/>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1.1 本竞争性谈判文件适用于本谈判中所述的中华人民共和国新疆出入境边防检查总站繁育种犬及待训警犬采购项目政府采购项目。</w:t>
      </w:r>
    </w:p>
    <w:p w14:paraId="7B2C4A5A">
      <w:pPr>
        <w:keepNext w:val="0"/>
        <w:keepLines w:val="0"/>
        <w:pageBreakBefore w:val="0"/>
        <w:widowControl/>
        <w:kinsoku w:val="0"/>
        <w:wordWrap/>
        <w:overflowPunct/>
        <w:topLinePunct w:val="0"/>
        <w:autoSpaceDE w:val="0"/>
        <w:autoSpaceDN w:val="0"/>
        <w:bidi w:val="0"/>
        <w:adjustRightInd w:val="0"/>
        <w:snapToGrid w:val="0"/>
        <w:spacing w:before="217" w:line="0" w:lineRule="atLeast"/>
        <w:ind w:left="11"/>
        <w:textAlignment w:val="baseline"/>
        <w:outlineLvl w:val="2"/>
        <w:rPr>
          <w:rFonts w:hint="eastAsia" w:ascii="仿宋" w:hAnsi="仿宋" w:eastAsia="仿宋" w:cs="仿宋"/>
          <w:color w:val="auto"/>
          <w:sz w:val="24"/>
          <w:szCs w:val="24"/>
          <w:highlight w:val="none"/>
          <w:lang w:eastAsia="zh-CN"/>
        </w:rPr>
      </w:pPr>
      <w:bookmarkStart w:id="22" w:name="_Toc1426"/>
      <w:r>
        <w:rPr>
          <w:rFonts w:hint="eastAsia" w:ascii="仿宋" w:hAnsi="仿宋" w:eastAsia="仿宋" w:cs="仿宋"/>
          <w:color w:val="auto"/>
          <w:sz w:val="24"/>
          <w:szCs w:val="24"/>
          <w:highlight w:val="none"/>
          <w:lang w:eastAsia="zh-CN"/>
          <w14:textOutline w14:w="4394" w14:cap="flat" w14:cmpd="sng" w14:algn="ctr">
            <w14:solidFill>
              <w14:srgbClr w14:val="000000"/>
            </w14:solidFill>
            <w14:prstDash w14:val="solid"/>
            <w14:miter w14:val="0"/>
          </w14:textOutline>
        </w:rPr>
        <w:t>2.</w:t>
      </w:r>
      <w:r>
        <w:rPr>
          <w:rFonts w:hint="eastAsia" w:ascii="仿宋" w:hAnsi="仿宋" w:eastAsia="仿宋" w:cs="仿宋"/>
          <w:color w:val="auto"/>
          <w:spacing w:val="24"/>
          <w:sz w:val="24"/>
          <w:szCs w:val="24"/>
          <w:highlight w:val="none"/>
          <w:lang w:eastAsia="zh-CN"/>
        </w:rPr>
        <w:t xml:space="preserve"> </w:t>
      </w:r>
      <w:r>
        <w:rPr>
          <w:rFonts w:hint="eastAsia" w:ascii="仿宋" w:hAnsi="仿宋" w:eastAsia="仿宋" w:cs="仿宋"/>
          <w:color w:val="auto"/>
          <w:sz w:val="24"/>
          <w:szCs w:val="24"/>
          <w:highlight w:val="none"/>
          <w:lang w:eastAsia="zh-CN"/>
          <w14:textOutline w14:w="4394" w14:cap="flat" w14:cmpd="sng" w14:algn="ctr">
            <w14:solidFill>
              <w14:srgbClr w14:val="000000"/>
            </w14:solidFill>
            <w14:prstDash w14:val="solid"/>
            <w14:miter w14:val="0"/>
          </w14:textOutline>
        </w:rPr>
        <w:t>定义</w:t>
      </w:r>
      <w:bookmarkEnd w:id="22"/>
    </w:p>
    <w:p w14:paraId="13DB3104">
      <w:pPr>
        <w:keepNext w:val="0"/>
        <w:keepLines w:val="0"/>
        <w:pageBreakBefore w:val="0"/>
        <w:widowControl/>
        <w:kinsoku w:val="0"/>
        <w:wordWrap/>
        <w:overflowPunct/>
        <w:topLinePunct w:val="0"/>
        <w:autoSpaceDE w:val="0"/>
        <w:autoSpaceDN w:val="0"/>
        <w:bidi w:val="0"/>
        <w:adjustRightInd w:val="0"/>
        <w:snapToGrid w:val="0"/>
        <w:spacing w:before="214" w:line="0" w:lineRule="atLeast"/>
        <w:textAlignment w:val="baseline"/>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2.1“采购人 ”名称见本谈判文件第二部分“供应商须知前附表 ”中第 2 项。</w:t>
      </w:r>
    </w:p>
    <w:p w14:paraId="7793536F">
      <w:pPr>
        <w:keepNext w:val="0"/>
        <w:keepLines w:val="0"/>
        <w:pageBreakBefore w:val="0"/>
        <w:widowControl/>
        <w:kinsoku w:val="0"/>
        <w:wordWrap/>
        <w:overflowPunct/>
        <w:topLinePunct w:val="0"/>
        <w:autoSpaceDE w:val="0"/>
        <w:autoSpaceDN w:val="0"/>
        <w:bidi w:val="0"/>
        <w:adjustRightInd w:val="0"/>
        <w:snapToGrid w:val="0"/>
        <w:spacing w:before="214" w:line="0" w:lineRule="atLeast"/>
        <w:textAlignment w:val="baseline"/>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2.2“采购代理机构 ”名称见本谈判文件第二部分“供应商须知前附表 ”中第 2 项。</w:t>
      </w:r>
    </w:p>
    <w:p w14:paraId="2F50C6B7">
      <w:pPr>
        <w:keepNext w:val="0"/>
        <w:keepLines w:val="0"/>
        <w:pageBreakBefore w:val="0"/>
        <w:widowControl/>
        <w:kinsoku w:val="0"/>
        <w:wordWrap/>
        <w:overflowPunct/>
        <w:topLinePunct w:val="0"/>
        <w:autoSpaceDE w:val="0"/>
        <w:autoSpaceDN w:val="0"/>
        <w:bidi w:val="0"/>
        <w:adjustRightInd w:val="0"/>
        <w:snapToGrid w:val="0"/>
        <w:spacing w:before="214" w:line="0" w:lineRule="atLeast"/>
        <w:textAlignment w:val="baseline"/>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2.3 “服务 ”指谈判文件第四部分所述供应商应该提供的服务及履行的承诺和义务；</w:t>
      </w:r>
    </w:p>
    <w:p w14:paraId="507CA22D">
      <w:pPr>
        <w:keepNext w:val="0"/>
        <w:keepLines w:val="0"/>
        <w:pageBreakBefore w:val="0"/>
        <w:widowControl/>
        <w:kinsoku w:val="0"/>
        <w:wordWrap/>
        <w:overflowPunct/>
        <w:topLinePunct w:val="0"/>
        <w:autoSpaceDE w:val="0"/>
        <w:autoSpaceDN w:val="0"/>
        <w:bidi w:val="0"/>
        <w:adjustRightInd w:val="0"/>
        <w:snapToGrid w:val="0"/>
        <w:spacing w:before="214" w:line="0" w:lineRule="atLeast"/>
        <w:textAlignment w:val="baseline"/>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2.4“供应商 ”指符合谈判文件规定并参加投标的供应商。</w:t>
      </w:r>
    </w:p>
    <w:p w14:paraId="104B6A9E">
      <w:pPr>
        <w:keepNext w:val="0"/>
        <w:keepLines w:val="0"/>
        <w:pageBreakBefore w:val="0"/>
        <w:widowControl/>
        <w:kinsoku w:val="0"/>
        <w:wordWrap/>
        <w:overflowPunct/>
        <w:topLinePunct w:val="0"/>
        <w:autoSpaceDE w:val="0"/>
        <w:autoSpaceDN w:val="0"/>
        <w:bidi w:val="0"/>
        <w:adjustRightInd w:val="0"/>
        <w:snapToGrid w:val="0"/>
        <w:spacing w:before="214" w:line="0" w:lineRule="atLeast"/>
        <w:textAlignment w:val="baseline"/>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2.5“成交供应商 ”是指：经谈判小组评审、推荐，采购人依法确定并授予合同的谈判供应商。</w:t>
      </w:r>
    </w:p>
    <w:p w14:paraId="5F1B27BD">
      <w:pPr>
        <w:keepNext w:val="0"/>
        <w:keepLines w:val="0"/>
        <w:pageBreakBefore w:val="0"/>
        <w:widowControl/>
        <w:kinsoku w:val="0"/>
        <w:wordWrap/>
        <w:overflowPunct/>
        <w:topLinePunct w:val="0"/>
        <w:autoSpaceDE w:val="0"/>
        <w:autoSpaceDN w:val="0"/>
        <w:bidi w:val="0"/>
        <w:adjustRightInd w:val="0"/>
        <w:snapToGrid w:val="0"/>
        <w:spacing w:before="214" w:line="0" w:lineRule="atLeast"/>
        <w:textAlignment w:val="baseline"/>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2.6“谈判响应文件 ”是指：谈判供应商根据本文件要求，编制包含报价、技术和等所有内容的文件。</w:t>
      </w:r>
    </w:p>
    <w:p w14:paraId="3052FF96">
      <w:pPr>
        <w:keepNext w:val="0"/>
        <w:keepLines w:val="0"/>
        <w:pageBreakBefore w:val="0"/>
        <w:widowControl/>
        <w:kinsoku w:val="0"/>
        <w:wordWrap/>
        <w:overflowPunct/>
        <w:topLinePunct w:val="0"/>
        <w:autoSpaceDE w:val="0"/>
        <w:autoSpaceDN w:val="0"/>
        <w:bidi w:val="0"/>
        <w:adjustRightInd w:val="0"/>
        <w:snapToGrid w:val="0"/>
        <w:spacing w:before="214" w:line="0" w:lineRule="atLeast"/>
        <w:textAlignment w:val="baseline"/>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2.7“ 电子谈判响应文件 ”是指：使用政采云电子投标客户端编制并电子签章生成</w:t>
      </w:r>
      <w:bookmarkStart w:id="23" w:name="_Toc30699"/>
      <w:r>
        <w:rPr>
          <w:rFonts w:hint="eastAsia" w:ascii="仿宋" w:hAnsi="仿宋" w:eastAsia="仿宋" w:cs="仿宋"/>
          <w:color w:val="auto"/>
          <w:spacing w:val="7"/>
          <w:sz w:val="24"/>
          <w:szCs w:val="24"/>
          <w:highlight w:val="none"/>
          <w:lang w:eastAsia="zh-CN"/>
        </w:rPr>
        <w:t>加密和未加密的谈判响应文件。</w:t>
      </w:r>
    </w:p>
    <w:p w14:paraId="032A1FE7">
      <w:pPr>
        <w:keepNext w:val="0"/>
        <w:keepLines w:val="0"/>
        <w:pageBreakBefore w:val="0"/>
        <w:widowControl/>
        <w:kinsoku w:val="0"/>
        <w:wordWrap/>
        <w:overflowPunct/>
        <w:topLinePunct w:val="0"/>
        <w:autoSpaceDE w:val="0"/>
        <w:autoSpaceDN w:val="0"/>
        <w:bidi w:val="0"/>
        <w:adjustRightInd w:val="0"/>
        <w:snapToGrid w:val="0"/>
        <w:spacing w:before="216"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14:textOutline w14:w="4394" w14:cap="flat" w14:cmpd="sng" w14:algn="ctr">
            <w14:solidFill>
              <w14:srgbClr w14:val="000000"/>
            </w14:solidFill>
            <w14:prstDash w14:val="solid"/>
            <w14:miter w14:val="0"/>
          </w14:textOutline>
        </w:rPr>
        <w:t>3.</w:t>
      </w:r>
      <w:r>
        <w:rPr>
          <w:rFonts w:hint="eastAsia" w:ascii="仿宋" w:hAnsi="仿宋" w:eastAsia="仿宋" w:cs="仿宋"/>
          <w:color w:val="auto"/>
          <w:spacing w:val="9"/>
          <w:sz w:val="24"/>
          <w:szCs w:val="24"/>
          <w:highlight w:val="none"/>
          <w:lang w:eastAsia="zh-CN"/>
        </w:rPr>
        <w:t xml:space="preserve"> </w:t>
      </w:r>
      <w:r>
        <w:rPr>
          <w:rFonts w:hint="eastAsia" w:ascii="仿宋" w:hAnsi="仿宋" w:eastAsia="仿宋" w:cs="仿宋"/>
          <w:color w:val="auto"/>
          <w:spacing w:val="9"/>
          <w:sz w:val="24"/>
          <w:szCs w:val="24"/>
          <w:highlight w:val="none"/>
          <w:lang w:eastAsia="zh-CN"/>
          <w14:textOutline w14:w="4394" w14:cap="flat" w14:cmpd="sng" w14:algn="ctr">
            <w14:solidFill>
              <w14:srgbClr w14:val="000000"/>
            </w14:solidFill>
            <w14:prstDash w14:val="solid"/>
            <w14:miter w14:val="0"/>
          </w14:textOutline>
        </w:rPr>
        <w:t>谈判供应商必须具备的基本条件</w:t>
      </w:r>
      <w:bookmarkEnd w:id="23"/>
    </w:p>
    <w:p w14:paraId="727A2FB5">
      <w:pPr>
        <w:keepNext w:val="0"/>
        <w:keepLines w:val="0"/>
        <w:pageBreakBefore w:val="0"/>
        <w:widowControl/>
        <w:kinsoku w:val="0"/>
        <w:wordWrap/>
        <w:overflowPunct/>
        <w:topLinePunct w:val="0"/>
        <w:autoSpaceDE w:val="0"/>
        <w:autoSpaceDN w:val="0"/>
        <w:bidi w:val="0"/>
        <w:adjustRightInd w:val="0"/>
        <w:snapToGrid w:val="0"/>
        <w:spacing w:before="217"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position w:val="20"/>
          <w:sz w:val="24"/>
          <w:szCs w:val="24"/>
          <w:highlight w:val="none"/>
          <w:lang w:eastAsia="zh-CN"/>
        </w:rPr>
        <w:t>3.1 符合谈判文件“第一章 竞争性谈判公告</w:t>
      </w:r>
      <w:r>
        <w:rPr>
          <w:rFonts w:hint="eastAsia" w:ascii="仿宋" w:hAnsi="仿宋" w:eastAsia="仿宋" w:cs="仿宋"/>
          <w:color w:val="auto"/>
          <w:spacing w:val="-83"/>
          <w:position w:val="20"/>
          <w:sz w:val="24"/>
          <w:szCs w:val="24"/>
          <w:highlight w:val="none"/>
          <w:lang w:eastAsia="zh-CN"/>
        </w:rPr>
        <w:t xml:space="preserve"> </w:t>
      </w:r>
      <w:r>
        <w:rPr>
          <w:rFonts w:hint="eastAsia" w:ascii="仿宋" w:hAnsi="仿宋" w:eastAsia="仿宋" w:cs="仿宋"/>
          <w:color w:val="auto"/>
          <w:spacing w:val="7"/>
          <w:position w:val="20"/>
          <w:sz w:val="24"/>
          <w:szCs w:val="24"/>
          <w:highlight w:val="none"/>
          <w:lang w:eastAsia="zh-CN"/>
        </w:rPr>
        <w:t>”</w:t>
      </w:r>
      <w:r>
        <w:rPr>
          <w:rFonts w:hint="eastAsia" w:ascii="仿宋" w:hAnsi="仿宋" w:eastAsia="仿宋" w:cs="仿宋"/>
          <w:color w:val="auto"/>
          <w:spacing w:val="6"/>
          <w:position w:val="20"/>
          <w:sz w:val="24"/>
          <w:szCs w:val="24"/>
          <w:highlight w:val="none"/>
          <w:lang w:eastAsia="zh-CN"/>
        </w:rPr>
        <w:t>规定的供应商资格要求。</w:t>
      </w:r>
    </w:p>
    <w:p w14:paraId="3C1D6311">
      <w:pPr>
        <w:keepNext w:val="0"/>
        <w:keepLines w:val="0"/>
        <w:pageBreakBefore w:val="0"/>
        <w:widowControl/>
        <w:kinsoku w:val="0"/>
        <w:wordWrap/>
        <w:overflowPunct/>
        <w:topLinePunct w:val="0"/>
        <w:autoSpaceDE w:val="0"/>
        <w:autoSpaceDN w:val="0"/>
        <w:bidi w:val="0"/>
        <w:adjustRightInd w:val="0"/>
        <w:snapToGrid w:val="0"/>
        <w:spacing w:before="1"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3.2</w:t>
      </w:r>
      <w:r>
        <w:rPr>
          <w:rFonts w:hint="eastAsia" w:ascii="仿宋" w:hAnsi="仿宋" w:eastAsia="仿宋" w:cs="仿宋"/>
          <w:color w:val="auto"/>
          <w:spacing w:val="17"/>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联合体</w:t>
      </w:r>
      <w:r>
        <w:rPr>
          <w:rFonts w:hint="eastAsia" w:ascii="仿宋" w:hAnsi="仿宋" w:eastAsia="仿宋" w:cs="仿宋"/>
          <w:color w:val="auto"/>
          <w:spacing w:val="6"/>
          <w:sz w:val="24"/>
          <w:szCs w:val="24"/>
          <w:highlight w:val="none"/>
          <w:lang w:eastAsia="zh-CN"/>
        </w:rPr>
        <w:t>本项目（否）接受联合体投标。</w:t>
      </w:r>
    </w:p>
    <w:p w14:paraId="572200C0">
      <w:pPr>
        <w:keepNext w:val="0"/>
        <w:keepLines w:val="0"/>
        <w:pageBreakBefore w:val="0"/>
        <w:widowControl/>
        <w:kinsoku w:val="0"/>
        <w:wordWrap/>
        <w:overflowPunct/>
        <w:topLinePunct w:val="0"/>
        <w:autoSpaceDE w:val="0"/>
        <w:autoSpaceDN w:val="0"/>
        <w:bidi w:val="0"/>
        <w:adjustRightInd w:val="0"/>
        <w:snapToGrid w:val="0"/>
        <w:spacing w:before="217" w:line="0" w:lineRule="atLeast"/>
        <w:ind w:left="7"/>
        <w:textAlignment w:val="baseline"/>
        <w:outlineLvl w:val="2"/>
        <w:rPr>
          <w:rFonts w:hint="eastAsia" w:ascii="仿宋" w:hAnsi="仿宋" w:eastAsia="仿宋" w:cs="仿宋"/>
          <w:color w:val="auto"/>
          <w:spacing w:val="5"/>
          <w:sz w:val="24"/>
          <w:szCs w:val="24"/>
          <w:highlight w:val="none"/>
          <w:lang w:eastAsia="zh-CN"/>
          <w14:textOutline w14:w="4394" w14:cap="flat" w14:cmpd="sng" w14:algn="ctr">
            <w14:solidFill>
              <w14:srgbClr w14:val="000000"/>
            </w14:solidFill>
            <w14:prstDash w14:val="solid"/>
            <w14:miter w14:val="0"/>
          </w14:textOutline>
        </w:rPr>
      </w:pPr>
      <w:bookmarkStart w:id="24" w:name="_Toc20161"/>
      <w:r>
        <w:rPr>
          <w:rFonts w:hint="eastAsia" w:ascii="仿宋" w:hAnsi="仿宋" w:eastAsia="仿宋" w:cs="仿宋"/>
          <w:color w:val="auto"/>
          <w:spacing w:val="5"/>
          <w:sz w:val="24"/>
          <w:szCs w:val="24"/>
          <w:highlight w:val="none"/>
          <w:lang w:eastAsia="zh-CN"/>
          <w14:textOutline w14:w="4394" w14:cap="flat" w14:cmpd="sng" w14:algn="ctr">
            <w14:solidFill>
              <w14:srgbClr w14:val="000000"/>
            </w14:solidFill>
            <w14:prstDash w14:val="solid"/>
            <w14:miter w14:val="0"/>
          </w14:textOutline>
        </w:rPr>
        <w:t>4.</w:t>
      </w:r>
      <w:r>
        <w:rPr>
          <w:rFonts w:hint="eastAsia" w:ascii="仿宋" w:hAnsi="仿宋" w:eastAsia="仿宋" w:cs="仿宋"/>
          <w:color w:val="auto"/>
          <w:spacing w:val="20"/>
          <w:sz w:val="24"/>
          <w:szCs w:val="24"/>
          <w:highlight w:val="none"/>
          <w:lang w:eastAsia="zh-CN"/>
        </w:rPr>
        <w:t xml:space="preserve"> </w:t>
      </w:r>
      <w:r>
        <w:rPr>
          <w:rFonts w:hint="eastAsia" w:ascii="仿宋" w:hAnsi="仿宋" w:eastAsia="仿宋" w:cs="仿宋"/>
          <w:color w:val="auto"/>
          <w:spacing w:val="5"/>
          <w:sz w:val="24"/>
          <w:szCs w:val="24"/>
          <w:highlight w:val="none"/>
          <w:lang w:eastAsia="zh-CN"/>
          <w14:textOutline w14:w="4394" w14:cap="flat" w14:cmpd="sng" w14:algn="ctr">
            <w14:solidFill>
              <w14:srgbClr w14:val="000000"/>
            </w14:solidFill>
            <w14:prstDash w14:val="solid"/>
            <w14:miter w14:val="0"/>
          </w14:textOutline>
        </w:rPr>
        <w:t>谈判费用</w:t>
      </w:r>
      <w:bookmarkEnd w:id="24"/>
    </w:p>
    <w:p w14:paraId="108297D8">
      <w:pPr>
        <w:keepNext w:val="0"/>
        <w:keepLines w:val="0"/>
        <w:pageBreakBefore w:val="0"/>
        <w:widowControl/>
        <w:kinsoku w:val="0"/>
        <w:wordWrap/>
        <w:overflowPunct/>
        <w:topLinePunct w:val="0"/>
        <w:autoSpaceDE w:val="0"/>
        <w:autoSpaceDN w:val="0"/>
        <w:bidi w:val="0"/>
        <w:adjustRightInd w:val="0"/>
        <w:snapToGrid w:val="0"/>
        <w:spacing w:before="217" w:line="0" w:lineRule="atLeast"/>
        <w:ind w:left="6"/>
        <w:textAlignment w:val="baseline"/>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4.1 谈判供应商应自行承担所有与编写和提交竞争性谈判响应文件有关的费用，不论谈判结果如何，采购人和采购代理机构在任何情况下无义务和责任承担此类费用。</w:t>
      </w:r>
    </w:p>
    <w:p w14:paraId="3A3D5A01">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p>
    <w:p w14:paraId="43423971">
      <w:pPr>
        <w:keepNext w:val="0"/>
        <w:keepLines w:val="0"/>
        <w:pageBreakBefore w:val="0"/>
        <w:widowControl/>
        <w:kinsoku w:val="0"/>
        <w:wordWrap/>
        <w:overflowPunct/>
        <w:topLinePunct w:val="0"/>
        <w:autoSpaceDE w:val="0"/>
        <w:autoSpaceDN w:val="0"/>
        <w:bidi w:val="0"/>
        <w:adjustRightInd w:val="0"/>
        <w:snapToGrid w:val="0"/>
        <w:spacing w:before="258" w:line="0" w:lineRule="atLeast"/>
        <w:jc w:val="center"/>
        <w:textAlignment w:val="baseline"/>
        <w:outlineLvl w:val="1"/>
        <w:rPr>
          <w:rFonts w:hint="eastAsia" w:ascii="仿宋" w:hAnsi="仿宋" w:eastAsia="仿宋" w:cs="仿宋"/>
          <w:color w:val="auto"/>
          <w:sz w:val="24"/>
          <w:szCs w:val="24"/>
          <w:highlight w:val="none"/>
          <w:lang w:eastAsia="zh-CN"/>
        </w:rPr>
      </w:pPr>
      <w:bookmarkStart w:id="25" w:name="_Toc25932"/>
      <w:r>
        <w:rPr>
          <w:rFonts w:hint="eastAsia" w:ascii="仿宋" w:hAnsi="仿宋" w:eastAsia="仿宋" w:cs="仿宋"/>
          <w:color w:val="auto"/>
          <w:spacing w:val="9"/>
          <w:sz w:val="24"/>
          <w:szCs w:val="24"/>
          <w:highlight w:val="none"/>
          <w:lang w:eastAsia="zh-CN"/>
          <w14:textOutline w14:w="4394" w14:cap="flat" w14:cmpd="sng" w14:algn="ctr">
            <w14:solidFill>
              <w14:srgbClr w14:val="000000"/>
            </w14:solidFill>
            <w14:prstDash w14:val="solid"/>
            <w14:miter w14:val="0"/>
          </w14:textOutline>
        </w:rPr>
        <w:t>二、竞争性谈判响应文件的编制</w:t>
      </w:r>
      <w:bookmarkEnd w:id="25"/>
    </w:p>
    <w:p w14:paraId="6B9AFF2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5" w:line="0" w:lineRule="atLeast"/>
        <w:ind w:left="12"/>
        <w:textAlignment w:val="baseline"/>
        <w:outlineLvl w:val="2"/>
        <w:rPr>
          <w:rFonts w:hint="eastAsia" w:ascii="仿宋" w:hAnsi="仿宋" w:eastAsia="仿宋" w:cs="仿宋"/>
          <w:color w:val="auto"/>
          <w:spacing w:val="9"/>
          <w:sz w:val="24"/>
          <w:szCs w:val="24"/>
          <w:highlight w:val="none"/>
          <w:lang w:eastAsia="zh-CN"/>
          <w14:textOutline w14:w="4394" w14:cap="flat" w14:cmpd="sng" w14:algn="ctr">
            <w14:solidFill>
              <w14:srgbClr w14:val="000000"/>
            </w14:solidFill>
            <w14:prstDash w14:val="solid"/>
            <w14:miter w14:val="0"/>
          </w14:textOutline>
        </w:rPr>
      </w:pPr>
      <w:bookmarkStart w:id="26" w:name="_Toc8823"/>
      <w:r>
        <w:rPr>
          <w:rFonts w:hint="eastAsia" w:ascii="仿宋" w:hAnsi="仿宋" w:eastAsia="仿宋" w:cs="仿宋"/>
          <w:color w:val="auto"/>
          <w:spacing w:val="9"/>
          <w:sz w:val="24"/>
          <w:szCs w:val="24"/>
          <w:highlight w:val="none"/>
          <w:lang w:eastAsia="zh-CN"/>
          <w14:textOutline w14:w="4394" w14:cap="flat" w14:cmpd="sng" w14:algn="ctr">
            <w14:solidFill>
              <w14:srgbClr w14:val="000000"/>
            </w14:solidFill>
            <w14:prstDash w14:val="solid"/>
            <w14:miter w14:val="0"/>
          </w14:textOutline>
        </w:rPr>
        <w:t>竞争性谈判响应文件编制基本要求</w:t>
      </w:r>
      <w:bookmarkEnd w:id="26"/>
    </w:p>
    <w:p w14:paraId="3FC6CE62">
      <w:pPr>
        <w:pStyle w:val="20"/>
        <w:keepNext w:val="0"/>
        <w:keepLines w:val="0"/>
        <w:pageBreakBefore w:val="0"/>
        <w:widowControl/>
        <w:kinsoku w:val="0"/>
        <w:wordWrap/>
        <w:overflowPunct/>
        <w:topLinePunct w:val="0"/>
        <w:autoSpaceDE w:val="0"/>
        <w:autoSpaceDN w:val="0"/>
        <w:bidi w:val="0"/>
        <w:adjustRightInd w:val="0"/>
        <w:snapToGrid w:val="0"/>
        <w:spacing w:line="0" w:lineRule="atLeast"/>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5.1 谈判供应商提交的竞争性谈判响应文件以及谈判供应商与采购人和采购代理机构就有关谈判的所有来往函电均应使用中文。谈判供应商提交的支持文件和印刷的文献可以使用别的语言，但其相应内容必须附有中文翻译文本，在解释竞争性谈判响应文件时以翻译文本为主。</w:t>
      </w:r>
    </w:p>
    <w:p w14:paraId="065BAFC5">
      <w:pPr>
        <w:keepNext w:val="0"/>
        <w:keepLines w:val="0"/>
        <w:pageBreakBefore w:val="0"/>
        <w:widowControl/>
        <w:kinsoku w:val="0"/>
        <w:wordWrap/>
        <w:overflowPunct/>
        <w:topLinePunct w:val="0"/>
        <w:autoSpaceDE w:val="0"/>
        <w:autoSpaceDN w:val="0"/>
        <w:bidi w:val="0"/>
        <w:adjustRightInd w:val="0"/>
        <w:snapToGrid w:val="0"/>
        <w:spacing w:line="0" w:lineRule="atLeast"/>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5.2 谈判供应商应认真阅读、并充分理解本文件的全部内容（包括所有的补充、修改</w:t>
      </w:r>
      <w:r>
        <w:rPr>
          <w:rFonts w:hint="eastAsia" w:ascii="仿宋" w:hAnsi="仿宋" w:eastAsia="仿宋" w:cs="仿宋"/>
          <w:color w:val="auto"/>
          <w:spacing w:val="6"/>
          <w:sz w:val="24"/>
          <w:szCs w:val="24"/>
          <w:highlight w:val="none"/>
          <w:lang w:eastAsia="zh-CN"/>
        </w:rPr>
        <w:t>内容</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pacing w:val="6"/>
          <w:sz w:val="24"/>
          <w:szCs w:val="24"/>
          <w:highlight w:val="none"/>
          <w:lang w:eastAsia="zh-CN"/>
        </w:rPr>
        <w:t>承诺并履行本文件中各项条款规定及要求。</w:t>
      </w:r>
    </w:p>
    <w:p w14:paraId="1FA5A0B8">
      <w:pPr>
        <w:keepNext w:val="0"/>
        <w:keepLines w:val="0"/>
        <w:pageBreakBefore w:val="0"/>
        <w:widowControl/>
        <w:kinsoku w:val="0"/>
        <w:wordWrap/>
        <w:overflowPunct/>
        <w:topLinePunct w:val="0"/>
        <w:autoSpaceDE w:val="0"/>
        <w:autoSpaceDN w:val="0"/>
        <w:bidi w:val="0"/>
        <w:adjustRightInd w:val="0"/>
        <w:snapToGrid w:val="0"/>
        <w:spacing w:line="0" w:lineRule="atLeast"/>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5.3 竞争性谈判响应文件必须按本文件的全部内容，包括所有的补充通知及附件进行编制。</w:t>
      </w:r>
    </w:p>
    <w:p w14:paraId="192B7F97">
      <w:pPr>
        <w:keepNext w:val="0"/>
        <w:keepLines w:val="0"/>
        <w:pageBreakBefore w:val="0"/>
        <w:widowControl/>
        <w:kinsoku w:val="0"/>
        <w:wordWrap/>
        <w:overflowPunct/>
        <w:topLinePunct w:val="0"/>
        <w:autoSpaceDE w:val="0"/>
        <w:autoSpaceDN w:val="0"/>
        <w:bidi w:val="0"/>
        <w:adjustRightInd w:val="0"/>
        <w:snapToGrid w:val="0"/>
        <w:spacing w:line="0" w:lineRule="atLeast"/>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5.4 如因谈判供应商只填写和提供了本文件要求的部分内容和附件，而给评审造成困难，其可能导致的结果和责任由谈判供应商自行承担。</w:t>
      </w:r>
    </w:p>
    <w:p w14:paraId="5CFD6A89">
      <w:pPr>
        <w:keepNext w:val="0"/>
        <w:keepLines w:val="0"/>
        <w:pageBreakBefore w:val="0"/>
        <w:widowControl/>
        <w:kinsoku w:val="0"/>
        <w:wordWrap/>
        <w:overflowPunct/>
        <w:topLinePunct w:val="0"/>
        <w:autoSpaceDE w:val="0"/>
        <w:autoSpaceDN w:val="0"/>
        <w:bidi w:val="0"/>
        <w:adjustRightInd w:val="0"/>
        <w:snapToGrid w:val="0"/>
        <w:spacing w:before="218" w:line="0" w:lineRule="atLeast"/>
        <w:ind w:left="2"/>
        <w:textAlignment w:val="baseline"/>
        <w:outlineLvl w:val="2"/>
        <w:rPr>
          <w:rFonts w:hint="eastAsia" w:ascii="仿宋" w:hAnsi="仿宋" w:eastAsia="仿宋" w:cs="仿宋"/>
          <w:color w:val="auto"/>
          <w:sz w:val="24"/>
          <w:szCs w:val="24"/>
          <w:highlight w:val="none"/>
          <w:lang w:eastAsia="zh-CN"/>
        </w:rPr>
      </w:pPr>
      <w:bookmarkStart w:id="27" w:name="_Toc12992"/>
      <w:r>
        <w:rPr>
          <w:rFonts w:hint="eastAsia" w:ascii="仿宋" w:hAnsi="仿宋" w:eastAsia="仿宋" w:cs="仿宋"/>
          <w:color w:val="auto"/>
          <w:spacing w:val="9"/>
          <w:sz w:val="24"/>
          <w:szCs w:val="24"/>
          <w:highlight w:val="none"/>
          <w:lang w:eastAsia="zh-CN"/>
          <w14:textOutline w14:w="4394" w14:cap="flat" w14:cmpd="sng" w14:algn="ctr">
            <w14:solidFill>
              <w14:srgbClr w14:val="000000"/>
            </w14:solidFill>
            <w14:prstDash w14:val="solid"/>
            <w14:miter w14:val="0"/>
          </w14:textOutline>
        </w:rPr>
        <w:t>6.</w:t>
      </w:r>
      <w:r>
        <w:rPr>
          <w:rFonts w:hint="eastAsia" w:ascii="仿宋" w:hAnsi="仿宋" w:eastAsia="仿宋" w:cs="仿宋"/>
          <w:color w:val="auto"/>
          <w:spacing w:val="9"/>
          <w:sz w:val="24"/>
          <w:szCs w:val="24"/>
          <w:highlight w:val="none"/>
          <w:lang w:eastAsia="zh-CN"/>
        </w:rPr>
        <w:t xml:space="preserve"> </w:t>
      </w:r>
      <w:r>
        <w:rPr>
          <w:rFonts w:hint="eastAsia" w:ascii="仿宋" w:hAnsi="仿宋" w:eastAsia="仿宋" w:cs="仿宋"/>
          <w:color w:val="auto"/>
          <w:spacing w:val="9"/>
          <w:sz w:val="24"/>
          <w:szCs w:val="24"/>
          <w:highlight w:val="none"/>
          <w:lang w:eastAsia="zh-CN"/>
          <w14:textOutline w14:w="4394" w14:cap="flat" w14:cmpd="sng" w14:algn="ctr">
            <w14:solidFill>
              <w14:srgbClr w14:val="000000"/>
            </w14:solidFill>
            <w14:prstDash w14:val="solid"/>
            <w14:miter w14:val="0"/>
          </w14:textOutline>
        </w:rPr>
        <w:t>竞争性谈判响应文件的组成</w:t>
      </w:r>
      <w:bookmarkEnd w:id="27"/>
    </w:p>
    <w:p w14:paraId="0D8B5277">
      <w:pPr>
        <w:keepNext w:val="0"/>
        <w:keepLines w:val="0"/>
        <w:pageBreakBefore w:val="0"/>
        <w:widowControl/>
        <w:kinsoku w:val="0"/>
        <w:wordWrap/>
        <w:overflowPunct/>
        <w:topLinePunct w:val="0"/>
        <w:autoSpaceDE w:val="0"/>
        <w:autoSpaceDN w:val="0"/>
        <w:bidi w:val="0"/>
        <w:adjustRightInd w:val="0"/>
        <w:snapToGrid w:val="0"/>
        <w:spacing w:line="0" w:lineRule="atLeast"/>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竞争性谈判响应文件应分为“资格响应文件 ”、 “报价响应文件 ”和“商务技术响应文件 ”三个部分组成。</w:t>
      </w:r>
    </w:p>
    <w:p w14:paraId="61BF23F1">
      <w:pPr>
        <w:keepNext w:val="0"/>
        <w:keepLines w:val="0"/>
        <w:pageBreakBefore w:val="0"/>
        <w:widowControl/>
        <w:kinsoku w:val="0"/>
        <w:wordWrap/>
        <w:overflowPunct/>
        <w:topLinePunct w:val="0"/>
        <w:autoSpaceDE w:val="0"/>
        <w:autoSpaceDN w:val="0"/>
        <w:bidi w:val="0"/>
        <w:adjustRightInd w:val="0"/>
        <w:snapToGrid w:val="0"/>
        <w:spacing w:before="216" w:line="0" w:lineRule="atLeast"/>
        <w:ind w:left="43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position w:val="20"/>
          <w:sz w:val="24"/>
          <w:szCs w:val="24"/>
          <w:highlight w:val="none"/>
          <w:lang w:eastAsia="zh-CN"/>
        </w:rPr>
        <w:t>6.1 资格响应文件（详见第六章资格响应文</w:t>
      </w:r>
      <w:r>
        <w:rPr>
          <w:rFonts w:hint="eastAsia" w:ascii="仿宋" w:hAnsi="仿宋" w:eastAsia="仿宋" w:cs="仿宋"/>
          <w:color w:val="auto"/>
          <w:spacing w:val="7"/>
          <w:position w:val="20"/>
          <w:sz w:val="24"/>
          <w:szCs w:val="24"/>
          <w:highlight w:val="none"/>
          <w:lang w:eastAsia="zh-CN"/>
        </w:rPr>
        <w:t>件组成）</w:t>
      </w:r>
    </w:p>
    <w:p w14:paraId="4A0D0495">
      <w:pPr>
        <w:keepNext w:val="0"/>
        <w:keepLines w:val="0"/>
        <w:pageBreakBefore w:val="0"/>
        <w:widowControl/>
        <w:kinsoku w:val="0"/>
        <w:wordWrap/>
        <w:overflowPunct/>
        <w:topLinePunct w:val="0"/>
        <w:autoSpaceDE w:val="0"/>
        <w:autoSpaceDN w:val="0"/>
        <w:bidi w:val="0"/>
        <w:adjustRightInd w:val="0"/>
        <w:snapToGrid w:val="0"/>
        <w:spacing w:before="1" w:line="0" w:lineRule="atLeast"/>
        <w:ind w:left="43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6.2 报价响应文件（详见第六章报价响应文</w:t>
      </w:r>
      <w:r>
        <w:rPr>
          <w:rFonts w:hint="eastAsia" w:ascii="仿宋" w:hAnsi="仿宋" w:eastAsia="仿宋" w:cs="仿宋"/>
          <w:color w:val="auto"/>
          <w:spacing w:val="7"/>
          <w:sz w:val="24"/>
          <w:szCs w:val="24"/>
          <w:highlight w:val="none"/>
          <w:lang w:eastAsia="zh-CN"/>
        </w:rPr>
        <w:t>件组成）</w:t>
      </w:r>
    </w:p>
    <w:p w14:paraId="6DD1BFE6">
      <w:pPr>
        <w:keepNext w:val="0"/>
        <w:keepLines w:val="0"/>
        <w:pageBreakBefore w:val="0"/>
        <w:widowControl/>
        <w:kinsoku w:val="0"/>
        <w:wordWrap/>
        <w:overflowPunct/>
        <w:topLinePunct w:val="0"/>
        <w:autoSpaceDE w:val="0"/>
        <w:autoSpaceDN w:val="0"/>
        <w:bidi w:val="0"/>
        <w:adjustRightInd w:val="0"/>
        <w:snapToGrid w:val="0"/>
        <w:spacing w:before="217" w:line="0" w:lineRule="atLeast"/>
        <w:ind w:left="43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6.3 商务技术响应文件（详见第六章商务技术响应文件组成）</w:t>
      </w:r>
    </w:p>
    <w:p w14:paraId="36D4A5E9">
      <w:pPr>
        <w:keepNext w:val="0"/>
        <w:keepLines w:val="0"/>
        <w:pageBreakBefore w:val="0"/>
        <w:widowControl/>
        <w:kinsoku w:val="0"/>
        <w:wordWrap/>
        <w:overflowPunct/>
        <w:topLinePunct w:val="0"/>
        <w:autoSpaceDE w:val="0"/>
        <w:autoSpaceDN w:val="0"/>
        <w:bidi w:val="0"/>
        <w:adjustRightInd w:val="0"/>
        <w:snapToGrid w:val="0"/>
        <w:spacing w:before="217" w:line="0" w:lineRule="atLeast"/>
        <w:ind w:left="6"/>
        <w:textAlignment w:val="baseline"/>
        <w:outlineLvl w:val="2"/>
        <w:rPr>
          <w:rFonts w:hint="eastAsia" w:ascii="仿宋" w:hAnsi="仿宋" w:eastAsia="仿宋" w:cs="仿宋"/>
          <w:color w:val="auto"/>
          <w:sz w:val="24"/>
          <w:szCs w:val="24"/>
          <w:highlight w:val="none"/>
          <w:lang w:eastAsia="zh-CN"/>
        </w:rPr>
      </w:pPr>
      <w:bookmarkStart w:id="28" w:name="_Toc3064"/>
      <w:r>
        <w:rPr>
          <w:rFonts w:hint="eastAsia" w:ascii="仿宋" w:hAnsi="仿宋" w:eastAsia="仿宋" w:cs="仿宋"/>
          <w:color w:val="auto"/>
          <w:spacing w:val="8"/>
          <w:sz w:val="24"/>
          <w:szCs w:val="24"/>
          <w:highlight w:val="none"/>
          <w:lang w:eastAsia="zh-CN"/>
          <w14:textOutline w14:w="4394" w14:cap="flat" w14:cmpd="sng" w14:algn="ctr">
            <w14:solidFill>
              <w14:srgbClr w14:val="000000"/>
            </w14:solidFill>
            <w14:prstDash w14:val="solid"/>
            <w14:miter w14:val="0"/>
          </w14:textOutline>
        </w:rPr>
        <w:t>7.</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pacing w:val="8"/>
          <w:sz w:val="24"/>
          <w:szCs w:val="24"/>
          <w:highlight w:val="none"/>
          <w:lang w:eastAsia="zh-CN"/>
          <w14:textOutline w14:w="4394" w14:cap="flat" w14:cmpd="sng" w14:algn="ctr">
            <w14:solidFill>
              <w14:srgbClr w14:val="000000"/>
            </w14:solidFill>
            <w14:prstDash w14:val="solid"/>
            <w14:miter w14:val="0"/>
          </w14:textOutline>
        </w:rPr>
        <w:t>竞争性谈判响应文件的编制</w:t>
      </w:r>
      <w:bookmarkEnd w:id="28"/>
    </w:p>
    <w:p w14:paraId="1DE53283">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7.1 电子谈判响应文件的编制</w:t>
      </w:r>
    </w:p>
    <w:p w14:paraId="716B669F">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1）电子谈判响应文件应按照“政采云电子投标客户端 ”以及谈判文件要求进行制作编制，保证目录清晰、内容完整；</w:t>
      </w:r>
    </w:p>
    <w:p w14:paraId="50E764BA">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2）电子谈判响应文件各类证件须与谈判供应商注册登记资料相一致；</w:t>
      </w:r>
    </w:p>
    <w:p w14:paraId="6042C3CD">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3）供应商因自身原因导致电子谈判响应文件无法导入电子评审系统的，该谈判响应文件视为无效文件。</w:t>
      </w:r>
    </w:p>
    <w:p w14:paraId="00B634E2">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4）电子谈判文件以及电子谈判响应文件具有法律效力,与其他形式的谈判文件以及谈  判响应文件在内容和格式上等同，若谈判响应文件与谈判文件要求不一致，其内容影响成交结果时，责任由谈判供应商自行承担。</w:t>
      </w:r>
    </w:p>
    <w:p w14:paraId="5772FF61">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5）为了保证电子谈判响应文件的合法性、安全性和完整性，电子谈判响应文件转换完成后，应在规定区域加盖单位和法定代表人 CA 印章。电子谈判响应文件若无 CA 电子签章，则视为无效文件。</w:t>
      </w:r>
    </w:p>
    <w:p w14:paraId="7F52FF2D">
      <w:pPr>
        <w:keepNext w:val="0"/>
        <w:keepLines w:val="0"/>
        <w:pageBreakBefore w:val="0"/>
        <w:widowControl/>
        <w:kinsoku w:val="0"/>
        <w:wordWrap/>
        <w:overflowPunct/>
        <w:topLinePunct w:val="0"/>
        <w:autoSpaceDE w:val="0"/>
        <w:autoSpaceDN w:val="0"/>
        <w:bidi w:val="0"/>
        <w:adjustRightInd w:val="0"/>
        <w:snapToGrid w:val="0"/>
        <w:spacing w:before="74" w:line="0" w:lineRule="atLeast"/>
        <w:ind w:left="2"/>
        <w:textAlignment w:val="baseline"/>
        <w:outlineLvl w:val="2"/>
        <w:rPr>
          <w:rFonts w:hint="eastAsia" w:ascii="仿宋" w:hAnsi="仿宋" w:eastAsia="仿宋" w:cs="仿宋"/>
          <w:color w:val="auto"/>
          <w:sz w:val="24"/>
          <w:szCs w:val="24"/>
          <w:highlight w:val="none"/>
          <w:lang w:eastAsia="zh-CN"/>
        </w:rPr>
      </w:pPr>
      <w:bookmarkStart w:id="29" w:name="_Toc32199"/>
      <w:r>
        <w:rPr>
          <w:rFonts w:hint="eastAsia" w:ascii="仿宋" w:hAnsi="仿宋" w:eastAsia="仿宋" w:cs="仿宋"/>
          <w:color w:val="auto"/>
          <w:spacing w:val="5"/>
          <w:sz w:val="24"/>
          <w:szCs w:val="24"/>
          <w:highlight w:val="none"/>
          <w:lang w:eastAsia="zh-CN"/>
          <w14:textOutline w14:w="4394" w14:cap="flat" w14:cmpd="sng" w14:algn="ctr">
            <w14:solidFill>
              <w14:srgbClr w14:val="000000"/>
            </w14:solidFill>
            <w14:prstDash w14:val="solid"/>
            <w14:miter w14:val="0"/>
          </w14:textOutline>
        </w:rPr>
        <w:t>8.</w:t>
      </w:r>
      <w:r>
        <w:rPr>
          <w:rFonts w:hint="eastAsia" w:ascii="仿宋" w:hAnsi="仿宋" w:eastAsia="仿宋" w:cs="仿宋"/>
          <w:color w:val="auto"/>
          <w:spacing w:val="18"/>
          <w:sz w:val="24"/>
          <w:szCs w:val="24"/>
          <w:highlight w:val="none"/>
          <w:lang w:eastAsia="zh-CN"/>
        </w:rPr>
        <w:t xml:space="preserve"> </w:t>
      </w:r>
      <w:r>
        <w:rPr>
          <w:rFonts w:hint="eastAsia" w:ascii="仿宋" w:hAnsi="仿宋" w:eastAsia="仿宋" w:cs="仿宋"/>
          <w:color w:val="auto"/>
          <w:spacing w:val="5"/>
          <w:sz w:val="24"/>
          <w:szCs w:val="24"/>
          <w:highlight w:val="none"/>
          <w:lang w:eastAsia="zh-CN"/>
          <w14:textOutline w14:w="4394" w14:cap="flat" w14:cmpd="sng" w14:algn="ctr">
            <w14:solidFill>
              <w14:srgbClr w14:val="000000"/>
            </w14:solidFill>
            <w14:prstDash w14:val="solid"/>
            <w14:miter w14:val="0"/>
          </w14:textOutline>
        </w:rPr>
        <w:t>计量单位</w:t>
      </w:r>
      <w:bookmarkEnd w:id="29"/>
    </w:p>
    <w:p w14:paraId="2367B4BA">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除技术要求中另有规定外，本文件所要求使用的计量单位均应采用国家法定计量单位。</w:t>
      </w:r>
    </w:p>
    <w:p w14:paraId="460B3864">
      <w:pPr>
        <w:keepNext w:val="0"/>
        <w:keepLines w:val="0"/>
        <w:pageBreakBefore w:val="0"/>
        <w:widowControl/>
        <w:kinsoku w:val="0"/>
        <w:wordWrap/>
        <w:overflowPunct/>
        <w:topLinePunct w:val="0"/>
        <w:autoSpaceDE w:val="0"/>
        <w:autoSpaceDN w:val="0"/>
        <w:bidi w:val="0"/>
        <w:adjustRightInd w:val="0"/>
        <w:snapToGrid w:val="0"/>
        <w:spacing w:before="216" w:line="0" w:lineRule="atLeast"/>
        <w:ind w:left="2"/>
        <w:textAlignment w:val="baseline"/>
        <w:outlineLvl w:val="2"/>
        <w:rPr>
          <w:rFonts w:hint="eastAsia" w:ascii="仿宋" w:hAnsi="仿宋" w:eastAsia="仿宋" w:cs="仿宋"/>
          <w:color w:val="auto"/>
          <w:sz w:val="24"/>
          <w:szCs w:val="24"/>
          <w:highlight w:val="none"/>
          <w:lang w:eastAsia="zh-CN"/>
        </w:rPr>
      </w:pPr>
      <w:bookmarkStart w:id="30" w:name="_Toc7397"/>
      <w:r>
        <w:rPr>
          <w:rFonts w:hint="eastAsia" w:ascii="仿宋" w:hAnsi="仿宋" w:eastAsia="仿宋" w:cs="仿宋"/>
          <w:color w:val="auto"/>
          <w:spacing w:val="7"/>
          <w:sz w:val="24"/>
          <w:szCs w:val="24"/>
          <w:highlight w:val="none"/>
          <w:lang w:eastAsia="zh-CN"/>
          <w14:textOutline w14:w="4394" w14:cap="flat" w14:cmpd="sng" w14:algn="ctr">
            <w14:solidFill>
              <w14:srgbClr w14:val="000000"/>
            </w14:solidFill>
            <w14:prstDash w14:val="solid"/>
            <w14:miter w14:val="0"/>
          </w14:textOutline>
        </w:rPr>
        <w:t>9.</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7"/>
          <w:sz w:val="24"/>
          <w:szCs w:val="24"/>
          <w:highlight w:val="none"/>
          <w:lang w:eastAsia="zh-CN"/>
          <w14:textOutline w14:w="4394" w14:cap="flat" w14:cmpd="sng" w14:algn="ctr">
            <w14:solidFill>
              <w14:srgbClr w14:val="000000"/>
            </w14:solidFill>
            <w14:prstDash w14:val="solid"/>
            <w14:miter w14:val="0"/>
          </w14:textOutline>
        </w:rPr>
        <w:t>谈判保证金</w:t>
      </w:r>
      <w:bookmarkEnd w:id="30"/>
    </w:p>
    <w:p w14:paraId="75A5D673">
      <w:pPr>
        <w:keepNext w:val="0"/>
        <w:keepLines w:val="0"/>
        <w:pageBreakBefore w:val="0"/>
        <w:widowControl/>
        <w:kinsoku w:val="0"/>
        <w:wordWrap/>
        <w:overflowPunct/>
        <w:topLinePunct w:val="0"/>
        <w:autoSpaceDE w:val="0"/>
        <w:autoSpaceDN w:val="0"/>
        <w:bidi w:val="0"/>
        <w:adjustRightInd w:val="0"/>
        <w:snapToGrid w:val="0"/>
        <w:spacing w:line="0" w:lineRule="atLeast"/>
        <w:ind w:left="0" w:firstLine="516"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保证金应当以支票、汇票、本票或者金融机构、担保机构出具的保函等非现金形式。</w:t>
      </w:r>
    </w:p>
    <w:p w14:paraId="4D508CBA">
      <w:pPr>
        <w:keepNext w:val="0"/>
        <w:keepLines w:val="0"/>
        <w:pageBreakBefore w:val="0"/>
        <w:widowControl/>
        <w:kinsoku w:val="0"/>
        <w:wordWrap/>
        <w:overflowPunct/>
        <w:topLinePunct w:val="0"/>
        <w:autoSpaceDE w:val="0"/>
        <w:autoSpaceDN w:val="0"/>
        <w:bidi w:val="0"/>
        <w:adjustRightInd w:val="0"/>
        <w:snapToGrid w:val="0"/>
        <w:spacing w:before="217" w:line="0" w:lineRule="atLeast"/>
        <w:ind w:left="19"/>
        <w:textAlignment w:val="baseline"/>
        <w:outlineLvl w:val="2"/>
        <w:rPr>
          <w:rFonts w:hint="eastAsia" w:ascii="仿宋" w:hAnsi="仿宋" w:eastAsia="仿宋" w:cs="仿宋"/>
          <w:color w:val="auto"/>
          <w:sz w:val="24"/>
          <w:szCs w:val="24"/>
          <w:highlight w:val="none"/>
          <w:lang w:eastAsia="zh-CN"/>
        </w:rPr>
      </w:pPr>
      <w:bookmarkStart w:id="31" w:name="_Toc23319"/>
      <w:r>
        <w:rPr>
          <w:rFonts w:hint="eastAsia" w:ascii="仿宋" w:hAnsi="仿宋" w:eastAsia="仿宋" w:cs="仿宋"/>
          <w:color w:val="auto"/>
          <w:spacing w:val="6"/>
          <w:sz w:val="24"/>
          <w:szCs w:val="24"/>
          <w:highlight w:val="none"/>
          <w:lang w:eastAsia="zh-CN"/>
          <w14:textOutline w14:w="4394" w14:cap="flat" w14:cmpd="sng" w14:algn="ctr">
            <w14:solidFill>
              <w14:srgbClr w14:val="000000"/>
            </w14:solidFill>
            <w14:prstDash w14:val="solid"/>
            <w14:miter w14:val="0"/>
          </w14:textOutline>
        </w:rPr>
        <w:t>10.</w:t>
      </w:r>
      <w:r>
        <w:rPr>
          <w:rFonts w:hint="eastAsia" w:ascii="仿宋" w:hAnsi="仿宋" w:eastAsia="仿宋" w:cs="仿宋"/>
          <w:color w:val="auto"/>
          <w:spacing w:val="6"/>
          <w:sz w:val="24"/>
          <w:szCs w:val="24"/>
          <w:highlight w:val="none"/>
          <w:lang w:eastAsia="zh-CN"/>
        </w:rPr>
        <w:t xml:space="preserve"> </w:t>
      </w:r>
      <w:r>
        <w:rPr>
          <w:rFonts w:hint="eastAsia" w:ascii="仿宋" w:hAnsi="仿宋" w:eastAsia="仿宋" w:cs="仿宋"/>
          <w:color w:val="auto"/>
          <w:spacing w:val="6"/>
          <w:sz w:val="24"/>
          <w:szCs w:val="24"/>
          <w:highlight w:val="none"/>
          <w:lang w:eastAsia="zh-CN"/>
          <w14:textOutline w14:w="4394" w14:cap="flat" w14:cmpd="sng" w14:algn="ctr">
            <w14:solidFill>
              <w14:srgbClr w14:val="000000"/>
            </w14:solidFill>
            <w14:prstDash w14:val="solid"/>
            <w14:miter w14:val="0"/>
          </w14:textOutline>
        </w:rPr>
        <w:t>谈判的有效期</w:t>
      </w:r>
      <w:bookmarkEnd w:id="31"/>
    </w:p>
    <w:p w14:paraId="06380896">
      <w:pPr>
        <w:keepNext w:val="0"/>
        <w:keepLines w:val="0"/>
        <w:pageBreakBefore w:val="0"/>
        <w:widowControl/>
        <w:kinsoku w:val="0"/>
        <w:wordWrap/>
        <w:overflowPunct/>
        <w:topLinePunct w:val="0"/>
        <w:autoSpaceDE w:val="0"/>
        <w:autoSpaceDN w:val="0"/>
        <w:bidi w:val="0"/>
        <w:adjustRightInd w:val="0"/>
        <w:snapToGrid w:val="0"/>
        <w:spacing w:line="0" w:lineRule="atLeast"/>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10.1 谈判有效期详见供应商须知前附表。谈判供应商谈判有效期不足的将被视为无效谈判。</w:t>
      </w:r>
    </w:p>
    <w:p w14:paraId="20478F4F">
      <w:pPr>
        <w:keepNext w:val="0"/>
        <w:keepLines w:val="0"/>
        <w:pageBreakBefore w:val="0"/>
        <w:widowControl/>
        <w:kinsoku w:val="0"/>
        <w:wordWrap/>
        <w:overflowPunct/>
        <w:topLinePunct w:val="0"/>
        <w:autoSpaceDE w:val="0"/>
        <w:autoSpaceDN w:val="0"/>
        <w:bidi w:val="0"/>
        <w:adjustRightInd w:val="0"/>
        <w:snapToGrid w:val="0"/>
        <w:spacing w:line="0" w:lineRule="atLeast"/>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10.2 特殊情况下，在原谈判有效期截止之前，采购人或采购代理机构可要求谈判供应。商延长谈判有效期。这种要求与答复均应以书面形式提交。谈判供应商可拒绝采购人或采购代理机构的这种要求，其谈判保证金将不会被没收，但其谈判在原谈判有效期期满后将不再有效。同意延长谈判有效期的谈判供应商将会被要求相应地延长其谈判保证金的有效期。在这种情况下，本须知第 9（条）有关谈判保证金的退还和没收的规定将在延长了的有效期内继续有效。</w:t>
      </w:r>
    </w:p>
    <w:p w14:paraId="7372D9CA">
      <w:pPr>
        <w:keepNext w:val="0"/>
        <w:keepLines w:val="0"/>
        <w:pageBreakBefore w:val="0"/>
        <w:widowControl/>
        <w:kinsoku w:val="0"/>
        <w:wordWrap/>
        <w:overflowPunct/>
        <w:topLinePunct w:val="0"/>
        <w:autoSpaceDE w:val="0"/>
        <w:autoSpaceDN w:val="0"/>
        <w:bidi w:val="0"/>
        <w:adjustRightInd w:val="0"/>
        <w:snapToGrid w:val="0"/>
        <w:spacing w:before="305" w:line="0" w:lineRule="atLeast"/>
        <w:ind w:left="3765"/>
        <w:textAlignment w:val="baseline"/>
        <w:outlineLvl w:val="1"/>
        <w:rPr>
          <w:rFonts w:hint="eastAsia" w:ascii="仿宋" w:hAnsi="仿宋" w:eastAsia="仿宋" w:cs="仿宋"/>
          <w:color w:val="auto"/>
          <w:sz w:val="24"/>
          <w:szCs w:val="24"/>
          <w:highlight w:val="none"/>
          <w:lang w:eastAsia="zh-CN"/>
        </w:rPr>
      </w:pPr>
      <w:bookmarkStart w:id="32" w:name="_Toc8785"/>
      <w:r>
        <w:rPr>
          <w:rFonts w:hint="eastAsia" w:ascii="仿宋" w:hAnsi="仿宋" w:eastAsia="仿宋" w:cs="仿宋"/>
          <w:color w:val="auto"/>
          <w:spacing w:val="9"/>
          <w:sz w:val="24"/>
          <w:szCs w:val="24"/>
          <w:highlight w:val="none"/>
          <w:lang w:eastAsia="zh-CN"/>
          <w14:textOutline w14:w="4394" w14:cap="flat" w14:cmpd="sng" w14:algn="ctr">
            <w14:solidFill>
              <w14:srgbClr w14:val="000000"/>
            </w14:solidFill>
            <w14:prstDash w14:val="solid"/>
            <w14:miter w14:val="0"/>
          </w14:textOutline>
        </w:rPr>
        <w:t>三、谈判报价要求</w:t>
      </w:r>
      <w:bookmarkEnd w:id="32"/>
    </w:p>
    <w:p w14:paraId="5EBF3327">
      <w:pPr>
        <w:keepNext w:val="0"/>
        <w:keepLines w:val="0"/>
        <w:pageBreakBefore w:val="0"/>
        <w:widowControl/>
        <w:kinsoku w:val="0"/>
        <w:wordWrap/>
        <w:overflowPunct/>
        <w:topLinePunct w:val="0"/>
        <w:autoSpaceDE w:val="0"/>
        <w:autoSpaceDN w:val="0"/>
        <w:bidi w:val="0"/>
        <w:adjustRightInd w:val="0"/>
        <w:snapToGrid w:val="0"/>
        <w:spacing w:before="227" w:line="0" w:lineRule="atLeast"/>
        <w:ind w:left="19"/>
        <w:textAlignment w:val="baseline"/>
        <w:outlineLvl w:val="2"/>
        <w:rPr>
          <w:rFonts w:hint="eastAsia" w:ascii="仿宋" w:hAnsi="仿宋" w:eastAsia="仿宋" w:cs="仿宋"/>
          <w:color w:val="auto"/>
          <w:sz w:val="24"/>
          <w:szCs w:val="24"/>
          <w:highlight w:val="none"/>
          <w:lang w:eastAsia="zh-CN"/>
        </w:rPr>
      </w:pPr>
      <w:bookmarkStart w:id="33" w:name="_Toc2530"/>
      <w:r>
        <w:rPr>
          <w:rFonts w:hint="eastAsia" w:ascii="仿宋" w:hAnsi="仿宋" w:eastAsia="仿宋" w:cs="仿宋"/>
          <w:color w:val="auto"/>
          <w:spacing w:val="2"/>
          <w:sz w:val="24"/>
          <w:szCs w:val="24"/>
          <w:highlight w:val="none"/>
          <w:lang w:eastAsia="zh-CN"/>
          <w14:textOutline w14:w="4394" w14:cap="flat" w14:cmpd="sng" w14:algn="ctr">
            <w14:solidFill>
              <w14:srgbClr w14:val="000000"/>
            </w14:solidFill>
            <w14:prstDash w14:val="solid"/>
            <w14:miter w14:val="0"/>
          </w14:textOutline>
        </w:rPr>
        <w:t>11.报价</w:t>
      </w:r>
      <w:bookmarkEnd w:id="33"/>
    </w:p>
    <w:p w14:paraId="5C3A454B">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11.1 报价响应文件中的单价和总价全部采用人民币表示。</w:t>
      </w:r>
    </w:p>
    <w:p w14:paraId="2B1D9482">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11.2 报价表上应清楚地标明供应商拟提供</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lang w:eastAsia="zh-CN"/>
        </w:rPr>
        <w:t>的总价。</w:t>
      </w:r>
    </w:p>
    <w:p w14:paraId="1A3D0715">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11.3 供应商只允许有一个方案。</w:t>
      </w:r>
    </w:p>
    <w:p w14:paraId="6511953E">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11.4 供应商应按“采购要求 ”所列</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lang w:eastAsia="zh-CN"/>
        </w:rPr>
        <w:t>内容进行报价，总价包括：本次</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lang w:eastAsia="zh-CN"/>
        </w:rPr>
        <w:t>所产生全部费用（人工费、差旅费、税费及完成本次服务所需的所有费用等）。</w:t>
      </w:r>
    </w:p>
    <w:p w14:paraId="4B62C254">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11.5 报价的价格是完成本次</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lang w:eastAsia="zh-CN"/>
        </w:rPr>
        <w:t>所需的全部费用，其总价即为履行合同的固定总价。</w:t>
      </w:r>
    </w:p>
    <w:p w14:paraId="05CC74DE">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11.6 技术要求中规定的各类方案如需产生费用均应包括在报价中，采购人不再为此次招标支付任何费用。</w:t>
      </w:r>
    </w:p>
    <w:p w14:paraId="14F194AC">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11.7 供应商报价不得高于本次项目设置的最高单价限价否则将作为无效投标处理。</w:t>
      </w:r>
    </w:p>
    <w:p w14:paraId="03A32E00">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11.8 如采购文件中未列明全面实现投标服务功能而必须配置的配套或辅助设施及相应技术措施的费用，这些费用将被视为已包含在报价中。</w:t>
      </w:r>
    </w:p>
    <w:p w14:paraId="6ECDAC45">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11.9 报价中不得缺漏采购文件所要求的内容，否则，评审时将有效投标中该项内容的最高价计入其评审总价，但在授予合同时，缺漏项目的报价视作已含在其他项目的报价中，这些项目将作为免费赠送而包含在合同内。</w:t>
      </w:r>
    </w:p>
    <w:p w14:paraId="7D025F71">
      <w:pPr>
        <w:keepNext w:val="0"/>
        <w:keepLines w:val="0"/>
        <w:pageBreakBefore w:val="0"/>
        <w:widowControl/>
        <w:kinsoku w:val="0"/>
        <w:wordWrap/>
        <w:overflowPunct/>
        <w:topLinePunct w:val="0"/>
        <w:autoSpaceDE w:val="0"/>
        <w:autoSpaceDN w:val="0"/>
        <w:bidi w:val="0"/>
        <w:adjustRightInd w:val="0"/>
        <w:snapToGrid w:val="0"/>
        <w:spacing w:before="257" w:line="0" w:lineRule="atLeast"/>
        <w:jc w:val="center"/>
        <w:textAlignment w:val="baseline"/>
        <w:outlineLvl w:val="1"/>
        <w:rPr>
          <w:rFonts w:hint="eastAsia" w:ascii="仿宋" w:hAnsi="仿宋" w:eastAsia="仿宋" w:cs="仿宋"/>
          <w:color w:val="auto"/>
          <w:sz w:val="24"/>
          <w:szCs w:val="24"/>
          <w:highlight w:val="none"/>
          <w:lang w:eastAsia="zh-CN"/>
        </w:rPr>
      </w:pPr>
      <w:bookmarkStart w:id="34" w:name="_Toc4966"/>
      <w:r>
        <w:rPr>
          <w:rFonts w:hint="eastAsia" w:ascii="仿宋" w:hAnsi="仿宋" w:eastAsia="仿宋" w:cs="仿宋"/>
          <w:color w:val="auto"/>
          <w:spacing w:val="9"/>
          <w:sz w:val="24"/>
          <w:szCs w:val="24"/>
          <w:highlight w:val="none"/>
          <w:lang w:eastAsia="zh-CN"/>
          <w14:textOutline w14:w="4394" w14:cap="flat" w14:cmpd="sng" w14:algn="ctr">
            <w14:solidFill>
              <w14:srgbClr w14:val="000000"/>
            </w14:solidFill>
            <w14:prstDash w14:val="solid"/>
            <w14:miter w14:val="0"/>
          </w14:textOutline>
        </w:rPr>
        <w:t>四、竞争性谈判响应文件的份数、封装和递交</w:t>
      </w:r>
      <w:bookmarkEnd w:id="34"/>
    </w:p>
    <w:p w14:paraId="64E92195">
      <w:pPr>
        <w:keepNext w:val="0"/>
        <w:keepLines w:val="0"/>
        <w:pageBreakBefore w:val="0"/>
        <w:widowControl/>
        <w:kinsoku w:val="0"/>
        <w:wordWrap/>
        <w:overflowPunct/>
        <w:topLinePunct w:val="0"/>
        <w:autoSpaceDE w:val="0"/>
        <w:autoSpaceDN w:val="0"/>
        <w:bidi w:val="0"/>
        <w:adjustRightInd w:val="0"/>
        <w:snapToGrid w:val="0"/>
        <w:spacing w:before="75" w:line="0" w:lineRule="atLeast"/>
        <w:ind w:left="18"/>
        <w:textAlignment w:val="baseline"/>
        <w:outlineLvl w:val="2"/>
        <w:rPr>
          <w:rFonts w:hint="eastAsia" w:ascii="仿宋" w:hAnsi="仿宋" w:eastAsia="仿宋" w:cs="仿宋"/>
          <w:color w:val="auto"/>
          <w:sz w:val="24"/>
          <w:szCs w:val="24"/>
          <w:highlight w:val="none"/>
          <w:lang w:eastAsia="zh-CN"/>
        </w:rPr>
      </w:pPr>
      <w:bookmarkStart w:id="35" w:name="_Toc3680"/>
      <w:r>
        <w:rPr>
          <w:rFonts w:hint="eastAsia" w:ascii="仿宋" w:hAnsi="仿宋" w:eastAsia="仿宋" w:cs="仿宋"/>
          <w:color w:val="auto"/>
          <w:spacing w:val="7"/>
          <w:sz w:val="24"/>
          <w:szCs w:val="24"/>
          <w:highlight w:val="none"/>
          <w:lang w:eastAsia="zh-CN"/>
          <w14:textOutline w14:w="4394" w14:cap="flat" w14:cmpd="sng" w14:algn="ctr">
            <w14:solidFill>
              <w14:srgbClr w14:val="000000"/>
            </w14:solidFill>
            <w14:prstDash w14:val="solid"/>
            <w14:miter w14:val="0"/>
          </w14:textOutline>
        </w:rPr>
        <w:t>12.</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7"/>
          <w:sz w:val="24"/>
          <w:szCs w:val="24"/>
          <w:highlight w:val="none"/>
          <w:lang w:eastAsia="zh-CN"/>
          <w14:textOutline w14:w="4394" w14:cap="flat" w14:cmpd="sng" w14:algn="ctr">
            <w14:solidFill>
              <w14:srgbClr w14:val="000000"/>
            </w14:solidFill>
            <w14:prstDash w14:val="solid"/>
            <w14:miter w14:val="0"/>
          </w14:textOutline>
        </w:rPr>
        <w:t>谈判响应文件的份数</w:t>
      </w:r>
      <w:bookmarkEnd w:id="35"/>
    </w:p>
    <w:p w14:paraId="42DC7C5F">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12.1 本项目采用不见面开标、供应商需要递交电子响应文件，加密的电子响应文件。</w:t>
      </w:r>
    </w:p>
    <w:p w14:paraId="32CD20F9">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在投标截止时间前通过政采云平台（</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"https://www.zcygov.cn"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https://www.zcygov.cn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）上传到指定位置</w:t>
      </w:r>
      <w:r>
        <w:rPr>
          <w:rFonts w:hint="eastAsia" w:ascii="仿宋" w:hAnsi="仿宋" w:eastAsia="仿宋" w:cs="仿宋"/>
          <w:color w:val="auto"/>
          <w:sz w:val="24"/>
          <w:szCs w:val="24"/>
          <w:highlight w:val="none"/>
          <w:lang w:eastAsia="zh-CN"/>
        </w:rPr>
        <w:t>。</w:t>
      </w:r>
    </w:p>
    <w:p w14:paraId="78DB0D0E">
      <w:pPr>
        <w:keepNext w:val="0"/>
        <w:keepLines w:val="0"/>
        <w:pageBreakBefore w:val="0"/>
        <w:widowControl/>
        <w:kinsoku w:val="0"/>
        <w:wordWrap/>
        <w:overflowPunct/>
        <w:topLinePunct w:val="0"/>
        <w:autoSpaceDE w:val="0"/>
        <w:autoSpaceDN w:val="0"/>
        <w:bidi w:val="0"/>
        <w:adjustRightInd w:val="0"/>
        <w:snapToGrid w:val="0"/>
        <w:spacing w:line="0" w:lineRule="atLeast"/>
        <w:ind w:left="0" w:right="0"/>
        <w:textAlignment w:val="baseline"/>
        <w:outlineLvl w:val="2"/>
        <w:rPr>
          <w:rFonts w:hint="eastAsia" w:ascii="仿宋" w:hAnsi="仿宋" w:eastAsia="仿宋" w:cs="仿宋"/>
          <w:color w:val="auto"/>
          <w:sz w:val="24"/>
          <w:szCs w:val="24"/>
          <w:highlight w:val="none"/>
          <w:lang w:eastAsia="zh-CN"/>
        </w:rPr>
      </w:pPr>
      <w:bookmarkStart w:id="36" w:name="_Toc3663"/>
      <w:r>
        <w:rPr>
          <w:rFonts w:hint="eastAsia" w:ascii="仿宋" w:hAnsi="仿宋" w:eastAsia="仿宋" w:cs="仿宋"/>
          <w:color w:val="auto"/>
          <w:spacing w:val="7"/>
          <w:sz w:val="24"/>
          <w:szCs w:val="24"/>
          <w:highlight w:val="none"/>
          <w:lang w:eastAsia="zh-CN"/>
          <w14:textOutline w14:w="4394" w14:cap="flat" w14:cmpd="sng" w14:algn="ctr">
            <w14:solidFill>
              <w14:srgbClr w14:val="000000"/>
            </w14:solidFill>
            <w14:prstDash w14:val="solid"/>
            <w14:miter w14:val="0"/>
          </w14:textOutline>
        </w:rPr>
        <w:t>13.</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7"/>
          <w:sz w:val="24"/>
          <w:szCs w:val="24"/>
          <w:highlight w:val="none"/>
          <w:lang w:eastAsia="zh-CN"/>
          <w14:textOutline w14:w="4394" w14:cap="flat" w14:cmpd="sng" w14:algn="ctr">
            <w14:solidFill>
              <w14:srgbClr w14:val="000000"/>
            </w14:solidFill>
            <w14:prstDash w14:val="solid"/>
            <w14:miter w14:val="0"/>
          </w14:textOutline>
        </w:rPr>
        <w:t>谈判响应文件的密封和标记</w:t>
      </w:r>
      <w:bookmarkEnd w:id="36"/>
    </w:p>
    <w:p w14:paraId="6288406D">
      <w:pPr>
        <w:keepNext w:val="0"/>
        <w:keepLines w:val="0"/>
        <w:pageBreakBefore w:val="0"/>
        <w:widowControl/>
        <w:kinsoku w:val="0"/>
        <w:wordWrap/>
        <w:overflowPunct/>
        <w:topLinePunct w:val="0"/>
        <w:autoSpaceDE w:val="0"/>
        <w:autoSpaceDN w:val="0"/>
        <w:bidi w:val="0"/>
        <w:adjustRightInd w:val="0"/>
        <w:snapToGrid w:val="0"/>
        <w:spacing w:line="0" w:lineRule="atLeast"/>
        <w:ind w:left="0" w:right="0"/>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lang w:eastAsia="zh-CN"/>
        </w:rPr>
        <w:t>13.1</w:t>
      </w:r>
      <w:r>
        <w:rPr>
          <w:rFonts w:hint="eastAsia" w:ascii="仿宋" w:hAnsi="仿宋" w:eastAsia="仿宋" w:cs="仿宋"/>
          <w:color w:val="auto"/>
          <w:spacing w:val="52"/>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电子谈判响应文件的密封和标记。电子谈判响应文件的内容通过数字证书进行</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加密并签章。未按要求加密和数字证书认证的谈判响应文件，</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3"/>
          <w:sz w:val="24"/>
          <w:szCs w:val="24"/>
          <w:highlight w:val="none"/>
          <w:lang w:eastAsia="zh-CN"/>
        </w:rPr>
        <w:t>电子开标软件将无法接受,</w:t>
      </w:r>
      <w:r>
        <w:rPr>
          <w:rFonts w:hint="eastAsia" w:ascii="仿宋" w:hAnsi="仿宋" w:eastAsia="仿宋" w:cs="仿宋"/>
          <w:color w:val="auto"/>
          <w:spacing w:val="5"/>
          <w:sz w:val="24"/>
          <w:szCs w:val="24"/>
          <w:highlight w:val="none"/>
          <w:lang w:eastAsia="zh-CN"/>
        </w:rPr>
        <w:t>采购代理机构不予受理。</w:t>
      </w:r>
    </w:p>
    <w:p w14:paraId="492E2418">
      <w:pPr>
        <w:keepNext w:val="0"/>
        <w:keepLines w:val="0"/>
        <w:pageBreakBefore w:val="0"/>
        <w:widowControl/>
        <w:kinsoku w:val="0"/>
        <w:wordWrap/>
        <w:overflowPunct/>
        <w:topLinePunct w:val="0"/>
        <w:autoSpaceDE w:val="0"/>
        <w:autoSpaceDN w:val="0"/>
        <w:bidi w:val="0"/>
        <w:adjustRightInd w:val="0"/>
        <w:snapToGrid w:val="0"/>
        <w:spacing w:line="0" w:lineRule="atLeast"/>
        <w:ind w:left="0" w:right="0"/>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13.2 本项目采用不见面开标，供应商应通过政采云电</w:t>
      </w:r>
      <w:r>
        <w:rPr>
          <w:rFonts w:hint="eastAsia" w:ascii="仿宋" w:hAnsi="仿宋" w:eastAsia="仿宋" w:cs="仿宋"/>
          <w:color w:val="auto"/>
          <w:spacing w:val="8"/>
          <w:sz w:val="24"/>
          <w:szCs w:val="24"/>
          <w:highlight w:val="none"/>
          <w:lang w:eastAsia="zh-CN"/>
        </w:rPr>
        <w:t>子投标客户端严格按谈判文件要</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2"/>
          <w:sz w:val="24"/>
          <w:szCs w:val="24"/>
          <w:highlight w:val="none"/>
          <w:lang w:eastAsia="zh-CN"/>
        </w:rPr>
        <w:t>求制作响应文件，在响应文件递交截止时间前完成经过数字证书电子签章并加密的</w:t>
      </w:r>
      <w:r>
        <w:rPr>
          <w:rFonts w:hint="eastAsia" w:ascii="仿宋" w:hAnsi="仿宋" w:eastAsia="仿宋" w:cs="仿宋"/>
          <w:color w:val="auto"/>
          <w:spacing w:val="11"/>
          <w:sz w:val="24"/>
          <w:szCs w:val="24"/>
          <w:highlight w:val="none"/>
          <w:lang w:eastAsia="zh-CN"/>
        </w:rPr>
        <w:t>电子响</w:t>
      </w:r>
      <w:r>
        <w:rPr>
          <w:rFonts w:hint="eastAsia" w:ascii="仿宋" w:hAnsi="仿宋" w:eastAsia="仿宋" w:cs="仿宋"/>
          <w:color w:val="auto"/>
          <w:spacing w:val="12"/>
          <w:sz w:val="24"/>
          <w:szCs w:val="24"/>
          <w:highlight w:val="none"/>
          <w:lang w:eastAsia="zh-CN"/>
        </w:rPr>
        <w:t>应文件（加密和解密必须使用同一把数字证书）的上传。供应商在响应文件递交截</w:t>
      </w:r>
      <w:r>
        <w:rPr>
          <w:rFonts w:hint="eastAsia" w:ascii="仿宋" w:hAnsi="仿宋" w:eastAsia="仿宋" w:cs="仿宋"/>
          <w:color w:val="auto"/>
          <w:spacing w:val="11"/>
          <w:sz w:val="24"/>
          <w:szCs w:val="24"/>
          <w:highlight w:val="none"/>
          <w:lang w:eastAsia="zh-CN"/>
        </w:rPr>
        <w:t>止时间</w:t>
      </w:r>
      <w:r>
        <w:rPr>
          <w:rFonts w:hint="eastAsia" w:ascii="仿宋" w:hAnsi="仿宋" w:eastAsia="仿宋" w:cs="仿宋"/>
          <w:color w:val="auto"/>
          <w:spacing w:val="12"/>
          <w:sz w:val="24"/>
          <w:szCs w:val="24"/>
          <w:highlight w:val="none"/>
          <w:lang w:eastAsia="zh-CN"/>
        </w:rPr>
        <w:t>前，可以对其所递交的响应文件进行撤销、修改并重新上传，但以响应文件递交截</w:t>
      </w:r>
      <w:r>
        <w:rPr>
          <w:rFonts w:hint="eastAsia" w:ascii="仿宋" w:hAnsi="仿宋" w:eastAsia="仿宋" w:cs="仿宋"/>
          <w:color w:val="auto"/>
          <w:spacing w:val="11"/>
          <w:sz w:val="24"/>
          <w:szCs w:val="24"/>
          <w:highlight w:val="none"/>
          <w:lang w:eastAsia="zh-CN"/>
        </w:rPr>
        <w:t>止时间</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2"/>
          <w:sz w:val="24"/>
          <w:szCs w:val="24"/>
          <w:highlight w:val="none"/>
          <w:lang w:eastAsia="zh-CN"/>
        </w:rPr>
        <w:t>前最后一次完成上传的响应文件为有效响应文件。逾期系统将自动关闭，未完成上</w:t>
      </w:r>
      <w:r>
        <w:rPr>
          <w:rFonts w:hint="eastAsia" w:ascii="仿宋" w:hAnsi="仿宋" w:eastAsia="仿宋" w:cs="仿宋"/>
          <w:color w:val="auto"/>
          <w:spacing w:val="11"/>
          <w:sz w:val="24"/>
          <w:szCs w:val="24"/>
          <w:highlight w:val="none"/>
          <w:lang w:eastAsia="zh-CN"/>
        </w:rPr>
        <w:t>传的响</w:t>
      </w:r>
      <w:r>
        <w:rPr>
          <w:rFonts w:hint="eastAsia" w:ascii="仿宋" w:hAnsi="仿宋" w:eastAsia="仿宋" w:cs="仿宋"/>
          <w:color w:val="auto"/>
          <w:spacing w:val="6"/>
          <w:sz w:val="24"/>
          <w:szCs w:val="24"/>
          <w:highlight w:val="none"/>
          <w:lang w:eastAsia="zh-CN"/>
        </w:rPr>
        <w:t>应文件视为逾期送达，将被拒绝。</w:t>
      </w:r>
    </w:p>
    <w:p w14:paraId="75DC16BD">
      <w:pPr>
        <w:keepNext w:val="0"/>
        <w:keepLines w:val="0"/>
        <w:pageBreakBefore w:val="0"/>
        <w:widowControl/>
        <w:kinsoku w:val="0"/>
        <w:wordWrap/>
        <w:overflowPunct/>
        <w:topLinePunct w:val="0"/>
        <w:autoSpaceDE w:val="0"/>
        <w:autoSpaceDN w:val="0"/>
        <w:bidi w:val="0"/>
        <w:adjustRightInd w:val="0"/>
        <w:snapToGrid w:val="0"/>
        <w:spacing w:before="219" w:line="0" w:lineRule="atLeast"/>
        <w:ind w:left="18"/>
        <w:textAlignment w:val="baseline"/>
        <w:outlineLvl w:val="2"/>
        <w:rPr>
          <w:rFonts w:hint="eastAsia" w:ascii="仿宋" w:hAnsi="仿宋" w:eastAsia="仿宋" w:cs="仿宋"/>
          <w:color w:val="auto"/>
          <w:sz w:val="24"/>
          <w:szCs w:val="24"/>
          <w:highlight w:val="none"/>
          <w:lang w:eastAsia="zh-CN"/>
        </w:rPr>
      </w:pPr>
      <w:bookmarkStart w:id="37" w:name="_Toc21922"/>
      <w:r>
        <w:rPr>
          <w:rFonts w:hint="eastAsia" w:ascii="仿宋" w:hAnsi="仿宋" w:eastAsia="仿宋" w:cs="仿宋"/>
          <w:color w:val="auto"/>
          <w:spacing w:val="7"/>
          <w:sz w:val="24"/>
          <w:szCs w:val="24"/>
          <w:highlight w:val="none"/>
          <w:lang w:eastAsia="zh-CN"/>
          <w14:textOutline w14:w="4394" w14:cap="flat" w14:cmpd="sng" w14:algn="ctr">
            <w14:solidFill>
              <w14:srgbClr w14:val="000000"/>
            </w14:solidFill>
            <w14:prstDash w14:val="solid"/>
            <w14:miter w14:val="0"/>
          </w14:textOutline>
        </w:rPr>
        <w:t>14.</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7"/>
          <w:sz w:val="24"/>
          <w:szCs w:val="24"/>
          <w:highlight w:val="none"/>
          <w:lang w:eastAsia="zh-CN"/>
          <w14:textOutline w14:w="4394" w14:cap="flat" w14:cmpd="sng" w14:algn="ctr">
            <w14:solidFill>
              <w14:srgbClr w14:val="000000"/>
            </w14:solidFill>
            <w14:prstDash w14:val="solid"/>
            <w14:miter w14:val="0"/>
          </w14:textOutline>
        </w:rPr>
        <w:t>谈判响应文件的递交</w:t>
      </w:r>
      <w:bookmarkEnd w:id="37"/>
    </w:p>
    <w:p w14:paraId="0350AA70">
      <w:pPr>
        <w:keepNext w:val="0"/>
        <w:keepLines w:val="0"/>
        <w:pageBreakBefore w:val="0"/>
        <w:widowControl/>
        <w:kinsoku w:val="0"/>
        <w:wordWrap/>
        <w:overflowPunct/>
        <w:topLinePunct w:val="0"/>
        <w:autoSpaceDE w:val="0"/>
        <w:autoSpaceDN w:val="0"/>
        <w:bidi w:val="0"/>
        <w:adjustRightInd w:val="0"/>
        <w:snapToGrid w:val="0"/>
        <w:spacing w:before="215"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 xml:space="preserve">14.1 谈判供应商在递交谈判响应文件时需应用 </w:t>
      </w:r>
      <w:r>
        <w:rPr>
          <w:rFonts w:hint="eastAsia" w:ascii="仿宋" w:hAnsi="仿宋" w:eastAsia="仿宋" w:cs="仿宋"/>
          <w:color w:val="auto"/>
          <w:sz w:val="24"/>
          <w:szCs w:val="24"/>
          <w:highlight w:val="none"/>
          <w:lang w:eastAsia="zh-CN"/>
        </w:rPr>
        <w:t>CA</w:t>
      </w:r>
      <w:r>
        <w:rPr>
          <w:rFonts w:hint="eastAsia" w:ascii="仿宋" w:hAnsi="仿宋" w:eastAsia="仿宋" w:cs="仿宋"/>
          <w:color w:val="auto"/>
          <w:spacing w:val="7"/>
          <w:sz w:val="24"/>
          <w:szCs w:val="24"/>
          <w:highlight w:val="none"/>
          <w:lang w:eastAsia="zh-CN"/>
        </w:rPr>
        <w:t xml:space="preserve"> 锁。</w:t>
      </w:r>
    </w:p>
    <w:p w14:paraId="22859DF6">
      <w:pPr>
        <w:keepNext w:val="0"/>
        <w:keepLines w:val="0"/>
        <w:pageBreakBefore w:val="0"/>
        <w:widowControl/>
        <w:kinsoku w:val="0"/>
        <w:wordWrap/>
        <w:overflowPunct/>
        <w:topLinePunct w:val="0"/>
        <w:autoSpaceDE w:val="0"/>
        <w:autoSpaceDN w:val="0"/>
        <w:bidi w:val="0"/>
        <w:adjustRightInd w:val="0"/>
        <w:snapToGrid w:val="0"/>
        <w:spacing w:before="138" w:line="0" w:lineRule="atLeast"/>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3"/>
          <w:position w:val="17"/>
          <w:sz w:val="24"/>
          <w:szCs w:val="24"/>
          <w:highlight w:val="none"/>
          <w:lang w:eastAsia="zh-CN"/>
        </w:rPr>
        <w:t>14.2</w:t>
      </w:r>
      <w:r>
        <w:rPr>
          <w:rFonts w:hint="eastAsia" w:ascii="仿宋" w:hAnsi="仿宋" w:eastAsia="仿宋" w:cs="仿宋"/>
          <w:color w:val="auto"/>
          <w:spacing w:val="48"/>
          <w:position w:val="17"/>
          <w:sz w:val="24"/>
          <w:szCs w:val="24"/>
          <w:highlight w:val="none"/>
          <w:lang w:eastAsia="zh-CN"/>
        </w:rPr>
        <w:t xml:space="preserve"> </w:t>
      </w:r>
      <w:r>
        <w:rPr>
          <w:rFonts w:hint="eastAsia" w:ascii="仿宋" w:hAnsi="仿宋" w:eastAsia="仿宋" w:cs="仿宋"/>
          <w:color w:val="auto"/>
          <w:spacing w:val="23"/>
          <w:position w:val="17"/>
          <w:sz w:val="24"/>
          <w:szCs w:val="24"/>
          <w:highlight w:val="none"/>
          <w:lang w:eastAsia="zh-CN"/>
          <w14:textOutline w14:w="4394" w14:cap="flat" w14:cmpd="sng" w14:algn="ctr">
            <w14:solidFill>
              <w14:srgbClr w14:val="000000"/>
            </w14:solidFill>
            <w14:prstDash w14:val="solid"/>
            <w14:miter w14:val="0"/>
          </w14:textOutline>
        </w:rPr>
        <w:t>本项目采用不见面开标</w:t>
      </w:r>
      <w:r>
        <w:rPr>
          <w:rFonts w:hint="eastAsia" w:ascii="仿宋" w:hAnsi="仿宋" w:eastAsia="仿宋" w:cs="仿宋"/>
          <w:color w:val="auto"/>
          <w:spacing w:val="-58"/>
          <w:position w:val="17"/>
          <w:sz w:val="24"/>
          <w:szCs w:val="24"/>
          <w:highlight w:val="none"/>
          <w:lang w:eastAsia="zh-CN"/>
        </w:rPr>
        <w:t xml:space="preserve"> </w:t>
      </w:r>
      <w:r>
        <w:rPr>
          <w:rFonts w:hint="eastAsia" w:ascii="仿宋" w:hAnsi="仿宋" w:eastAsia="仿宋" w:cs="仿宋"/>
          <w:color w:val="auto"/>
          <w:spacing w:val="23"/>
          <w:position w:val="17"/>
          <w:sz w:val="24"/>
          <w:szCs w:val="24"/>
          <w:highlight w:val="none"/>
          <w:lang w:eastAsia="zh-CN"/>
          <w14:textOutline w14:w="4394" w14:cap="flat" w14:cmpd="sng" w14:algn="ctr">
            <w14:solidFill>
              <w14:srgbClr w14:val="000000"/>
            </w14:solidFill>
            <w14:prstDash w14:val="solid"/>
            <w14:miter w14:val="0"/>
          </w14:textOutline>
        </w:rPr>
        <w:t>，</w:t>
      </w:r>
      <w:r>
        <w:rPr>
          <w:rFonts w:hint="eastAsia" w:ascii="仿宋" w:hAnsi="仿宋" w:eastAsia="仿宋" w:cs="仿宋"/>
          <w:color w:val="auto"/>
          <w:spacing w:val="-67"/>
          <w:position w:val="17"/>
          <w:sz w:val="24"/>
          <w:szCs w:val="24"/>
          <w:highlight w:val="none"/>
          <w:lang w:eastAsia="zh-CN"/>
        </w:rPr>
        <w:t xml:space="preserve"> </w:t>
      </w:r>
      <w:r>
        <w:rPr>
          <w:rFonts w:hint="eastAsia" w:ascii="仿宋" w:hAnsi="仿宋" w:eastAsia="仿宋" w:cs="仿宋"/>
          <w:color w:val="auto"/>
          <w:spacing w:val="23"/>
          <w:position w:val="17"/>
          <w:sz w:val="24"/>
          <w:szCs w:val="24"/>
          <w:highlight w:val="none"/>
          <w:lang w:eastAsia="zh-CN"/>
          <w14:textOutline w14:w="4394" w14:cap="flat" w14:cmpd="sng" w14:algn="ctr">
            <w14:solidFill>
              <w14:srgbClr w14:val="000000"/>
            </w14:solidFill>
            <w14:prstDash w14:val="solid"/>
            <w14:miter w14:val="0"/>
          </w14:textOutline>
        </w:rPr>
        <w:t>供应商应</w:t>
      </w:r>
      <w:r>
        <w:rPr>
          <w:rFonts w:hint="eastAsia" w:ascii="仿宋" w:hAnsi="仿宋" w:eastAsia="仿宋" w:cs="仿宋"/>
          <w:color w:val="auto"/>
          <w:spacing w:val="-61"/>
          <w:position w:val="17"/>
          <w:sz w:val="24"/>
          <w:szCs w:val="24"/>
          <w:highlight w:val="none"/>
          <w:lang w:eastAsia="zh-CN"/>
        </w:rPr>
        <w:t xml:space="preserve"> </w:t>
      </w:r>
      <w:r>
        <w:rPr>
          <w:rFonts w:hint="eastAsia" w:ascii="仿宋" w:hAnsi="仿宋" w:eastAsia="仿宋" w:cs="仿宋"/>
          <w:color w:val="auto"/>
          <w:spacing w:val="23"/>
          <w:position w:val="17"/>
          <w:sz w:val="24"/>
          <w:szCs w:val="24"/>
          <w:highlight w:val="none"/>
          <w:lang w:eastAsia="zh-CN"/>
          <w14:textOutline w14:w="4394" w14:cap="flat" w14:cmpd="sng" w14:algn="ctr">
            <w14:solidFill>
              <w14:srgbClr w14:val="000000"/>
            </w14:solidFill>
            <w14:prstDash w14:val="solid"/>
            <w14:miter w14:val="0"/>
          </w14:textOutline>
        </w:rPr>
        <w:t>当在投标截止</w:t>
      </w:r>
      <w:r>
        <w:rPr>
          <w:rFonts w:hint="eastAsia" w:ascii="仿宋" w:hAnsi="仿宋" w:eastAsia="仿宋" w:cs="仿宋"/>
          <w:color w:val="auto"/>
          <w:spacing w:val="-63"/>
          <w:position w:val="17"/>
          <w:sz w:val="24"/>
          <w:szCs w:val="24"/>
          <w:highlight w:val="none"/>
          <w:lang w:eastAsia="zh-CN"/>
        </w:rPr>
        <w:t xml:space="preserve"> </w:t>
      </w:r>
      <w:r>
        <w:rPr>
          <w:rFonts w:hint="eastAsia" w:ascii="仿宋" w:hAnsi="仿宋" w:eastAsia="仿宋" w:cs="仿宋"/>
          <w:color w:val="auto"/>
          <w:spacing w:val="23"/>
          <w:position w:val="17"/>
          <w:sz w:val="24"/>
          <w:szCs w:val="24"/>
          <w:highlight w:val="none"/>
          <w:lang w:eastAsia="zh-CN"/>
          <w14:textOutline w14:w="4394" w14:cap="flat" w14:cmpd="sng" w14:algn="ctr">
            <w14:solidFill>
              <w14:srgbClr w14:val="000000"/>
            </w14:solidFill>
            <w14:prstDash w14:val="solid"/>
            <w14:miter w14:val="0"/>
          </w14:textOutline>
        </w:rPr>
        <w:t>时</w:t>
      </w:r>
      <w:r>
        <w:rPr>
          <w:rFonts w:hint="eastAsia" w:ascii="仿宋" w:hAnsi="仿宋" w:eastAsia="仿宋" w:cs="仿宋"/>
          <w:color w:val="auto"/>
          <w:spacing w:val="-58"/>
          <w:position w:val="17"/>
          <w:sz w:val="24"/>
          <w:szCs w:val="24"/>
          <w:highlight w:val="none"/>
          <w:lang w:eastAsia="zh-CN"/>
        </w:rPr>
        <w:t xml:space="preserve"> </w:t>
      </w:r>
      <w:r>
        <w:rPr>
          <w:rFonts w:hint="eastAsia" w:ascii="仿宋" w:hAnsi="仿宋" w:eastAsia="仿宋" w:cs="仿宋"/>
          <w:color w:val="auto"/>
          <w:spacing w:val="23"/>
          <w:position w:val="17"/>
          <w:sz w:val="24"/>
          <w:szCs w:val="24"/>
          <w:highlight w:val="none"/>
          <w:lang w:eastAsia="zh-CN"/>
          <w14:textOutline w14:w="4394" w14:cap="flat" w14:cmpd="sng" w14:algn="ctr">
            <w14:solidFill>
              <w14:srgbClr w14:val="000000"/>
            </w14:solidFill>
            <w14:prstDash w14:val="solid"/>
            <w14:miter w14:val="0"/>
          </w14:textOutline>
        </w:rPr>
        <w:t>间前通过</w:t>
      </w:r>
      <w:r>
        <w:rPr>
          <w:rFonts w:hint="eastAsia" w:ascii="仿宋" w:hAnsi="仿宋" w:eastAsia="仿宋" w:cs="仿宋"/>
          <w:color w:val="auto"/>
          <w:spacing w:val="22"/>
          <w:position w:val="17"/>
          <w:sz w:val="24"/>
          <w:szCs w:val="24"/>
          <w:highlight w:val="none"/>
          <w:lang w:eastAsia="zh-CN"/>
          <w14:textOutline w14:w="4394" w14:cap="flat" w14:cmpd="sng" w14:algn="ctr">
            <w14:solidFill>
              <w14:srgbClr w14:val="000000"/>
            </w14:solidFill>
            <w14:prstDash w14:val="solid"/>
            <w14:miter w14:val="0"/>
          </w14:textOutline>
        </w:rPr>
        <w:t>政采云平</w:t>
      </w:r>
      <w:r>
        <w:rPr>
          <w:rFonts w:hint="eastAsia" w:ascii="仿宋" w:hAnsi="仿宋" w:eastAsia="仿宋" w:cs="仿宋"/>
          <w:color w:val="auto"/>
          <w:spacing w:val="-56"/>
          <w:position w:val="17"/>
          <w:sz w:val="24"/>
          <w:szCs w:val="24"/>
          <w:highlight w:val="none"/>
          <w:lang w:eastAsia="zh-CN"/>
        </w:rPr>
        <w:t xml:space="preserve"> </w:t>
      </w:r>
      <w:r>
        <w:rPr>
          <w:rFonts w:hint="eastAsia" w:ascii="仿宋" w:hAnsi="仿宋" w:eastAsia="仿宋" w:cs="仿宋"/>
          <w:color w:val="auto"/>
          <w:spacing w:val="22"/>
          <w:position w:val="17"/>
          <w:sz w:val="24"/>
          <w:szCs w:val="24"/>
          <w:highlight w:val="none"/>
          <w:lang w:eastAsia="zh-CN"/>
          <w14:textOutline w14:w="4394" w14:cap="flat" w14:cmpd="sng" w14:algn="ctr">
            <w14:solidFill>
              <w14:srgbClr w14:val="000000"/>
            </w14:solidFill>
            <w14:prstDash w14:val="solid"/>
            <w14:miter w14:val="0"/>
          </w14:textOutline>
        </w:rPr>
        <w:t>台</w:t>
      </w:r>
    </w:p>
    <w:p w14:paraId="4F85B92C">
      <w:pPr>
        <w:keepNext w:val="0"/>
        <w:keepLines w:val="0"/>
        <w:pageBreakBefore w:val="0"/>
        <w:widowControl/>
        <w:kinsoku w:val="0"/>
        <w:wordWrap/>
        <w:overflowPunct/>
        <w:topLinePunct w:val="0"/>
        <w:autoSpaceDE w:val="0"/>
        <w:autoSpaceDN w:val="0"/>
        <w:bidi w:val="0"/>
        <w:adjustRightInd w:val="0"/>
        <w:snapToGrid w:val="0"/>
        <w:spacing w:before="1" w:line="0" w:lineRule="atLeas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9"/>
          <w:sz w:val="24"/>
          <w:szCs w:val="24"/>
          <w:highlight w:val="none"/>
          <w14:textOutline w14:w="4394" w14:cap="flat" w14:cmpd="sng" w14:algn="ctr">
            <w14:solidFill>
              <w14:srgbClr w14:val="000000"/>
            </w14:solidFill>
            <w14:prstDash w14:val="solid"/>
            <w14:miter w14:val="0"/>
          </w14:textOutli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"https://www.zcygov.cn"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14:textOutline w14:w="4394" w14:cap="flat" w14:cmpd="sng" w14:algn="ctr">
            <w14:solidFill>
              <w14:srgbClr w14:val="000000"/>
            </w14:solidFill>
            <w14:prstDash w14:val="solid"/>
            <w14:miter w14:val="0"/>
          </w14:textOutline>
        </w:rPr>
        <w:t>https</w:t>
      </w:r>
      <w:r>
        <w:rPr>
          <w:rFonts w:hint="eastAsia" w:ascii="仿宋" w:hAnsi="仿宋" w:eastAsia="仿宋" w:cs="仿宋"/>
          <w:color w:val="auto"/>
          <w:spacing w:val="19"/>
          <w:sz w:val="24"/>
          <w:szCs w:val="24"/>
          <w:highlight w:val="none"/>
          <w14:textOutline w14:w="4394" w14:cap="flat" w14:cmpd="sng" w14:algn="ctr">
            <w14:solidFill>
              <w14:srgbClr w14:val="000000"/>
            </w14:solidFill>
            <w14:prstDash w14:val="solid"/>
            <w14:miter w14:val="0"/>
          </w14:textOutline>
        </w:rPr>
        <w:t>://</w:t>
      </w:r>
      <w:r>
        <w:rPr>
          <w:rFonts w:hint="eastAsia" w:ascii="仿宋" w:hAnsi="仿宋" w:eastAsia="仿宋" w:cs="仿宋"/>
          <w:color w:val="auto"/>
          <w:sz w:val="24"/>
          <w:szCs w:val="24"/>
          <w:highlight w:val="none"/>
          <w14:textOutline w14:w="4394" w14:cap="flat" w14:cmpd="sng" w14:algn="ctr">
            <w14:solidFill>
              <w14:srgbClr w14:val="000000"/>
            </w14:solidFill>
            <w14:prstDash w14:val="solid"/>
            <w14:miter w14:val="0"/>
          </w14:textOutline>
        </w:rPr>
        <w:t>www</w:t>
      </w:r>
      <w:r>
        <w:rPr>
          <w:rFonts w:hint="eastAsia" w:ascii="仿宋" w:hAnsi="仿宋" w:eastAsia="仿宋" w:cs="仿宋"/>
          <w:color w:val="auto"/>
          <w:spacing w:val="19"/>
          <w:sz w:val="24"/>
          <w:szCs w:val="24"/>
          <w:highlight w:val="none"/>
          <w14:textOutline w14:w="4394" w14:cap="flat" w14:cmpd="sng" w14:algn="ctr">
            <w14:solidFill>
              <w14:srgbClr w14:val="000000"/>
            </w14:solidFill>
            <w14:prstDash w14:val="solid"/>
            <w14:miter w14:val="0"/>
          </w14:textOutline>
        </w:rPr>
        <w:t>.</w:t>
      </w:r>
      <w:r>
        <w:rPr>
          <w:rFonts w:hint="eastAsia" w:ascii="仿宋" w:hAnsi="仿宋" w:eastAsia="仿宋" w:cs="仿宋"/>
          <w:color w:val="auto"/>
          <w:sz w:val="24"/>
          <w:szCs w:val="24"/>
          <w:highlight w:val="none"/>
          <w14:textOutline w14:w="4394" w14:cap="flat" w14:cmpd="sng" w14:algn="ctr">
            <w14:solidFill>
              <w14:srgbClr w14:val="000000"/>
            </w14:solidFill>
            <w14:prstDash w14:val="solid"/>
            <w14:miter w14:val="0"/>
          </w14:textOutline>
        </w:rPr>
        <w:t>zcygov</w:t>
      </w:r>
      <w:r>
        <w:rPr>
          <w:rFonts w:hint="eastAsia" w:ascii="仿宋" w:hAnsi="仿宋" w:eastAsia="仿宋" w:cs="仿宋"/>
          <w:color w:val="auto"/>
          <w:spacing w:val="19"/>
          <w:sz w:val="24"/>
          <w:szCs w:val="24"/>
          <w:highlight w:val="none"/>
          <w14:textOutline w14:w="4394" w14:cap="flat" w14:cmpd="sng" w14:algn="ctr">
            <w14:solidFill>
              <w14:srgbClr w14:val="000000"/>
            </w14:solidFill>
            <w14:prstDash w14:val="solid"/>
            <w14:miter w14:val="0"/>
          </w14:textOutline>
        </w:rPr>
        <w:t>.</w:t>
      </w:r>
      <w:r>
        <w:rPr>
          <w:rFonts w:hint="eastAsia" w:ascii="仿宋" w:hAnsi="仿宋" w:eastAsia="仿宋" w:cs="仿宋"/>
          <w:color w:val="auto"/>
          <w:sz w:val="24"/>
          <w:szCs w:val="24"/>
          <w:highlight w:val="none"/>
          <w14:textOutline w14:w="4394" w14:cap="flat" w14:cmpd="sng" w14:algn="ctr">
            <w14:solidFill>
              <w14:srgbClr w14:val="000000"/>
            </w14:solidFill>
            <w14:prstDash w14:val="solid"/>
            <w14:miter w14:val="0"/>
          </w14:textOutline>
        </w:rPr>
        <w:t>cn</w:t>
      </w:r>
      <w:r>
        <w:rPr>
          <w:rFonts w:hint="eastAsia" w:ascii="仿宋" w:hAnsi="仿宋" w:eastAsia="仿宋" w:cs="仿宋"/>
          <w:color w:val="auto"/>
          <w:sz w:val="24"/>
          <w:szCs w:val="24"/>
          <w:highlight w:val="none"/>
          <w14:textOutline w14:w="4394" w14:cap="flat" w14:cmpd="sng" w14:algn="ctr">
            <w14:solidFill>
              <w14:srgbClr w14:val="000000"/>
            </w14:solidFill>
            <w14:prstDash w14:val="solid"/>
            <w14:miter w14:val="0"/>
          </w14:textOutline>
        </w:rPr>
        <w:fldChar w:fldCharType="end"/>
      </w:r>
      <w:r>
        <w:rPr>
          <w:rFonts w:hint="eastAsia" w:ascii="仿宋" w:hAnsi="仿宋" w:eastAsia="仿宋" w:cs="仿宋"/>
          <w:color w:val="auto"/>
          <w:spacing w:val="19"/>
          <w:sz w:val="24"/>
          <w:szCs w:val="24"/>
          <w:highlight w:val="none"/>
          <w14:textOutline w14:w="4394" w14:cap="flat" w14:cmpd="sng" w14:algn="ctr">
            <w14:solidFill>
              <w14:srgbClr w14:val="000000"/>
            </w14:solidFill>
            <w14:prstDash w14:val="solid"/>
            <w14:miter w14:val="0"/>
          </w14:textOutline>
        </w:rPr>
        <w:t>）上传加密的电子投标文件，逾</w:t>
      </w:r>
      <w:r>
        <w:rPr>
          <w:rFonts w:hint="eastAsia" w:ascii="仿宋" w:hAnsi="仿宋" w:eastAsia="仿宋" w:cs="仿宋"/>
          <w:color w:val="auto"/>
          <w:spacing w:val="18"/>
          <w:sz w:val="24"/>
          <w:szCs w:val="24"/>
          <w:highlight w:val="none"/>
          <w14:textOutline w14:w="4394" w14:cap="flat" w14:cmpd="sng" w14:algn="ctr">
            <w14:solidFill>
              <w14:srgbClr w14:val="000000"/>
            </w14:solidFill>
            <w14:prstDash w14:val="solid"/>
            <w14:miter w14:val="0"/>
          </w14:textOutline>
        </w:rPr>
        <w:t>期上传的或者未上传到平台的</w:t>
      </w:r>
      <w:r>
        <w:rPr>
          <w:rFonts w:hint="eastAsia" w:ascii="仿宋" w:hAnsi="仿宋" w:eastAsia="仿宋" w:cs="仿宋"/>
          <w:color w:val="auto"/>
          <w:spacing w:val="9"/>
          <w:sz w:val="24"/>
          <w:szCs w:val="24"/>
          <w:highlight w:val="none"/>
          <w14:textOutline w14:w="4394" w14:cap="flat" w14:cmpd="sng" w14:algn="ctr">
            <w14:solidFill>
              <w14:srgbClr w14:val="000000"/>
            </w14:solidFill>
            <w14:prstDash w14:val="solid"/>
            <w14:miter w14:val="0"/>
          </w14:textOutline>
        </w:rPr>
        <w:t>投标文件，采购人不予受理。</w:t>
      </w:r>
    </w:p>
    <w:p w14:paraId="63A1BB25">
      <w:pPr>
        <w:keepNext w:val="0"/>
        <w:keepLines w:val="0"/>
        <w:pageBreakBefore w:val="0"/>
        <w:widowControl/>
        <w:kinsoku w:val="0"/>
        <w:wordWrap/>
        <w:overflowPunct/>
        <w:topLinePunct w:val="0"/>
        <w:autoSpaceDE w:val="0"/>
        <w:autoSpaceDN w:val="0"/>
        <w:bidi w:val="0"/>
        <w:adjustRightInd w:val="0"/>
        <w:snapToGrid w:val="0"/>
        <w:spacing w:before="265" w:line="0" w:lineRule="atLeast"/>
        <w:ind w:left="18"/>
        <w:textAlignment w:val="baseline"/>
        <w:outlineLvl w:val="2"/>
        <w:rPr>
          <w:rFonts w:hint="eastAsia" w:ascii="仿宋" w:hAnsi="仿宋" w:eastAsia="仿宋" w:cs="仿宋"/>
          <w:color w:val="auto"/>
          <w:sz w:val="24"/>
          <w:szCs w:val="24"/>
          <w:highlight w:val="none"/>
          <w:lang w:eastAsia="zh-CN"/>
        </w:rPr>
      </w:pPr>
      <w:bookmarkStart w:id="38" w:name="_Toc7480"/>
      <w:r>
        <w:rPr>
          <w:rFonts w:hint="eastAsia" w:ascii="仿宋" w:hAnsi="仿宋" w:eastAsia="仿宋" w:cs="仿宋"/>
          <w:color w:val="auto"/>
          <w:spacing w:val="7"/>
          <w:sz w:val="24"/>
          <w:szCs w:val="24"/>
          <w:highlight w:val="none"/>
          <w:lang w:eastAsia="zh-CN"/>
          <w14:textOutline w14:w="4394" w14:cap="flat" w14:cmpd="sng" w14:algn="ctr">
            <w14:solidFill>
              <w14:srgbClr w14:val="000000"/>
            </w14:solidFill>
            <w14:prstDash w14:val="solid"/>
            <w14:miter w14:val="0"/>
          </w14:textOutline>
        </w:rPr>
        <w:t>15.</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7"/>
          <w:sz w:val="24"/>
          <w:szCs w:val="24"/>
          <w:highlight w:val="none"/>
          <w:lang w:eastAsia="zh-CN"/>
          <w14:textOutline w14:w="4394" w14:cap="flat" w14:cmpd="sng" w14:algn="ctr">
            <w14:solidFill>
              <w14:srgbClr w14:val="000000"/>
            </w14:solidFill>
            <w14:prstDash w14:val="solid"/>
            <w14:miter w14:val="0"/>
          </w14:textOutline>
        </w:rPr>
        <w:t>迟交的竞争性谈判响应文件</w:t>
      </w:r>
      <w:bookmarkEnd w:id="38"/>
    </w:p>
    <w:p w14:paraId="5E73CE5F">
      <w:pPr>
        <w:keepNext w:val="0"/>
        <w:keepLines w:val="0"/>
        <w:pageBreakBefore w:val="0"/>
        <w:widowControl/>
        <w:kinsoku w:val="0"/>
        <w:wordWrap/>
        <w:overflowPunct/>
        <w:topLinePunct w:val="0"/>
        <w:autoSpaceDE w:val="0"/>
        <w:autoSpaceDN w:val="0"/>
        <w:bidi w:val="0"/>
        <w:adjustRightInd w:val="0"/>
        <w:snapToGrid w:val="0"/>
        <w:spacing w:before="220" w:line="0" w:lineRule="atLeast"/>
        <w:ind w:right="45"/>
        <w:jc w:val="both"/>
        <w:textAlignment w:val="baseline"/>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9"/>
          <w:sz w:val="24"/>
          <w:szCs w:val="24"/>
          <w:highlight w:val="none"/>
          <w:lang w:eastAsia="zh-CN"/>
        </w:rPr>
        <w:t>15.1 采购代理机构将拒绝在规定的递交竞争性谈判响</w:t>
      </w:r>
      <w:r>
        <w:rPr>
          <w:rFonts w:hint="eastAsia" w:ascii="仿宋" w:hAnsi="仿宋" w:eastAsia="仿宋" w:cs="仿宋"/>
          <w:color w:val="auto"/>
          <w:spacing w:val="8"/>
          <w:sz w:val="24"/>
          <w:szCs w:val="24"/>
          <w:highlight w:val="none"/>
          <w:lang w:eastAsia="zh-CN"/>
        </w:rPr>
        <w:t>应文件截止时间之后收到的任何</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2"/>
          <w:sz w:val="24"/>
          <w:szCs w:val="24"/>
          <w:highlight w:val="none"/>
          <w:lang w:eastAsia="zh-CN"/>
        </w:rPr>
        <w:t>竞争性谈判响应文件。由于对网上操作不熟悉或自身电脑、网络的原因导致不能在</w:t>
      </w:r>
      <w:r>
        <w:rPr>
          <w:rFonts w:hint="eastAsia" w:ascii="仿宋" w:hAnsi="仿宋" w:eastAsia="仿宋" w:cs="仿宋"/>
          <w:color w:val="auto"/>
          <w:spacing w:val="11"/>
          <w:sz w:val="24"/>
          <w:szCs w:val="24"/>
          <w:highlight w:val="none"/>
          <w:lang w:eastAsia="zh-CN"/>
        </w:rPr>
        <w:t>谈判响</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2"/>
          <w:sz w:val="24"/>
          <w:szCs w:val="24"/>
          <w:highlight w:val="none"/>
          <w:lang w:eastAsia="zh-CN"/>
        </w:rPr>
        <w:t>应文件递交截止时间之前上传谈判响应文件的，不负任何责任。建议于谈判响应文</w:t>
      </w:r>
      <w:r>
        <w:rPr>
          <w:rFonts w:hint="eastAsia" w:ascii="仿宋" w:hAnsi="仿宋" w:eastAsia="仿宋" w:cs="仿宋"/>
          <w:color w:val="auto"/>
          <w:spacing w:val="11"/>
          <w:sz w:val="24"/>
          <w:szCs w:val="24"/>
          <w:highlight w:val="none"/>
          <w:lang w:eastAsia="zh-CN"/>
        </w:rPr>
        <w:t>件递交</w:t>
      </w:r>
      <w:r>
        <w:rPr>
          <w:rFonts w:hint="eastAsia" w:ascii="仿宋" w:hAnsi="仿宋" w:eastAsia="仿宋" w:cs="仿宋"/>
          <w:color w:val="auto"/>
          <w:spacing w:val="7"/>
          <w:sz w:val="24"/>
          <w:szCs w:val="24"/>
          <w:highlight w:val="none"/>
          <w:lang w:eastAsia="zh-CN"/>
        </w:rPr>
        <w:t>截止时间前 1 个工作日完成谈判响应文件的制作与上传。</w:t>
      </w:r>
    </w:p>
    <w:p w14:paraId="7C805536">
      <w:pPr>
        <w:pStyle w:val="11"/>
        <w:pageBreakBefore w:val="0"/>
        <w:widowControl/>
        <w:overflowPunct/>
        <w:topLinePunct w:val="0"/>
        <w:autoSpaceDE w:val="0"/>
        <w:autoSpaceDN w:val="0"/>
        <w:bidi w:val="0"/>
        <w:adjustRightInd w:val="0"/>
        <w:snapToGrid w:val="0"/>
        <w:spacing w:line="0" w:lineRule="atLeast"/>
        <w:rPr>
          <w:rFonts w:hint="eastAsia" w:ascii="仿宋" w:hAnsi="仿宋" w:eastAsia="仿宋" w:cs="仿宋"/>
          <w:color w:val="auto"/>
          <w:spacing w:val="7"/>
          <w:sz w:val="24"/>
          <w:szCs w:val="24"/>
          <w:highlight w:val="none"/>
          <w:lang w:eastAsia="zh-CN"/>
        </w:rPr>
      </w:pPr>
    </w:p>
    <w:p w14:paraId="2AF595B2">
      <w:pPr>
        <w:keepNext w:val="0"/>
        <w:keepLines w:val="0"/>
        <w:pageBreakBefore w:val="0"/>
        <w:widowControl/>
        <w:kinsoku w:val="0"/>
        <w:wordWrap/>
        <w:overflowPunct/>
        <w:topLinePunct w:val="0"/>
        <w:autoSpaceDE w:val="0"/>
        <w:autoSpaceDN w:val="0"/>
        <w:bidi w:val="0"/>
        <w:adjustRightInd w:val="0"/>
        <w:snapToGrid w:val="0"/>
        <w:spacing w:before="75" w:line="0" w:lineRule="atLeast"/>
        <w:ind w:left="3888"/>
        <w:textAlignment w:val="baseline"/>
        <w:outlineLvl w:val="1"/>
        <w:rPr>
          <w:rFonts w:hint="eastAsia" w:ascii="仿宋" w:hAnsi="仿宋" w:eastAsia="仿宋" w:cs="仿宋"/>
          <w:color w:val="auto"/>
          <w:sz w:val="24"/>
          <w:szCs w:val="24"/>
          <w:highlight w:val="none"/>
          <w:lang w:eastAsia="zh-CN"/>
        </w:rPr>
      </w:pPr>
      <w:bookmarkStart w:id="39" w:name="_Toc21749"/>
      <w:r>
        <w:rPr>
          <w:rFonts w:hint="eastAsia" w:ascii="仿宋" w:hAnsi="仿宋" w:eastAsia="仿宋" w:cs="仿宋"/>
          <w:color w:val="auto"/>
          <w:spacing w:val="8"/>
          <w:sz w:val="24"/>
          <w:szCs w:val="24"/>
          <w:highlight w:val="none"/>
          <w:lang w:eastAsia="zh-CN"/>
          <w14:textOutline w14:w="4394" w14:cap="flat" w14:cmpd="sng" w14:algn="ctr">
            <w14:solidFill>
              <w14:srgbClr w14:val="000000"/>
            </w14:solidFill>
            <w14:prstDash w14:val="solid"/>
            <w14:miter w14:val="0"/>
          </w14:textOutline>
        </w:rPr>
        <w:t>五、谈判的步骤</w:t>
      </w:r>
      <w:bookmarkEnd w:id="39"/>
    </w:p>
    <w:p w14:paraId="7F74333E">
      <w:pPr>
        <w:pStyle w:val="7"/>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p>
    <w:p w14:paraId="7003FEF6">
      <w:pPr>
        <w:keepNext w:val="0"/>
        <w:keepLines w:val="0"/>
        <w:pageBreakBefore w:val="0"/>
        <w:widowControl/>
        <w:kinsoku w:val="0"/>
        <w:wordWrap/>
        <w:overflowPunct/>
        <w:topLinePunct w:val="0"/>
        <w:autoSpaceDE w:val="0"/>
        <w:autoSpaceDN w:val="0"/>
        <w:bidi w:val="0"/>
        <w:adjustRightInd w:val="0"/>
        <w:snapToGrid w:val="0"/>
        <w:spacing w:before="75" w:line="0" w:lineRule="atLeast"/>
        <w:ind w:left="19"/>
        <w:textAlignment w:val="baseline"/>
        <w:outlineLvl w:val="2"/>
        <w:rPr>
          <w:rFonts w:hint="eastAsia" w:ascii="仿宋" w:hAnsi="仿宋" w:eastAsia="仿宋" w:cs="仿宋"/>
          <w:color w:val="auto"/>
          <w:sz w:val="24"/>
          <w:szCs w:val="24"/>
          <w:highlight w:val="none"/>
          <w:lang w:eastAsia="zh-CN"/>
        </w:rPr>
      </w:pPr>
      <w:bookmarkStart w:id="40" w:name="_Toc3248"/>
      <w:r>
        <w:rPr>
          <w:rFonts w:hint="eastAsia" w:ascii="仿宋" w:hAnsi="仿宋" w:eastAsia="仿宋" w:cs="仿宋"/>
          <w:color w:val="auto"/>
          <w:spacing w:val="4"/>
          <w:sz w:val="24"/>
          <w:szCs w:val="24"/>
          <w:highlight w:val="none"/>
          <w:lang w:eastAsia="zh-CN"/>
          <w14:textOutline w14:w="4394" w14:cap="flat" w14:cmpd="sng" w14:algn="ctr">
            <w14:solidFill>
              <w14:srgbClr w14:val="000000"/>
            </w14:solidFill>
            <w14:prstDash w14:val="solid"/>
            <w14:miter w14:val="0"/>
          </w14:textOutline>
        </w:rPr>
        <w:t>16.</w:t>
      </w:r>
      <w:r>
        <w:rPr>
          <w:rFonts w:hint="eastAsia" w:ascii="仿宋" w:hAnsi="仿宋" w:eastAsia="仿宋" w:cs="仿宋"/>
          <w:color w:val="auto"/>
          <w:spacing w:val="25"/>
          <w:sz w:val="24"/>
          <w:szCs w:val="24"/>
          <w:highlight w:val="none"/>
          <w:lang w:eastAsia="zh-CN"/>
        </w:rPr>
        <w:t xml:space="preserve"> </w:t>
      </w:r>
      <w:r>
        <w:rPr>
          <w:rFonts w:hint="eastAsia" w:ascii="仿宋" w:hAnsi="仿宋" w:eastAsia="仿宋" w:cs="仿宋"/>
          <w:color w:val="auto"/>
          <w:spacing w:val="4"/>
          <w:sz w:val="24"/>
          <w:szCs w:val="24"/>
          <w:highlight w:val="none"/>
          <w:lang w:eastAsia="zh-CN"/>
          <w14:textOutline w14:w="4394" w14:cap="flat" w14:cmpd="sng" w14:algn="ctr">
            <w14:solidFill>
              <w14:srgbClr w14:val="000000"/>
            </w14:solidFill>
            <w14:prstDash w14:val="solid"/>
            <w14:miter w14:val="0"/>
          </w14:textOutline>
        </w:rPr>
        <w:t>成立谈判小组</w:t>
      </w:r>
      <w:bookmarkEnd w:id="40"/>
    </w:p>
    <w:p w14:paraId="151C94CD">
      <w:pPr>
        <w:keepNext w:val="0"/>
        <w:keepLines w:val="0"/>
        <w:pageBreakBefore w:val="0"/>
        <w:widowControl/>
        <w:kinsoku w:val="0"/>
        <w:wordWrap/>
        <w:overflowPunct/>
        <w:topLinePunct w:val="0"/>
        <w:autoSpaceDE w:val="0"/>
        <w:autoSpaceDN w:val="0"/>
        <w:bidi w:val="0"/>
        <w:adjustRightInd w:val="0"/>
        <w:snapToGrid w:val="0"/>
        <w:spacing w:before="220" w:line="0" w:lineRule="atLeast"/>
        <w:ind w:right="45"/>
        <w:jc w:val="both"/>
        <w:textAlignment w:val="baseline"/>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lang w:eastAsia="zh-CN"/>
        </w:rPr>
        <w:t>16.1 谈判小组由有关专家共 3 人以上的单数组成，其中采购代表1人，专家库抽取专家2人。专家成员依法从政采云专家库中随机抽取确定。</w:t>
      </w:r>
    </w:p>
    <w:p w14:paraId="5E769027">
      <w:pPr>
        <w:keepNext w:val="0"/>
        <w:keepLines w:val="0"/>
        <w:pageBreakBefore w:val="0"/>
        <w:widowControl/>
        <w:kinsoku w:val="0"/>
        <w:wordWrap/>
        <w:overflowPunct/>
        <w:topLinePunct w:val="0"/>
        <w:autoSpaceDE w:val="0"/>
        <w:autoSpaceDN w:val="0"/>
        <w:bidi w:val="0"/>
        <w:adjustRightInd w:val="0"/>
        <w:snapToGrid w:val="0"/>
        <w:spacing w:before="219" w:line="0" w:lineRule="atLeast"/>
        <w:ind w:left="19"/>
        <w:textAlignment w:val="baseline"/>
        <w:outlineLvl w:val="2"/>
        <w:rPr>
          <w:rFonts w:hint="eastAsia" w:ascii="仿宋" w:hAnsi="仿宋" w:eastAsia="仿宋" w:cs="仿宋"/>
          <w:color w:val="auto"/>
          <w:sz w:val="24"/>
          <w:szCs w:val="24"/>
          <w:highlight w:val="none"/>
          <w:lang w:eastAsia="zh-CN"/>
        </w:rPr>
      </w:pPr>
      <w:bookmarkStart w:id="41" w:name="_Toc26972"/>
      <w:r>
        <w:rPr>
          <w:rFonts w:hint="eastAsia" w:ascii="仿宋" w:hAnsi="仿宋" w:eastAsia="仿宋" w:cs="仿宋"/>
          <w:color w:val="auto"/>
          <w:spacing w:val="7"/>
          <w:sz w:val="24"/>
          <w:szCs w:val="24"/>
          <w:highlight w:val="none"/>
          <w:lang w:eastAsia="zh-CN"/>
          <w14:textOutline w14:w="4394" w14:cap="flat" w14:cmpd="sng" w14:algn="ctr">
            <w14:solidFill>
              <w14:srgbClr w14:val="000000"/>
            </w14:solidFill>
            <w14:prstDash w14:val="solid"/>
            <w14:miter w14:val="0"/>
          </w14:textOutline>
        </w:rPr>
        <w:t>17.</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7"/>
          <w:sz w:val="24"/>
          <w:szCs w:val="24"/>
          <w:highlight w:val="none"/>
          <w:lang w:eastAsia="zh-CN"/>
          <w14:textOutline w14:w="4394" w14:cap="flat" w14:cmpd="sng" w14:algn="ctr">
            <w14:solidFill>
              <w14:srgbClr w14:val="000000"/>
            </w14:solidFill>
            <w14:prstDash w14:val="solid"/>
            <w14:miter w14:val="0"/>
          </w14:textOutline>
        </w:rPr>
        <w:t>谈判响应文件的审核</w:t>
      </w:r>
      <w:bookmarkEnd w:id="41"/>
    </w:p>
    <w:p w14:paraId="4D988745">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17.1 谈判供应商在规定的时间内解密上传的谈判响应文件。若因网络等技术原因不能进行电子谈判响应文件解密，则以电子谈判响应文件进行谈判。</w:t>
      </w:r>
    </w:p>
    <w:p w14:paraId="536FB634">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17.2 谈判小组根据谈判原则及标准对谈判供应商递交的竞争性谈判响应文件进行资格和符合性审查，以确定其谈判供应商是否具备参加竞争性谈判的资格。</w:t>
      </w:r>
    </w:p>
    <w:p w14:paraId="1A44CD7F">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17.3 竞争性谈判响应文件被确认为无效文件后，该谈判供应商即失去参加本次竞争性谈判的资格。</w:t>
      </w:r>
    </w:p>
    <w:p w14:paraId="0DE466A1">
      <w:pPr>
        <w:keepNext w:val="0"/>
        <w:keepLines w:val="0"/>
        <w:pageBreakBefore w:val="0"/>
        <w:widowControl/>
        <w:kinsoku w:val="0"/>
        <w:wordWrap/>
        <w:overflowPunct/>
        <w:topLinePunct w:val="0"/>
        <w:autoSpaceDE w:val="0"/>
        <w:autoSpaceDN w:val="0"/>
        <w:bidi w:val="0"/>
        <w:adjustRightInd w:val="0"/>
        <w:snapToGrid w:val="0"/>
        <w:spacing w:before="216" w:line="0" w:lineRule="atLeast"/>
        <w:ind w:left="19"/>
        <w:textAlignment w:val="baseline"/>
        <w:outlineLvl w:val="2"/>
        <w:rPr>
          <w:rFonts w:hint="eastAsia" w:ascii="仿宋" w:hAnsi="仿宋" w:eastAsia="仿宋" w:cs="仿宋"/>
          <w:color w:val="auto"/>
          <w:sz w:val="24"/>
          <w:szCs w:val="24"/>
          <w:highlight w:val="none"/>
          <w:lang w:eastAsia="zh-CN"/>
        </w:rPr>
      </w:pPr>
      <w:bookmarkStart w:id="42" w:name="_Toc9644"/>
      <w:r>
        <w:rPr>
          <w:rFonts w:hint="eastAsia" w:ascii="仿宋" w:hAnsi="仿宋" w:eastAsia="仿宋" w:cs="仿宋"/>
          <w:color w:val="auto"/>
          <w:spacing w:val="-1"/>
          <w:sz w:val="24"/>
          <w:szCs w:val="24"/>
          <w:highlight w:val="none"/>
          <w:lang w:eastAsia="zh-CN"/>
          <w14:textOutline w14:w="4394" w14:cap="flat" w14:cmpd="sng" w14:algn="ctr">
            <w14:solidFill>
              <w14:srgbClr w14:val="000000"/>
            </w14:solidFill>
            <w14:prstDash w14:val="solid"/>
            <w14:miter w14:val="0"/>
          </w14:textOutline>
        </w:rPr>
        <w:t>18.</w:t>
      </w:r>
      <w:r>
        <w:rPr>
          <w:rFonts w:hint="eastAsia" w:ascii="仿宋" w:hAnsi="仿宋" w:eastAsia="仿宋" w:cs="仿宋"/>
          <w:color w:val="auto"/>
          <w:spacing w:val="21"/>
          <w:sz w:val="24"/>
          <w:szCs w:val="24"/>
          <w:highlight w:val="none"/>
          <w:lang w:eastAsia="zh-CN"/>
        </w:rPr>
        <w:t xml:space="preserve"> </w:t>
      </w:r>
      <w:r>
        <w:rPr>
          <w:rFonts w:hint="eastAsia" w:ascii="仿宋" w:hAnsi="仿宋" w:eastAsia="仿宋" w:cs="仿宋"/>
          <w:color w:val="auto"/>
          <w:spacing w:val="-1"/>
          <w:sz w:val="24"/>
          <w:szCs w:val="24"/>
          <w:highlight w:val="none"/>
          <w:lang w:eastAsia="zh-CN"/>
          <w14:textOutline w14:w="4394" w14:cap="flat" w14:cmpd="sng" w14:algn="ctr">
            <w14:solidFill>
              <w14:srgbClr w14:val="000000"/>
            </w14:solidFill>
            <w14:prstDash w14:val="solid"/>
            <w14:miter w14:val="0"/>
          </w14:textOutline>
        </w:rPr>
        <w:t>谈判</w:t>
      </w:r>
      <w:bookmarkEnd w:id="42"/>
    </w:p>
    <w:p w14:paraId="68E305E9">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18.1 谈判小组按已确定的谈判顺序，就符合采购需求</w:t>
      </w:r>
      <w:r>
        <w:rPr>
          <w:rFonts w:hint="eastAsia" w:ascii="仿宋" w:hAnsi="仿宋" w:eastAsia="仿宋" w:cs="仿宋"/>
          <w:color w:val="auto"/>
          <w:spacing w:val="8"/>
          <w:sz w:val="24"/>
          <w:szCs w:val="24"/>
          <w:highlight w:val="none"/>
          <w:lang w:eastAsia="zh-CN"/>
        </w:rPr>
        <w:t>、质量和服务等进行谈判，并了</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2"/>
          <w:sz w:val="24"/>
          <w:szCs w:val="24"/>
          <w:highlight w:val="none"/>
          <w:lang w:eastAsia="zh-CN"/>
        </w:rPr>
        <w:t>解其报价组成情况。谈判中，谈判的任何一方不得透露与谈判有关的其他供应商的技</w:t>
      </w:r>
      <w:r>
        <w:rPr>
          <w:rFonts w:hint="eastAsia" w:ascii="仿宋" w:hAnsi="仿宋" w:eastAsia="仿宋" w:cs="仿宋"/>
          <w:color w:val="auto"/>
          <w:spacing w:val="11"/>
          <w:sz w:val="24"/>
          <w:szCs w:val="24"/>
          <w:highlight w:val="none"/>
          <w:lang w:eastAsia="zh-CN"/>
        </w:rPr>
        <w:t>术资</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2"/>
          <w:sz w:val="24"/>
          <w:szCs w:val="24"/>
          <w:highlight w:val="none"/>
          <w:lang w:eastAsia="zh-CN"/>
        </w:rPr>
        <w:t>料、价格和其他信息。谈判结束后，谈判小组按照谈判文件规定的方法和标准，对响</w:t>
      </w:r>
      <w:r>
        <w:rPr>
          <w:rFonts w:hint="eastAsia" w:ascii="仿宋" w:hAnsi="仿宋" w:eastAsia="仿宋" w:cs="仿宋"/>
          <w:color w:val="auto"/>
          <w:spacing w:val="11"/>
          <w:sz w:val="24"/>
          <w:szCs w:val="24"/>
          <w:highlight w:val="none"/>
          <w:lang w:eastAsia="zh-CN"/>
        </w:rPr>
        <w:t>应谈</w:t>
      </w:r>
      <w:r>
        <w:rPr>
          <w:rFonts w:hint="eastAsia" w:ascii="仿宋" w:hAnsi="仿宋" w:eastAsia="仿宋" w:cs="仿宋"/>
          <w:color w:val="auto"/>
          <w:spacing w:val="8"/>
          <w:sz w:val="24"/>
          <w:szCs w:val="24"/>
          <w:highlight w:val="none"/>
          <w:lang w:eastAsia="zh-CN"/>
        </w:rPr>
        <w:t>判文件要求的供应商进行综合评议，并视情况决定是否进行下一轮谈判。</w:t>
      </w:r>
    </w:p>
    <w:p w14:paraId="69779803">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rPr>
      </w:pPr>
      <w:r>
        <w:rPr>
          <w:rFonts w:hint="eastAsia" w:ascii="仿宋" w:hAnsi="仿宋" w:eastAsia="仿宋" w:cs="仿宋"/>
          <w:color w:val="auto"/>
          <w:spacing w:val="8"/>
          <w:sz w:val="24"/>
          <w:szCs w:val="24"/>
          <w:highlight w:val="none"/>
          <w:lang w:eastAsia="zh-CN"/>
        </w:rPr>
        <w:t>18.2 谈判过程中,若需修正谈判文件或优化采购方案, 采购代理机构将通知所有谈判</w:t>
      </w:r>
      <w:r>
        <w:rPr>
          <w:rFonts w:hint="eastAsia" w:ascii="仿宋" w:hAnsi="仿宋" w:eastAsia="仿宋" w:cs="仿宋"/>
          <w:color w:val="auto"/>
          <w:spacing w:val="15"/>
          <w:sz w:val="24"/>
          <w:szCs w:val="24"/>
          <w:highlight w:val="none"/>
          <w:lang w:eastAsia="zh-CN"/>
        </w:rPr>
        <w:t>供应商,并给所有谈判供应商提供较充分的修正时间。谈判供应商根据谈判文</w:t>
      </w:r>
      <w:r>
        <w:rPr>
          <w:rFonts w:hint="eastAsia" w:ascii="仿宋" w:hAnsi="仿宋" w:eastAsia="仿宋" w:cs="仿宋"/>
          <w:color w:val="auto"/>
          <w:spacing w:val="14"/>
          <w:sz w:val="24"/>
          <w:szCs w:val="24"/>
          <w:highlight w:val="none"/>
          <w:lang w:eastAsia="zh-CN"/>
        </w:rPr>
        <w:t>件修改，对</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9"/>
          <w:sz w:val="24"/>
          <w:szCs w:val="24"/>
          <w:highlight w:val="none"/>
          <w:lang w:eastAsia="zh-CN"/>
        </w:rPr>
        <w:t>原响应文件</w:t>
      </w:r>
      <w:r>
        <w:rPr>
          <w:rFonts w:hint="eastAsia" w:ascii="仿宋" w:hAnsi="仿宋" w:eastAsia="仿宋" w:cs="仿宋"/>
          <w:color w:val="auto"/>
          <w:spacing w:val="12"/>
          <w:sz w:val="24"/>
          <w:szCs w:val="24"/>
          <w:highlight w:val="none"/>
          <w:lang w:eastAsia="zh-CN"/>
        </w:rPr>
        <w:t>进行修正， 并将修正文件通过数字证书加密并签章后，传到网站指定栏目。逾 期不上传的，视同放弃谈判。修正文件与响应文件同具法律效力。</w:t>
      </w:r>
      <w:r>
        <w:rPr>
          <w:rFonts w:hint="eastAsia" w:ascii="仿宋" w:hAnsi="仿宋" w:eastAsia="仿宋" w:cs="仿宋"/>
          <w:color w:val="auto"/>
          <w:spacing w:val="12"/>
          <w:sz w:val="24"/>
          <w:szCs w:val="24"/>
          <w:highlight w:val="none"/>
        </w:rPr>
        <w:t>文件修正后，按照规定的时间继续进行谈判。</w:t>
      </w:r>
    </w:p>
    <w:p w14:paraId="6850597E">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18.3 每一次谈判结束后，参加谈判的供应商均须根据谈判小组的要求在规定的时间内进行网上报价，并作出有关承诺说明。</w:t>
      </w:r>
    </w:p>
    <w:p w14:paraId="026097E2">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18.4 谈判供应商作最后报价，通过数字证书进行加密</w:t>
      </w:r>
      <w:r>
        <w:rPr>
          <w:rFonts w:hint="eastAsia" w:ascii="仿宋" w:hAnsi="仿宋" w:eastAsia="仿宋" w:cs="仿宋"/>
          <w:color w:val="auto"/>
          <w:spacing w:val="7"/>
          <w:sz w:val="24"/>
          <w:szCs w:val="24"/>
          <w:highlight w:val="none"/>
          <w:lang w:eastAsia="zh-CN"/>
        </w:rPr>
        <w:t>并签章后，传到网站指定栏目。</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2"/>
          <w:sz w:val="24"/>
          <w:szCs w:val="24"/>
          <w:highlight w:val="none"/>
          <w:lang w:eastAsia="zh-CN"/>
        </w:rPr>
        <w:t>谈判小组按谈判情况和最后报价情况综合评价比较，推荐成交候选供应商名单，形成</w:t>
      </w:r>
      <w:r>
        <w:rPr>
          <w:rFonts w:hint="eastAsia" w:ascii="仿宋" w:hAnsi="仿宋" w:eastAsia="仿宋" w:cs="仿宋"/>
          <w:color w:val="auto"/>
          <w:spacing w:val="11"/>
          <w:sz w:val="24"/>
          <w:szCs w:val="24"/>
          <w:highlight w:val="none"/>
          <w:lang w:eastAsia="zh-CN"/>
        </w:rPr>
        <w:t>谈判</w:t>
      </w:r>
      <w:r>
        <w:rPr>
          <w:rFonts w:hint="eastAsia" w:ascii="仿宋" w:hAnsi="仿宋" w:eastAsia="仿宋" w:cs="仿宋"/>
          <w:color w:val="auto"/>
          <w:spacing w:val="-4"/>
          <w:sz w:val="24"/>
          <w:szCs w:val="24"/>
          <w:highlight w:val="none"/>
          <w:lang w:eastAsia="zh-CN"/>
        </w:rPr>
        <w:t>报告。</w:t>
      </w:r>
    </w:p>
    <w:p w14:paraId="0F896C46">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18.5 谈判供应商的报价均超过了政府采购预算，采购人不能支付的，谈判活动终止；终止后，采购人需要采取调整采购预算或项目配置标准等，或采取其他采购方式的，应当在采购活动开始前获得政府采购监督管理部门批准。</w:t>
      </w:r>
    </w:p>
    <w:p w14:paraId="3C7F4C68">
      <w:pPr>
        <w:pStyle w:val="7"/>
        <w:keepNext w:val="0"/>
        <w:keepLines w:val="0"/>
        <w:pageBreakBefore w:val="0"/>
        <w:widowControl/>
        <w:kinsoku w:val="0"/>
        <w:wordWrap/>
        <w:overflowPunct/>
        <w:topLinePunct w:val="0"/>
        <w:autoSpaceDE w:val="0"/>
        <w:autoSpaceDN w:val="0"/>
        <w:bidi w:val="0"/>
        <w:adjustRightInd w:val="0"/>
        <w:snapToGrid w:val="0"/>
        <w:spacing w:before="136" w:line="0" w:lineRule="atLeast"/>
        <w:ind w:firstLine="48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lang w:eastAsia="zh-CN"/>
          <w14:textOutline w14:w="4394" w14:cap="flat" w14:cmpd="sng" w14:algn="ctr">
            <w14:solidFill>
              <w14:srgbClr w14:val="000000"/>
            </w14:solidFill>
            <w14:prstDash w14:val="solid"/>
            <w14:miter w14:val="0"/>
          </w14:textOutline>
        </w:rPr>
        <w:t>注：本项目采用不见面开标方式，采购人在规定的投标截止时间（开标时间）和</w:t>
      </w:r>
      <w:r>
        <w:rPr>
          <w:rFonts w:hint="eastAsia" w:ascii="仿宋" w:hAnsi="仿宋" w:eastAsia="仿宋" w:cs="仿宋"/>
          <w:color w:val="auto"/>
          <w:spacing w:val="12"/>
          <w:sz w:val="24"/>
          <w:szCs w:val="24"/>
          <w:highlight w:val="none"/>
          <w:lang w:eastAsia="zh-CN"/>
          <w14:textOutline w14:w="4394" w14:cap="flat" w14:cmpd="sng" w14:algn="ctr">
            <w14:solidFill>
              <w14:srgbClr w14:val="000000"/>
            </w14:solidFill>
            <w14:prstDash w14:val="solid"/>
            <w14:miter w14:val="0"/>
          </w14:textOutline>
        </w:rPr>
        <w:t>供应</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3"/>
          <w:sz w:val="24"/>
          <w:szCs w:val="24"/>
          <w:highlight w:val="none"/>
          <w:lang w:eastAsia="zh-CN"/>
          <w14:textOutline w14:w="4394" w14:cap="flat" w14:cmpd="sng" w14:algn="ctr">
            <w14:solidFill>
              <w14:srgbClr w14:val="000000"/>
            </w14:solidFill>
            <w14:prstDash w14:val="solid"/>
            <w14:miter w14:val="0"/>
          </w14:textOutline>
        </w:rPr>
        <w:t>商须知前附表规定的地点开标。供应商的法定代表人</w:t>
      </w:r>
      <w:r>
        <w:rPr>
          <w:rFonts w:hint="eastAsia" w:ascii="仿宋" w:hAnsi="仿宋" w:eastAsia="仿宋" w:cs="仿宋"/>
          <w:color w:val="auto"/>
          <w:spacing w:val="12"/>
          <w:sz w:val="24"/>
          <w:szCs w:val="24"/>
          <w:highlight w:val="none"/>
          <w:lang w:eastAsia="zh-CN"/>
          <w14:textOutline w14:w="4394" w14:cap="flat" w14:cmpd="sng" w14:algn="ctr">
            <w14:solidFill>
              <w14:srgbClr w14:val="000000"/>
            </w14:solidFill>
            <w14:prstDash w14:val="solid"/>
            <w14:miter w14:val="0"/>
          </w14:textOutline>
        </w:rPr>
        <w:t>或其委托代理人无需到达开标现场，</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4"/>
          <w:sz w:val="24"/>
          <w:szCs w:val="24"/>
          <w:highlight w:val="none"/>
          <w:lang w:eastAsia="zh-CN"/>
          <w14:textOutline w14:w="4394" w14:cap="flat" w14:cmpd="sng" w14:algn="ctr">
            <w14:solidFill>
              <w14:srgbClr w14:val="000000"/>
            </w14:solidFill>
            <w14:prstDash w14:val="solid"/>
            <w14:miter w14:val="0"/>
          </w14:textOutline>
        </w:rPr>
        <w:t>仅需在任意地点通过</w:t>
      </w:r>
      <w:r>
        <w:rPr>
          <w:rFonts w:hint="eastAsia" w:ascii="仿宋" w:hAnsi="仿宋" w:eastAsia="仿宋" w:cs="仿宋"/>
          <w:color w:val="auto"/>
          <w:spacing w:val="-99"/>
          <w:sz w:val="24"/>
          <w:szCs w:val="24"/>
          <w:highlight w:val="none"/>
          <w:lang w:eastAsia="zh-CN"/>
        </w:rPr>
        <w:t xml:space="preserve"> </w:t>
      </w:r>
      <w:r>
        <w:rPr>
          <w:rFonts w:hint="eastAsia" w:ascii="仿宋" w:hAnsi="仿宋" w:eastAsia="仿宋" w:cs="仿宋"/>
          <w:color w:val="auto"/>
          <w:spacing w:val="-106"/>
          <w:sz w:val="24"/>
          <w:szCs w:val="24"/>
          <w:highlight w:val="none"/>
          <w:u w:val="single"/>
          <w:lang w:eastAsia="zh-CN"/>
        </w:rPr>
        <w:t xml:space="preserve"> </w:t>
      </w:r>
      <w:r>
        <w:rPr>
          <w:rFonts w:hint="eastAsia" w:ascii="仿宋" w:hAnsi="仿宋" w:eastAsia="仿宋" w:cs="仿宋"/>
          <w:color w:val="auto"/>
          <w:spacing w:val="4"/>
          <w:sz w:val="24"/>
          <w:szCs w:val="24"/>
          <w:highlight w:val="none"/>
          <w:u w:val="single" w:color="000000"/>
          <w:lang w:eastAsia="zh-CN"/>
          <w14:textOutline w14:w="4394" w14:cap="flat" w14:cmpd="sng" w14:algn="ctr">
            <w14:solidFill>
              <w14:srgbClr w14:val="000000"/>
            </w14:solidFill>
            <w14:prstDash w14:val="solid"/>
            <w14:miter w14:val="0"/>
          </w14:textOutline>
        </w:rPr>
        <w:t>政采云平台（</w:t>
      </w:r>
      <w:r>
        <w:rPr>
          <w:rFonts w:hint="eastAsia" w:ascii="仿宋" w:hAnsi="仿宋" w:eastAsia="仿宋" w:cs="仿宋"/>
          <w:color w:val="auto"/>
          <w:spacing w:val="-64"/>
          <w:sz w:val="24"/>
          <w:szCs w:val="24"/>
          <w:highlight w:val="none"/>
          <w:u w:val="single"/>
          <w:lang w:eastAsia="zh-CN"/>
        </w:rPr>
        <w:t xml:space="preserve"> </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"https://www.zcygov.cn"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b/>
          <w:bCs/>
          <w:color w:val="auto"/>
          <w:sz w:val="24"/>
          <w:szCs w:val="24"/>
          <w:highlight w:val="none"/>
          <w:u w:val="single"/>
          <w:lang w:eastAsia="zh-CN"/>
        </w:rPr>
        <w:t>https</w:t>
      </w:r>
      <w:r>
        <w:rPr>
          <w:rFonts w:hint="eastAsia" w:ascii="仿宋" w:hAnsi="仿宋" w:eastAsia="仿宋" w:cs="仿宋"/>
          <w:b/>
          <w:bCs/>
          <w:color w:val="auto"/>
          <w:spacing w:val="4"/>
          <w:sz w:val="24"/>
          <w:szCs w:val="24"/>
          <w:highlight w:val="none"/>
          <w:u w:val="single"/>
          <w:lang w:eastAsia="zh-CN"/>
        </w:rPr>
        <w:t>://</w:t>
      </w:r>
      <w:r>
        <w:rPr>
          <w:rFonts w:hint="eastAsia" w:ascii="仿宋" w:hAnsi="仿宋" w:eastAsia="仿宋" w:cs="仿宋"/>
          <w:b/>
          <w:bCs/>
          <w:color w:val="auto"/>
          <w:sz w:val="24"/>
          <w:szCs w:val="24"/>
          <w:highlight w:val="none"/>
          <w:u w:val="single"/>
          <w:lang w:eastAsia="zh-CN"/>
        </w:rPr>
        <w:t>www</w:t>
      </w:r>
      <w:r>
        <w:rPr>
          <w:rFonts w:hint="eastAsia" w:ascii="仿宋" w:hAnsi="仿宋" w:eastAsia="仿宋" w:cs="仿宋"/>
          <w:b/>
          <w:bCs/>
          <w:color w:val="auto"/>
          <w:spacing w:val="4"/>
          <w:sz w:val="24"/>
          <w:szCs w:val="24"/>
          <w:highlight w:val="none"/>
          <w:u w:val="single"/>
          <w:lang w:eastAsia="zh-CN"/>
        </w:rPr>
        <w:t>.</w:t>
      </w:r>
      <w:r>
        <w:rPr>
          <w:rFonts w:hint="eastAsia" w:ascii="仿宋" w:hAnsi="仿宋" w:eastAsia="仿宋" w:cs="仿宋"/>
          <w:b/>
          <w:bCs/>
          <w:color w:val="auto"/>
          <w:sz w:val="24"/>
          <w:szCs w:val="24"/>
          <w:highlight w:val="none"/>
          <w:u w:val="single"/>
          <w:lang w:eastAsia="zh-CN"/>
        </w:rPr>
        <w:t>zcygov</w:t>
      </w:r>
      <w:r>
        <w:rPr>
          <w:rFonts w:hint="eastAsia" w:ascii="仿宋" w:hAnsi="仿宋" w:eastAsia="仿宋" w:cs="仿宋"/>
          <w:b/>
          <w:bCs/>
          <w:color w:val="auto"/>
          <w:spacing w:val="4"/>
          <w:sz w:val="24"/>
          <w:szCs w:val="24"/>
          <w:highlight w:val="none"/>
          <w:u w:val="single"/>
          <w:lang w:eastAsia="zh-CN"/>
        </w:rPr>
        <w:t>.</w:t>
      </w:r>
      <w:r>
        <w:rPr>
          <w:rFonts w:hint="eastAsia" w:ascii="仿宋" w:hAnsi="仿宋" w:eastAsia="仿宋" w:cs="仿宋"/>
          <w:b/>
          <w:bCs/>
          <w:color w:val="auto"/>
          <w:sz w:val="24"/>
          <w:szCs w:val="24"/>
          <w:highlight w:val="none"/>
          <w:u w:val="single"/>
          <w:lang w:eastAsia="zh-CN"/>
        </w:rPr>
        <w:t>cn</w:t>
      </w:r>
      <w:r>
        <w:rPr>
          <w:rFonts w:hint="eastAsia" w:ascii="仿宋" w:hAnsi="仿宋" w:eastAsia="仿宋" w:cs="仿宋"/>
          <w:b/>
          <w:bCs/>
          <w:color w:val="auto"/>
          <w:sz w:val="24"/>
          <w:szCs w:val="24"/>
          <w:highlight w:val="none"/>
          <w:u w:val="single"/>
          <w:lang w:eastAsia="zh-CN"/>
        </w:rPr>
        <w:fldChar w:fldCharType="end"/>
      </w:r>
      <w:r>
        <w:rPr>
          <w:rFonts w:hint="eastAsia" w:ascii="仿宋" w:hAnsi="仿宋" w:eastAsia="仿宋" w:cs="仿宋"/>
          <w:b/>
          <w:bCs/>
          <w:color w:val="auto"/>
          <w:spacing w:val="-22"/>
          <w:sz w:val="24"/>
          <w:szCs w:val="24"/>
          <w:highlight w:val="none"/>
          <w:u w:val="single"/>
          <w:lang w:eastAsia="zh-CN"/>
        </w:rPr>
        <w:t xml:space="preserve"> </w:t>
      </w:r>
      <w:r>
        <w:rPr>
          <w:rFonts w:hint="eastAsia" w:ascii="仿宋" w:hAnsi="仿宋" w:eastAsia="仿宋" w:cs="仿宋"/>
          <w:color w:val="auto"/>
          <w:spacing w:val="4"/>
          <w:sz w:val="24"/>
          <w:szCs w:val="24"/>
          <w:highlight w:val="none"/>
          <w:u w:val="single" w:color="000000"/>
          <w:lang w:eastAsia="zh-CN"/>
          <w14:textOutline w14:w="4394" w14:cap="flat" w14:cmpd="sng" w14:algn="ctr">
            <w14:solidFill>
              <w14:srgbClr w14:val="000000"/>
            </w14:solidFill>
            <w14:prstDash w14:val="solid"/>
            <w14:miter w14:val="0"/>
          </w14:textOutline>
        </w:rPr>
        <w:t>）</w:t>
      </w:r>
      <w:r>
        <w:rPr>
          <w:rFonts w:hint="eastAsia" w:ascii="仿宋" w:hAnsi="仿宋" w:eastAsia="仿宋" w:cs="仿宋"/>
          <w:color w:val="auto"/>
          <w:spacing w:val="4"/>
          <w:sz w:val="24"/>
          <w:szCs w:val="24"/>
          <w:highlight w:val="none"/>
          <w:lang w:eastAsia="zh-CN"/>
          <w14:textOutline w14:w="4394" w14:cap="flat" w14:cmpd="sng" w14:algn="ctr">
            <w14:solidFill>
              <w14:srgbClr w14:val="000000"/>
            </w14:solidFill>
            <w14:prstDash w14:val="solid"/>
            <w14:miter w14:val="0"/>
          </w14:textOutline>
        </w:rPr>
        <w:t>不见面开标系统使用</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b/>
          <w:bCs/>
          <w:color w:val="auto"/>
          <w:sz w:val="24"/>
          <w:szCs w:val="24"/>
          <w:highlight w:val="none"/>
          <w:lang w:eastAsia="zh-CN"/>
        </w:rPr>
        <w:t>CA</w:t>
      </w:r>
      <w:r>
        <w:rPr>
          <w:rFonts w:hint="eastAsia" w:ascii="仿宋" w:hAnsi="仿宋" w:eastAsia="仿宋" w:cs="仿宋"/>
          <w:b/>
          <w:bCs/>
          <w:color w:val="auto"/>
          <w:spacing w:val="23"/>
          <w:w w:val="101"/>
          <w:sz w:val="24"/>
          <w:szCs w:val="24"/>
          <w:highlight w:val="none"/>
          <w:lang w:eastAsia="zh-CN"/>
        </w:rPr>
        <w:t xml:space="preserve"> </w:t>
      </w:r>
      <w:r>
        <w:rPr>
          <w:rFonts w:hint="eastAsia" w:ascii="仿宋" w:hAnsi="仿宋" w:eastAsia="仿宋" w:cs="仿宋"/>
          <w:color w:val="auto"/>
          <w:spacing w:val="4"/>
          <w:sz w:val="24"/>
          <w:szCs w:val="24"/>
          <w:highlight w:val="none"/>
          <w:lang w:eastAsia="zh-CN"/>
          <w14:textOutline w14:w="4394" w14:cap="flat" w14:cmpd="sng" w14:algn="ctr">
            <w14:solidFill>
              <w14:srgbClr w14:val="000000"/>
            </w14:solidFill>
            <w14:prstDash w14:val="solid"/>
            <w14:miter w14:val="0"/>
          </w14:textOutline>
        </w:rPr>
        <w:t>密钥</w:t>
      </w:r>
      <w:r>
        <w:rPr>
          <w:rFonts w:hint="eastAsia" w:ascii="仿宋" w:hAnsi="仿宋" w:eastAsia="仿宋" w:cs="仿宋"/>
          <w:color w:val="auto"/>
          <w:spacing w:val="9"/>
          <w:sz w:val="24"/>
          <w:szCs w:val="24"/>
          <w:highlight w:val="none"/>
          <w:lang w:eastAsia="zh-CN"/>
          <w14:textOutline w14:w="4394" w14:cap="flat" w14:cmpd="sng" w14:algn="ctr">
            <w14:solidFill>
              <w14:srgbClr w14:val="000000"/>
            </w14:solidFill>
            <w14:prstDash w14:val="solid"/>
            <w14:miter w14:val="0"/>
          </w14:textOutline>
        </w:rPr>
        <w:t>完成远程解密、提疑澄清、结果公布等交互</w:t>
      </w:r>
      <w:r>
        <w:rPr>
          <w:rFonts w:hint="eastAsia" w:ascii="仿宋" w:hAnsi="仿宋" w:eastAsia="仿宋" w:cs="仿宋"/>
          <w:color w:val="auto"/>
          <w:spacing w:val="8"/>
          <w:sz w:val="24"/>
          <w:szCs w:val="24"/>
          <w:highlight w:val="none"/>
          <w:lang w:eastAsia="zh-CN"/>
          <w14:textOutline w14:w="4394" w14:cap="flat" w14:cmpd="sng" w14:algn="ctr">
            <w14:solidFill>
              <w14:srgbClr w14:val="000000"/>
            </w14:solidFill>
            <w14:prstDash w14:val="solid"/>
            <w14:miter w14:val="0"/>
          </w14:textOutline>
        </w:rPr>
        <w:t>环节。</w:t>
      </w:r>
      <w:r>
        <w:rPr>
          <w:rFonts w:hint="eastAsia" w:ascii="仿宋" w:hAnsi="仿宋" w:eastAsia="仿宋" w:cs="仿宋"/>
          <w:color w:val="auto"/>
          <w:spacing w:val="11"/>
          <w:sz w:val="24"/>
          <w:szCs w:val="24"/>
          <w:highlight w:val="none"/>
          <w:lang w:eastAsia="zh-CN"/>
          <w14:textOutline w14:w="4394" w14:cap="flat" w14:cmpd="sng" w14:algn="ctr">
            <w14:solidFill>
              <w14:srgbClr w14:val="000000"/>
            </w14:solidFill>
            <w14:prstDash w14:val="solid"/>
            <w14:miter w14:val="0"/>
          </w14:textOutline>
        </w:rPr>
        <w:t>法定代表人或法定代表人授权委托人参与远</w:t>
      </w:r>
      <w:r>
        <w:rPr>
          <w:rFonts w:hint="eastAsia" w:ascii="仿宋" w:hAnsi="仿宋" w:eastAsia="仿宋" w:cs="仿宋"/>
          <w:color w:val="auto"/>
          <w:spacing w:val="10"/>
          <w:sz w:val="24"/>
          <w:szCs w:val="24"/>
          <w:highlight w:val="none"/>
          <w:lang w:eastAsia="zh-CN"/>
          <w14:textOutline w14:w="4394" w14:cap="flat" w14:cmpd="sng" w14:algn="ctr">
            <w14:solidFill>
              <w14:srgbClr w14:val="000000"/>
            </w14:solidFill>
            <w14:prstDash w14:val="solid"/>
            <w14:miter w14:val="0"/>
          </w14:textOutline>
        </w:rPr>
        <w:t>程交互，</w:t>
      </w:r>
      <w:r>
        <w:rPr>
          <w:rFonts w:hint="eastAsia" w:ascii="仿宋" w:hAnsi="仿宋" w:eastAsia="仿宋" w:cs="仿宋"/>
          <w:color w:val="auto"/>
          <w:spacing w:val="-66"/>
          <w:sz w:val="24"/>
          <w:szCs w:val="24"/>
          <w:highlight w:val="none"/>
          <w:lang w:eastAsia="zh-CN"/>
        </w:rPr>
        <w:t xml:space="preserve"> </w:t>
      </w:r>
      <w:r>
        <w:rPr>
          <w:rFonts w:hint="eastAsia" w:ascii="仿宋" w:hAnsi="仿宋" w:eastAsia="仿宋" w:cs="仿宋"/>
          <w:color w:val="auto"/>
          <w:spacing w:val="10"/>
          <w:sz w:val="24"/>
          <w:szCs w:val="24"/>
          <w:highlight w:val="none"/>
          <w:lang w:eastAsia="zh-CN"/>
          <w14:textOutline w14:w="4394" w14:cap="flat" w14:cmpd="sng" w14:algn="ctr">
            <w14:solidFill>
              <w14:srgbClr w14:val="000000"/>
            </w14:solidFill>
            <w14:prstDash w14:val="solid"/>
            <w14:miter w14:val="0"/>
          </w14:textOutline>
        </w:rPr>
        <w:t>中途不得更换，在废标、澄清、</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3"/>
          <w:sz w:val="24"/>
          <w:szCs w:val="24"/>
          <w:highlight w:val="none"/>
          <w:lang w:eastAsia="zh-CN"/>
          <w14:textOutline w14:w="4394" w14:cap="flat" w14:cmpd="sng" w14:algn="ctr">
            <w14:solidFill>
              <w14:srgbClr w14:val="000000"/>
            </w14:solidFill>
            <w14:prstDash w14:val="solid"/>
            <w14:miter w14:val="0"/>
          </w14:textOutline>
        </w:rPr>
        <w:t>提疑、传送文件等特殊情况下需要交互时，供应商一端参与交互的人员将</w:t>
      </w:r>
      <w:r>
        <w:rPr>
          <w:rFonts w:hint="eastAsia" w:ascii="仿宋" w:hAnsi="仿宋" w:eastAsia="仿宋" w:cs="仿宋"/>
          <w:color w:val="auto"/>
          <w:spacing w:val="12"/>
          <w:sz w:val="24"/>
          <w:szCs w:val="24"/>
          <w:highlight w:val="none"/>
          <w:lang w:eastAsia="zh-CN"/>
          <w14:textOutline w14:w="4394" w14:cap="flat" w14:cmpd="sng" w14:algn="ctr">
            <w14:solidFill>
              <w14:srgbClr w14:val="000000"/>
            </w14:solidFill>
            <w14:prstDash w14:val="solid"/>
            <w14:miter w14:val="0"/>
          </w14:textOutline>
        </w:rPr>
        <w:t>均被视为是供应</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3"/>
          <w:sz w:val="24"/>
          <w:szCs w:val="24"/>
          <w:highlight w:val="none"/>
          <w:lang w:eastAsia="zh-CN"/>
          <w14:textOutline w14:w="4394" w14:cap="flat" w14:cmpd="sng" w14:algn="ctr">
            <w14:solidFill>
              <w14:srgbClr w14:val="000000"/>
            </w14:solidFill>
            <w14:prstDash w14:val="solid"/>
            <w14:miter w14:val="0"/>
          </w14:textOutline>
        </w:rPr>
        <w:t>商的授权委托人或法人代表，供应商不得以不</w:t>
      </w:r>
      <w:r>
        <w:rPr>
          <w:rFonts w:hint="eastAsia" w:ascii="仿宋" w:hAnsi="仿宋" w:eastAsia="仿宋" w:cs="仿宋"/>
          <w:color w:val="auto"/>
          <w:spacing w:val="12"/>
          <w:sz w:val="24"/>
          <w:szCs w:val="24"/>
          <w:highlight w:val="none"/>
          <w:lang w:eastAsia="zh-CN"/>
          <w14:textOutline w14:w="4394" w14:cap="flat" w14:cmpd="sng" w14:algn="ctr">
            <w14:solidFill>
              <w14:srgbClr w14:val="000000"/>
            </w14:solidFill>
            <w14:prstDash w14:val="solid"/>
            <w14:miter w14:val="0"/>
          </w14:textOutline>
        </w:rPr>
        <w:t>承认交互人员的资格或身份等为借口推脱，</w:t>
      </w:r>
      <w:r>
        <w:rPr>
          <w:rFonts w:hint="eastAsia" w:ascii="仿宋" w:hAnsi="仿宋" w:eastAsia="仿宋" w:cs="仿宋"/>
          <w:color w:val="auto"/>
          <w:spacing w:val="9"/>
          <w:sz w:val="24"/>
          <w:szCs w:val="24"/>
          <w:highlight w:val="none"/>
          <w:lang w:eastAsia="zh-CN"/>
          <w14:textOutline w14:w="4394" w14:cap="flat" w14:cmpd="sng" w14:algn="ctr">
            <w14:solidFill>
              <w14:srgbClr w14:val="000000"/>
            </w14:solidFill>
            <w14:prstDash w14:val="solid"/>
            <w14:miter w14:val="0"/>
          </w14:textOutline>
        </w:rPr>
        <w:t>供应商自行承担随意更换人员所导致的一切后果。</w:t>
      </w:r>
    </w:p>
    <w:p w14:paraId="42ED32EE">
      <w:pPr>
        <w:keepNext w:val="0"/>
        <w:keepLines w:val="0"/>
        <w:pageBreakBefore w:val="0"/>
        <w:widowControl/>
        <w:kinsoku w:val="0"/>
        <w:wordWrap/>
        <w:overflowPunct/>
        <w:topLinePunct w:val="0"/>
        <w:autoSpaceDE w:val="0"/>
        <w:autoSpaceDN w:val="0"/>
        <w:bidi w:val="0"/>
        <w:adjustRightInd w:val="0"/>
        <w:snapToGrid w:val="0"/>
        <w:spacing w:before="306" w:line="0" w:lineRule="atLeast"/>
        <w:ind w:left="3046"/>
        <w:textAlignment w:val="baseline"/>
        <w:outlineLvl w:val="1"/>
        <w:rPr>
          <w:rFonts w:hint="eastAsia" w:ascii="仿宋" w:hAnsi="仿宋" w:eastAsia="仿宋" w:cs="仿宋"/>
          <w:color w:val="auto"/>
          <w:sz w:val="24"/>
          <w:szCs w:val="24"/>
          <w:highlight w:val="none"/>
          <w:lang w:eastAsia="zh-CN"/>
        </w:rPr>
      </w:pPr>
      <w:bookmarkStart w:id="43" w:name="_Toc8178"/>
      <w:r>
        <w:rPr>
          <w:rFonts w:hint="eastAsia" w:ascii="仿宋" w:hAnsi="仿宋" w:eastAsia="仿宋" w:cs="仿宋"/>
          <w:color w:val="auto"/>
          <w:spacing w:val="10"/>
          <w:sz w:val="24"/>
          <w:szCs w:val="24"/>
          <w:highlight w:val="none"/>
          <w:lang w:eastAsia="zh-CN"/>
          <w14:textOutline w14:w="4394" w14:cap="flat" w14:cmpd="sng" w14:algn="ctr">
            <w14:solidFill>
              <w14:srgbClr w14:val="000000"/>
            </w14:solidFill>
            <w14:prstDash w14:val="solid"/>
            <w14:miter w14:val="0"/>
          </w14:textOutline>
        </w:rPr>
        <w:t>六、确定成交供应商办法和原则</w:t>
      </w:r>
      <w:bookmarkEnd w:id="43"/>
    </w:p>
    <w:p w14:paraId="33FA8724">
      <w:pPr>
        <w:pStyle w:val="7"/>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p>
    <w:p w14:paraId="7AEF8492">
      <w:pPr>
        <w:keepNext w:val="0"/>
        <w:keepLines w:val="0"/>
        <w:pageBreakBefore w:val="0"/>
        <w:widowControl/>
        <w:kinsoku w:val="0"/>
        <w:wordWrap/>
        <w:overflowPunct/>
        <w:topLinePunct w:val="0"/>
        <w:autoSpaceDE w:val="0"/>
        <w:autoSpaceDN w:val="0"/>
        <w:bidi w:val="0"/>
        <w:adjustRightInd w:val="0"/>
        <w:snapToGrid w:val="0"/>
        <w:spacing w:before="75" w:line="0" w:lineRule="atLeast"/>
        <w:ind w:left="19"/>
        <w:textAlignment w:val="baseline"/>
        <w:outlineLvl w:val="2"/>
        <w:rPr>
          <w:rFonts w:hint="eastAsia" w:ascii="仿宋" w:hAnsi="仿宋" w:eastAsia="仿宋" w:cs="仿宋"/>
          <w:color w:val="auto"/>
          <w:sz w:val="24"/>
          <w:szCs w:val="24"/>
          <w:highlight w:val="none"/>
          <w:lang w:eastAsia="zh-CN"/>
        </w:rPr>
      </w:pPr>
      <w:bookmarkStart w:id="44" w:name="_Toc28915"/>
      <w:r>
        <w:rPr>
          <w:rFonts w:hint="eastAsia" w:ascii="仿宋" w:hAnsi="仿宋" w:eastAsia="仿宋" w:cs="仿宋"/>
          <w:color w:val="auto"/>
          <w:spacing w:val="6"/>
          <w:sz w:val="24"/>
          <w:szCs w:val="24"/>
          <w:highlight w:val="none"/>
          <w:lang w:eastAsia="zh-CN"/>
          <w14:textOutline w14:w="4394" w14:cap="flat" w14:cmpd="sng" w14:algn="ctr">
            <w14:solidFill>
              <w14:srgbClr w14:val="000000"/>
            </w14:solidFill>
            <w14:prstDash w14:val="solid"/>
            <w14:miter w14:val="0"/>
          </w14:textOutline>
        </w:rPr>
        <w:t>19.</w:t>
      </w:r>
      <w:r>
        <w:rPr>
          <w:rFonts w:hint="eastAsia" w:ascii="仿宋" w:hAnsi="仿宋" w:eastAsia="仿宋" w:cs="仿宋"/>
          <w:color w:val="auto"/>
          <w:spacing w:val="6"/>
          <w:sz w:val="24"/>
          <w:szCs w:val="24"/>
          <w:highlight w:val="none"/>
          <w:lang w:eastAsia="zh-CN"/>
        </w:rPr>
        <w:t xml:space="preserve"> </w:t>
      </w:r>
      <w:r>
        <w:rPr>
          <w:rFonts w:hint="eastAsia" w:ascii="仿宋" w:hAnsi="仿宋" w:eastAsia="仿宋" w:cs="仿宋"/>
          <w:color w:val="auto"/>
          <w:spacing w:val="6"/>
          <w:sz w:val="24"/>
          <w:szCs w:val="24"/>
          <w:highlight w:val="none"/>
          <w:lang w:eastAsia="zh-CN"/>
          <w14:textOutline w14:w="4394" w14:cap="flat" w14:cmpd="sng" w14:algn="ctr">
            <w14:solidFill>
              <w14:srgbClr w14:val="000000"/>
            </w14:solidFill>
            <w14:prstDash w14:val="solid"/>
            <w14:miter w14:val="0"/>
          </w14:textOutline>
        </w:rPr>
        <w:t>确定成交供应商</w:t>
      </w:r>
      <w:bookmarkEnd w:id="44"/>
    </w:p>
    <w:p w14:paraId="3F82FBD4">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val="en-US" w:eastAsia="zh-CN"/>
        </w:rPr>
      </w:pPr>
      <w:r>
        <w:rPr>
          <w:rFonts w:hint="eastAsia" w:ascii="仿宋" w:hAnsi="仿宋" w:eastAsia="仿宋" w:cs="仿宋"/>
          <w:color w:val="auto"/>
          <w:spacing w:val="12"/>
          <w:sz w:val="24"/>
          <w:szCs w:val="24"/>
          <w:highlight w:val="none"/>
          <w:lang w:eastAsia="zh-CN"/>
        </w:rPr>
        <w:t>19.1 谈判小组根据符合采购需求、质量和服务相等且报价最低的原则推荐成交候</w:t>
      </w:r>
      <w:r>
        <w:rPr>
          <w:rFonts w:hint="eastAsia" w:ascii="仿宋" w:hAnsi="仿宋" w:eastAsia="仿宋" w:cs="仿宋"/>
          <w:color w:val="auto"/>
          <w:spacing w:val="12"/>
          <w:sz w:val="24"/>
          <w:szCs w:val="24"/>
          <w:highlight w:val="none"/>
          <w:lang w:val="en-US" w:eastAsia="zh-CN"/>
        </w:rPr>
        <w:t>选人。</w:t>
      </w:r>
    </w:p>
    <w:p w14:paraId="107C737C">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19.2 最低报价不是成交的唯一标准。但是，在符合采购需求、质量和服务相等的情况下，报价是确定成交的关键因素。</w:t>
      </w:r>
    </w:p>
    <w:p w14:paraId="46EA0D6C">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19.3 谈判小组按照最后报价由低到高的顺序向采购人推荐一名成交候选人。</w:t>
      </w:r>
    </w:p>
    <w:p w14:paraId="6BA497C0">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19.4 成交供应商确定后，采购代理机构将在政府采购监管部门指定的媒体上发布成交公告，同时向成交供应商发出《成交通知书》。《成交通知书》是合同的组成部分,对成交供应商和采购人具有同等法律效力。</w:t>
      </w:r>
    </w:p>
    <w:p w14:paraId="2C6FD2DB">
      <w:pPr>
        <w:keepNext w:val="0"/>
        <w:keepLines w:val="0"/>
        <w:pageBreakBefore w:val="0"/>
        <w:widowControl/>
        <w:kinsoku w:val="0"/>
        <w:wordWrap/>
        <w:overflowPunct/>
        <w:topLinePunct w:val="0"/>
        <w:autoSpaceDE w:val="0"/>
        <w:autoSpaceDN w:val="0"/>
        <w:bidi w:val="0"/>
        <w:adjustRightInd w:val="0"/>
        <w:snapToGrid w:val="0"/>
        <w:spacing w:before="1" w:line="0" w:lineRule="atLeast"/>
        <w:ind w:left="582"/>
        <w:textAlignment w:val="baseline"/>
        <w:rPr>
          <w:rFonts w:hint="eastAsia" w:ascii="仿宋" w:hAnsi="仿宋" w:eastAsia="仿宋" w:cs="仿宋"/>
          <w:color w:val="auto"/>
          <w:sz w:val="24"/>
          <w:szCs w:val="24"/>
          <w:highlight w:val="none"/>
          <w:lang w:eastAsia="zh-CN"/>
        </w:rPr>
      </w:pPr>
    </w:p>
    <w:p w14:paraId="0F4DF23F">
      <w:pPr>
        <w:keepNext w:val="0"/>
        <w:keepLines w:val="0"/>
        <w:pageBreakBefore w:val="0"/>
        <w:widowControl/>
        <w:kinsoku w:val="0"/>
        <w:wordWrap/>
        <w:overflowPunct/>
        <w:topLinePunct w:val="0"/>
        <w:autoSpaceDE w:val="0"/>
        <w:autoSpaceDN w:val="0"/>
        <w:bidi w:val="0"/>
        <w:adjustRightInd w:val="0"/>
        <w:snapToGrid w:val="0"/>
        <w:spacing w:before="257" w:line="0" w:lineRule="atLeast"/>
        <w:ind w:left="4004"/>
        <w:textAlignment w:val="baseline"/>
        <w:outlineLvl w:val="1"/>
        <w:rPr>
          <w:rFonts w:hint="eastAsia" w:ascii="仿宋" w:hAnsi="仿宋" w:eastAsia="仿宋" w:cs="仿宋"/>
          <w:color w:val="auto"/>
          <w:sz w:val="24"/>
          <w:szCs w:val="24"/>
          <w:highlight w:val="none"/>
          <w:lang w:eastAsia="zh-CN"/>
        </w:rPr>
      </w:pPr>
      <w:bookmarkStart w:id="45" w:name="_Toc5672"/>
      <w:r>
        <w:rPr>
          <w:rFonts w:hint="eastAsia" w:ascii="仿宋" w:hAnsi="仿宋" w:eastAsia="仿宋" w:cs="仿宋"/>
          <w:color w:val="auto"/>
          <w:spacing w:val="9"/>
          <w:sz w:val="24"/>
          <w:szCs w:val="24"/>
          <w:highlight w:val="none"/>
          <w:lang w:eastAsia="zh-CN"/>
          <w14:textOutline w14:w="4394" w14:cap="flat" w14:cmpd="sng" w14:algn="ctr">
            <w14:solidFill>
              <w14:srgbClr w14:val="000000"/>
            </w14:solidFill>
            <w14:prstDash w14:val="solid"/>
            <w14:miter w14:val="0"/>
          </w14:textOutline>
        </w:rPr>
        <w:t>七、签订合同</w:t>
      </w:r>
      <w:bookmarkEnd w:id="45"/>
    </w:p>
    <w:p w14:paraId="13A8B7AE">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20.1 成交供应商在收到《成交通知书》后30个日历日内，按规定与采购人签订供货合同。</w:t>
      </w:r>
    </w:p>
    <w:p w14:paraId="29178A11">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20.2 合同签订后 7 个工作日内，采购人应将政府采购合同副本报采购代理机构网上备案。</w:t>
      </w:r>
    </w:p>
    <w:p w14:paraId="6F896322">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20.3 成交供应商不得向他人转让成交项目，如果成交供应商向他人转让成交项目或在履行合同时发生违约行为，政府采购监管部门将视情节轻重，按有关规定给予处罚。</w:t>
      </w:r>
    </w:p>
    <w:p w14:paraId="73B7ABDE">
      <w:pPr>
        <w:keepNext w:val="0"/>
        <w:keepLines w:val="0"/>
        <w:pageBreakBefore w:val="0"/>
        <w:widowControl/>
        <w:kinsoku w:val="0"/>
        <w:wordWrap/>
        <w:overflowPunct/>
        <w:topLinePunct w:val="0"/>
        <w:autoSpaceDE w:val="0"/>
        <w:autoSpaceDN w:val="0"/>
        <w:bidi w:val="0"/>
        <w:adjustRightInd w:val="0"/>
        <w:snapToGrid w:val="0"/>
        <w:spacing w:before="257" w:line="0" w:lineRule="atLeast"/>
        <w:ind w:left="3888"/>
        <w:textAlignment w:val="baseline"/>
        <w:outlineLvl w:val="1"/>
        <w:rPr>
          <w:rFonts w:hint="eastAsia" w:ascii="仿宋" w:hAnsi="仿宋" w:eastAsia="仿宋" w:cs="仿宋"/>
          <w:color w:val="auto"/>
          <w:sz w:val="24"/>
          <w:szCs w:val="24"/>
          <w:highlight w:val="none"/>
          <w:lang w:eastAsia="zh-CN"/>
        </w:rPr>
      </w:pPr>
      <w:bookmarkStart w:id="46" w:name="_Toc5836"/>
      <w:r>
        <w:rPr>
          <w:rFonts w:hint="eastAsia" w:ascii="仿宋" w:hAnsi="仿宋" w:eastAsia="仿宋" w:cs="仿宋"/>
          <w:color w:val="auto"/>
          <w:spacing w:val="7"/>
          <w:sz w:val="24"/>
          <w:szCs w:val="24"/>
          <w:highlight w:val="none"/>
          <w:lang w:eastAsia="zh-CN"/>
          <w14:textOutline w14:w="4394" w14:cap="flat" w14:cmpd="sng" w14:algn="ctr">
            <w14:solidFill>
              <w14:srgbClr w14:val="000000"/>
            </w14:solidFill>
            <w14:prstDash w14:val="solid"/>
            <w14:miter w14:val="0"/>
          </w14:textOutline>
        </w:rPr>
        <w:t>八、公告、质疑</w:t>
      </w:r>
      <w:bookmarkEnd w:id="46"/>
    </w:p>
    <w:p w14:paraId="3CDAA0EC">
      <w:pPr>
        <w:pStyle w:val="7"/>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p>
    <w:p w14:paraId="4D75D4B9">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bookmarkStart w:id="47" w:name="_Toc22854"/>
      <w:r>
        <w:rPr>
          <w:rFonts w:hint="eastAsia" w:ascii="仿宋" w:hAnsi="仿宋" w:eastAsia="仿宋" w:cs="仿宋"/>
          <w:color w:val="auto"/>
          <w:spacing w:val="12"/>
          <w:sz w:val="24"/>
          <w:szCs w:val="24"/>
          <w:highlight w:val="none"/>
          <w:lang w:eastAsia="zh-CN"/>
        </w:rPr>
        <w:t>21.1 采购代理机构将在政府采购监管部门指定媒体上发布采购公告、通知、评审结</w:t>
      </w:r>
      <w:bookmarkEnd w:id="47"/>
      <w:r>
        <w:rPr>
          <w:rFonts w:hint="eastAsia" w:ascii="仿宋" w:hAnsi="仿宋" w:eastAsia="仿宋" w:cs="仿宋"/>
          <w:color w:val="auto"/>
          <w:spacing w:val="12"/>
          <w:sz w:val="24"/>
          <w:szCs w:val="24"/>
          <w:highlight w:val="none"/>
          <w:lang w:eastAsia="zh-CN"/>
        </w:rPr>
        <w:t>果公告等谈判程序中所有信息。成交公告期为 1 个工作日。</w:t>
      </w:r>
    </w:p>
    <w:p w14:paraId="0EE8DC8A">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21.2 如果谈判供应商对此次采购活动有疑问，可依据《政府采购法》等相关规定，</w:t>
      </w:r>
    </w:p>
    <w:p w14:paraId="158F308F">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在规定的时间内以书面形式向采购人和采购代理机构提出质疑。质疑书应当包括下列主要内容：</w:t>
      </w:r>
    </w:p>
    <w:p w14:paraId="36409C1A">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①质疑人的名称、地址、电话等；</w:t>
      </w:r>
    </w:p>
    <w:p w14:paraId="0CE06D89">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②质疑人法人签章和单位公章；</w:t>
      </w:r>
    </w:p>
    <w:p w14:paraId="30B38F2F">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③具体的质疑事项及事实依据；</w:t>
      </w:r>
    </w:p>
    <w:p w14:paraId="6EC4FA5C">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④明确的请求和必要（合法来源）的证明材料；</w:t>
      </w:r>
    </w:p>
    <w:p w14:paraId="46E7EFBD">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⑤以联合体形式参与谈判的，则必须联合体各方共同签署、盖章；</w:t>
      </w:r>
    </w:p>
    <w:p w14:paraId="37BEFB98">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⑥提起质疑的日期。</w:t>
      </w:r>
    </w:p>
    <w:p w14:paraId="4D8BF063">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特注：未按上述程序规定的必备内容进行质疑的，政府采购机构将不予以受理。</w:t>
      </w:r>
    </w:p>
    <w:p w14:paraId="381B9488">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21.3 成交公告期限届满之日起7个工作日内如有质疑的，采购人或采购代理机构将</w:t>
      </w:r>
    </w:p>
    <w:p w14:paraId="628DA9B0">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依法给与答复，并将结果告知所有当事人。</w:t>
      </w:r>
    </w:p>
    <w:p w14:paraId="11184D17">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21.4 质疑供应商对采购人或采购代理机构答复不满意，可在15个工作日内向政府</w:t>
      </w:r>
    </w:p>
    <w:p w14:paraId="138C9A04">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采购监管部门投诉。</w:t>
      </w:r>
    </w:p>
    <w:p w14:paraId="70304F3A">
      <w:pPr>
        <w:keepNext w:val="0"/>
        <w:keepLines w:val="0"/>
        <w:pageBreakBefore w:val="0"/>
        <w:widowControl/>
        <w:kinsoku w:val="0"/>
        <w:wordWrap/>
        <w:overflowPunct/>
        <w:topLinePunct w:val="0"/>
        <w:autoSpaceDE w:val="0"/>
        <w:autoSpaceDN w:val="0"/>
        <w:bidi w:val="0"/>
        <w:adjustRightInd w:val="0"/>
        <w:snapToGrid w:val="0"/>
        <w:spacing w:line="0" w:lineRule="atLeast"/>
        <w:ind w:right="0"/>
        <w:textAlignment w:val="baseline"/>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21.5 谈判供应商的质疑和投诉应有事实依据，若为无效投诉，政府采购监管部门将按有关规定给与处罚。</w:t>
      </w:r>
    </w:p>
    <w:p w14:paraId="56AE1C0B">
      <w:pPr>
        <w:keepNext w:val="0"/>
        <w:keepLines w:val="0"/>
        <w:pageBreakBefore w:val="0"/>
        <w:widowControl/>
        <w:kinsoku w:val="0"/>
        <w:wordWrap/>
        <w:overflowPunct/>
        <w:topLinePunct w:val="0"/>
        <w:autoSpaceDE w:val="0"/>
        <w:autoSpaceDN w:val="0"/>
        <w:bidi w:val="0"/>
        <w:adjustRightInd w:val="0"/>
        <w:snapToGrid w:val="0"/>
        <w:spacing w:before="256" w:line="0" w:lineRule="atLeast"/>
        <w:ind w:left="4010"/>
        <w:textAlignment w:val="baseline"/>
        <w:outlineLvl w:val="1"/>
        <w:rPr>
          <w:rFonts w:hint="eastAsia" w:ascii="仿宋" w:hAnsi="仿宋" w:eastAsia="仿宋" w:cs="仿宋"/>
          <w:color w:val="auto"/>
          <w:sz w:val="24"/>
          <w:szCs w:val="24"/>
          <w:highlight w:val="none"/>
          <w:lang w:eastAsia="zh-CN"/>
        </w:rPr>
      </w:pPr>
      <w:bookmarkStart w:id="48" w:name="_Toc17688"/>
      <w:r>
        <w:rPr>
          <w:rFonts w:hint="eastAsia" w:ascii="仿宋" w:hAnsi="仿宋" w:eastAsia="仿宋" w:cs="仿宋"/>
          <w:color w:val="auto"/>
          <w:spacing w:val="8"/>
          <w:sz w:val="24"/>
          <w:szCs w:val="24"/>
          <w:highlight w:val="none"/>
          <w:lang w:eastAsia="zh-CN"/>
          <w14:textOutline w14:w="4394" w14:cap="flat" w14:cmpd="sng" w14:algn="ctr">
            <w14:solidFill>
              <w14:srgbClr w14:val="000000"/>
            </w14:solidFill>
            <w14:prstDash w14:val="solid"/>
            <w14:miter w14:val="0"/>
          </w14:textOutline>
        </w:rPr>
        <w:t>九、项目验收</w:t>
      </w:r>
      <w:bookmarkEnd w:id="48"/>
    </w:p>
    <w:p w14:paraId="2632DF08">
      <w:pPr>
        <w:keepNext w:val="0"/>
        <w:keepLines w:val="0"/>
        <w:pageBreakBefore w:val="0"/>
        <w:widowControl/>
        <w:kinsoku w:val="0"/>
        <w:wordWrap/>
        <w:overflowPunct/>
        <w:topLinePunct w:val="0"/>
        <w:autoSpaceDE w:val="0"/>
        <w:autoSpaceDN w:val="0"/>
        <w:bidi w:val="0"/>
        <w:adjustRightInd w:val="0"/>
        <w:snapToGrid w:val="0"/>
        <w:spacing w:before="76" w:line="0" w:lineRule="atLeast"/>
        <w:ind w:firstLine="254" w:firstLineChars="100"/>
        <w:textAlignment w:val="baseline"/>
        <w:outlineLvl w:val="2"/>
        <w:rPr>
          <w:rFonts w:hint="eastAsia" w:ascii="仿宋" w:hAnsi="仿宋" w:eastAsia="仿宋" w:cs="仿宋"/>
          <w:color w:val="auto"/>
          <w:sz w:val="24"/>
          <w:szCs w:val="24"/>
          <w:highlight w:val="none"/>
          <w:lang w:eastAsia="zh-CN"/>
        </w:rPr>
      </w:pPr>
      <w:bookmarkStart w:id="49" w:name="_Toc9875"/>
      <w:r>
        <w:rPr>
          <w:rFonts w:hint="eastAsia" w:ascii="仿宋" w:hAnsi="仿宋" w:eastAsia="仿宋" w:cs="仿宋"/>
          <w:color w:val="auto"/>
          <w:spacing w:val="7"/>
          <w:sz w:val="24"/>
          <w:szCs w:val="24"/>
          <w:highlight w:val="none"/>
          <w:lang w:eastAsia="zh-CN"/>
        </w:rPr>
        <w:t>22.1 项目实施完毕，采购人组织对供应商履约进行验收。</w:t>
      </w:r>
      <w:bookmarkEnd w:id="49"/>
    </w:p>
    <w:p w14:paraId="1D48B8A1">
      <w:pPr>
        <w:keepNext w:val="0"/>
        <w:keepLines w:val="0"/>
        <w:pageBreakBefore w:val="0"/>
        <w:widowControl/>
        <w:kinsoku w:val="0"/>
        <w:wordWrap/>
        <w:overflowPunct/>
        <w:topLinePunct w:val="0"/>
        <w:autoSpaceDE w:val="0"/>
        <w:autoSpaceDN w:val="0"/>
        <w:bidi w:val="0"/>
        <w:adjustRightInd w:val="0"/>
        <w:snapToGrid w:val="0"/>
        <w:spacing w:before="219" w:line="0" w:lineRule="atLeast"/>
        <w:ind w:firstLine="254" w:firstLineChars="1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22.2 验收标准:谈判文件、谈判响应文件、政府采购合同规定的标准。</w:t>
      </w:r>
    </w:p>
    <w:p w14:paraId="2897E201">
      <w:pPr>
        <w:keepNext w:val="0"/>
        <w:keepLines w:val="0"/>
        <w:pageBreakBefore w:val="0"/>
        <w:widowControl/>
        <w:kinsoku w:val="0"/>
        <w:wordWrap/>
        <w:overflowPunct/>
        <w:topLinePunct w:val="0"/>
        <w:autoSpaceDE w:val="0"/>
        <w:autoSpaceDN w:val="0"/>
        <w:bidi w:val="0"/>
        <w:adjustRightInd w:val="0"/>
        <w:snapToGrid w:val="0"/>
        <w:spacing w:before="75" w:line="0" w:lineRule="atLeast"/>
        <w:ind w:left="3521" w:firstLine="516" w:firstLineChars="200"/>
        <w:textAlignment w:val="baseline"/>
        <w:outlineLvl w:val="1"/>
        <w:rPr>
          <w:rFonts w:hint="eastAsia" w:ascii="仿宋" w:hAnsi="仿宋" w:eastAsia="仿宋" w:cs="仿宋"/>
          <w:color w:val="auto"/>
          <w:sz w:val="24"/>
          <w:szCs w:val="24"/>
          <w:highlight w:val="none"/>
          <w:lang w:eastAsia="zh-CN"/>
        </w:rPr>
      </w:pPr>
      <w:bookmarkStart w:id="50" w:name="_Toc5952"/>
      <w:r>
        <w:rPr>
          <w:rFonts w:hint="eastAsia" w:ascii="仿宋" w:hAnsi="仿宋" w:eastAsia="仿宋" w:cs="仿宋"/>
          <w:color w:val="auto"/>
          <w:spacing w:val="9"/>
          <w:sz w:val="24"/>
          <w:szCs w:val="24"/>
          <w:highlight w:val="none"/>
          <w:lang w:eastAsia="zh-CN"/>
          <w14:textOutline w14:w="4394" w14:cap="flat" w14:cmpd="sng" w14:algn="ctr">
            <w14:solidFill>
              <w14:srgbClr w14:val="000000"/>
            </w14:solidFill>
            <w14:prstDash w14:val="solid"/>
            <w14:miter w14:val="0"/>
          </w14:textOutline>
        </w:rPr>
        <w:t>十、适用法律</w:t>
      </w:r>
      <w:bookmarkEnd w:id="50"/>
    </w:p>
    <w:p w14:paraId="5B1B9C88">
      <w:pPr>
        <w:pStyle w:val="7"/>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p>
    <w:p w14:paraId="3B33F30D">
      <w:pPr>
        <w:keepNext w:val="0"/>
        <w:keepLines w:val="0"/>
        <w:pageBreakBefore w:val="0"/>
        <w:widowControl/>
        <w:kinsoku w:val="0"/>
        <w:wordWrap/>
        <w:overflowPunct/>
        <w:topLinePunct w:val="0"/>
        <w:autoSpaceDE w:val="0"/>
        <w:autoSpaceDN w:val="0"/>
        <w:bidi w:val="0"/>
        <w:adjustRightInd w:val="0"/>
        <w:snapToGrid w:val="0"/>
        <w:spacing w:before="74" w:line="0" w:lineRule="atLeast"/>
        <w:ind w:firstLine="256" w:firstLineChars="100"/>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23. 采购当事人的一切活动均适用于《中华人民共和国政府采购法》及相关规定。</w:t>
      </w:r>
    </w:p>
    <w:p w14:paraId="4F664BAF">
      <w:pPr>
        <w:keepNext w:val="0"/>
        <w:keepLines w:val="0"/>
        <w:pageBreakBefore w:val="0"/>
        <w:widowControl/>
        <w:kinsoku w:val="0"/>
        <w:wordWrap/>
        <w:overflowPunct/>
        <w:topLinePunct w:val="0"/>
        <w:autoSpaceDE w:val="0"/>
        <w:autoSpaceDN w:val="0"/>
        <w:bidi w:val="0"/>
        <w:adjustRightInd w:val="0"/>
        <w:snapToGrid w:val="0"/>
        <w:spacing w:before="75" w:line="0" w:lineRule="atLeast"/>
        <w:ind w:left="3779"/>
        <w:textAlignment w:val="baseline"/>
        <w:outlineLvl w:val="1"/>
        <w:rPr>
          <w:rFonts w:hint="eastAsia" w:ascii="仿宋" w:hAnsi="仿宋" w:eastAsia="仿宋" w:cs="仿宋"/>
          <w:color w:val="auto"/>
          <w:sz w:val="24"/>
          <w:szCs w:val="24"/>
          <w:highlight w:val="none"/>
          <w:lang w:eastAsia="zh-CN"/>
        </w:rPr>
      </w:pPr>
      <w:bookmarkStart w:id="51" w:name="_Toc14858"/>
      <w:r>
        <w:rPr>
          <w:rFonts w:hint="eastAsia" w:ascii="仿宋" w:hAnsi="仿宋" w:eastAsia="仿宋" w:cs="仿宋"/>
          <w:color w:val="auto"/>
          <w:spacing w:val="8"/>
          <w:sz w:val="24"/>
          <w:szCs w:val="24"/>
          <w:highlight w:val="none"/>
          <w:lang w:eastAsia="zh-CN"/>
          <w14:textOutline w14:w="4394" w14:cap="flat" w14:cmpd="sng" w14:algn="ctr">
            <w14:solidFill>
              <w14:srgbClr w14:val="000000"/>
            </w14:solidFill>
            <w14:prstDash w14:val="solid"/>
            <w14:miter w14:val="0"/>
          </w14:textOutline>
        </w:rPr>
        <w:t>十一、采购代理费</w:t>
      </w:r>
      <w:bookmarkEnd w:id="51"/>
    </w:p>
    <w:p w14:paraId="62801819">
      <w:pPr>
        <w:pStyle w:val="7"/>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p>
    <w:p w14:paraId="7EE0BEE8">
      <w:pPr>
        <w:keepNext w:val="0"/>
        <w:keepLines w:val="0"/>
        <w:pageBreakBefore w:val="0"/>
        <w:widowControl/>
        <w:kinsoku w:val="0"/>
        <w:wordWrap/>
        <w:overflowPunct/>
        <w:topLinePunct w:val="0"/>
        <w:autoSpaceDE w:val="0"/>
        <w:autoSpaceDN w:val="0"/>
        <w:bidi w:val="0"/>
        <w:adjustRightInd w:val="0"/>
        <w:snapToGrid w:val="0"/>
        <w:spacing w:before="71" w:line="0" w:lineRule="atLeast"/>
        <w:ind w:left="7" w:right="526" w:firstLine="282" w:firstLineChars="101"/>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0"/>
          <w:sz w:val="24"/>
          <w:szCs w:val="24"/>
          <w:highlight w:val="none"/>
          <w:lang w:eastAsia="zh-CN"/>
        </w:rPr>
        <w:t>24.根据采购代理合同约定，本次竞争性谈判由成交供应商按照采购代理收费标</w:t>
      </w:r>
      <w:r>
        <w:rPr>
          <w:rFonts w:hint="eastAsia" w:ascii="仿宋" w:hAnsi="仿宋" w:eastAsia="仿宋" w:cs="仿宋"/>
          <w:color w:val="auto"/>
          <w:spacing w:val="19"/>
          <w:sz w:val="24"/>
          <w:szCs w:val="24"/>
          <w:highlight w:val="none"/>
          <w:lang w:eastAsia="zh-CN"/>
        </w:rPr>
        <w:t>准向采购代理机构支付采购代理费。成交供应商必须在成交通知书发出前向采购代理机构支付</w:t>
      </w:r>
      <w:r>
        <w:rPr>
          <w:rFonts w:hint="eastAsia" w:ascii="仿宋" w:hAnsi="仿宋" w:eastAsia="仿宋" w:cs="仿宋"/>
          <w:color w:val="auto"/>
          <w:spacing w:val="13"/>
          <w:sz w:val="24"/>
          <w:szCs w:val="24"/>
          <w:highlight w:val="none"/>
          <w:lang w:eastAsia="zh-CN"/>
        </w:rPr>
        <w:t>采购代理费。</w:t>
      </w:r>
    </w:p>
    <w:p w14:paraId="7534A986">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lang w:eastAsia="zh-CN"/>
        </w:rPr>
      </w:pPr>
    </w:p>
    <w:p w14:paraId="2EB74F34">
      <w:pPr>
        <w:keepNext w:val="0"/>
        <w:keepLines w:val="0"/>
        <w:pageBreakBefore w:val="0"/>
        <w:widowControl/>
        <w:kinsoku w:val="0"/>
        <w:wordWrap/>
        <w:overflowPunct/>
        <w:topLinePunct w:val="0"/>
        <w:autoSpaceDE w:val="0"/>
        <w:autoSpaceDN w:val="0"/>
        <w:bidi w:val="0"/>
        <w:adjustRightInd w:val="0"/>
        <w:snapToGrid w:val="0"/>
        <w:spacing w:before="202" w:line="440" w:lineRule="exact"/>
        <w:ind w:left="3913"/>
        <w:textAlignment w:val="baseline"/>
        <w:rPr>
          <w:rFonts w:hint="eastAsia" w:ascii="仿宋" w:hAnsi="仿宋" w:eastAsia="仿宋" w:cs="仿宋"/>
          <w:color w:val="auto"/>
          <w:highlight w:val="none"/>
        </w:rPr>
      </w:pPr>
      <w:r>
        <w:rPr>
          <w:rFonts w:hint="eastAsia" w:ascii="仿宋" w:hAnsi="仿宋" w:eastAsia="仿宋" w:cs="仿宋"/>
          <w:color w:val="auto"/>
          <w:spacing w:val="9"/>
          <w:highlight w:val="none"/>
          <w14:textOutline w14:w="4394" w14:cap="flat" w14:cmpd="sng" w14:algn="ctr">
            <w14:solidFill>
              <w14:srgbClr w14:val="000000"/>
            </w14:solidFill>
            <w14:prstDash w14:val="solid"/>
            <w14:miter w14:val="0"/>
          </w14:textOutline>
        </w:rPr>
        <w:t>采购代理收费标准</w:t>
      </w:r>
    </w:p>
    <w:p w14:paraId="07B82E8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tbl>
      <w:tblPr>
        <w:tblStyle w:val="18"/>
        <w:tblW w:w="94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43"/>
        <w:gridCol w:w="2098"/>
        <w:gridCol w:w="1923"/>
        <w:gridCol w:w="1786"/>
      </w:tblGrid>
      <w:tr w14:paraId="36C66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3643" w:type="dxa"/>
            <w:tcBorders>
              <w:tl2br w:val="single" w:color="000000" w:sz="2" w:space="0"/>
            </w:tcBorders>
          </w:tcPr>
          <w:p w14:paraId="75F7182B">
            <w:pPr>
              <w:keepNext w:val="0"/>
              <w:keepLines w:val="0"/>
              <w:pageBreakBefore w:val="0"/>
              <w:widowControl/>
              <w:kinsoku w:val="0"/>
              <w:wordWrap/>
              <w:overflowPunct/>
              <w:topLinePunct w:val="0"/>
              <w:autoSpaceDE w:val="0"/>
              <w:autoSpaceDN w:val="0"/>
              <w:bidi w:val="0"/>
              <w:adjustRightInd w:val="0"/>
              <w:snapToGrid w:val="0"/>
              <w:spacing w:before="91" w:line="440" w:lineRule="exact"/>
              <w:ind w:left="2189"/>
              <w:textAlignment w:val="baseline"/>
              <w:rPr>
                <w:rFonts w:hint="eastAsia" w:ascii="仿宋" w:hAnsi="仿宋" w:eastAsia="仿宋" w:cs="仿宋"/>
                <w:color w:val="auto"/>
                <w:highlight w:val="none"/>
              </w:rPr>
            </w:pPr>
            <w:r>
              <w:rPr>
                <w:rFonts w:hint="eastAsia" w:ascii="仿宋" w:hAnsi="仿宋" w:eastAsia="仿宋" w:cs="仿宋"/>
                <w:color w:val="auto"/>
                <w:spacing w:val="10"/>
                <w:highlight w:val="none"/>
              </w:rPr>
              <w:t>采购类别</w:t>
            </w:r>
          </w:p>
          <w:p w14:paraId="6C898ACF">
            <w:pPr>
              <w:keepNext w:val="0"/>
              <w:keepLines w:val="0"/>
              <w:pageBreakBefore w:val="0"/>
              <w:widowControl/>
              <w:kinsoku w:val="0"/>
              <w:wordWrap/>
              <w:overflowPunct/>
              <w:topLinePunct w:val="0"/>
              <w:autoSpaceDE w:val="0"/>
              <w:autoSpaceDN w:val="0"/>
              <w:bidi w:val="0"/>
              <w:adjustRightInd w:val="0"/>
              <w:snapToGrid w:val="0"/>
              <w:spacing w:before="204" w:line="440" w:lineRule="exact"/>
              <w:ind w:left="633"/>
              <w:textAlignment w:val="baseline"/>
              <w:rPr>
                <w:rFonts w:hint="eastAsia" w:ascii="仿宋" w:hAnsi="仿宋" w:eastAsia="仿宋" w:cs="仿宋"/>
                <w:color w:val="auto"/>
                <w:highlight w:val="none"/>
              </w:rPr>
            </w:pPr>
            <w:r>
              <w:rPr>
                <w:rFonts w:hint="eastAsia" w:ascii="仿宋" w:hAnsi="仿宋" w:eastAsia="仿宋" w:cs="仿宋"/>
                <w:color w:val="auto"/>
                <w:spacing w:val="-1"/>
                <w:highlight w:val="none"/>
              </w:rPr>
              <w:t>成交价</w:t>
            </w:r>
            <w:r>
              <w:rPr>
                <w:rFonts w:hint="eastAsia" w:ascii="仿宋" w:hAnsi="仿宋" w:eastAsia="仿宋" w:cs="仿宋"/>
                <w:color w:val="auto"/>
                <w:spacing w:val="67"/>
                <w:highlight w:val="none"/>
              </w:rPr>
              <w:t xml:space="preserve"> </w:t>
            </w:r>
            <w:r>
              <w:rPr>
                <w:rFonts w:hint="eastAsia" w:ascii="仿宋" w:hAnsi="仿宋" w:eastAsia="仿宋" w:cs="仿宋"/>
                <w:color w:val="auto"/>
                <w:spacing w:val="-1"/>
                <w:highlight w:val="none"/>
              </w:rPr>
              <w:t>(万)</w:t>
            </w:r>
          </w:p>
        </w:tc>
        <w:tc>
          <w:tcPr>
            <w:tcW w:w="2098" w:type="dxa"/>
          </w:tcPr>
          <w:p w14:paraId="200809B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p w14:paraId="0DCBCF79">
            <w:pPr>
              <w:keepNext w:val="0"/>
              <w:keepLines w:val="0"/>
              <w:pageBreakBefore w:val="0"/>
              <w:widowControl/>
              <w:kinsoku w:val="0"/>
              <w:wordWrap/>
              <w:overflowPunct/>
              <w:topLinePunct w:val="0"/>
              <w:autoSpaceDE w:val="0"/>
              <w:autoSpaceDN w:val="0"/>
              <w:bidi w:val="0"/>
              <w:adjustRightInd w:val="0"/>
              <w:snapToGrid w:val="0"/>
              <w:spacing w:before="71" w:line="440" w:lineRule="exact"/>
              <w:ind w:left="145"/>
              <w:textAlignment w:val="baseline"/>
              <w:rPr>
                <w:rFonts w:hint="eastAsia" w:ascii="仿宋" w:hAnsi="仿宋" w:eastAsia="仿宋" w:cs="仿宋"/>
                <w:color w:val="auto"/>
                <w:highlight w:val="none"/>
              </w:rPr>
            </w:pPr>
            <w:r>
              <w:rPr>
                <w:rFonts w:hint="eastAsia" w:ascii="仿宋" w:hAnsi="仿宋" w:eastAsia="仿宋" w:cs="仿宋"/>
                <w:b/>
                <w:bCs/>
                <w:color w:val="auto"/>
                <w:spacing w:val="11"/>
                <w:highlight w:val="none"/>
              </w:rPr>
              <w:t>货物取费标准</w:t>
            </w:r>
          </w:p>
        </w:tc>
        <w:tc>
          <w:tcPr>
            <w:tcW w:w="1923" w:type="dxa"/>
          </w:tcPr>
          <w:p w14:paraId="23D1516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p w14:paraId="136B0509">
            <w:pPr>
              <w:keepNext w:val="0"/>
              <w:keepLines w:val="0"/>
              <w:pageBreakBefore w:val="0"/>
              <w:widowControl/>
              <w:kinsoku w:val="0"/>
              <w:wordWrap/>
              <w:overflowPunct/>
              <w:topLinePunct w:val="0"/>
              <w:autoSpaceDE w:val="0"/>
              <w:autoSpaceDN w:val="0"/>
              <w:bidi w:val="0"/>
              <w:adjustRightInd w:val="0"/>
              <w:snapToGrid w:val="0"/>
              <w:spacing w:before="71" w:line="440" w:lineRule="exact"/>
              <w:ind w:left="137"/>
              <w:textAlignment w:val="baseline"/>
              <w:rPr>
                <w:rFonts w:hint="eastAsia" w:ascii="仿宋" w:hAnsi="仿宋" w:eastAsia="仿宋" w:cs="仿宋"/>
                <w:color w:val="auto"/>
                <w:highlight w:val="none"/>
              </w:rPr>
            </w:pPr>
            <w:r>
              <w:rPr>
                <w:rFonts w:hint="eastAsia" w:ascii="仿宋" w:hAnsi="仿宋" w:eastAsia="仿宋" w:cs="仿宋"/>
                <w:color w:val="auto"/>
                <w:spacing w:val="11"/>
                <w:highlight w:val="none"/>
              </w:rPr>
              <w:t>服务取费标准</w:t>
            </w:r>
          </w:p>
        </w:tc>
        <w:tc>
          <w:tcPr>
            <w:tcW w:w="1786" w:type="dxa"/>
          </w:tcPr>
          <w:p w14:paraId="7905E74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p w14:paraId="35ECCBE1">
            <w:pPr>
              <w:keepNext w:val="0"/>
              <w:keepLines w:val="0"/>
              <w:pageBreakBefore w:val="0"/>
              <w:widowControl/>
              <w:kinsoku w:val="0"/>
              <w:wordWrap/>
              <w:overflowPunct/>
              <w:topLinePunct w:val="0"/>
              <w:autoSpaceDE w:val="0"/>
              <w:autoSpaceDN w:val="0"/>
              <w:bidi w:val="0"/>
              <w:adjustRightInd w:val="0"/>
              <w:snapToGrid w:val="0"/>
              <w:spacing w:before="71" w:line="440" w:lineRule="exact"/>
              <w:ind w:left="149"/>
              <w:textAlignment w:val="baseline"/>
              <w:rPr>
                <w:rFonts w:hint="eastAsia" w:ascii="仿宋" w:hAnsi="仿宋" w:eastAsia="仿宋" w:cs="仿宋"/>
                <w:color w:val="auto"/>
                <w:highlight w:val="none"/>
              </w:rPr>
            </w:pPr>
            <w:r>
              <w:rPr>
                <w:rFonts w:hint="eastAsia" w:ascii="仿宋" w:hAnsi="仿宋" w:eastAsia="仿宋" w:cs="仿宋"/>
                <w:color w:val="auto"/>
                <w:spacing w:val="12"/>
                <w:highlight w:val="none"/>
              </w:rPr>
              <w:t>工程取费标准</w:t>
            </w:r>
          </w:p>
        </w:tc>
      </w:tr>
      <w:tr w14:paraId="71DB0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643" w:type="dxa"/>
          </w:tcPr>
          <w:p w14:paraId="229F59A0">
            <w:pPr>
              <w:keepNext w:val="0"/>
              <w:keepLines w:val="0"/>
              <w:pageBreakBefore w:val="0"/>
              <w:widowControl/>
              <w:kinsoku w:val="0"/>
              <w:wordWrap/>
              <w:overflowPunct/>
              <w:topLinePunct w:val="0"/>
              <w:autoSpaceDE w:val="0"/>
              <w:autoSpaceDN w:val="0"/>
              <w:bidi w:val="0"/>
              <w:adjustRightInd w:val="0"/>
              <w:snapToGrid w:val="0"/>
              <w:spacing w:before="69" w:line="440" w:lineRule="exact"/>
              <w:ind w:left="1664"/>
              <w:textAlignment w:val="baseline"/>
              <w:rPr>
                <w:rFonts w:hint="eastAsia" w:ascii="仿宋" w:hAnsi="仿宋" w:eastAsia="仿宋" w:cs="仿宋"/>
                <w:color w:val="auto"/>
                <w:highlight w:val="none"/>
              </w:rPr>
            </w:pPr>
            <w:r>
              <w:rPr>
                <w:rFonts w:hint="eastAsia" w:ascii="仿宋" w:hAnsi="仿宋" w:eastAsia="仿宋" w:cs="仿宋"/>
                <w:color w:val="auto"/>
                <w:spacing w:val="-12"/>
                <w:highlight w:val="none"/>
              </w:rPr>
              <w:t>100</w:t>
            </w:r>
            <w:r>
              <w:rPr>
                <w:rFonts w:hint="eastAsia" w:ascii="仿宋" w:hAnsi="仿宋" w:eastAsia="仿宋" w:cs="仿宋"/>
                <w:color w:val="auto"/>
                <w:spacing w:val="34"/>
                <w:highlight w:val="none"/>
              </w:rPr>
              <w:t xml:space="preserve"> </w:t>
            </w:r>
            <w:r>
              <w:rPr>
                <w:rFonts w:hint="eastAsia" w:ascii="仿宋" w:hAnsi="仿宋" w:eastAsia="仿宋" w:cs="仿宋"/>
                <w:color w:val="auto"/>
                <w:spacing w:val="-12"/>
                <w:highlight w:val="none"/>
              </w:rPr>
              <w:t>以下</w:t>
            </w:r>
          </w:p>
        </w:tc>
        <w:tc>
          <w:tcPr>
            <w:tcW w:w="2098" w:type="dxa"/>
          </w:tcPr>
          <w:p w14:paraId="5AD3D8AD">
            <w:pPr>
              <w:keepNext w:val="0"/>
              <w:keepLines w:val="0"/>
              <w:pageBreakBefore w:val="0"/>
              <w:widowControl/>
              <w:kinsoku w:val="0"/>
              <w:wordWrap/>
              <w:overflowPunct/>
              <w:topLinePunct w:val="0"/>
              <w:autoSpaceDE w:val="0"/>
              <w:autoSpaceDN w:val="0"/>
              <w:bidi w:val="0"/>
              <w:adjustRightInd w:val="0"/>
              <w:snapToGrid w:val="0"/>
              <w:spacing w:before="69" w:line="440" w:lineRule="exact"/>
              <w:ind w:left="1096"/>
              <w:textAlignment w:val="baseline"/>
              <w:rPr>
                <w:rFonts w:hint="eastAsia" w:ascii="仿宋" w:hAnsi="仿宋" w:eastAsia="仿宋" w:cs="仿宋"/>
                <w:color w:val="auto"/>
                <w:highlight w:val="none"/>
              </w:rPr>
            </w:pPr>
            <w:r>
              <w:rPr>
                <w:rFonts w:hint="eastAsia" w:ascii="仿宋" w:hAnsi="仿宋" w:eastAsia="仿宋" w:cs="仿宋"/>
                <w:color w:val="auto"/>
                <w:spacing w:val="-3"/>
                <w:highlight w:val="none"/>
              </w:rPr>
              <w:t>1.5%</w:t>
            </w:r>
          </w:p>
        </w:tc>
        <w:tc>
          <w:tcPr>
            <w:tcW w:w="1923" w:type="dxa"/>
          </w:tcPr>
          <w:p w14:paraId="5E1B0E22">
            <w:pPr>
              <w:keepNext w:val="0"/>
              <w:keepLines w:val="0"/>
              <w:pageBreakBefore w:val="0"/>
              <w:widowControl/>
              <w:kinsoku w:val="0"/>
              <w:wordWrap/>
              <w:overflowPunct/>
              <w:topLinePunct w:val="0"/>
              <w:autoSpaceDE w:val="0"/>
              <w:autoSpaceDN w:val="0"/>
              <w:bidi w:val="0"/>
              <w:adjustRightInd w:val="0"/>
              <w:snapToGrid w:val="0"/>
              <w:spacing w:before="69" w:line="440" w:lineRule="exact"/>
              <w:ind w:left="1011"/>
              <w:textAlignment w:val="baseline"/>
              <w:rPr>
                <w:rFonts w:hint="eastAsia" w:ascii="仿宋" w:hAnsi="仿宋" w:eastAsia="仿宋" w:cs="仿宋"/>
                <w:color w:val="auto"/>
                <w:highlight w:val="none"/>
              </w:rPr>
            </w:pPr>
            <w:r>
              <w:rPr>
                <w:rFonts w:hint="eastAsia" w:ascii="仿宋" w:hAnsi="仿宋" w:eastAsia="仿宋" w:cs="仿宋"/>
                <w:color w:val="auto"/>
                <w:spacing w:val="-3"/>
                <w:highlight w:val="none"/>
              </w:rPr>
              <w:t>1.5%</w:t>
            </w:r>
          </w:p>
        </w:tc>
        <w:tc>
          <w:tcPr>
            <w:tcW w:w="1786" w:type="dxa"/>
          </w:tcPr>
          <w:p w14:paraId="68D15B99">
            <w:pPr>
              <w:keepNext w:val="0"/>
              <w:keepLines w:val="0"/>
              <w:pageBreakBefore w:val="0"/>
              <w:widowControl/>
              <w:kinsoku w:val="0"/>
              <w:wordWrap/>
              <w:overflowPunct/>
              <w:topLinePunct w:val="0"/>
              <w:autoSpaceDE w:val="0"/>
              <w:autoSpaceDN w:val="0"/>
              <w:bidi w:val="0"/>
              <w:adjustRightInd w:val="0"/>
              <w:snapToGrid w:val="0"/>
              <w:spacing w:before="69" w:line="440" w:lineRule="exact"/>
              <w:ind w:left="936"/>
              <w:textAlignment w:val="baseline"/>
              <w:rPr>
                <w:rFonts w:hint="eastAsia" w:ascii="仿宋" w:hAnsi="仿宋" w:eastAsia="仿宋" w:cs="仿宋"/>
                <w:color w:val="auto"/>
                <w:highlight w:val="none"/>
              </w:rPr>
            </w:pPr>
            <w:r>
              <w:rPr>
                <w:rFonts w:hint="eastAsia" w:ascii="仿宋" w:hAnsi="仿宋" w:eastAsia="仿宋" w:cs="仿宋"/>
                <w:color w:val="auto"/>
                <w:spacing w:val="-3"/>
                <w:highlight w:val="none"/>
              </w:rPr>
              <w:t>1.0%</w:t>
            </w:r>
          </w:p>
        </w:tc>
      </w:tr>
      <w:tr w14:paraId="0A726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643" w:type="dxa"/>
          </w:tcPr>
          <w:p w14:paraId="357E9C5B">
            <w:pPr>
              <w:keepNext w:val="0"/>
              <w:keepLines w:val="0"/>
              <w:pageBreakBefore w:val="0"/>
              <w:widowControl/>
              <w:kinsoku w:val="0"/>
              <w:wordWrap/>
              <w:overflowPunct/>
              <w:topLinePunct w:val="0"/>
              <w:autoSpaceDE w:val="0"/>
              <w:autoSpaceDN w:val="0"/>
              <w:bidi w:val="0"/>
              <w:adjustRightInd w:val="0"/>
              <w:snapToGrid w:val="0"/>
              <w:spacing w:before="155" w:line="440" w:lineRule="exact"/>
              <w:ind w:left="1693"/>
              <w:textAlignment w:val="baseline"/>
              <w:rPr>
                <w:rFonts w:hint="eastAsia" w:ascii="仿宋" w:hAnsi="仿宋" w:eastAsia="仿宋" w:cs="仿宋"/>
                <w:color w:val="auto"/>
                <w:highlight w:val="none"/>
              </w:rPr>
            </w:pPr>
            <w:r>
              <w:rPr>
                <w:rFonts w:hint="eastAsia" w:ascii="仿宋" w:hAnsi="仿宋" w:eastAsia="仿宋" w:cs="仿宋"/>
                <w:color w:val="auto"/>
                <w:spacing w:val="2"/>
                <w:highlight w:val="none"/>
              </w:rPr>
              <w:t>100-500</w:t>
            </w:r>
          </w:p>
        </w:tc>
        <w:tc>
          <w:tcPr>
            <w:tcW w:w="2098" w:type="dxa"/>
          </w:tcPr>
          <w:p w14:paraId="2935F71A">
            <w:pPr>
              <w:keepNext w:val="0"/>
              <w:keepLines w:val="0"/>
              <w:pageBreakBefore w:val="0"/>
              <w:widowControl/>
              <w:kinsoku w:val="0"/>
              <w:wordWrap/>
              <w:overflowPunct/>
              <w:topLinePunct w:val="0"/>
              <w:autoSpaceDE w:val="0"/>
              <w:autoSpaceDN w:val="0"/>
              <w:bidi w:val="0"/>
              <w:adjustRightInd w:val="0"/>
              <w:snapToGrid w:val="0"/>
              <w:spacing w:before="76" w:line="440" w:lineRule="exact"/>
              <w:ind w:left="1096"/>
              <w:textAlignment w:val="baseline"/>
              <w:rPr>
                <w:rFonts w:hint="eastAsia" w:ascii="仿宋" w:hAnsi="仿宋" w:eastAsia="仿宋" w:cs="仿宋"/>
                <w:color w:val="auto"/>
                <w:highlight w:val="none"/>
              </w:rPr>
            </w:pPr>
            <w:r>
              <w:rPr>
                <w:rFonts w:hint="eastAsia" w:ascii="仿宋" w:hAnsi="仿宋" w:eastAsia="仿宋" w:cs="仿宋"/>
                <w:color w:val="auto"/>
                <w:spacing w:val="-3"/>
                <w:position w:val="1"/>
                <w:highlight w:val="none"/>
              </w:rPr>
              <w:t>1.1%</w:t>
            </w:r>
          </w:p>
        </w:tc>
        <w:tc>
          <w:tcPr>
            <w:tcW w:w="1923" w:type="dxa"/>
          </w:tcPr>
          <w:p w14:paraId="6EFEA52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982"/>
              <w:textAlignment w:val="baseline"/>
              <w:rPr>
                <w:rFonts w:hint="eastAsia" w:ascii="仿宋" w:hAnsi="仿宋" w:eastAsia="仿宋" w:cs="仿宋"/>
                <w:color w:val="auto"/>
                <w:highlight w:val="none"/>
              </w:rPr>
            </w:pPr>
            <w:r>
              <w:rPr>
                <w:rFonts w:hint="eastAsia" w:ascii="仿宋" w:hAnsi="仿宋" w:eastAsia="仿宋" w:cs="仿宋"/>
                <w:color w:val="auto"/>
                <w:spacing w:val="3"/>
                <w:highlight w:val="none"/>
              </w:rPr>
              <w:t>0.8%</w:t>
            </w:r>
          </w:p>
        </w:tc>
        <w:tc>
          <w:tcPr>
            <w:tcW w:w="1786" w:type="dxa"/>
          </w:tcPr>
          <w:p w14:paraId="7BC746C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907"/>
              <w:textAlignment w:val="baseline"/>
              <w:rPr>
                <w:rFonts w:hint="eastAsia" w:ascii="仿宋" w:hAnsi="仿宋" w:eastAsia="仿宋" w:cs="仿宋"/>
                <w:color w:val="auto"/>
                <w:highlight w:val="none"/>
              </w:rPr>
            </w:pPr>
            <w:r>
              <w:rPr>
                <w:rFonts w:hint="eastAsia" w:ascii="仿宋" w:hAnsi="仿宋" w:eastAsia="仿宋" w:cs="仿宋"/>
                <w:color w:val="auto"/>
                <w:spacing w:val="3"/>
                <w:highlight w:val="none"/>
              </w:rPr>
              <w:t>0.7%</w:t>
            </w:r>
          </w:p>
        </w:tc>
      </w:tr>
    </w:tbl>
    <w:p w14:paraId="60C3B37A">
      <w:pPr>
        <w:keepNext w:val="0"/>
        <w:keepLines w:val="0"/>
        <w:pageBreakBefore w:val="0"/>
        <w:widowControl/>
        <w:kinsoku w:val="0"/>
        <w:wordWrap/>
        <w:overflowPunct/>
        <w:topLinePunct w:val="0"/>
        <w:autoSpaceDE w:val="0"/>
        <w:autoSpaceDN w:val="0"/>
        <w:bidi w:val="0"/>
        <w:adjustRightInd w:val="0"/>
        <w:snapToGrid w:val="0"/>
        <w:spacing w:before="40" w:line="440" w:lineRule="exact"/>
        <w:ind w:left="33"/>
        <w:textAlignment w:val="baseline"/>
        <w:rPr>
          <w:rFonts w:hint="eastAsia" w:ascii="仿宋" w:hAnsi="仿宋" w:eastAsia="仿宋" w:cs="仿宋"/>
          <w:color w:val="auto"/>
          <w:highlight w:val="none"/>
        </w:rPr>
      </w:pPr>
      <w:r>
        <w:rPr>
          <w:rFonts w:hint="eastAsia" w:ascii="仿宋" w:hAnsi="仿宋" w:eastAsia="仿宋" w:cs="仿宋"/>
          <w:color w:val="auto"/>
          <w:spacing w:val="-8"/>
          <w:highlight w:val="none"/>
          <w14:textOutline w14:w="5130" w14:cap="flat" w14:cmpd="sng" w14:algn="ctr">
            <w14:solidFill>
              <w14:srgbClr w14:val="000000"/>
            </w14:solidFill>
            <w14:prstDash w14:val="solid"/>
            <w14:miter w14:val="0"/>
          </w14:textOutline>
        </w:rPr>
        <w:t>附件1：</w:t>
      </w:r>
    </w:p>
    <w:p w14:paraId="7C0D1937">
      <w:pPr>
        <w:keepNext w:val="0"/>
        <w:keepLines w:val="0"/>
        <w:pageBreakBefore w:val="0"/>
        <w:widowControl/>
        <w:kinsoku w:val="0"/>
        <w:wordWrap/>
        <w:overflowPunct/>
        <w:topLinePunct w:val="0"/>
        <w:autoSpaceDE w:val="0"/>
        <w:autoSpaceDN w:val="0"/>
        <w:bidi w:val="0"/>
        <w:adjustRightInd w:val="0"/>
        <w:snapToGrid w:val="0"/>
        <w:spacing w:before="172" w:line="440" w:lineRule="exact"/>
        <w:ind w:left="3587"/>
        <w:textAlignment w:val="baseline"/>
        <w:rPr>
          <w:rFonts w:hint="eastAsia" w:ascii="仿宋" w:hAnsi="仿宋" w:eastAsia="仿宋" w:cs="仿宋"/>
          <w:color w:val="auto"/>
          <w:highlight w:val="none"/>
        </w:rPr>
      </w:pPr>
      <w:bookmarkStart w:id="52" w:name="_Toc5799"/>
      <w:r>
        <w:rPr>
          <w:rFonts w:hint="eastAsia" w:ascii="仿宋" w:hAnsi="仿宋" w:eastAsia="仿宋" w:cs="仿宋"/>
          <w:color w:val="auto"/>
          <w:spacing w:val="-3"/>
          <w:highlight w:val="none"/>
          <w14:textOutline w14:w="5130" w14:cap="flat" w14:cmpd="sng" w14:algn="ctr">
            <w14:solidFill>
              <w14:srgbClr w14:val="000000"/>
            </w14:solidFill>
            <w14:prstDash w14:val="solid"/>
            <w14:miter w14:val="0"/>
          </w14:textOutline>
        </w:rPr>
        <w:t>中小微企业划型标准</w:t>
      </w:r>
      <w:bookmarkEnd w:id="52"/>
    </w:p>
    <w:p w14:paraId="7ADEF36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tbl>
      <w:tblPr>
        <w:tblStyle w:val="18"/>
        <w:tblW w:w="9450" w:type="dxa"/>
        <w:tblInd w:w="1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558"/>
        <w:gridCol w:w="736"/>
        <w:gridCol w:w="2135"/>
        <w:gridCol w:w="1874"/>
        <w:gridCol w:w="1442"/>
      </w:tblGrid>
      <w:tr w14:paraId="4B138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705" w:type="dxa"/>
          </w:tcPr>
          <w:p w14:paraId="0DE078CF">
            <w:pPr>
              <w:keepNext w:val="0"/>
              <w:keepLines w:val="0"/>
              <w:pageBreakBefore w:val="0"/>
              <w:widowControl/>
              <w:kinsoku w:val="0"/>
              <w:wordWrap/>
              <w:overflowPunct/>
              <w:topLinePunct w:val="0"/>
              <w:autoSpaceDE w:val="0"/>
              <w:autoSpaceDN w:val="0"/>
              <w:bidi w:val="0"/>
              <w:adjustRightInd w:val="0"/>
              <w:snapToGrid w:val="0"/>
              <w:spacing w:before="146" w:line="440" w:lineRule="exact"/>
              <w:ind w:left="11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8"/>
                <w:sz w:val="17"/>
                <w:szCs w:val="17"/>
                <w:highlight w:val="none"/>
                <w14:textOutline w14:w="3289" w14:cap="flat" w14:cmpd="sng" w14:algn="ctr">
                  <w14:solidFill>
                    <w14:srgbClr w14:val="000000"/>
                  </w14:solidFill>
                  <w14:prstDash w14:val="solid"/>
                  <w14:miter w14:val="0"/>
                </w14:textOutline>
              </w:rPr>
              <w:t>行业名称</w:t>
            </w:r>
          </w:p>
        </w:tc>
        <w:tc>
          <w:tcPr>
            <w:tcW w:w="1558" w:type="dxa"/>
          </w:tcPr>
          <w:p w14:paraId="2EF39721">
            <w:pPr>
              <w:keepNext w:val="0"/>
              <w:keepLines w:val="0"/>
              <w:pageBreakBefore w:val="0"/>
              <w:widowControl/>
              <w:kinsoku w:val="0"/>
              <w:wordWrap/>
              <w:overflowPunct/>
              <w:topLinePunct w:val="0"/>
              <w:autoSpaceDE w:val="0"/>
              <w:autoSpaceDN w:val="0"/>
              <w:bidi w:val="0"/>
              <w:adjustRightInd w:val="0"/>
              <w:snapToGrid w:val="0"/>
              <w:spacing w:before="146" w:line="440" w:lineRule="exact"/>
              <w:ind w:left="11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8"/>
                <w:sz w:val="17"/>
                <w:szCs w:val="17"/>
                <w:highlight w:val="none"/>
                <w14:textOutline w14:w="3289" w14:cap="flat" w14:cmpd="sng" w14:algn="ctr">
                  <w14:solidFill>
                    <w14:srgbClr w14:val="000000"/>
                  </w14:solidFill>
                  <w14:prstDash w14:val="solid"/>
                  <w14:miter w14:val="0"/>
                </w14:textOutline>
              </w:rPr>
              <w:t>指标名称</w:t>
            </w:r>
          </w:p>
        </w:tc>
        <w:tc>
          <w:tcPr>
            <w:tcW w:w="736" w:type="dxa"/>
          </w:tcPr>
          <w:p w14:paraId="5B4C88D0">
            <w:pPr>
              <w:keepNext w:val="0"/>
              <w:keepLines w:val="0"/>
              <w:pageBreakBefore w:val="0"/>
              <w:widowControl/>
              <w:kinsoku w:val="0"/>
              <w:wordWrap/>
              <w:overflowPunct/>
              <w:topLinePunct w:val="0"/>
              <w:autoSpaceDE w:val="0"/>
              <w:autoSpaceDN w:val="0"/>
              <w:bidi w:val="0"/>
              <w:adjustRightInd w:val="0"/>
              <w:snapToGrid w:val="0"/>
              <w:spacing w:before="31"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position w:val="4"/>
                <w:sz w:val="17"/>
                <w:szCs w:val="17"/>
                <w:highlight w:val="none"/>
                <w14:textOutline w14:w="3289" w14:cap="flat" w14:cmpd="sng" w14:algn="ctr">
                  <w14:solidFill>
                    <w14:srgbClr w14:val="000000"/>
                  </w14:solidFill>
                  <w14:prstDash w14:val="solid"/>
                  <w14:miter w14:val="0"/>
                </w14:textOutline>
              </w:rPr>
              <w:t>计量</w:t>
            </w:r>
          </w:p>
          <w:p w14:paraId="3778C611">
            <w:pPr>
              <w:keepNext w:val="0"/>
              <w:keepLines w:val="0"/>
              <w:pageBreakBefore w:val="0"/>
              <w:widowControl/>
              <w:kinsoku w:val="0"/>
              <w:wordWrap/>
              <w:overflowPunct/>
              <w:topLinePunct w:val="0"/>
              <w:autoSpaceDE w:val="0"/>
              <w:autoSpaceDN w:val="0"/>
              <w:bidi w:val="0"/>
              <w:adjustRightInd w:val="0"/>
              <w:snapToGrid w:val="0"/>
              <w:spacing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14:textOutline w14:w="3289" w14:cap="flat" w14:cmpd="sng" w14:algn="ctr">
                  <w14:solidFill>
                    <w14:srgbClr w14:val="000000"/>
                  </w14:solidFill>
                  <w14:prstDash w14:val="solid"/>
                  <w14:miter w14:val="0"/>
                </w14:textOutline>
              </w:rPr>
              <w:t>单位</w:t>
            </w:r>
          </w:p>
        </w:tc>
        <w:tc>
          <w:tcPr>
            <w:tcW w:w="2135" w:type="dxa"/>
          </w:tcPr>
          <w:p w14:paraId="444F592E">
            <w:pPr>
              <w:keepNext w:val="0"/>
              <w:keepLines w:val="0"/>
              <w:pageBreakBefore w:val="0"/>
              <w:widowControl/>
              <w:kinsoku w:val="0"/>
              <w:wordWrap/>
              <w:overflowPunct/>
              <w:topLinePunct w:val="0"/>
              <w:autoSpaceDE w:val="0"/>
              <w:autoSpaceDN w:val="0"/>
              <w:bidi w:val="0"/>
              <w:adjustRightInd w:val="0"/>
              <w:snapToGrid w:val="0"/>
              <w:spacing w:before="147" w:line="440" w:lineRule="exact"/>
              <w:ind w:left="132"/>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14:textOutline w14:w="3289" w14:cap="flat" w14:cmpd="sng" w14:algn="ctr">
                  <w14:solidFill>
                    <w14:srgbClr w14:val="000000"/>
                  </w14:solidFill>
                  <w14:prstDash w14:val="solid"/>
                  <w14:miter w14:val="0"/>
                </w14:textOutline>
              </w:rPr>
              <w:t>中型</w:t>
            </w:r>
          </w:p>
        </w:tc>
        <w:tc>
          <w:tcPr>
            <w:tcW w:w="1874" w:type="dxa"/>
          </w:tcPr>
          <w:p w14:paraId="47CD77AC">
            <w:pPr>
              <w:keepNext w:val="0"/>
              <w:keepLines w:val="0"/>
              <w:pageBreakBefore w:val="0"/>
              <w:widowControl/>
              <w:kinsoku w:val="0"/>
              <w:wordWrap/>
              <w:overflowPunct/>
              <w:topLinePunct w:val="0"/>
              <w:autoSpaceDE w:val="0"/>
              <w:autoSpaceDN w:val="0"/>
              <w:bidi w:val="0"/>
              <w:adjustRightInd w:val="0"/>
              <w:snapToGrid w:val="0"/>
              <w:spacing w:before="146" w:line="440" w:lineRule="exact"/>
              <w:ind w:left="11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5"/>
                <w:sz w:val="17"/>
                <w:szCs w:val="17"/>
                <w:highlight w:val="none"/>
                <w14:textOutline w14:w="3289" w14:cap="flat" w14:cmpd="sng" w14:algn="ctr">
                  <w14:solidFill>
                    <w14:srgbClr w14:val="000000"/>
                  </w14:solidFill>
                  <w14:prstDash w14:val="solid"/>
                  <w14:miter w14:val="0"/>
                </w14:textOutline>
              </w:rPr>
              <w:t>小型</w:t>
            </w:r>
          </w:p>
        </w:tc>
        <w:tc>
          <w:tcPr>
            <w:tcW w:w="1442" w:type="dxa"/>
          </w:tcPr>
          <w:p w14:paraId="60DFC5BE">
            <w:pPr>
              <w:keepNext w:val="0"/>
              <w:keepLines w:val="0"/>
              <w:pageBreakBefore w:val="0"/>
              <w:widowControl/>
              <w:kinsoku w:val="0"/>
              <w:wordWrap/>
              <w:overflowPunct/>
              <w:topLinePunct w:val="0"/>
              <w:autoSpaceDE w:val="0"/>
              <w:autoSpaceDN w:val="0"/>
              <w:bidi w:val="0"/>
              <w:adjustRightInd w:val="0"/>
              <w:snapToGrid w:val="0"/>
              <w:spacing w:before="147" w:line="440" w:lineRule="exact"/>
              <w:ind w:left="112"/>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7"/>
                <w:sz w:val="17"/>
                <w:szCs w:val="17"/>
                <w:highlight w:val="none"/>
                <w14:textOutline w14:w="3289" w14:cap="flat" w14:cmpd="sng" w14:algn="ctr">
                  <w14:solidFill>
                    <w14:srgbClr w14:val="000000"/>
                  </w14:solidFill>
                  <w14:prstDash w14:val="solid"/>
                  <w14:miter w14:val="0"/>
                </w14:textOutline>
              </w:rPr>
              <w:t>微型</w:t>
            </w:r>
          </w:p>
        </w:tc>
      </w:tr>
      <w:tr w14:paraId="494C9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5" w:type="dxa"/>
          </w:tcPr>
          <w:p w14:paraId="5FA86498">
            <w:pPr>
              <w:keepNext w:val="0"/>
              <w:keepLines w:val="0"/>
              <w:pageBreakBefore w:val="0"/>
              <w:widowControl/>
              <w:kinsoku w:val="0"/>
              <w:wordWrap/>
              <w:overflowPunct/>
              <w:topLinePunct w:val="0"/>
              <w:autoSpaceDE w:val="0"/>
              <w:autoSpaceDN w:val="0"/>
              <w:bidi w:val="0"/>
              <w:adjustRightInd w:val="0"/>
              <w:snapToGrid w:val="0"/>
              <w:spacing w:before="27" w:line="440" w:lineRule="exact"/>
              <w:ind w:left="229"/>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9"/>
                <w:sz w:val="17"/>
                <w:szCs w:val="17"/>
                <w:highlight w:val="none"/>
                <w14:textOutline w14:w="3289" w14:cap="flat" w14:cmpd="sng" w14:algn="ctr">
                  <w14:solidFill>
                    <w14:srgbClr w14:val="000000"/>
                  </w14:solidFill>
                  <w14:prstDash w14:val="solid"/>
                  <w14:miter w14:val="0"/>
                </w14:textOutline>
              </w:rPr>
              <w:t>农、林、牧、渔</w:t>
            </w:r>
          </w:p>
        </w:tc>
        <w:tc>
          <w:tcPr>
            <w:tcW w:w="1558" w:type="dxa"/>
          </w:tcPr>
          <w:p w14:paraId="535111AC">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5"/>
                <w:sz w:val="17"/>
                <w:szCs w:val="17"/>
                <w:highlight w:val="none"/>
              </w:rPr>
              <w:t>营业收入（Y）</w:t>
            </w:r>
          </w:p>
        </w:tc>
        <w:tc>
          <w:tcPr>
            <w:tcW w:w="736" w:type="dxa"/>
          </w:tcPr>
          <w:p w14:paraId="5EBD6C66">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万元</w:t>
            </w:r>
          </w:p>
        </w:tc>
        <w:tc>
          <w:tcPr>
            <w:tcW w:w="2135" w:type="dxa"/>
          </w:tcPr>
          <w:p w14:paraId="48551CDD">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500≤Y＜20000</w:t>
            </w:r>
          </w:p>
        </w:tc>
        <w:tc>
          <w:tcPr>
            <w:tcW w:w="1874" w:type="dxa"/>
          </w:tcPr>
          <w:p w14:paraId="0A043801">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1"/>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50≤Y＜500</w:t>
            </w:r>
          </w:p>
        </w:tc>
        <w:tc>
          <w:tcPr>
            <w:tcW w:w="1442" w:type="dxa"/>
          </w:tcPr>
          <w:p w14:paraId="61D0BDCA">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Y＜50</w:t>
            </w:r>
          </w:p>
        </w:tc>
      </w:tr>
      <w:tr w14:paraId="1C5D4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tcPr>
          <w:p w14:paraId="43C8A845">
            <w:pPr>
              <w:keepNext w:val="0"/>
              <w:keepLines w:val="0"/>
              <w:pageBreakBefore w:val="0"/>
              <w:widowControl/>
              <w:kinsoku w:val="0"/>
              <w:wordWrap/>
              <w:overflowPunct/>
              <w:topLinePunct w:val="0"/>
              <w:autoSpaceDE w:val="0"/>
              <w:autoSpaceDN w:val="0"/>
              <w:bidi w:val="0"/>
              <w:adjustRightInd w:val="0"/>
              <w:snapToGrid w:val="0"/>
              <w:spacing w:before="267" w:line="440" w:lineRule="exact"/>
              <w:ind w:left="68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14:textOutline w14:w="3289" w14:cap="flat" w14:cmpd="sng" w14:algn="ctr">
                  <w14:solidFill>
                    <w14:srgbClr w14:val="000000"/>
                  </w14:solidFill>
                  <w14:prstDash w14:val="solid"/>
                  <w14:miter w14:val="0"/>
                </w14:textOutline>
              </w:rPr>
              <w:t>工业</w:t>
            </w:r>
          </w:p>
        </w:tc>
        <w:tc>
          <w:tcPr>
            <w:tcW w:w="1558" w:type="dxa"/>
          </w:tcPr>
          <w:p w14:paraId="7334D053">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6"/>
                <w:sz w:val="17"/>
                <w:szCs w:val="17"/>
                <w:highlight w:val="none"/>
              </w:rPr>
              <w:t>从业人员（X）</w:t>
            </w:r>
          </w:p>
        </w:tc>
        <w:tc>
          <w:tcPr>
            <w:tcW w:w="736" w:type="dxa"/>
          </w:tcPr>
          <w:p w14:paraId="07543C89">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2"/>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人</w:t>
            </w:r>
          </w:p>
        </w:tc>
        <w:tc>
          <w:tcPr>
            <w:tcW w:w="2135" w:type="dxa"/>
          </w:tcPr>
          <w:p w14:paraId="7622A1C5">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300≤X＜1000</w:t>
            </w:r>
          </w:p>
        </w:tc>
        <w:tc>
          <w:tcPr>
            <w:tcW w:w="1874" w:type="dxa"/>
          </w:tcPr>
          <w:p w14:paraId="53F0AD28">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9"/>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20≤X＜300</w:t>
            </w:r>
          </w:p>
        </w:tc>
        <w:tc>
          <w:tcPr>
            <w:tcW w:w="1442" w:type="dxa"/>
          </w:tcPr>
          <w:p w14:paraId="20C749BC">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X＜20</w:t>
            </w:r>
          </w:p>
        </w:tc>
      </w:tr>
      <w:tr w14:paraId="0CC12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5" w:type="dxa"/>
            <w:vMerge w:val="continue"/>
            <w:tcBorders>
              <w:top w:val="nil"/>
            </w:tcBorders>
          </w:tcPr>
          <w:p w14:paraId="0D79E8C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tc>
        <w:tc>
          <w:tcPr>
            <w:tcW w:w="1558" w:type="dxa"/>
          </w:tcPr>
          <w:p w14:paraId="251F393B">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5"/>
                <w:sz w:val="17"/>
                <w:szCs w:val="17"/>
                <w:highlight w:val="none"/>
              </w:rPr>
              <w:t>营业收入（Y）</w:t>
            </w:r>
          </w:p>
        </w:tc>
        <w:tc>
          <w:tcPr>
            <w:tcW w:w="736" w:type="dxa"/>
          </w:tcPr>
          <w:p w14:paraId="4A972D87">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万元</w:t>
            </w:r>
          </w:p>
        </w:tc>
        <w:tc>
          <w:tcPr>
            <w:tcW w:w="2135" w:type="dxa"/>
          </w:tcPr>
          <w:p w14:paraId="367148D5">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18"/>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2000≤Y＜40000</w:t>
            </w:r>
          </w:p>
        </w:tc>
        <w:tc>
          <w:tcPr>
            <w:tcW w:w="1874" w:type="dxa"/>
          </w:tcPr>
          <w:p w14:paraId="2066475D">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6"/>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300≤Y＜2000</w:t>
            </w:r>
          </w:p>
        </w:tc>
        <w:tc>
          <w:tcPr>
            <w:tcW w:w="1442" w:type="dxa"/>
          </w:tcPr>
          <w:p w14:paraId="7E12CC2E">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Y＜300</w:t>
            </w:r>
          </w:p>
        </w:tc>
      </w:tr>
      <w:tr w14:paraId="4EF54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tcPr>
          <w:p w14:paraId="7ECE5EA6">
            <w:pPr>
              <w:keepNext w:val="0"/>
              <w:keepLines w:val="0"/>
              <w:pageBreakBefore w:val="0"/>
              <w:widowControl/>
              <w:kinsoku w:val="0"/>
              <w:wordWrap/>
              <w:overflowPunct/>
              <w:topLinePunct w:val="0"/>
              <w:autoSpaceDE w:val="0"/>
              <w:autoSpaceDN w:val="0"/>
              <w:bidi w:val="0"/>
              <w:adjustRightInd w:val="0"/>
              <w:snapToGrid w:val="0"/>
              <w:spacing w:before="268" w:line="440" w:lineRule="exact"/>
              <w:ind w:left="586"/>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8"/>
                <w:sz w:val="17"/>
                <w:szCs w:val="17"/>
                <w:highlight w:val="none"/>
                <w14:textOutline w14:w="3289" w14:cap="flat" w14:cmpd="sng" w14:algn="ctr">
                  <w14:solidFill>
                    <w14:srgbClr w14:val="000000"/>
                  </w14:solidFill>
                  <w14:prstDash w14:val="solid"/>
                  <w14:miter w14:val="0"/>
                </w14:textOutline>
              </w:rPr>
              <w:t>建筑业</w:t>
            </w:r>
          </w:p>
        </w:tc>
        <w:tc>
          <w:tcPr>
            <w:tcW w:w="1558" w:type="dxa"/>
          </w:tcPr>
          <w:p w14:paraId="3ACDEAD3">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5"/>
                <w:sz w:val="17"/>
                <w:szCs w:val="17"/>
                <w:highlight w:val="none"/>
              </w:rPr>
              <w:t>营业收入（Y）</w:t>
            </w:r>
          </w:p>
        </w:tc>
        <w:tc>
          <w:tcPr>
            <w:tcW w:w="736" w:type="dxa"/>
          </w:tcPr>
          <w:p w14:paraId="68D518DC">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万元</w:t>
            </w:r>
          </w:p>
        </w:tc>
        <w:tc>
          <w:tcPr>
            <w:tcW w:w="2135" w:type="dxa"/>
          </w:tcPr>
          <w:p w14:paraId="35CE5FBE">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6000≤Y＜80000</w:t>
            </w:r>
          </w:p>
        </w:tc>
        <w:tc>
          <w:tcPr>
            <w:tcW w:w="1874" w:type="dxa"/>
          </w:tcPr>
          <w:p w14:paraId="7B2D34C9">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6"/>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300≤Y＜6000</w:t>
            </w:r>
          </w:p>
        </w:tc>
        <w:tc>
          <w:tcPr>
            <w:tcW w:w="1442" w:type="dxa"/>
          </w:tcPr>
          <w:p w14:paraId="72F266BE">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Y＜300</w:t>
            </w:r>
          </w:p>
        </w:tc>
      </w:tr>
      <w:tr w14:paraId="2E470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continue"/>
            <w:tcBorders>
              <w:top w:val="nil"/>
            </w:tcBorders>
          </w:tcPr>
          <w:p w14:paraId="6ED86246">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tc>
        <w:tc>
          <w:tcPr>
            <w:tcW w:w="1558" w:type="dxa"/>
          </w:tcPr>
          <w:p w14:paraId="1EDBB762">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19"/>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6"/>
                <w:sz w:val="17"/>
                <w:szCs w:val="17"/>
                <w:highlight w:val="none"/>
              </w:rPr>
              <w:t>资产总额（Z）</w:t>
            </w:r>
          </w:p>
        </w:tc>
        <w:tc>
          <w:tcPr>
            <w:tcW w:w="736" w:type="dxa"/>
          </w:tcPr>
          <w:p w14:paraId="764FA966">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万元</w:t>
            </w:r>
          </w:p>
        </w:tc>
        <w:tc>
          <w:tcPr>
            <w:tcW w:w="2135" w:type="dxa"/>
          </w:tcPr>
          <w:p w14:paraId="0BE969F5">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5000≤Z＜80000</w:t>
            </w:r>
          </w:p>
        </w:tc>
        <w:tc>
          <w:tcPr>
            <w:tcW w:w="1874" w:type="dxa"/>
          </w:tcPr>
          <w:p w14:paraId="2F002E0E">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6"/>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300≤Z＜5000</w:t>
            </w:r>
          </w:p>
        </w:tc>
        <w:tc>
          <w:tcPr>
            <w:tcW w:w="1442" w:type="dxa"/>
          </w:tcPr>
          <w:p w14:paraId="3F85068F">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16"/>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Z＜300</w:t>
            </w:r>
          </w:p>
        </w:tc>
      </w:tr>
      <w:tr w14:paraId="608F1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tcPr>
          <w:p w14:paraId="2952AA37">
            <w:pPr>
              <w:keepNext w:val="0"/>
              <w:keepLines w:val="0"/>
              <w:pageBreakBefore w:val="0"/>
              <w:widowControl/>
              <w:kinsoku w:val="0"/>
              <w:wordWrap/>
              <w:overflowPunct/>
              <w:topLinePunct w:val="0"/>
              <w:autoSpaceDE w:val="0"/>
              <w:autoSpaceDN w:val="0"/>
              <w:bidi w:val="0"/>
              <w:adjustRightInd w:val="0"/>
              <w:snapToGrid w:val="0"/>
              <w:spacing w:before="269" w:line="440" w:lineRule="exact"/>
              <w:ind w:left="59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6"/>
                <w:sz w:val="17"/>
                <w:szCs w:val="17"/>
                <w:highlight w:val="none"/>
                <w14:textOutline w14:w="3289" w14:cap="flat" w14:cmpd="sng" w14:algn="ctr">
                  <w14:solidFill>
                    <w14:srgbClr w14:val="000000"/>
                  </w14:solidFill>
                  <w14:prstDash w14:val="solid"/>
                  <w14:miter w14:val="0"/>
                </w14:textOutline>
              </w:rPr>
              <w:t>批发业</w:t>
            </w:r>
          </w:p>
        </w:tc>
        <w:tc>
          <w:tcPr>
            <w:tcW w:w="1558" w:type="dxa"/>
          </w:tcPr>
          <w:p w14:paraId="462C6939">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6"/>
                <w:sz w:val="17"/>
                <w:szCs w:val="17"/>
                <w:highlight w:val="none"/>
              </w:rPr>
              <w:t>从业人员（X）</w:t>
            </w:r>
          </w:p>
        </w:tc>
        <w:tc>
          <w:tcPr>
            <w:tcW w:w="736" w:type="dxa"/>
          </w:tcPr>
          <w:p w14:paraId="48C54E5F">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12"/>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人</w:t>
            </w:r>
          </w:p>
        </w:tc>
        <w:tc>
          <w:tcPr>
            <w:tcW w:w="2135" w:type="dxa"/>
          </w:tcPr>
          <w:p w14:paraId="25CE5F01">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18"/>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20≤X＜200</w:t>
            </w:r>
          </w:p>
        </w:tc>
        <w:tc>
          <w:tcPr>
            <w:tcW w:w="1874" w:type="dxa"/>
          </w:tcPr>
          <w:p w14:paraId="1ECDA3FA">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1"/>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5≤X＜20</w:t>
            </w:r>
          </w:p>
        </w:tc>
        <w:tc>
          <w:tcPr>
            <w:tcW w:w="1442" w:type="dxa"/>
          </w:tcPr>
          <w:p w14:paraId="64FE88CB">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X＜5</w:t>
            </w:r>
          </w:p>
        </w:tc>
      </w:tr>
      <w:tr w14:paraId="115B6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5" w:type="dxa"/>
            <w:vMerge w:val="continue"/>
            <w:tcBorders>
              <w:top w:val="nil"/>
            </w:tcBorders>
          </w:tcPr>
          <w:p w14:paraId="5D1E5CD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tc>
        <w:tc>
          <w:tcPr>
            <w:tcW w:w="1558" w:type="dxa"/>
          </w:tcPr>
          <w:p w14:paraId="5947D7D9">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5"/>
                <w:sz w:val="17"/>
                <w:szCs w:val="17"/>
                <w:highlight w:val="none"/>
              </w:rPr>
              <w:t>营业收入（Y）</w:t>
            </w:r>
          </w:p>
        </w:tc>
        <w:tc>
          <w:tcPr>
            <w:tcW w:w="736" w:type="dxa"/>
          </w:tcPr>
          <w:p w14:paraId="320AA652">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万元</w:t>
            </w:r>
          </w:p>
        </w:tc>
        <w:tc>
          <w:tcPr>
            <w:tcW w:w="2135" w:type="dxa"/>
          </w:tcPr>
          <w:p w14:paraId="0CBD717F">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5000≤Y＜40000</w:t>
            </w:r>
          </w:p>
        </w:tc>
        <w:tc>
          <w:tcPr>
            <w:tcW w:w="1874" w:type="dxa"/>
          </w:tcPr>
          <w:p w14:paraId="40853913">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1000≤Y＜5000</w:t>
            </w:r>
          </w:p>
        </w:tc>
        <w:tc>
          <w:tcPr>
            <w:tcW w:w="1442" w:type="dxa"/>
          </w:tcPr>
          <w:p w14:paraId="5E9C65FB">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Y＜1000</w:t>
            </w:r>
          </w:p>
        </w:tc>
      </w:tr>
      <w:tr w14:paraId="7A49E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tcPr>
          <w:p w14:paraId="2BBDDF9F">
            <w:pPr>
              <w:keepNext w:val="0"/>
              <w:keepLines w:val="0"/>
              <w:pageBreakBefore w:val="0"/>
              <w:widowControl/>
              <w:kinsoku w:val="0"/>
              <w:wordWrap/>
              <w:overflowPunct/>
              <w:topLinePunct w:val="0"/>
              <w:autoSpaceDE w:val="0"/>
              <w:autoSpaceDN w:val="0"/>
              <w:bidi w:val="0"/>
              <w:adjustRightInd w:val="0"/>
              <w:snapToGrid w:val="0"/>
              <w:spacing w:before="269" w:line="440" w:lineRule="exact"/>
              <w:ind w:left="586"/>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8"/>
                <w:sz w:val="17"/>
                <w:szCs w:val="17"/>
                <w:highlight w:val="none"/>
                <w14:textOutline w14:w="3289" w14:cap="flat" w14:cmpd="sng" w14:algn="ctr">
                  <w14:solidFill>
                    <w14:srgbClr w14:val="000000"/>
                  </w14:solidFill>
                  <w14:prstDash w14:val="solid"/>
                  <w14:miter w14:val="0"/>
                </w14:textOutline>
              </w:rPr>
              <w:t>零售业</w:t>
            </w:r>
          </w:p>
        </w:tc>
        <w:tc>
          <w:tcPr>
            <w:tcW w:w="1558" w:type="dxa"/>
          </w:tcPr>
          <w:p w14:paraId="23D91D87">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6"/>
                <w:sz w:val="17"/>
                <w:szCs w:val="17"/>
                <w:highlight w:val="none"/>
              </w:rPr>
              <w:t>从业人员（X）</w:t>
            </w:r>
          </w:p>
        </w:tc>
        <w:tc>
          <w:tcPr>
            <w:tcW w:w="736" w:type="dxa"/>
          </w:tcPr>
          <w:p w14:paraId="61006EC1">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12"/>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人</w:t>
            </w:r>
          </w:p>
        </w:tc>
        <w:tc>
          <w:tcPr>
            <w:tcW w:w="2135" w:type="dxa"/>
          </w:tcPr>
          <w:p w14:paraId="30DD0CCB">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50≤X＜300</w:t>
            </w:r>
          </w:p>
        </w:tc>
        <w:tc>
          <w:tcPr>
            <w:tcW w:w="1874" w:type="dxa"/>
          </w:tcPr>
          <w:p w14:paraId="757EF414">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10≤X＜50</w:t>
            </w:r>
          </w:p>
        </w:tc>
        <w:tc>
          <w:tcPr>
            <w:tcW w:w="1442" w:type="dxa"/>
          </w:tcPr>
          <w:p w14:paraId="33EE8816">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X＜10</w:t>
            </w:r>
          </w:p>
        </w:tc>
      </w:tr>
      <w:tr w14:paraId="7CA25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continue"/>
            <w:tcBorders>
              <w:top w:val="nil"/>
            </w:tcBorders>
          </w:tcPr>
          <w:p w14:paraId="51F6125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tc>
        <w:tc>
          <w:tcPr>
            <w:tcW w:w="1558" w:type="dxa"/>
          </w:tcPr>
          <w:p w14:paraId="50A146B3">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5"/>
                <w:sz w:val="17"/>
                <w:szCs w:val="17"/>
                <w:highlight w:val="none"/>
              </w:rPr>
              <w:t>营业收入（Y）</w:t>
            </w:r>
          </w:p>
        </w:tc>
        <w:tc>
          <w:tcPr>
            <w:tcW w:w="736" w:type="dxa"/>
          </w:tcPr>
          <w:p w14:paraId="2ADE6C24">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万元</w:t>
            </w:r>
          </w:p>
        </w:tc>
        <w:tc>
          <w:tcPr>
            <w:tcW w:w="2135" w:type="dxa"/>
          </w:tcPr>
          <w:p w14:paraId="7DEDEF53">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500≤Y＜20000</w:t>
            </w:r>
          </w:p>
        </w:tc>
        <w:tc>
          <w:tcPr>
            <w:tcW w:w="1874" w:type="dxa"/>
          </w:tcPr>
          <w:p w14:paraId="4321A44C">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100≤Y＜500</w:t>
            </w:r>
          </w:p>
        </w:tc>
        <w:tc>
          <w:tcPr>
            <w:tcW w:w="1442" w:type="dxa"/>
          </w:tcPr>
          <w:p w14:paraId="0CF346C2">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Y＜100</w:t>
            </w:r>
          </w:p>
        </w:tc>
      </w:tr>
      <w:tr w14:paraId="561E2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5" w:type="dxa"/>
            <w:vMerge w:val="restart"/>
            <w:tcBorders>
              <w:bottom w:val="nil"/>
            </w:tcBorders>
          </w:tcPr>
          <w:p w14:paraId="6F60E255">
            <w:pPr>
              <w:keepNext w:val="0"/>
              <w:keepLines w:val="0"/>
              <w:pageBreakBefore w:val="0"/>
              <w:widowControl/>
              <w:kinsoku w:val="0"/>
              <w:wordWrap/>
              <w:overflowPunct/>
              <w:topLinePunct w:val="0"/>
              <w:autoSpaceDE w:val="0"/>
              <w:autoSpaceDN w:val="0"/>
              <w:bidi w:val="0"/>
              <w:adjustRightInd w:val="0"/>
              <w:snapToGrid w:val="0"/>
              <w:spacing w:before="270" w:line="440" w:lineRule="exact"/>
              <w:ind w:left="41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7"/>
                <w:sz w:val="17"/>
                <w:szCs w:val="17"/>
                <w:highlight w:val="none"/>
                <w14:textOutline w14:w="3289" w14:cap="flat" w14:cmpd="sng" w14:algn="ctr">
                  <w14:solidFill>
                    <w14:srgbClr w14:val="000000"/>
                  </w14:solidFill>
                  <w14:prstDash w14:val="solid"/>
                  <w14:miter w14:val="0"/>
                </w14:textOutline>
              </w:rPr>
              <w:t>交通运输业</w:t>
            </w:r>
          </w:p>
        </w:tc>
        <w:tc>
          <w:tcPr>
            <w:tcW w:w="1558" w:type="dxa"/>
          </w:tcPr>
          <w:p w14:paraId="6F46B997">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6"/>
                <w:sz w:val="17"/>
                <w:szCs w:val="17"/>
                <w:highlight w:val="none"/>
              </w:rPr>
              <w:t>从业人员（X）</w:t>
            </w:r>
          </w:p>
        </w:tc>
        <w:tc>
          <w:tcPr>
            <w:tcW w:w="736" w:type="dxa"/>
          </w:tcPr>
          <w:p w14:paraId="15721EBF">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2"/>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人</w:t>
            </w:r>
          </w:p>
        </w:tc>
        <w:tc>
          <w:tcPr>
            <w:tcW w:w="2135" w:type="dxa"/>
          </w:tcPr>
          <w:p w14:paraId="64CF47E3">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300≤X＜1000</w:t>
            </w:r>
          </w:p>
        </w:tc>
        <w:tc>
          <w:tcPr>
            <w:tcW w:w="1874" w:type="dxa"/>
          </w:tcPr>
          <w:p w14:paraId="7C6DA358">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9"/>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20≤X＜300</w:t>
            </w:r>
          </w:p>
        </w:tc>
        <w:tc>
          <w:tcPr>
            <w:tcW w:w="1442" w:type="dxa"/>
          </w:tcPr>
          <w:p w14:paraId="0CED1C30">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X＜20</w:t>
            </w:r>
          </w:p>
        </w:tc>
      </w:tr>
      <w:tr w14:paraId="12054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continue"/>
            <w:tcBorders>
              <w:top w:val="nil"/>
            </w:tcBorders>
          </w:tcPr>
          <w:p w14:paraId="0E99FCE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tc>
        <w:tc>
          <w:tcPr>
            <w:tcW w:w="1558" w:type="dxa"/>
          </w:tcPr>
          <w:p w14:paraId="2DA20B53">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5"/>
                <w:sz w:val="17"/>
                <w:szCs w:val="17"/>
                <w:highlight w:val="none"/>
              </w:rPr>
              <w:t>营业收入（Y）</w:t>
            </w:r>
          </w:p>
        </w:tc>
        <w:tc>
          <w:tcPr>
            <w:tcW w:w="736" w:type="dxa"/>
          </w:tcPr>
          <w:p w14:paraId="30DDDBAC">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万元</w:t>
            </w:r>
          </w:p>
        </w:tc>
        <w:tc>
          <w:tcPr>
            <w:tcW w:w="2135" w:type="dxa"/>
          </w:tcPr>
          <w:p w14:paraId="46EAB281">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3000≤Y＜30000</w:t>
            </w:r>
          </w:p>
        </w:tc>
        <w:tc>
          <w:tcPr>
            <w:tcW w:w="1874" w:type="dxa"/>
          </w:tcPr>
          <w:p w14:paraId="5CFC1695">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19"/>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200≤Y＜3000</w:t>
            </w:r>
          </w:p>
        </w:tc>
        <w:tc>
          <w:tcPr>
            <w:tcW w:w="1442" w:type="dxa"/>
          </w:tcPr>
          <w:p w14:paraId="1DABDB55">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Y＜200</w:t>
            </w:r>
          </w:p>
        </w:tc>
      </w:tr>
      <w:tr w14:paraId="75028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5" w:type="dxa"/>
            <w:vMerge w:val="restart"/>
            <w:tcBorders>
              <w:bottom w:val="nil"/>
            </w:tcBorders>
          </w:tcPr>
          <w:p w14:paraId="713A8A52">
            <w:pPr>
              <w:keepNext w:val="0"/>
              <w:keepLines w:val="0"/>
              <w:pageBreakBefore w:val="0"/>
              <w:widowControl/>
              <w:kinsoku w:val="0"/>
              <w:wordWrap/>
              <w:overflowPunct/>
              <w:topLinePunct w:val="0"/>
              <w:autoSpaceDE w:val="0"/>
              <w:autoSpaceDN w:val="0"/>
              <w:bidi w:val="0"/>
              <w:adjustRightInd w:val="0"/>
              <w:snapToGrid w:val="0"/>
              <w:spacing w:before="271" w:line="440" w:lineRule="exact"/>
              <w:ind w:left="586"/>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8"/>
                <w:sz w:val="17"/>
                <w:szCs w:val="17"/>
                <w:highlight w:val="none"/>
                <w14:textOutline w14:w="3289" w14:cap="flat" w14:cmpd="sng" w14:algn="ctr">
                  <w14:solidFill>
                    <w14:srgbClr w14:val="000000"/>
                  </w14:solidFill>
                  <w14:prstDash w14:val="solid"/>
                  <w14:miter w14:val="0"/>
                </w14:textOutline>
              </w:rPr>
              <w:t>仓储业</w:t>
            </w:r>
          </w:p>
        </w:tc>
        <w:tc>
          <w:tcPr>
            <w:tcW w:w="1558" w:type="dxa"/>
          </w:tcPr>
          <w:p w14:paraId="34689E8C">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6"/>
                <w:sz w:val="17"/>
                <w:szCs w:val="17"/>
                <w:highlight w:val="none"/>
              </w:rPr>
              <w:t>从业人员（X）</w:t>
            </w:r>
          </w:p>
        </w:tc>
        <w:tc>
          <w:tcPr>
            <w:tcW w:w="736" w:type="dxa"/>
          </w:tcPr>
          <w:p w14:paraId="1759CD99">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2"/>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人</w:t>
            </w:r>
          </w:p>
        </w:tc>
        <w:tc>
          <w:tcPr>
            <w:tcW w:w="2135" w:type="dxa"/>
          </w:tcPr>
          <w:p w14:paraId="73C0E9A9">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100≤X＜200</w:t>
            </w:r>
          </w:p>
        </w:tc>
        <w:tc>
          <w:tcPr>
            <w:tcW w:w="1874" w:type="dxa"/>
          </w:tcPr>
          <w:p w14:paraId="0857137A">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9"/>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20≤X＜100</w:t>
            </w:r>
          </w:p>
        </w:tc>
        <w:tc>
          <w:tcPr>
            <w:tcW w:w="1442" w:type="dxa"/>
          </w:tcPr>
          <w:p w14:paraId="42C1FC49">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X＜20</w:t>
            </w:r>
          </w:p>
        </w:tc>
      </w:tr>
      <w:tr w14:paraId="09E7F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continue"/>
            <w:tcBorders>
              <w:top w:val="nil"/>
            </w:tcBorders>
          </w:tcPr>
          <w:p w14:paraId="611CE61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tc>
        <w:tc>
          <w:tcPr>
            <w:tcW w:w="1558" w:type="dxa"/>
          </w:tcPr>
          <w:p w14:paraId="1151D062">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5"/>
                <w:sz w:val="17"/>
                <w:szCs w:val="17"/>
                <w:highlight w:val="none"/>
              </w:rPr>
              <w:t>营业收入（Y）</w:t>
            </w:r>
          </w:p>
        </w:tc>
        <w:tc>
          <w:tcPr>
            <w:tcW w:w="736" w:type="dxa"/>
          </w:tcPr>
          <w:p w14:paraId="4EDEB74A">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万元</w:t>
            </w:r>
          </w:p>
        </w:tc>
        <w:tc>
          <w:tcPr>
            <w:tcW w:w="2135" w:type="dxa"/>
          </w:tcPr>
          <w:p w14:paraId="5F0565F8">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1000≤Y＜30000</w:t>
            </w:r>
          </w:p>
        </w:tc>
        <w:tc>
          <w:tcPr>
            <w:tcW w:w="1874" w:type="dxa"/>
          </w:tcPr>
          <w:p w14:paraId="087FAB58">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100≤Y＜1000</w:t>
            </w:r>
          </w:p>
        </w:tc>
        <w:tc>
          <w:tcPr>
            <w:tcW w:w="1442" w:type="dxa"/>
          </w:tcPr>
          <w:p w14:paraId="585EB7AA">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Y＜100</w:t>
            </w:r>
          </w:p>
        </w:tc>
      </w:tr>
      <w:tr w14:paraId="7CA5E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5" w:type="dxa"/>
            <w:vMerge w:val="restart"/>
            <w:tcBorders>
              <w:bottom w:val="nil"/>
            </w:tcBorders>
          </w:tcPr>
          <w:p w14:paraId="789A6F2D">
            <w:pPr>
              <w:keepNext w:val="0"/>
              <w:keepLines w:val="0"/>
              <w:pageBreakBefore w:val="0"/>
              <w:widowControl/>
              <w:kinsoku w:val="0"/>
              <w:wordWrap/>
              <w:overflowPunct/>
              <w:topLinePunct w:val="0"/>
              <w:autoSpaceDE w:val="0"/>
              <w:autoSpaceDN w:val="0"/>
              <w:bidi w:val="0"/>
              <w:adjustRightInd w:val="0"/>
              <w:snapToGrid w:val="0"/>
              <w:spacing w:before="271" w:line="440" w:lineRule="exact"/>
              <w:ind w:left="59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5"/>
                <w:sz w:val="17"/>
                <w:szCs w:val="17"/>
                <w:highlight w:val="none"/>
                <w14:textOutline w14:w="3289" w14:cap="flat" w14:cmpd="sng" w14:algn="ctr">
                  <w14:solidFill>
                    <w14:srgbClr w14:val="000000"/>
                  </w14:solidFill>
                  <w14:prstDash w14:val="solid"/>
                  <w14:miter w14:val="0"/>
                </w14:textOutline>
              </w:rPr>
              <w:t>邮政业</w:t>
            </w:r>
          </w:p>
        </w:tc>
        <w:tc>
          <w:tcPr>
            <w:tcW w:w="1558" w:type="dxa"/>
          </w:tcPr>
          <w:p w14:paraId="723B61A2">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6"/>
                <w:sz w:val="17"/>
                <w:szCs w:val="17"/>
                <w:highlight w:val="none"/>
              </w:rPr>
              <w:t>从业人员（X）</w:t>
            </w:r>
          </w:p>
        </w:tc>
        <w:tc>
          <w:tcPr>
            <w:tcW w:w="736" w:type="dxa"/>
          </w:tcPr>
          <w:p w14:paraId="50BB053D">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2"/>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人</w:t>
            </w:r>
          </w:p>
        </w:tc>
        <w:tc>
          <w:tcPr>
            <w:tcW w:w="2135" w:type="dxa"/>
          </w:tcPr>
          <w:p w14:paraId="494C4C26">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300≤X＜1000</w:t>
            </w:r>
          </w:p>
        </w:tc>
        <w:tc>
          <w:tcPr>
            <w:tcW w:w="1874" w:type="dxa"/>
          </w:tcPr>
          <w:p w14:paraId="6F7189B8">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9"/>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20≤X＜300</w:t>
            </w:r>
          </w:p>
        </w:tc>
        <w:tc>
          <w:tcPr>
            <w:tcW w:w="1442" w:type="dxa"/>
          </w:tcPr>
          <w:p w14:paraId="1A13CA2F">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X＜20</w:t>
            </w:r>
          </w:p>
        </w:tc>
      </w:tr>
      <w:tr w14:paraId="22C4A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continue"/>
            <w:tcBorders>
              <w:top w:val="nil"/>
            </w:tcBorders>
          </w:tcPr>
          <w:p w14:paraId="0F0B9A1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tc>
        <w:tc>
          <w:tcPr>
            <w:tcW w:w="1558" w:type="dxa"/>
          </w:tcPr>
          <w:p w14:paraId="38854D4D">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5"/>
                <w:sz w:val="17"/>
                <w:szCs w:val="17"/>
                <w:highlight w:val="none"/>
              </w:rPr>
              <w:t>营业收入（Y）</w:t>
            </w:r>
          </w:p>
        </w:tc>
        <w:tc>
          <w:tcPr>
            <w:tcW w:w="736" w:type="dxa"/>
          </w:tcPr>
          <w:p w14:paraId="6F8BD6DE">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万元</w:t>
            </w:r>
          </w:p>
        </w:tc>
        <w:tc>
          <w:tcPr>
            <w:tcW w:w="2135" w:type="dxa"/>
          </w:tcPr>
          <w:p w14:paraId="5CDECF40">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18"/>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2000≤Y＜30000</w:t>
            </w:r>
          </w:p>
        </w:tc>
        <w:tc>
          <w:tcPr>
            <w:tcW w:w="1874" w:type="dxa"/>
          </w:tcPr>
          <w:p w14:paraId="42876F87">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2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100≤Y＜2000</w:t>
            </w:r>
          </w:p>
        </w:tc>
        <w:tc>
          <w:tcPr>
            <w:tcW w:w="1442" w:type="dxa"/>
          </w:tcPr>
          <w:p w14:paraId="43CB14E6">
            <w:pPr>
              <w:keepNext w:val="0"/>
              <w:keepLines w:val="0"/>
              <w:pageBreakBefore w:val="0"/>
              <w:widowControl/>
              <w:kinsoku w:val="0"/>
              <w:wordWrap/>
              <w:overflowPunct/>
              <w:topLinePunct w:val="0"/>
              <w:autoSpaceDE w:val="0"/>
              <w:autoSpaceDN w:val="0"/>
              <w:bidi w:val="0"/>
              <w:adjustRightInd w:val="0"/>
              <w:snapToGrid w:val="0"/>
              <w:spacing w:before="27"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Y＜100</w:t>
            </w:r>
          </w:p>
        </w:tc>
      </w:tr>
      <w:tr w14:paraId="15742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tcPr>
          <w:p w14:paraId="661370DA">
            <w:pPr>
              <w:keepNext w:val="0"/>
              <w:keepLines w:val="0"/>
              <w:pageBreakBefore w:val="0"/>
              <w:widowControl/>
              <w:kinsoku w:val="0"/>
              <w:wordWrap/>
              <w:overflowPunct/>
              <w:topLinePunct w:val="0"/>
              <w:autoSpaceDE w:val="0"/>
              <w:autoSpaceDN w:val="0"/>
              <w:bidi w:val="0"/>
              <w:adjustRightInd w:val="0"/>
              <w:snapToGrid w:val="0"/>
              <w:spacing w:before="271" w:line="440" w:lineRule="exact"/>
              <w:ind w:left="591"/>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7"/>
                <w:sz w:val="17"/>
                <w:szCs w:val="17"/>
                <w:highlight w:val="none"/>
                <w14:textOutline w14:w="3289" w14:cap="flat" w14:cmpd="sng" w14:algn="ctr">
                  <w14:solidFill>
                    <w14:srgbClr w14:val="000000"/>
                  </w14:solidFill>
                  <w14:prstDash w14:val="solid"/>
                  <w14:miter w14:val="0"/>
                </w14:textOutline>
              </w:rPr>
              <w:t>住宿业</w:t>
            </w:r>
          </w:p>
        </w:tc>
        <w:tc>
          <w:tcPr>
            <w:tcW w:w="1558" w:type="dxa"/>
          </w:tcPr>
          <w:p w14:paraId="47978B90">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6"/>
                <w:sz w:val="17"/>
                <w:szCs w:val="17"/>
                <w:highlight w:val="none"/>
              </w:rPr>
              <w:t>从业人员（X）</w:t>
            </w:r>
          </w:p>
        </w:tc>
        <w:tc>
          <w:tcPr>
            <w:tcW w:w="736" w:type="dxa"/>
          </w:tcPr>
          <w:p w14:paraId="492A20D1">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12"/>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人</w:t>
            </w:r>
          </w:p>
        </w:tc>
        <w:tc>
          <w:tcPr>
            <w:tcW w:w="2135" w:type="dxa"/>
          </w:tcPr>
          <w:p w14:paraId="023FFCA6">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100≤X＜300</w:t>
            </w:r>
          </w:p>
        </w:tc>
        <w:tc>
          <w:tcPr>
            <w:tcW w:w="1874" w:type="dxa"/>
          </w:tcPr>
          <w:p w14:paraId="566831D1">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10≤X＜100</w:t>
            </w:r>
          </w:p>
        </w:tc>
        <w:tc>
          <w:tcPr>
            <w:tcW w:w="1442" w:type="dxa"/>
          </w:tcPr>
          <w:p w14:paraId="39994F5F">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X＜10</w:t>
            </w:r>
          </w:p>
        </w:tc>
      </w:tr>
      <w:tr w14:paraId="4CDA1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continue"/>
            <w:tcBorders>
              <w:top w:val="nil"/>
            </w:tcBorders>
          </w:tcPr>
          <w:p w14:paraId="07275EC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tc>
        <w:tc>
          <w:tcPr>
            <w:tcW w:w="1558" w:type="dxa"/>
          </w:tcPr>
          <w:p w14:paraId="02B07ABE">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5"/>
                <w:sz w:val="17"/>
                <w:szCs w:val="17"/>
                <w:highlight w:val="none"/>
              </w:rPr>
              <w:t>营业收入（Y）</w:t>
            </w:r>
          </w:p>
        </w:tc>
        <w:tc>
          <w:tcPr>
            <w:tcW w:w="736" w:type="dxa"/>
          </w:tcPr>
          <w:p w14:paraId="579C07C8">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万元</w:t>
            </w:r>
          </w:p>
        </w:tc>
        <w:tc>
          <w:tcPr>
            <w:tcW w:w="2135" w:type="dxa"/>
          </w:tcPr>
          <w:p w14:paraId="4A4974E1">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8"/>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2000≤Y＜10000</w:t>
            </w:r>
          </w:p>
        </w:tc>
        <w:tc>
          <w:tcPr>
            <w:tcW w:w="1874" w:type="dxa"/>
          </w:tcPr>
          <w:p w14:paraId="5B2547E0">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100≤Y＜2000</w:t>
            </w:r>
          </w:p>
        </w:tc>
        <w:tc>
          <w:tcPr>
            <w:tcW w:w="1442" w:type="dxa"/>
          </w:tcPr>
          <w:p w14:paraId="2D47279A">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Y＜100</w:t>
            </w:r>
          </w:p>
        </w:tc>
      </w:tr>
      <w:tr w14:paraId="7D9C2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tcPr>
          <w:p w14:paraId="5C5115E2">
            <w:pPr>
              <w:keepNext w:val="0"/>
              <w:keepLines w:val="0"/>
              <w:pageBreakBefore w:val="0"/>
              <w:widowControl/>
              <w:kinsoku w:val="0"/>
              <w:wordWrap/>
              <w:overflowPunct/>
              <w:topLinePunct w:val="0"/>
              <w:autoSpaceDE w:val="0"/>
              <w:autoSpaceDN w:val="0"/>
              <w:bidi w:val="0"/>
              <w:adjustRightInd w:val="0"/>
              <w:snapToGrid w:val="0"/>
              <w:spacing w:before="270" w:line="440" w:lineRule="exact"/>
              <w:ind w:left="586"/>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8"/>
                <w:sz w:val="17"/>
                <w:szCs w:val="17"/>
                <w:highlight w:val="none"/>
                <w14:textOutline w14:w="3289" w14:cap="flat" w14:cmpd="sng" w14:algn="ctr">
                  <w14:solidFill>
                    <w14:srgbClr w14:val="000000"/>
                  </w14:solidFill>
                  <w14:prstDash w14:val="solid"/>
                  <w14:miter w14:val="0"/>
                </w14:textOutline>
              </w:rPr>
              <w:t>餐饮业</w:t>
            </w:r>
          </w:p>
        </w:tc>
        <w:tc>
          <w:tcPr>
            <w:tcW w:w="1558" w:type="dxa"/>
          </w:tcPr>
          <w:p w14:paraId="3F4D3828">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6"/>
                <w:sz w:val="17"/>
                <w:szCs w:val="17"/>
                <w:highlight w:val="none"/>
              </w:rPr>
              <w:t>从业人员（X）</w:t>
            </w:r>
          </w:p>
        </w:tc>
        <w:tc>
          <w:tcPr>
            <w:tcW w:w="736" w:type="dxa"/>
          </w:tcPr>
          <w:p w14:paraId="7F65207C">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12"/>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人</w:t>
            </w:r>
          </w:p>
        </w:tc>
        <w:tc>
          <w:tcPr>
            <w:tcW w:w="2135" w:type="dxa"/>
          </w:tcPr>
          <w:p w14:paraId="14AC4090">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100≤X＜300</w:t>
            </w:r>
          </w:p>
        </w:tc>
        <w:tc>
          <w:tcPr>
            <w:tcW w:w="1874" w:type="dxa"/>
          </w:tcPr>
          <w:p w14:paraId="5C33CE6C">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2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10≤X＜100</w:t>
            </w:r>
          </w:p>
        </w:tc>
        <w:tc>
          <w:tcPr>
            <w:tcW w:w="1442" w:type="dxa"/>
          </w:tcPr>
          <w:p w14:paraId="237B9E55">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X＜10</w:t>
            </w:r>
          </w:p>
        </w:tc>
      </w:tr>
      <w:tr w14:paraId="51FB2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5" w:type="dxa"/>
            <w:vMerge w:val="continue"/>
            <w:tcBorders>
              <w:top w:val="nil"/>
            </w:tcBorders>
          </w:tcPr>
          <w:p w14:paraId="0BF5E0B6">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tc>
        <w:tc>
          <w:tcPr>
            <w:tcW w:w="1558" w:type="dxa"/>
          </w:tcPr>
          <w:p w14:paraId="7050F71E">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5"/>
                <w:sz w:val="17"/>
                <w:szCs w:val="17"/>
                <w:highlight w:val="none"/>
              </w:rPr>
              <w:t>营业收入（Y）</w:t>
            </w:r>
          </w:p>
        </w:tc>
        <w:tc>
          <w:tcPr>
            <w:tcW w:w="736" w:type="dxa"/>
          </w:tcPr>
          <w:p w14:paraId="07DBAB41">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万元</w:t>
            </w:r>
          </w:p>
        </w:tc>
        <w:tc>
          <w:tcPr>
            <w:tcW w:w="2135" w:type="dxa"/>
          </w:tcPr>
          <w:p w14:paraId="44A6526C">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18"/>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2000≤Y＜10000</w:t>
            </w:r>
          </w:p>
        </w:tc>
        <w:tc>
          <w:tcPr>
            <w:tcW w:w="1874" w:type="dxa"/>
          </w:tcPr>
          <w:p w14:paraId="49ABB948">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100≤Y＜2000</w:t>
            </w:r>
          </w:p>
        </w:tc>
        <w:tc>
          <w:tcPr>
            <w:tcW w:w="1442" w:type="dxa"/>
          </w:tcPr>
          <w:p w14:paraId="2816558B">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Y＜100</w:t>
            </w:r>
          </w:p>
        </w:tc>
      </w:tr>
      <w:tr w14:paraId="289F5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tcPr>
          <w:p w14:paraId="300E88EB">
            <w:pPr>
              <w:keepNext w:val="0"/>
              <w:keepLines w:val="0"/>
              <w:pageBreakBefore w:val="0"/>
              <w:widowControl/>
              <w:kinsoku w:val="0"/>
              <w:wordWrap/>
              <w:overflowPunct/>
              <w:topLinePunct w:val="0"/>
              <w:autoSpaceDE w:val="0"/>
              <w:autoSpaceDN w:val="0"/>
              <w:bidi w:val="0"/>
              <w:adjustRightInd w:val="0"/>
              <w:snapToGrid w:val="0"/>
              <w:spacing w:before="270" w:line="440" w:lineRule="exact"/>
              <w:ind w:left="402"/>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0"/>
                <w:sz w:val="17"/>
                <w:szCs w:val="17"/>
                <w:highlight w:val="none"/>
                <w14:textOutline w14:w="3289" w14:cap="flat" w14:cmpd="sng" w14:algn="ctr">
                  <w14:solidFill>
                    <w14:srgbClr w14:val="000000"/>
                  </w14:solidFill>
                  <w14:prstDash w14:val="solid"/>
                  <w14:miter w14:val="0"/>
                </w14:textOutline>
              </w:rPr>
              <w:t>信息传输业</w:t>
            </w:r>
          </w:p>
        </w:tc>
        <w:tc>
          <w:tcPr>
            <w:tcW w:w="1558" w:type="dxa"/>
          </w:tcPr>
          <w:p w14:paraId="00D37C70">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6"/>
                <w:sz w:val="17"/>
                <w:szCs w:val="17"/>
                <w:highlight w:val="none"/>
              </w:rPr>
              <w:t>从业人员（X）</w:t>
            </w:r>
          </w:p>
        </w:tc>
        <w:tc>
          <w:tcPr>
            <w:tcW w:w="736" w:type="dxa"/>
          </w:tcPr>
          <w:p w14:paraId="53F36F4A">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2"/>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人</w:t>
            </w:r>
          </w:p>
        </w:tc>
        <w:tc>
          <w:tcPr>
            <w:tcW w:w="2135" w:type="dxa"/>
          </w:tcPr>
          <w:p w14:paraId="02857105">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100≤X＜2000</w:t>
            </w:r>
          </w:p>
        </w:tc>
        <w:tc>
          <w:tcPr>
            <w:tcW w:w="1874" w:type="dxa"/>
          </w:tcPr>
          <w:p w14:paraId="134A0D47">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10≤X＜100</w:t>
            </w:r>
          </w:p>
        </w:tc>
        <w:tc>
          <w:tcPr>
            <w:tcW w:w="1442" w:type="dxa"/>
          </w:tcPr>
          <w:p w14:paraId="3934493E">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X＜10</w:t>
            </w:r>
          </w:p>
        </w:tc>
      </w:tr>
      <w:tr w14:paraId="7AAFE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5" w:type="dxa"/>
            <w:vMerge w:val="continue"/>
            <w:tcBorders>
              <w:top w:val="nil"/>
            </w:tcBorders>
          </w:tcPr>
          <w:p w14:paraId="1762B4F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tc>
        <w:tc>
          <w:tcPr>
            <w:tcW w:w="1558" w:type="dxa"/>
          </w:tcPr>
          <w:p w14:paraId="3F9D7464">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5"/>
                <w:sz w:val="17"/>
                <w:szCs w:val="17"/>
                <w:highlight w:val="none"/>
              </w:rPr>
              <w:t>营业收入（Y）</w:t>
            </w:r>
          </w:p>
        </w:tc>
        <w:tc>
          <w:tcPr>
            <w:tcW w:w="736" w:type="dxa"/>
          </w:tcPr>
          <w:p w14:paraId="42CBBBB0">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万元</w:t>
            </w:r>
          </w:p>
        </w:tc>
        <w:tc>
          <w:tcPr>
            <w:tcW w:w="2135" w:type="dxa"/>
          </w:tcPr>
          <w:p w14:paraId="067CB9FD">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1000≤Y＜100000</w:t>
            </w:r>
          </w:p>
        </w:tc>
        <w:tc>
          <w:tcPr>
            <w:tcW w:w="1874" w:type="dxa"/>
          </w:tcPr>
          <w:p w14:paraId="79AB306F">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100≤Y＜1000</w:t>
            </w:r>
          </w:p>
        </w:tc>
        <w:tc>
          <w:tcPr>
            <w:tcW w:w="1442" w:type="dxa"/>
          </w:tcPr>
          <w:p w14:paraId="01313D77">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Y＜100</w:t>
            </w:r>
          </w:p>
        </w:tc>
      </w:tr>
      <w:tr w14:paraId="0A8CF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tcPr>
          <w:p w14:paraId="2D865954">
            <w:pPr>
              <w:keepNext w:val="0"/>
              <w:keepLines w:val="0"/>
              <w:pageBreakBefore w:val="0"/>
              <w:widowControl/>
              <w:kinsoku w:val="0"/>
              <w:wordWrap/>
              <w:overflowPunct/>
              <w:topLinePunct w:val="0"/>
              <w:autoSpaceDE w:val="0"/>
              <w:autoSpaceDN w:val="0"/>
              <w:bidi w:val="0"/>
              <w:adjustRightInd w:val="0"/>
              <w:snapToGrid w:val="0"/>
              <w:spacing w:before="38" w:line="440" w:lineRule="exact"/>
              <w:ind w:left="679" w:right="125" w:hanging="538"/>
              <w:textAlignment w:val="baseline"/>
              <w:rPr>
                <w:rFonts w:hint="eastAsia" w:ascii="仿宋" w:hAnsi="仿宋" w:eastAsia="仿宋" w:cs="仿宋"/>
                <w:color w:val="auto"/>
                <w:sz w:val="17"/>
                <w:szCs w:val="17"/>
                <w:highlight w:val="none"/>
                <w:lang w:eastAsia="zh-CN"/>
              </w:rPr>
            </w:pPr>
            <w:r>
              <w:rPr>
                <w:rFonts w:hint="eastAsia" w:ascii="仿宋" w:hAnsi="仿宋" w:eastAsia="仿宋" w:cs="仿宋"/>
                <w:color w:val="auto"/>
                <w:spacing w:val="9"/>
                <w:sz w:val="17"/>
                <w:szCs w:val="17"/>
                <w:highlight w:val="none"/>
                <w:lang w:eastAsia="zh-CN"/>
                <w14:textOutline w14:w="3289" w14:cap="flat" w14:cmpd="sng" w14:algn="ctr">
                  <w14:solidFill>
                    <w14:srgbClr w14:val="000000"/>
                  </w14:solidFill>
                  <w14:prstDash w14:val="solid"/>
                  <w14:miter w14:val="0"/>
                </w14:textOutline>
              </w:rPr>
              <w:t>软件和信息技术服</w:t>
            </w:r>
            <w:r>
              <w:rPr>
                <w:rFonts w:hint="eastAsia" w:ascii="仿宋" w:hAnsi="仿宋" w:eastAsia="仿宋" w:cs="仿宋"/>
                <w:color w:val="auto"/>
                <w:sz w:val="17"/>
                <w:szCs w:val="17"/>
                <w:highlight w:val="none"/>
                <w:lang w:eastAsia="zh-CN"/>
              </w:rPr>
              <w:t xml:space="preserve"> </w:t>
            </w:r>
            <w:r>
              <w:rPr>
                <w:rFonts w:hint="eastAsia" w:ascii="仿宋" w:hAnsi="仿宋" w:eastAsia="仿宋" w:cs="仿宋"/>
                <w:color w:val="auto"/>
                <w:spacing w:val="4"/>
                <w:sz w:val="17"/>
                <w:szCs w:val="17"/>
                <w:highlight w:val="none"/>
                <w:lang w:eastAsia="zh-CN"/>
                <w14:textOutline w14:w="3289" w14:cap="flat" w14:cmpd="sng" w14:algn="ctr">
                  <w14:solidFill>
                    <w14:srgbClr w14:val="000000"/>
                  </w14:solidFill>
                  <w14:prstDash w14:val="solid"/>
                  <w14:miter w14:val="0"/>
                </w14:textOutline>
              </w:rPr>
              <w:t>务业</w:t>
            </w:r>
          </w:p>
        </w:tc>
        <w:tc>
          <w:tcPr>
            <w:tcW w:w="1558" w:type="dxa"/>
          </w:tcPr>
          <w:p w14:paraId="26B46530">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6"/>
                <w:sz w:val="17"/>
                <w:szCs w:val="17"/>
                <w:highlight w:val="none"/>
              </w:rPr>
              <w:t>从业人员（X）</w:t>
            </w:r>
          </w:p>
        </w:tc>
        <w:tc>
          <w:tcPr>
            <w:tcW w:w="736" w:type="dxa"/>
          </w:tcPr>
          <w:p w14:paraId="5239DD31">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2"/>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人</w:t>
            </w:r>
          </w:p>
        </w:tc>
        <w:tc>
          <w:tcPr>
            <w:tcW w:w="2135" w:type="dxa"/>
          </w:tcPr>
          <w:p w14:paraId="703A0CA6">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100≤X＜300</w:t>
            </w:r>
          </w:p>
        </w:tc>
        <w:tc>
          <w:tcPr>
            <w:tcW w:w="1874" w:type="dxa"/>
          </w:tcPr>
          <w:p w14:paraId="5781DA82">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2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10≤X＜100</w:t>
            </w:r>
          </w:p>
        </w:tc>
        <w:tc>
          <w:tcPr>
            <w:tcW w:w="1442" w:type="dxa"/>
          </w:tcPr>
          <w:p w14:paraId="64B251C8">
            <w:pPr>
              <w:keepNext w:val="0"/>
              <w:keepLines w:val="0"/>
              <w:pageBreakBefore w:val="0"/>
              <w:widowControl/>
              <w:kinsoku w:val="0"/>
              <w:wordWrap/>
              <w:overflowPunct/>
              <w:topLinePunct w:val="0"/>
              <w:autoSpaceDE w:val="0"/>
              <w:autoSpaceDN w:val="0"/>
              <w:bidi w:val="0"/>
              <w:adjustRightInd w:val="0"/>
              <w:snapToGrid w:val="0"/>
              <w:spacing w:before="28"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X＜10</w:t>
            </w:r>
          </w:p>
        </w:tc>
      </w:tr>
      <w:tr w14:paraId="3A7B2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continue"/>
            <w:tcBorders>
              <w:top w:val="nil"/>
            </w:tcBorders>
          </w:tcPr>
          <w:p w14:paraId="4F384A09">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tc>
        <w:tc>
          <w:tcPr>
            <w:tcW w:w="1558" w:type="dxa"/>
          </w:tcPr>
          <w:p w14:paraId="4A81EE9D">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5"/>
                <w:sz w:val="17"/>
                <w:szCs w:val="17"/>
                <w:highlight w:val="none"/>
              </w:rPr>
              <w:t>营业收入（Y）</w:t>
            </w:r>
          </w:p>
        </w:tc>
        <w:tc>
          <w:tcPr>
            <w:tcW w:w="736" w:type="dxa"/>
          </w:tcPr>
          <w:p w14:paraId="33307D0B">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万元</w:t>
            </w:r>
          </w:p>
        </w:tc>
        <w:tc>
          <w:tcPr>
            <w:tcW w:w="2135" w:type="dxa"/>
          </w:tcPr>
          <w:p w14:paraId="0345F6E0">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1000≤Y＜10000</w:t>
            </w:r>
          </w:p>
        </w:tc>
        <w:tc>
          <w:tcPr>
            <w:tcW w:w="1874" w:type="dxa"/>
          </w:tcPr>
          <w:p w14:paraId="6653CAE3">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21"/>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50≤Y＜1000</w:t>
            </w:r>
          </w:p>
        </w:tc>
        <w:tc>
          <w:tcPr>
            <w:tcW w:w="1442" w:type="dxa"/>
          </w:tcPr>
          <w:p w14:paraId="1C063C80">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Y＜50</w:t>
            </w:r>
          </w:p>
        </w:tc>
      </w:tr>
      <w:tr w14:paraId="28098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tcPr>
          <w:p w14:paraId="133CB842">
            <w:pPr>
              <w:keepNext w:val="0"/>
              <w:keepLines w:val="0"/>
              <w:pageBreakBefore w:val="0"/>
              <w:widowControl/>
              <w:kinsoku w:val="0"/>
              <w:wordWrap/>
              <w:overflowPunct/>
              <w:topLinePunct w:val="0"/>
              <w:autoSpaceDE w:val="0"/>
              <w:autoSpaceDN w:val="0"/>
              <w:bidi w:val="0"/>
              <w:adjustRightInd w:val="0"/>
              <w:snapToGrid w:val="0"/>
              <w:spacing w:before="271" w:line="440" w:lineRule="exact"/>
              <w:ind w:left="231"/>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9"/>
                <w:sz w:val="17"/>
                <w:szCs w:val="17"/>
                <w:highlight w:val="none"/>
                <w14:textOutline w14:w="3289" w14:cap="flat" w14:cmpd="sng" w14:algn="ctr">
                  <w14:solidFill>
                    <w14:srgbClr w14:val="000000"/>
                  </w14:solidFill>
                  <w14:prstDash w14:val="solid"/>
                  <w14:miter w14:val="0"/>
                </w14:textOutline>
              </w:rPr>
              <w:t>房地产开发经营</w:t>
            </w:r>
          </w:p>
        </w:tc>
        <w:tc>
          <w:tcPr>
            <w:tcW w:w="1558" w:type="dxa"/>
          </w:tcPr>
          <w:p w14:paraId="3016E782">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5"/>
                <w:sz w:val="17"/>
                <w:szCs w:val="17"/>
                <w:highlight w:val="none"/>
              </w:rPr>
              <w:t>营业收入（Y）</w:t>
            </w:r>
          </w:p>
        </w:tc>
        <w:tc>
          <w:tcPr>
            <w:tcW w:w="736" w:type="dxa"/>
          </w:tcPr>
          <w:p w14:paraId="35C65168">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万元</w:t>
            </w:r>
          </w:p>
        </w:tc>
        <w:tc>
          <w:tcPr>
            <w:tcW w:w="2135" w:type="dxa"/>
          </w:tcPr>
          <w:p w14:paraId="3B87DDA0">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1000≤Y＜200000</w:t>
            </w:r>
          </w:p>
        </w:tc>
        <w:tc>
          <w:tcPr>
            <w:tcW w:w="1874" w:type="dxa"/>
          </w:tcPr>
          <w:p w14:paraId="435A2773">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2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100≤X＜1000</w:t>
            </w:r>
          </w:p>
        </w:tc>
        <w:tc>
          <w:tcPr>
            <w:tcW w:w="1442" w:type="dxa"/>
          </w:tcPr>
          <w:p w14:paraId="0E511F0C">
            <w:pPr>
              <w:keepNext w:val="0"/>
              <w:keepLines w:val="0"/>
              <w:pageBreakBefore w:val="0"/>
              <w:widowControl/>
              <w:kinsoku w:val="0"/>
              <w:wordWrap/>
              <w:overflowPunct/>
              <w:topLinePunct w:val="0"/>
              <w:autoSpaceDE w:val="0"/>
              <w:autoSpaceDN w:val="0"/>
              <w:bidi w:val="0"/>
              <w:adjustRightInd w:val="0"/>
              <w:snapToGrid w:val="0"/>
              <w:spacing w:before="29"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X＜100</w:t>
            </w:r>
          </w:p>
        </w:tc>
      </w:tr>
      <w:tr w14:paraId="28B36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continue"/>
            <w:tcBorders>
              <w:top w:val="nil"/>
            </w:tcBorders>
          </w:tcPr>
          <w:p w14:paraId="45799FD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tc>
        <w:tc>
          <w:tcPr>
            <w:tcW w:w="1558" w:type="dxa"/>
          </w:tcPr>
          <w:p w14:paraId="05A7E931">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19"/>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6"/>
                <w:sz w:val="17"/>
                <w:szCs w:val="17"/>
                <w:highlight w:val="none"/>
              </w:rPr>
              <w:t>资产总额（Z）</w:t>
            </w:r>
          </w:p>
        </w:tc>
        <w:tc>
          <w:tcPr>
            <w:tcW w:w="736" w:type="dxa"/>
          </w:tcPr>
          <w:p w14:paraId="334A837E">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万元</w:t>
            </w:r>
          </w:p>
        </w:tc>
        <w:tc>
          <w:tcPr>
            <w:tcW w:w="2135" w:type="dxa"/>
          </w:tcPr>
          <w:p w14:paraId="2A35E4C6">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5000≤Z＜10000</w:t>
            </w:r>
          </w:p>
        </w:tc>
        <w:tc>
          <w:tcPr>
            <w:tcW w:w="1874" w:type="dxa"/>
          </w:tcPr>
          <w:p w14:paraId="389A535E">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19"/>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2000≤Y＜5000</w:t>
            </w:r>
          </w:p>
        </w:tc>
        <w:tc>
          <w:tcPr>
            <w:tcW w:w="1442" w:type="dxa"/>
          </w:tcPr>
          <w:p w14:paraId="7878D798">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Y＜2000</w:t>
            </w:r>
          </w:p>
        </w:tc>
      </w:tr>
      <w:tr w14:paraId="4F7EB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restart"/>
            <w:tcBorders>
              <w:bottom w:val="nil"/>
            </w:tcBorders>
          </w:tcPr>
          <w:p w14:paraId="038BD2FC">
            <w:pPr>
              <w:keepNext w:val="0"/>
              <w:keepLines w:val="0"/>
              <w:pageBreakBefore w:val="0"/>
              <w:widowControl/>
              <w:kinsoku w:val="0"/>
              <w:wordWrap/>
              <w:overflowPunct/>
              <w:topLinePunct w:val="0"/>
              <w:autoSpaceDE w:val="0"/>
              <w:autoSpaceDN w:val="0"/>
              <w:bidi w:val="0"/>
              <w:adjustRightInd w:val="0"/>
              <w:snapToGrid w:val="0"/>
              <w:spacing w:before="152" w:line="440" w:lineRule="exact"/>
              <w:ind w:left="501"/>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7"/>
                <w:sz w:val="17"/>
                <w:szCs w:val="17"/>
                <w:highlight w:val="none"/>
                <w14:textOutline w14:w="3289" w14:cap="flat" w14:cmpd="sng" w14:algn="ctr">
                  <w14:solidFill>
                    <w14:srgbClr w14:val="000000"/>
                  </w14:solidFill>
                  <w14:prstDash w14:val="solid"/>
                  <w14:miter w14:val="0"/>
                </w14:textOutline>
              </w:rPr>
              <w:t>物业管理</w:t>
            </w:r>
          </w:p>
        </w:tc>
        <w:tc>
          <w:tcPr>
            <w:tcW w:w="1558" w:type="dxa"/>
          </w:tcPr>
          <w:p w14:paraId="2190DCAD">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6"/>
                <w:sz w:val="17"/>
                <w:szCs w:val="17"/>
                <w:highlight w:val="none"/>
              </w:rPr>
              <w:t>从业人员（X）</w:t>
            </w:r>
          </w:p>
        </w:tc>
        <w:tc>
          <w:tcPr>
            <w:tcW w:w="736" w:type="dxa"/>
          </w:tcPr>
          <w:p w14:paraId="1396A27D">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12"/>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人</w:t>
            </w:r>
          </w:p>
        </w:tc>
        <w:tc>
          <w:tcPr>
            <w:tcW w:w="2135" w:type="dxa"/>
          </w:tcPr>
          <w:p w14:paraId="77608F96">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2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300≤X＜1000</w:t>
            </w:r>
          </w:p>
        </w:tc>
        <w:tc>
          <w:tcPr>
            <w:tcW w:w="1874" w:type="dxa"/>
          </w:tcPr>
          <w:p w14:paraId="70806A34">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2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100≤X＜300</w:t>
            </w:r>
          </w:p>
        </w:tc>
        <w:tc>
          <w:tcPr>
            <w:tcW w:w="1442" w:type="dxa"/>
          </w:tcPr>
          <w:p w14:paraId="4279FA1D">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X＜100</w:t>
            </w:r>
          </w:p>
        </w:tc>
      </w:tr>
      <w:tr w14:paraId="090AD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continue"/>
            <w:tcBorders>
              <w:top w:val="nil"/>
            </w:tcBorders>
          </w:tcPr>
          <w:p w14:paraId="608974A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tc>
        <w:tc>
          <w:tcPr>
            <w:tcW w:w="1558" w:type="dxa"/>
          </w:tcPr>
          <w:p w14:paraId="6B8B06F9">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5"/>
                <w:sz w:val="17"/>
                <w:szCs w:val="17"/>
                <w:highlight w:val="none"/>
              </w:rPr>
              <w:t>营业收入（Y）</w:t>
            </w:r>
          </w:p>
        </w:tc>
        <w:tc>
          <w:tcPr>
            <w:tcW w:w="736" w:type="dxa"/>
          </w:tcPr>
          <w:p w14:paraId="36859C86">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万元</w:t>
            </w:r>
          </w:p>
        </w:tc>
        <w:tc>
          <w:tcPr>
            <w:tcW w:w="2135" w:type="dxa"/>
          </w:tcPr>
          <w:p w14:paraId="488FB782">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1000≤Y＜5000</w:t>
            </w:r>
          </w:p>
        </w:tc>
        <w:tc>
          <w:tcPr>
            <w:tcW w:w="1874" w:type="dxa"/>
          </w:tcPr>
          <w:p w14:paraId="621F7832">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21"/>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500≤Y＜1000</w:t>
            </w:r>
          </w:p>
        </w:tc>
        <w:tc>
          <w:tcPr>
            <w:tcW w:w="1442" w:type="dxa"/>
          </w:tcPr>
          <w:p w14:paraId="0850A544">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Y＜500</w:t>
            </w:r>
          </w:p>
        </w:tc>
      </w:tr>
      <w:tr w14:paraId="1DF2F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705" w:type="dxa"/>
            <w:vMerge w:val="restart"/>
            <w:tcBorders>
              <w:bottom w:val="nil"/>
            </w:tcBorders>
          </w:tcPr>
          <w:p w14:paraId="0CA3ADF4">
            <w:pPr>
              <w:keepNext w:val="0"/>
              <w:keepLines w:val="0"/>
              <w:pageBreakBefore w:val="0"/>
              <w:widowControl/>
              <w:kinsoku w:val="0"/>
              <w:wordWrap/>
              <w:overflowPunct/>
              <w:topLinePunct w:val="0"/>
              <w:autoSpaceDE w:val="0"/>
              <w:autoSpaceDN w:val="0"/>
              <w:bidi w:val="0"/>
              <w:adjustRightInd w:val="0"/>
              <w:snapToGrid w:val="0"/>
              <w:spacing w:before="154" w:line="440" w:lineRule="exact"/>
              <w:ind w:left="14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9"/>
                <w:sz w:val="17"/>
                <w:szCs w:val="17"/>
                <w:highlight w:val="none"/>
                <w14:textOutline w14:w="3289" w14:cap="flat" w14:cmpd="sng" w14:algn="ctr">
                  <w14:solidFill>
                    <w14:srgbClr w14:val="000000"/>
                  </w14:solidFill>
                  <w14:prstDash w14:val="solid"/>
                  <w14:miter w14:val="0"/>
                </w14:textOutline>
              </w:rPr>
              <w:t>租赁和商务服务业</w:t>
            </w:r>
          </w:p>
        </w:tc>
        <w:tc>
          <w:tcPr>
            <w:tcW w:w="1558" w:type="dxa"/>
          </w:tcPr>
          <w:p w14:paraId="1094E5B4">
            <w:pPr>
              <w:keepNext w:val="0"/>
              <w:keepLines w:val="0"/>
              <w:pageBreakBefore w:val="0"/>
              <w:widowControl/>
              <w:kinsoku w:val="0"/>
              <w:wordWrap/>
              <w:overflowPunct/>
              <w:topLinePunct w:val="0"/>
              <w:autoSpaceDE w:val="0"/>
              <w:autoSpaceDN w:val="0"/>
              <w:bidi w:val="0"/>
              <w:adjustRightInd w:val="0"/>
              <w:snapToGrid w:val="0"/>
              <w:spacing w:before="31"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6"/>
                <w:sz w:val="17"/>
                <w:szCs w:val="17"/>
                <w:highlight w:val="none"/>
              </w:rPr>
              <w:t>从业人员（X）</w:t>
            </w:r>
          </w:p>
        </w:tc>
        <w:tc>
          <w:tcPr>
            <w:tcW w:w="736" w:type="dxa"/>
          </w:tcPr>
          <w:p w14:paraId="5D99524B">
            <w:pPr>
              <w:keepNext w:val="0"/>
              <w:keepLines w:val="0"/>
              <w:pageBreakBefore w:val="0"/>
              <w:widowControl/>
              <w:kinsoku w:val="0"/>
              <w:wordWrap/>
              <w:overflowPunct/>
              <w:topLinePunct w:val="0"/>
              <w:autoSpaceDE w:val="0"/>
              <w:autoSpaceDN w:val="0"/>
              <w:bidi w:val="0"/>
              <w:adjustRightInd w:val="0"/>
              <w:snapToGrid w:val="0"/>
              <w:spacing w:before="31" w:line="440" w:lineRule="exact"/>
              <w:ind w:left="112"/>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人</w:t>
            </w:r>
          </w:p>
        </w:tc>
        <w:tc>
          <w:tcPr>
            <w:tcW w:w="2135" w:type="dxa"/>
          </w:tcPr>
          <w:p w14:paraId="09924BEC">
            <w:pPr>
              <w:keepNext w:val="0"/>
              <w:keepLines w:val="0"/>
              <w:pageBreakBefore w:val="0"/>
              <w:widowControl/>
              <w:kinsoku w:val="0"/>
              <w:wordWrap/>
              <w:overflowPunct/>
              <w:topLinePunct w:val="0"/>
              <w:autoSpaceDE w:val="0"/>
              <w:autoSpaceDN w:val="0"/>
              <w:bidi w:val="0"/>
              <w:adjustRightInd w:val="0"/>
              <w:snapToGrid w:val="0"/>
              <w:spacing w:before="31"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100≤X＜300</w:t>
            </w:r>
          </w:p>
        </w:tc>
        <w:tc>
          <w:tcPr>
            <w:tcW w:w="1874" w:type="dxa"/>
          </w:tcPr>
          <w:p w14:paraId="687C1301">
            <w:pPr>
              <w:keepNext w:val="0"/>
              <w:keepLines w:val="0"/>
              <w:pageBreakBefore w:val="0"/>
              <w:widowControl/>
              <w:kinsoku w:val="0"/>
              <w:wordWrap/>
              <w:overflowPunct/>
              <w:topLinePunct w:val="0"/>
              <w:autoSpaceDE w:val="0"/>
              <w:autoSpaceDN w:val="0"/>
              <w:bidi w:val="0"/>
              <w:adjustRightInd w:val="0"/>
              <w:snapToGrid w:val="0"/>
              <w:spacing w:before="31" w:line="440" w:lineRule="exact"/>
              <w:ind w:left="12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10≤X＜100</w:t>
            </w:r>
          </w:p>
        </w:tc>
        <w:tc>
          <w:tcPr>
            <w:tcW w:w="1442" w:type="dxa"/>
          </w:tcPr>
          <w:p w14:paraId="0AB100B7">
            <w:pPr>
              <w:keepNext w:val="0"/>
              <w:keepLines w:val="0"/>
              <w:pageBreakBefore w:val="0"/>
              <w:widowControl/>
              <w:kinsoku w:val="0"/>
              <w:wordWrap/>
              <w:overflowPunct/>
              <w:topLinePunct w:val="0"/>
              <w:autoSpaceDE w:val="0"/>
              <w:autoSpaceDN w:val="0"/>
              <w:bidi w:val="0"/>
              <w:adjustRightInd w:val="0"/>
              <w:snapToGrid w:val="0"/>
              <w:spacing w:before="31"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X＜10</w:t>
            </w:r>
          </w:p>
        </w:tc>
      </w:tr>
      <w:tr w14:paraId="6D1BD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05" w:type="dxa"/>
            <w:vMerge w:val="continue"/>
            <w:tcBorders>
              <w:top w:val="nil"/>
            </w:tcBorders>
          </w:tcPr>
          <w:p w14:paraId="246B41F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rPr>
            </w:pPr>
          </w:p>
        </w:tc>
        <w:tc>
          <w:tcPr>
            <w:tcW w:w="1558" w:type="dxa"/>
          </w:tcPr>
          <w:p w14:paraId="39DF243D">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19"/>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6"/>
                <w:sz w:val="17"/>
                <w:szCs w:val="17"/>
                <w:highlight w:val="none"/>
              </w:rPr>
              <w:t>资产总额（Z）</w:t>
            </w:r>
          </w:p>
        </w:tc>
        <w:tc>
          <w:tcPr>
            <w:tcW w:w="736" w:type="dxa"/>
          </w:tcPr>
          <w:p w14:paraId="3994E06F">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万元</w:t>
            </w:r>
          </w:p>
        </w:tc>
        <w:tc>
          <w:tcPr>
            <w:tcW w:w="2135" w:type="dxa"/>
          </w:tcPr>
          <w:p w14:paraId="05BC0D3D">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20"/>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8000≤Z＜120000</w:t>
            </w:r>
          </w:p>
        </w:tc>
        <w:tc>
          <w:tcPr>
            <w:tcW w:w="1874" w:type="dxa"/>
          </w:tcPr>
          <w:p w14:paraId="771CEC89">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2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100≤Z＜8000</w:t>
            </w:r>
          </w:p>
        </w:tc>
        <w:tc>
          <w:tcPr>
            <w:tcW w:w="1442" w:type="dxa"/>
          </w:tcPr>
          <w:p w14:paraId="4A5F3C43">
            <w:pPr>
              <w:keepNext w:val="0"/>
              <w:keepLines w:val="0"/>
              <w:pageBreakBefore w:val="0"/>
              <w:widowControl/>
              <w:kinsoku w:val="0"/>
              <w:wordWrap/>
              <w:overflowPunct/>
              <w:topLinePunct w:val="0"/>
              <w:autoSpaceDE w:val="0"/>
              <w:autoSpaceDN w:val="0"/>
              <w:bidi w:val="0"/>
              <w:adjustRightInd w:val="0"/>
              <w:snapToGrid w:val="0"/>
              <w:spacing w:before="30"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Y＜100</w:t>
            </w:r>
          </w:p>
        </w:tc>
      </w:tr>
      <w:tr w14:paraId="1A2DF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1705" w:type="dxa"/>
          </w:tcPr>
          <w:p w14:paraId="6D7EDC3F">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27"/>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9"/>
                <w:sz w:val="17"/>
                <w:szCs w:val="17"/>
                <w:highlight w:val="none"/>
                <w14:textOutline w14:w="3289" w14:cap="flat" w14:cmpd="sng" w14:algn="ctr">
                  <w14:solidFill>
                    <w14:srgbClr w14:val="000000"/>
                  </w14:solidFill>
                  <w14:prstDash w14:val="solid"/>
                  <w14:miter w14:val="0"/>
                </w14:textOutline>
              </w:rPr>
              <w:t>其他未列明行业</w:t>
            </w:r>
          </w:p>
        </w:tc>
        <w:tc>
          <w:tcPr>
            <w:tcW w:w="1558" w:type="dxa"/>
          </w:tcPr>
          <w:p w14:paraId="2F2F0465">
            <w:pPr>
              <w:keepNext w:val="0"/>
              <w:keepLines w:val="0"/>
              <w:pageBreakBefore w:val="0"/>
              <w:widowControl/>
              <w:kinsoku w:val="0"/>
              <w:wordWrap/>
              <w:overflowPunct/>
              <w:topLinePunct w:val="0"/>
              <w:autoSpaceDE w:val="0"/>
              <w:autoSpaceDN w:val="0"/>
              <w:bidi w:val="0"/>
              <w:adjustRightInd w:val="0"/>
              <w:snapToGrid w:val="0"/>
              <w:spacing w:before="31"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6"/>
                <w:sz w:val="17"/>
                <w:szCs w:val="17"/>
                <w:highlight w:val="none"/>
              </w:rPr>
              <w:t>从业人员（X）</w:t>
            </w:r>
          </w:p>
        </w:tc>
        <w:tc>
          <w:tcPr>
            <w:tcW w:w="736" w:type="dxa"/>
          </w:tcPr>
          <w:p w14:paraId="7B30E66C">
            <w:pPr>
              <w:keepNext w:val="0"/>
              <w:keepLines w:val="0"/>
              <w:pageBreakBefore w:val="0"/>
              <w:widowControl/>
              <w:kinsoku w:val="0"/>
              <w:wordWrap/>
              <w:overflowPunct/>
              <w:topLinePunct w:val="0"/>
              <w:autoSpaceDE w:val="0"/>
              <w:autoSpaceDN w:val="0"/>
              <w:bidi w:val="0"/>
              <w:adjustRightInd w:val="0"/>
              <w:snapToGrid w:val="0"/>
              <w:spacing w:before="31" w:line="440" w:lineRule="exact"/>
              <w:ind w:left="112"/>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1"/>
                <w:sz w:val="17"/>
                <w:szCs w:val="17"/>
                <w:highlight w:val="none"/>
              </w:rPr>
              <w:t>人</w:t>
            </w:r>
          </w:p>
        </w:tc>
        <w:tc>
          <w:tcPr>
            <w:tcW w:w="2135" w:type="dxa"/>
          </w:tcPr>
          <w:p w14:paraId="2B0245F7">
            <w:pPr>
              <w:keepNext w:val="0"/>
              <w:keepLines w:val="0"/>
              <w:pageBreakBefore w:val="0"/>
              <w:widowControl/>
              <w:kinsoku w:val="0"/>
              <w:wordWrap/>
              <w:overflowPunct/>
              <w:topLinePunct w:val="0"/>
              <w:autoSpaceDE w:val="0"/>
              <w:autoSpaceDN w:val="0"/>
              <w:bidi w:val="0"/>
              <w:adjustRightInd w:val="0"/>
              <w:snapToGrid w:val="0"/>
              <w:spacing w:before="31" w:line="440" w:lineRule="exact"/>
              <w:ind w:left="123"/>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100≤X＜300</w:t>
            </w:r>
          </w:p>
        </w:tc>
        <w:tc>
          <w:tcPr>
            <w:tcW w:w="1874" w:type="dxa"/>
          </w:tcPr>
          <w:p w14:paraId="6957E161">
            <w:pPr>
              <w:keepNext w:val="0"/>
              <w:keepLines w:val="0"/>
              <w:pageBreakBefore w:val="0"/>
              <w:widowControl/>
              <w:kinsoku w:val="0"/>
              <w:wordWrap/>
              <w:overflowPunct/>
              <w:topLinePunct w:val="0"/>
              <w:autoSpaceDE w:val="0"/>
              <w:autoSpaceDN w:val="0"/>
              <w:bidi w:val="0"/>
              <w:adjustRightInd w:val="0"/>
              <w:snapToGrid w:val="0"/>
              <w:spacing w:before="31" w:line="440" w:lineRule="exact"/>
              <w:ind w:left="124"/>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10≤X＜100</w:t>
            </w:r>
          </w:p>
        </w:tc>
        <w:tc>
          <w:tcPr>
            <w:tcW w:w="1442" w:type="dxa"/>
          </w:tcPr>
          <w:p w14:paraId="7EABD382">
            <w:pPr>
              <w:keepNext w:val="0"/>
              <w:keepLines w:val="0"/>
              <w:pageBreakBefore w:val="0"/>
              <w:widowControl/>
              <w:kinsoku w:val="0"/>
              <w:wordWrap/>
              <w:overflowPunct/>
              <w:topLinePunct w:val="0"/>
              <w:autoSpaceDE w:val="0"/>
              <w:autoSpaceDN w:val="0"/>
              <w:bidi w:val="0"/>
              <w:adjustRightInd w:val="0"/>
              <w:snapToGrid w:val="0"/>
              <w:spacing w:before="31" w:line="440" w:lineRule="exact"/>
              <w:ind w:left="115"/>
              <w:textAlignment w:val="baseline"/>
              <w:rPr>
                <w:rFonts w:hint="eastAsia" w:ascii="仿宋" w:hAnsi="仿宋" w:eastAsia="仿宋" w:cs="仿宋"/>
                <w:color w:val="auto"/>
                <w:sz w:val="17"/>
                <w:szCs w:val="17"/>
                <w:highlight w:val="none"/>
              </w:rPr>
            </w:pPr>
            <w:r>
              <w:rPr>
                <w:rFonts w:hint="eastAsia" w:ascii="仿宋" w:hAnsi="仿宋" w:eastAsia="仿宋" w:cs="仿宋"/>
                <w:color w:val="auto"/>
                <w:spacing w:val="3"/>
                <w:sz w:val="17"/>
                <w:szCs w:val="17"/>
                <w:highlight w:val="none"/>
              </w:rPr>
              <w:t>X＜10</w:t>
            </w:r>
          </w:p>
        </w:tc>
      </w:tr>
    </w:tbl>
    <w:p w14:paraId="134595DE">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说明：上述标准参照《关于印发中小企业划型标准规定的通知》（工信部联企业[2011]300号） ，大型、</w:t>
      </w:r>
    </w:p>
    <w:p w14:paraId="4ED76A0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中型和小型企业须同时满足所列指标的下限， 否则下划一档；微型企业只须满足所列指标中的一项即可</w:t>
      </w:r>
      <w:r>
        <w:rPr>
          <w:rFonts w:hint="eastAsia" w:ascii="仿宋" w:hAnsi="仿宋" w:eastAsia="仿宋" w:cs="仿宋"/>
          <w:color w:val="auto"/>
          <w:highlight w:val="none"/>
        </w:rPr>
        <w:drawing>
          <wp:anchor distT="0" distB="0" distL="0" distR="0" simplePos="0" relativeHeight="251659264" behindDoc="0" locked="0" layoutInCell="0" allowOverlap="1">
            <wp:simplePos x="0" y="0"/>
            <wp:positionH relativeFrom="page">
              <wp:posOffset>643890</wp:posOffset>
            </wp:positionH>
            <wp:positionV relativeFrom="page">
              <wp:posOffset>720725</wp:posOffset>
            </wp:positionV>
            <wp:extent cx="6271260" cy="1206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0"/>
                    <a:stretch>
                      <a:fillRect/>
                    </a:stretch>
                  </pic:blipFill>
                  <pic:spPr>
                    <a:xfrm>
                      <a:off x="0" y="0"/>
                      <a:ext cx="6271160" cy="12193"/>
                    </a:xfrm>
                    <a:prstGeom prst="rect">
                      <a:avLst/>
                    </a:prstGeom>
                  </pic:spPr>
                </pic:pic>
              </a:graphicData>
            </a:graphic>
          </wp:anchor>
        </w:drawing>
      </w:r>
      <w:r>
        <w:rPr>
          <w:rFonts w:hint="eastAsia" w:ascii="仿宋" w:hAnsi="仿宋" w:eastAsia="仿宋" w:cs="仿宋"/>
          <w:color w:val="auto"/>
          <w:highlight w:val="none"/>
          <w:lang w:eastAsia="zh-CN"/>
        </w:rPr>
        <w:t>。</w:t>
      </w:r>
    </w:p>
    <w:p w14:paraId="01FA68E1">
      <w:pPr>
        <w:pStyle w:val="7"/>
        <w:spacing w:line="279" w:lineRule="auto"/>
        <w:rPr>
          <w:rFonts w:hint="eastAsia" w:ascii="仿宋" w:hAnsi="仿宋" w:eastAsia="仿宋" w:cs="仿宋"/>
          <w:color w:val="auto"/>
          <w:highlight w:val="none"/>
          <w:lang w:eastAsia="zh-CN"/>
        </w:rPr>
      </w:pPr>
    </w:p>
    <w:p w14:paraId="7D15074F">
      <w:pPr>
        <w:rPr>
          <w:rFonts w:hint="eastAsia" w:ascii="仿宋" w:hAnsi="仿宋" w:eastAsia="仿宋" w:cs="仿宋"/>
          <w:color w:val="auto"/>
          <w:highlight w:val="none"/>
          <w:lang w:eastAsia="zh-CN"/>
        </w:rPr>
      </w:pPr>
      <w:bookmarkStart w:id="53" w:name="bookmark8"/>
      <w:bookmarkEnd w:id="53"/>
      <w:bookmarkStart w:id="54" w:name="_Toc1940"/>
      <w:r>
        <w:rPr>
          <w:rFonts w:hint="eastAsia" w:ascii="仿宋" w:hAnsi="仿宋" w:eastAsia="仿宋" w:cs="仿宋"/>
          <w:color w:val="auto"/>
          <w:highlight w:val="none"/>
          <w:lang w:eastAsia="zh-CN"/>
        </w:rPr>
        <w:br w:type="page"/>
      </w:r>
    </w:p>
    <w:p w14:paraId="6EE1BE01">
      <w:pPr>
        <w:pStyle w:val="2"/>
        <w:pageBreakBefore w:val="0"/>
        <w:wordWrap/>
        <w:overflowPunct/>
        <w:topLinePunct w:val="0"/>
        <w:bidi w:val="0"/>
        <w:spacing w:before="110" w:line="0" w:lineRule="atLeas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第三章采购需求</w:t>
      </w:r>
      <w:bookmarkEnd w:id="54"/>
    </w:p>
    <w:p w14:paraId="0A770EFF">
      <w:pPr>
        <w:pStyle w:val="21"/>
        <w:pageBreakBefore w:val="0"/>
        <w:wordWrap/>
        <w:overflowPunct/>
        <w:topLinePunct w:val="0"/>
        <w:bidi w:val="0"/>
        <w:snapToGrid w:val="0"/>
        <w:spacing w:line="0" w:lineRule="atLeast"/>
        <w:ind w:firstLine="482" w:firstLineChars="200"/>
        <w:jc w:val="both"/>
        <w:outlineLvl w:val="1"/>
        <w:rPr>
          <w:rFonts w:hint="eastAsia" w:ascii="仿宋" w:hAnsi="仿宋" w:eastAsia="仿宋" w:cs="仿宋"/>
          <w:b/>
          <w:bCs/>
          <w:color w:val="auto"/>
          <w:kern w:val="2"/>
          <w:sz w:val="24"/>
          <w:szCs w:val="24"/>
          <w:highlight w:val="none"/>
        </w:rPr>
      </w:pPr>
      <w:bookmarkStart w:id="55" w:name="_Toc24435"/>
      <w:r>
        <w:rPr>
          <w:rFonts w:hint="eastAsia" w:ascii="仿宋" w:hAnsi="仿宋" w:eastAsia="仿宋" w:cs="仿宋"/>
          <w:b/>
          <w:bCs/>
          <w:color w:val="auto"/>
          <w:kern w:val="2"/>
          <w:sz w:val="24"/>
          <w:szCs w:val="24"/>
          <w:highlight w:val="none"/>
        </w:rPr>
        <w:t>一、采购需求</w:t>
      </w:r>
      <w:bookmarkEnd w:id="55"/>
    </w:p>
    <w:p w14:paraId="31AC9054">
      <w:pPr>
        <w:pStyle w:val="21"/>
        <w:pageBreakBefore w:val="0"/>
        <w:numPr>
          <w:ilvl w:val="255"/>
          <w:numId w:val="0"/>
        </w:numPr>
        <w:wordWrap/>
        <w:overflowPunct/>
        <w:topLinePunct w:val="0"/>
        <w:bidi w:val="0"/>
        <w:snapToGrid w:val="0"/>
        <w:spacing w:line="0" w:lineRule="atLeast"/>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新疆出入境边防检查总站乌鲁木齐警犬训练基地购置</w:t>
      </w:r>
      <w:r>
        <w:rPr>
          <w:rFonts w:hint="eastAsia" w:ascii="仿宋" w:hAnsi="仿宋" w:eastAsia="仿宋" w:cs="仿宋"/>
          <w:color w:val="auto"/>
          <w:kern w:val="2"/>
          <w:sz w:val="24"/>
          <w:szCs w:val="24"/>
          <w:highlight w:val="none"/>
          <w:lang w:val="en-US" w:eastAsia="zh-CN"/>
        </w:rPr>
        <w:t>51</w:t>
      </w:r>
      <w:r>
        <w:rPr>
          <w:rFonts w:hint="eastAsia" w:ascii="仿宋" w:hAnsi="仿宋" w:eastAsia="仿宋" w:cs="仿宋"/>
          <w:color w:val="auto"/>
          <w:spacing w:val="9"/>
          <w:sz w:val="24"/>
          <w:szCs w:val="24"/>
          <w:highlight w:val="none"/>
        </w:rPr>
        <w:t>头</w:t>
      </w:r>
      <w:r>
        <w:rPr>
          <w:rFonts w:hint="eastAsia" w:ascii="仿宋" w:hAnsi="仿宋" w:eastAsia="仿宋" w:cs="仿宋"/>
          <w:color w:val="auto"/>
          <w:kern w:val="2"/>
          <w:sz w:val="24"/>
          <w:szCs w:val="24"/>
          <w:highlight w:val="none"/>
        </w:rPr>
        <w:t>警犬，其中：</w:t>
      </w:r>
      <w:r>
        <w:rPr>
          <w:rFonts w:hint="eastAsia" w:ascii="仿宋" w:hAnsi="仿宋" w:eastAsia="仿宋" w:cs="仿宋"/>
          <w:color w:val="auto"/>
          <w:kern w:val="2"/>
          <w:sz w:val="24"/>
          <w:szCs w:val="24"/>
          <w:highlight w:val="none"/>
          <w:lang w:val="en-US" w:eastAsia="zh-CN"/>
        </w:rPr>
        <w:t>采购繁育种犬6头；采购待训警犬45头</w:t>
      </w:r>
      <w:r>
        <w:rPr>
          <w:rFonts w:hint="eastAsia" w:ascii="仿宋" w:hAnsi="仿宋" w:eastAsia="仿宋" w:cs="仿宋"/>
          <w:color w:val="auto"/>
          <w:kern w:val="2"/>
          <w:sz w:val="24"/>
          <w:szCs w:val="24"/>
          <w:highlight w:val="none"/>
        </w:rPr>
        <w:t>。具体品种及数量如下：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3424"/>
        <w:gridCol w:w="1323"/>
        <w:gridCol w:w="1152"/>
        <w:gridCol w:w="1240"/>
        <w:gridCol w:w="1139"/>
      </w:tblGrid>
      <w:tr w14:paraId="6E09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52" w:type="dxa"/>
            <w:vAlign w:val="center"/>
          </w:tcPr>
          <w:p w14:paraId="1A98582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序号</w:t>
            </w:r>
          </w:p>
        </w:tc>
        <w:tc>
          <w:tcPr>
            <w:tcW w:w="3424" w:type="dxa"/>
            <w:vAlign w:val="center"/>
          </w:tcPr>
          <w:p w14:paraId="0F1E6A8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标的名称</w:t>
            </w:r>
          </w:p>
        </w:tc>
        <w:tc>
          <w:tcPr>
            <w:tcW w:w="1323" w:type="dxa"/>
            <w:vAlign w:val="center"/>
          </w:tcPr>
          <w:p w14:paraId="29B9A57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计量单位</w:t>
            </w:r>
          </w:p>
        </w:tc>
        <w:tc>
          <w:tcPr>
            <w:tcW w:w="1152" w:type="dxa"/>
            <w:vAlign w:val="center"/>
          </w:tcPr>
          <w:p w14:paraId="5F0F844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数量</w:t>
            </w:r>
          </w:p>
        </w:tc>
        <w:tc>
          <w:tcPr>
            <w:tcW w:w="1240" w:type="dxa"/>
            <w:vAlign w:val="center"/>
          </w:tcPr>
          <w:p w14:paraId="2DE69AC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lang w:eastAsia="zh-CN"/>
              </w:rPr>
              <w:t>单价限价</w:t>
            </w:r>
          </w:p>
        </w:tc>
        <w:tc>
          <w:tcPr>
            <w:tcW w:w="1139" w:type="dxa"/>
            <w:vAlign w:val="center"/>
          </w:tcPr>
          <w:p w14:paraId="0B06FE9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
                <w:color w:val="auto"/>
                <w:kern w:val="2"/>
                <w:sz w:val="24"/>
                <w:szCs w:val="24"/>
                <w:highlight w:val="none"/>
                <w:lang w:eastAsia="zh-CN"/>
              </w:rPr>
            </w:pPr>
            <w:r>
              <w:rPr>
                <w:rFonts w:hint="eastAsia" w:ascii="仿宋" w:hAnsi="仿宋" w:eastAsia="仿宋" w:cs="仿宋"/>
                <w:color w:val="auto"/>
                <w:kern w:val="28"/>
                <w:sz w:val="24"/>
                <w:szCs w:val="24"/>
                <w:highlight w:val="none"/>
                <w:lang w:eastAsia="zh-CN"/>
              </w:rPr>
              <w:t>备注</w:t>
            </w:r>
          </w:p>
        </w:tc>
      </w:tr>
      <w:tr w14:paraId="2ACE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Align w:val="center"/>
          </w:tcPr>
          <w:p w14:paraId="0B348841">
            <w:pPr>
              <w:pageBreakBefore w:val="0"/>
              <w:numPr>
                <w:ilvl w:val="-1"/>
                <w:numId w:val="0"/>
              </w:numPr>
              <w:wordWrap/>
              <w:overflowPunct/>
              <w:topLinePunct w:val="0"/>
              <w:bidi w:val="0"/>
              <w:adjustRightInd w:val="0"/>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p>
        </w:tc>
        <w:tc>
          <w:tcPr>
            <w:tcW w:w="3424" w:type="dxa"/>
            <w:vAlign w:val="center"/>
          </w:tcPr>
          <w:p w14:paraId="470EC37B">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德国牧羊犬母犬（12-30月）</w:t>
            </w:r>
          </w:p>
        </w:tc>
        <w:tc>
          <w:tcPr>
            <w:tcW w:w="1323" w:type="dxa"/>
            <w:vAlign w:val="center"/>
          </w:tcPr>
          <w:p w14:paraId="1193D99C">
            <w:pPr>
              <w:pageBreakBefore w:val="0"/>
              <w:numPr>
                <w:ilvl w:val="-1"/>
                <w:numId w:val="0"/>
              </w:numPr>
              <w:wordWrap/>
              <w:overflowPunct/>
              <w:topLinePunct w:val="0"/>
              <w:bidi w:val="0"/>
              <w:adjustRightInd/>
              <w:spacing w:line="0" w:lineRule="atLeast"/>
              <w:ind w:left="0" w:leftChars="0" w:firstLine="0" w:firstLineChars="0"/>
              <w:jc w:val="center"/>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val="en-US" w:eastAsia="zh-CN"/>
              </w:rPr>
              <w:t>只</w:t>
            </w:r>
          </w:p>
        </w:tc>
        <w:tc>
          <w:tcPr>
            <w:tcW w:w="1152" w:type="dxa"/>
            <w:vAlign w:val="center"/>
          </w:tcPr>
          <w:p w14:paraId="00FAFD0B">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p>
        </w:tc>
        <w:tc>
          <w:tcPr>
            <w:tcW w:w="1240" w:type="dxa"/>
            <w:vAlign w:val="center"/>
          </w:tcPr>
          <w:p w14:paraId="20B248E6">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8万元</w:t>
            </w:r>
          </w:p>
        </w:tc>
        <w:tc>
          <w:tcPr>
            <w:tcW w:w="1139" w:type="dxa"/>
            <w:vAlign w:val="center"/>
          </w:tcPr>
          <w:p w14:paraId="7887F0FF">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p>
        </w:tc>
      </w:tr>
      <w:tr w14:paraId="572C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Align w:val="center"/>
          </w:tcPr>
          <w:p w14:paraId="2691B456">
            <w:pPr>
              <w:pageBreakBefore w:val="0"/>
              <w:numPr>
                <w:ilvl w:val="-1"/>
                <w:numId w:val="0"/>
              </w:numPr>
              <w:wordWrap/>
              <w:overflowPunct/>
              <w:topLinePunct w:val="0"/>
              <w:bidi w:val="0"/>
              <w:adjustRightInd w:val="0"/>
              <w:snapToGrid w:val="0"/>
              <w:spacing w:line="0" w:lineRule="atLeast"/>
              <w:ind w:firstLine="0"/>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w:t>
            </w:r>
          </w:p>
        </w:tc>
        <w:tc>
          <w:tcPr>
            <w:tcW w:w="3424" w:type="dxa"/>
            <w:vAlign w:val="center"/>
          </w:tcPr>
          <w:p w14:paraId="7E2163F1">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昆明犬公犬（18-36月）</w:t>
            </w:r>
          </w:p>
        </w:tc>
        <w:tc>
          <w:tcPr>
            <w:tcW w:w="1323" w:type="dxa"/>
            <w:vAlign w:val="center"/>
          </w:tcPr>
          <w:p w14:paraId="06125880">
            <w:pPr>
              <w:pageBreakBefore w:val="0"/>
              <w:numPr>
                <w:ilvl w:val="-1"/>
                <w:numId w:val="0"/>
              </w:numPr>
              <w:wordWrap/>
              <w:overflowPunct/>
              <w:topLinePunct w:val="0"/>
              <w:bidi w:val="0"/>
              <w:adjustRightInd/>
              <w:spacing w:line="0" w:lineRule="atLeast"/>
              <w:ind w:left="0" w:leftChars="0" w:firstLine="0" w:firstLineChars="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只</w:t>
            </w:r>
          </w:p>
        </w:tc>
        <w:tc>
          <w:tcPr>
            <w:tcW w:w="1152" w:type="dxa"/>
            <w:vAlign w:val="center"/>
          </w:tcPr>
          <w:p w14:paraId="683B73D1">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p>
        </w:tc>
        <w:tc>
          <w:tcPr>
            <w:tcW w:w="1240" w:type="dxa"/>
            <w:vAlign w:val="center"/>
          </w:tcPr>
          <w:p w14:paraId="2410E9A8">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8万元</w:t>
            </w:r>
          </w:p>
        </w:tc>
        <w:tc>
          <w:tcPr>
            <w:tcW w:w="1139" w:type="dxa"/>
            <w:vAlign w:val="center"/>
          </w:tcPr>
          <w:p w14:paraId="7477C416">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p>
        </w:tc>
      </w:tr>
      <w:tr w14:paraId="30AC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Align w:val="center"/>
          </w:tcPr>
          <w:p w14:paraId="0C1B5A2F">
            <w:pPr>
              <w:pageBreakBefore w:val="0"/>
              <w:numPr>
                <w:ilvl w:val="-1"/>
                <w:numId w:val="0"/>
              </w:numPr>
              <w:wordWrap/>
              <w:overflowPunct/>
              <w:topLinePunct w:val="0"/>
              <w:bidi w:val="0"/>
              <w:adjustRightInd w:val="0"/>
              <w:snapToGrid w:val="0"/>
              <w:spacing w:line="0" w:lineRule="atLeast"/>
              <w:ind w:firstLine="0"/>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w:t>
            </w:r>
          </w:p>
        </w:tc>
        <w:tc>
          <w:tcPr>
            <w:tcW w:w="3424" w:type="dxa"/>
            <w:vAlign w:val="center"/>
          </w:tcPr>
          <w:p w14:paraId="15A33104">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昆明犬母犬（12-30月）</w:t>
            </w:r>
          </w:p>
        </w:tc>
        <w:tc>
          <w:tcPr>
            <w:tcW w:w="1323" w:type="dxa"/>
            <w:vAlign w:val="center"/>
          </w:tcPr>
          <w:p w14:paraId="76D803B1">
            <w:pPr>
              <w:pageBreakBefore w:val="0"/>
              <w:numPr>
                <w:ilvl w:val="-1"/>
                <w:numId w:val="0"/>
              </w:numPr>
              <w:wordWrap/>
              <w:overflowPunct/>
              <w:topLinePunct w:val="0"/>
              <w:bidi w:val="0"/>
              <w:adjustRightInd/>
              <w:spacing w:line="0" w:lineRule="atLeast"/>
              <w:ind w:left="0" w:leftChars="0" w:firstLine="0" w:firstLineChars="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只</w:t>
            </w:r>
          </w:p>
        </w:tc>
        <w:tc>
          <w:tcPr>
            <w:tcW w:w="1152" w:type="dxa"/>
            <w:vAlign w:val="center"/>
          </w:tcPr>
          <w:p w14:paraId="2C6D83E4">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w:t>
            </w:r>
          </w:p>
        </w:tc>
        <w:tc>
          <w:tcPr>
            <w:tcW w:w="1240" w:type="dxa"/>
            <w:vAlign w:val="center"/>
          </w:tcPr>
          <w:p w14:paraId="20ED1FC6">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8万元</w:t>
            </w:r>
          </w:p>
        </w:tc>
        <w:tc>
          <w:tcPr>
            <w:tcW w:w="1139" w:type="dxa"/>
            <w:vAlign w:val="center"/>
          </w:tcPr>
          <w:p w14:paraId="6FC8982F">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center"/>
              <w:rPr>
                <w:rFonts w:hint="eastAsia" w:ascii="仿宋" w:hAnsi="仿宋" w:eastAsia="仿宋" w:cs="仿宋"/>
                <w:i w:val="0"/>
                <w:color w:val="auto"/>
                <w:kern w:val="0"/>
                <w:sz w:val="24"/>
                <w:szCs w:val="24"/>
                <w:highlight w:val="none"/>
                <w:u w:val="none"/>
                <w:lang w:val="en-US" w:eastAsia="zh-CN" w:bidi="ar"/>
              </w:rPr>
            </w:pPr>
          </w:p>
        </w:tc>
      </w:tr>
      <w:tr w14:paraId="1EB2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Align w:val="center"/>
          </w:tcPr>
          <w:p w14:paraId="44C83754">
            <w:pPr>
              <w:pageBreakBefore w:val="0"/>
              <w:numPr>
                <w:ilvl w:val="-1"/>
                <w:numId w:val="0"/>
              </w:numPr>
              <w:wordWrap/>
              <w:overflowPunct/>
              <w:topLinePunct w:val="0"/>
              <w:bidi w:val="0"/>
              <w:adjustRightInd w:val="0"/>
              <w:snapToGrid w:val="0"/>
              <w:spacing w:line="0" w:lineRule="atLeast"/>
              <w:ind w:firstLine="0"/>
              <w:jc w:val="center"/>
              <w:textAlignment w:val="auto"/>
              <w:outlineLvl w:val="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w:t>
            </w:r>
          </w:p>
        </w:tc>
        <w:tc>
          <w:tcPr>
            <w:tcW w:w="3424" w:type="dxa"/>
            <w:vAlign w:val="center"/>
          </w:tcPr>
          <w:p w14:paraId="7A025BFE">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i w:val="0"/>
                <w:color w:val="auto"/>
                <w:kern w:val="2"/>
                <w:sz w:val="24"/>
                <w:szCs w:val="24"/>
                <w:highlight w:val="none"/>
                <w:u w:val="none"/>
                <w:lang w:val="en-US" w:eastAsia="zh-CN" w:bidi="ar"/>
              </w:rPr>
            </w:pPr>
            <w:r>
              <w:rPr>
                <w:rFonts w:hint="eastAsia" w:ascii="仿宋" w:hAnsi="仿宋" w:eastAsia="仿宋" w:cs="仿宋"/>
                <w:color w:val="auto"/>
                <w:kern w:val="2"/>
                <w:sz w:val="24"/>
                <w:szCs w:val="24"/>
                <w:highlight w:val="none"/>
              </w:rPr>
              <w:t>史宾格犬母犬（12-30月）</w:t>
            </w:r>
          </w:p>
        </w:tc>
        <w:tc>
          <w:tcPr>
            <w:tcW w:w="1323" w:type="dxa"/>
            <w:vAlign w:val="center"/>
          </w:tcPr>
          <w:p w14:paraId="542007D0">
            <w:pPr>
              <w:pageBreakBefore w:val="0"/>
              <w:numPr>
                <w:ilvl w:val="-1"/>
                <w:numId w:val="0"/>
              </w:numPr>
              <w:wordWrap/>
              <w:overflowPunct/>
              <w:topLinePunct w:val="0"/>
              <w:bidi w:val="0"/>
              <w:adjustRightInd/>
              <w:spacing w:line="0" w:lineRule="atLeast"/>
              <w:ind w:left="0" w:leftChars="0" w:firstLine="0" w:firstLineChars="0"/>
              <w:jc w:val="center"/>
              <w:textAlignment w:val="auto"/>
              <w:outlineLvl w:val="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只</w:t>
            </w:r>
          </w:p>
        </w:tc>
        <w:tc>
          <w:tcPr>
            <w:tcW w:w="1152" w:type="dxa"/>
            <w:vAlign w:val="center"/>
          </w:tcPr>
          <w:p w14:paraId="224CC4A1">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p>
        </w:tc>
        <w:tc>
          <w:tcPr>
            <w:tcW w:w="1240" w:type="dxa"/>
            <w:vAlign w:val="center"/>
          </w:tcPr>
          <w:p w14:paraId="003F1DBB">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8万元</w:t>
            </w:r>
          </w:p>
        </w:tc>
        <w:tc>
          <w:tcPr>
            <w:tcW w:w="1139" w:type="dxa"/>
            <w:vAlign w:val="center"/>
          </w:tcPr>
          <w:p w14:paraId="23B0CCA6">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center"/>
              <w:outlineLvl w:val="0"/>
              <w:rPr>
                <w:rFonts w:hint="eastAsia" w:ascii="仿宋" w:hAnsi="仿宋" w:eastAsia="仿宋" w:cs="仿宋"/>
                <w:i w:val="0"/>
                <w:color w:val="auto"/>
                <w:kern w:val="0"/>
                <w:sz w:val="24"/>
                <w:szCs w:val="24"/>
                <w:highlight w:val="none"/>
                <w:u w:val="none"/>
                <w:lang w:val="en-US" w:eastAsia="zh-CN" w:bidi="ar"/>
              </w:rPr>
            </w:pPr>
          </w:p>
        </w:tc>
      </w:tr>
      <w:tr w14:paraId="5D1D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Align w:val="center"/>
          </w:tcPr>
          <w:p w14:paraId="73145938">
            <w:pPr>
              <w:pageBreakBefore w:val="0"/>
              <w:numPr>
                <w:ilvl w:val="-1"/>
                <w:numId w:val="0"/>
              </w:numPr>
              <w:wordWrap/>
              <w:overflowPunct/>
              <w:topLinePunct w:val="0"/>
              <w:bidi w:val="0"/>
              <w:adjustRightInd w:val="0"/>
              <w:snapToGrid w:val="0"/>
              <w:spacing w:line="0" w:lineRule="atLeast"/>
              <w:ind w:firstLine="0"/>
              <w:jc w:val="center"/>
              <w:textAlignment w:val="auto"/>
              <w:outlineLvl w:val="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5</w:t>
            </w:r>
          </w:p>
        </w:tc>
        <w:tc>
          <w:tcPr>
            <w:tcW w:w="3424" w:type="dxa"/>
            <w:vAlign w:val="center"/>
          </w:tcPr>
          <w:p w14:paraId="2700FFDD">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i w:val="0"/>
                <w:color w:val="auto"/>
                <w:kern w:val="2"/>
                <w:sz w:val="24"/>
                <w:szCs w:val="24"/>
                <w:highlight w:val="none"/>
                <w:u w:val="none"/>
                <w:lang w:val="en-US" w:eastAsia="zh-CN" w:bidi="ar"/>
              </w:rPr>
            </w:pPr>
            <w:r>
              <w:rPr>
                <w:rFonts w:hint="eastAsia" w:ascii="仿宋" w:hAnsi="仿宋" w:eastAsia="仿宋" w:cs="仿宋"/>
                <w:color w:val="auto"/>
                <w:kern w:val="2"/>
                <w:sz w:val="24"/>
                <w:szCs w:val="24"/>
                <w:highlight w:val="none"/>
              </w:rPr>
              <w:t>德国牧羊犬公犬</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8-18月</w:t>
            </w:r>
            <w:r>
              <w:rPr>
                <w:rFonts w:hint="eastAsia" w:ascii="仿宋" w:hAnsi="仿宋" w:eastAsia="仿宋" w:cs="仿宋"/>
                <w:color w:val="auto"/>
                <w:kern w:val="2"/>
                <w:sz w:val="24"/>
                <w:szCs w:val="24"/>
                <w:highlight w:val="none"/>
                <w:lang w:eastAsia="zh-CN"/>
              </w:rPr>
              <w:t>）</w:t>
            </w:r>
          </w:p>
        </w:tc>
        <w:tc>
          <w:tcPr>
            <w:tcW w:w="1323" w:type="dxa"/>
            <w:vAlign w:val="center"/>
          </w:tcPr>
          <w:p w14:paraId="4E324B87">
            <w:pPr>
              <w:pageBreakBefore w:val="0"/>
              <w:numPr>
                <w:ilvl w:val="-1"/>
                <w:numId w:val="0"/>
              </w:numPr>
              <w:wordWrap/>
              <w:overflowPunct/>
              <w:topLinePunct w:val="0"/>
              <w:bidi w:val="0"/>
              <w:adjustRightInd/>
              <w:spacing w:line="0" w:lineRule="atLeast"/>
              <w:ind w:left="0" w:leftChars="0" w:firstLine="0" w:firstLineChars="0"/>
              <w:jc w:val="center"/>
              <w:textAlignment w:val="auto"/>
              <w:outlineLvl w:val="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只</w:t>
            </w:r>
          </w:p>
        </w:tc>
        <w:tc>
          <w:tcPr>
            <w:tcW w:w="1152" w:type="dxa"/>
            <w:vAlign w:val="center"/>
          </w:tcPr>
          <w:p w14:paraId="54084CCA">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i w:val="0"/>
                <w:color w:val="auto"/>
                <w:kern w:val="2"/>
                <w:sz w:val="24"/>
                <w:szCs w:val="24"/>
                <w:highlight w:val="none"/>
                <w:u w:val="none"/>
                <w:lang w:val="en-US" w:eastAsia="zh-CN" w:bidi="ar"/>
              </w:rPr>
            </w:pPr>
            <w:r>
              <w:rPr>
                <w:rFonts w:hint="eastAsia" w:ascii="仿宋" w:hAnsi="仿宋" w:eastAsia="仿宋" w:cs="仿宋"/>
                <w:color w:val="auto"/>
                <w:kern w:val="2"/>
                <w:sz w:val="24"/>
                <w:szCs w:val="24"/>
                <w:highlight w:val="none"/>
              </w:rPr>
              <w:t>15</w:t>
            </w:r>
          </w:p>
        </w:tc>
        <w:tc>
          <w:tcPr>
            <w:tcW w:w="1240" w:type="dxa"/>
            <w:vAlign w:val="center"/>
          </w:tcPr>
          <w:p w14:paraId="7849F1C3">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i w:val="0"/>
                <w:color w:val="auto"/>
                <w:kern w:val="0"/>
                <w:sz w:val="24"/>
                <w:szCs w:val="24"/>
                <w:highlight w:val="none"/>
                <w:u w:val="none"/>
                <w:lang w:val="en-US" w:eastAsia="zh-CN" w:bidi="ar"/>
              </w:rPr>
              <w:t>万元</w:t>
            </w:r>
          </w:p>
        </w:tc>
        <w:tc>
          <w:tcPr>
            <w:tcW w:w="1139" w:type="dxa"/>
            <w:vAlign w:val="center"/>
          </w:tcPr>
          <w:p w14:paraId="2547F296">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rPr>
            </w:pPr>
          </w:p>
        </w:tc>
      </w:tr>
      <w:tr w14:paraId="175E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Align w:val="center"/>
          </w:tcPr>
          <w:p w14:paraId="2E926203">
            <w:pPr>
              <w:pageBreakBefore w:val="0"/>
              <w:numPr>
                <w:ilvl w:val="-1"/>
                <w:numId w:val="0"/>
              </w:numPr>
              <w:wordWrap/>
              <w:overflowPunct/>
              <w:topLinePunct w:val="0"/>
              <w:bidi w:val="0"/>
              <w:adjustRightInd w:val="0"/>
              <w:snapToGrid w:val="0"/>
              <w:spacing w:line="0" w:lineRule="atLeast"/>
              <w:ind w:firstLine="0"/>
              <w:jc w:val="center"/>
              <w:textAlignment w:val="auto"/>
              <w:outlineLvl w:val="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6</w:t>
            </w:r>
          </w:p>
        </w:tc>
        <w:tc>
          <w:tcPr>
            <w:tcW w:w="3424" w:type="dxa"/>
            <w:vAlign w:val="center"/>
          </w:tcPr>
          <w:p w14:paraId="0940EE1E">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i w:val="0"/>
                <w:color w:val="auto"/>
                <w:kern w:val="2"/>
                <w:sz w:val="24"/>
                <w:szCs w:val="24"/>
                <w:highlight w:val="none"/>
                <w:u w:val="none"/>
                <w:lang w:val="en-US" w:eastAsia="zh-CN" w:bidi="ar"/>
              </w:rPr>
            </w:pPr>
            <w:r>
              <w:rPr>
                <w:rFonts w:hint="eastAsia" w:ascii="仿宋" w:hAnsi="仿宋" w:eastAsia="仿宋" w:cs="仿宋"/>
                <w:color w:val="auto"/>
                <w:kern w:val="2"/>
                <w:sz w:val="24"/>
                <w:szCs w:val="24"/>
                <w:highlight w:val="none"/>
              </w:rPr>
              <w:t>马里努阿犬公犬</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8-18月</w:t>
            </w:r>
            <w:r>
              <w:rPr>
                <w:rFonts w:hint="eastAsia" w:ascii="仿宋" w:hAnsi="仿宋" w:eastAsia="仿宋" w:cs="仿宋"/>
                <w:color w:val="auto"/>
                <w:kern w:val="2"/>
                <w:sz w:val="24"/>
                <w:szCs w:val="24"/>
                <w:highlight w:val="none"/>
                <w:lang w:eastAsia="zh-CN"/>
              </w:rPr>
              <w:t>）</w:t>
            </w:r>
          </w:p>
        </w:tc>
        <w:tc>
          <w:tcPr>
            <w:tcW w:w="1323" w:type="dxa"/>
            <w:vAlign w:val="center"/>
          </w:tcPr>
          <w:p w14:paraId="537888BB">
            <w:pPr>
              <w:pageBreakBefore w:val="0"/>
              <w:numPr>
                <w:ilvl w:val="-1"/>
                <w:numId w:val="0"/>
              </w:numPr>
              <w:wordWrap/>
              <w:overflowPunct/>
              <w:topLinePunct w:val="0"/>
              <w:bidi w:val="0"/>
              <w:adjustRightInd/>
              <w:spacing w:line="0" w:lineRule="atLeast"/>
              <w:ind w:left="0" w:leftChars="0" w:firstLine="0" w:firstLineChars="0"/>
              <w:jc w:val="center"/>
              <w:textAlignment w:val="auto"/>
              <w:outlineLvl w:val="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只</w:t>
            </w:r>
          </w:p>
        </w:tc>
        <w:tc>
          <w:tcPr>
            <w:tcW w:w="1152" w:type="dxa"/>
            <w:vAlign w:val="center"/>
          </w:tcPr>
          <w:p w14:paraId="38732CA8">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i w:val="0"/>
                <w:color w:val="auto"/>
                <w:kern w:val="2"/>
                <w:sz w:val="24"/>
                <w:szCs w:val="24"/>
                <w:highlight w:val="none"/>
                <w:u w:val="none"/>
                <w:lang w:val="en-US" w:eastAsia="zh-CN" w:bidi="ar"/>
              </w:rPr>
            </w:pPr>
            <w:r>
              <w:rPr>
                <w:rFonts w:hint="eastAsia" w:ascii="仿宋" w:hAnsi="仿宋" w:eastAsia="仿宋" w:cs="仿宋"/>
                <w:color w:val="auto"/>
                <w:kern w:val="2"/>
                <w:sz w:val="24"/>
                <w:szCs w:val="24"/>
                <w:highlight w:val="none"/>
              </w:rPr>
              <w:t>10</w:t>
            </w:r>
          </w:p>
        </w:tc>
        <w:tc>
          <w:tcPr>
            <w:tcW w:w="1240" w:type="dxa"/>
            <w:vAlign w:val="center"/>
          </w:tcPr>
          <w:p w14:paraId="1CB5E9F8">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i w:val="0"/>
                <w:color w:val="auto"/>
                <w:kern w:val="0"/>
                <w:sz w:val="24"/>
                <w:szCs w:val="24"/>
                <w:highlight w:val="none"/>
                <w:u w:val="none"/>
                <w:lang w:val="en-US" w:eastAsia="zh-CN" w:bidi="ar"/>
              </w:rPr>
              <w:t>万元</w:t>
            </w:r>
          </w:p>
        </w:tc>
        <w:tc>
          <w:tcPr>
            <w:tcW w:w="1139" w:type="dxa"/>
            <w:vAlign w:val="center"/>
          </w:tcPr>
          <w:p w14:paraId="1BF5182F">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rPr>
            </w:pPr>
          </w:p>
        </w:tc>
      </w:tr>
      <w:tr w14:paraId="0EDC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Align w:val="center"/>
          </w:tcPr>
          <w:p w14:paraId="2C7D0B29">
            <w:pPr>
              <w:pageBreakBefore w:val="0"/>
              <w:numPr>
                <w:ilvl w:val="-1"/>
                <w:numId w:val="0"/>
              </w:numPr>
              <w:wordWrap/>
              <w:overflowPunct/>
              <w:topLinePunct w:val="0"/>
              <w:bidi w:val="0"/>
              <w:adjustRightInd w:val="0"/>
              <w:snapToGrid w:val="0"/>
              <w:spacing w:line="0" w:lineRule="atLeast"/>
              <w:ind w:firstLine="0"/>
              <w:jc w:val="center"/>
              <w:textAlignment w:val="auto"/>
              <w:outlineLvl w:val="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7</w:t>
            </w:r>
          </w:p>
        </w:tc>
        <w:tc>
          <w:tcPr>
            <w:tcW w:w="3424" w:type="dxa"/>
            <w:vAlign w:val="center"/>
          </w:tcPr>
          <w:p w14:paraId="210F66FF">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i w:val="0"/>
                <w:color w:val="auto"/>
                <w:kern w:val="2"/>
                <w:sz w:val="24"/>
                <w:szCs w:val="24"/>
                <w:highlight w:val="none"/>
                <w:u w:val="none"/>
                <w:lang w:val="en-US" w:eastAsia="zh-CN" w:bidi="ar"/>
              </w:rPr>
            </w:pPr>
            <w:r>
              <w:rPr>
                <w:rFonts w:hint="eastAsia" w:ascii="仿宋" w:hAnsi="仿宋" w:eastAsia="仿宋" w:cs="仿宋"/>
                <w:color w:val="auto"/>
                <w:kern w:val="2"/>
                <w:sz w:val="24"/>
                <w:szCs w:val="24"/>
                <w:highlight w:val="none"/>
              </w:rPr>
              <w:t>昆明犬公犬</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8-18月</w:t>
            </w:r>
            <w:r>
              <w:rPr>
                <w:rFonts w:hint="eastAsia" w:ascii="仿宋" w:hAnsi="仿宋" w:eastAsia="仿宋" w:cs="仿宋"/>
                <w:color w:val="auto"/>
                <w:kern w:val="2"/>
                <w:sz w:val="24"/>
                <w:szCs w:val="24"/>
                <w:highlight w:val="none"/>
                <w:lang w:eastAsia="zh-CN"/>
              </w:rPr>
              <w:t>）</w:t>
            </w:r>
          </w:p>
        </w:tc>
        <w:tc>
          <w:tcPr>
            <w:tcW w:w="1323" w:type="dxa"/>
            <w:vAlign w:val="center"/>
          </w:tcPr>
          <w:p w14:paraId="0D2F6F9E">
            <w:pPr>
              <w:pageBreakBefore w:val="0"/>
              <w:numPr>
                <w:ilvl w:val="-1"/>
                <w:numId w:val="0"/>
              </w:numPr>
              <w:wordWrap/>
              <w:overflowPunct/>
              <w:topLinePunct w:val="0"/>
              <w:bidi w:val="0"/>
              <w:adjustRightInd/>
              <w:spacing w:line="0" w:lineRule="atLeast"/>
              <w:ind w:left="0" w:leftChars="0" w:firstLine="0" w:firstLineChars="0"/>
              <w:jc w:val="center"/>
              <w:textAlignment w:val="auto"/>
              <w:outlineLvl w:val="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只</w:t>
            </w:r>
          </w:p>
        </w:tc>
        <w:tc>
          <w:tcPr>
            <w:tcW w:w="1152" w:type="dxa"/>
            <w:vAlign w:val="center"/>
          </w:tcPr>
          <w:p w14:paraId="7FACE89A">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i w:val="0"/>
                <w:color w:val="auto"/>
                <w:kern w:val="2"/>
                <w:sz w:val="24"/>
                <w:szCs w:val="24"/>
                <w:highlight w:val="none"/>
                <w:u w:val="none"/>
                <w:lang w:val="en-US" w:eastAsia="zh-CN" w:bidi="ar"/>
              </w:rPr>
            </w:pPr>
            <w:r>
              <w:rPr>
                <w:rFonts w:hint="eastAsia" w:ascii="仿宋" w:hAnsi="仿宋" w:eastAsia="仿宋" w:cs="仿宋"/>
                <w:color w:val="auto"/>
                <w:kern w:val="2"/>
                <w:sz w:val="24"/>
                <w:szCs w:val="24"/>
                <w:highlight w:val="none"/>
              </w:rPr>
              <w:t>15</w:t>
            </w:r>
          </w:p>
        </w:tc>
        <w:tc>
          <w:tcPr>
            <w:tcW w:w="1240" w:type="dxa"/>
            <w:vAlign w:val="center"/>
          </w:tcPr>
          <w:p w14:paraId="308D332B">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i w:val="0"/>
                <w:color w:val="auto"/>
                <w:kern w:val="0"/>
                <w:sz w:val="24"/>
                <w:szCs w:val="24"/>
                <w:highlight w:val="none"/>
                <w:u w:val="none"/>
                <w:lang w:val="en-US" w:eastAsia="zh-CN" w:bidi="ar"/>
              </w:rPr>
              <w:t>万元</w:t>
            </w:r>
          </w:p>
        </w:tc>
        <w:tc>
          <w:tcPr>
            <w:tcW w:w="1139" w:type="dxa"/>
            <w:vAlign w:val="center"/>
          </w:tcPr>
          <w:p w14:paraId="1BF4BDB2">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rPr>
            </w:pPr>
          </w:p>
        </w:tc>
      </w:tr>
      <w:tr w14:paraId="6F18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Align w:val="center"/>
          </w:tcPr>
          <w:p w14:paraId="72260D76">
            <w:pPr>
              <w:pageBreakBefore w:val="0"/>
              <w:numPr>
                <w:ilvl w:val="-1"/>
                <w:numId w:val="0"/>
              </w:numPr>
              <w:wordWrap/>
              <w:overflowPunct/>
              <w:topLinePunct w:val="0"/>
              <w:bidi w:val="0"/>
              <w:adjustRightInd w:val="0"/>
              <w:snapToGrid w:val="0"/>
              <w:spacing w:line="0" w:lineRule="atLeast"/>
              <w:ind w:firstLine="0"/>
              <w:jc w:val="center"/>
              <w:textAlignment w:val="auto"/>
              <w:outlineLvl w:val="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8</w:t>
            </w:r>
          </w:p>
        </w:tc>
        <w:tc>
          <w:tcPr>
            <w:tcW w:w="3424" w:type="dxa"/>
            <w:vAlign w:val="center"/>
          </w:tcPr>
          <w:p w14:paraId="1821F397">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i w:val="0"/>
                <w:color w:val="auto"/>
                <w:kern w:val="2"/>
                <w:sz w:val="24"/>
                <w:szCs w:val="24"/>
                <w:highlight w:val="none"/>
                <w:u w:val="none"/>
                <w:lang w:val="en-US" w:eastAsia="zh-CN" w:bidi="ar"/>
              </w:rPr>
            </w:pPr>
            <w:r>
              <w:rPr>
                <w:rFonts w:hint="eastAsia" w:ascii="仿宋" w:hAnsi="仿宋" w:eastAsia="仿宋" w:cs="仿宋"/>
                <w:color w:val="auto"/>
                <w:kern w:val="2"/>
                <w:sz w:val="24"/>
                <w:szCs w:val="24"/>
                <w:highlight w:val="none"/>
              </w:rPr>
              <w:t>史宾格犬公犬</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8-18月</w:t>
            </w:r>
            <w:r>
              <w:rPr>
                <w:rFonts w:hint="eastAsia" w:ascii="仿宋" w:hAnsi="仿宋" w:eastAsia="仿宋" w:cs="仿宋"/>
                <w:color w:val="auto"/>
                <w:kern w:val="2"/>
                <w:sz w:val="24"/>
                <w:szCs w:val="24"/>
                <w:highlight w:val="none"/>
                <w:lang w:eastAsia="zh-CN"/>
              </w:rPr>
              <w:t>）</w:t>
            </w:r>
          </w:p>
        </w:tc>
        <w:tc>
          <w:tcPr>
            <w:tcW w:w="1323" w:type="dxa"/>
            <w:vAlign w:val="center"/>
          </w:tcPr>
          <w:p w14:paraId="50ED1FE4">
            <w:pPr>
              <w:pageBreakBefore w:val="0"/>
              <w:numPr>
                <w:ilvl w:val="-1"/>
                <w:numId w:val="0"/>
              </w:numPr>
              <w:wordWrap/>
              <w:overflowPunct/>
              <w:topLinePunct w:val="0"/>
              <w:bidi w:val="0"/>
              <w:adjustRightInd/>
              <w:spacing w:line="0" w:lineRule="atLeast"/>
              <w:ind w:left="0" w:leftChars="0" w:firstLine="0" w:firstLineChars="0"/>
              <w:jc w:val="center"/>
              <w:textAlignment w:val="auto"/>
              <w:outlineLvl w:val="0"/>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只</w:t>
            </w:r>
          </w:p>
        </w:tc>
        <w:tc>
          <w:tcPr>
            <w:tcW w:w="1152" w:type="dxa"/>
            <w:vAlign w:val="center"/>
          </w:tcPr>
          <w:p w14:paraId="11C4849E">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i w:val="0"/>
                <w:color w:val="auto"/>
                <w:kern w:val="2"/>
                <w:sz w:val="24"/>
                <w:szCs w:val="24"/>
                <w:highlight w:val="none"/>
                <w:u w:val="none"/>
                <w:lang w:val="en-US" w:eastAsia="zh-CN" w:bidi="ar"/>
              </w:rPr>
            </w:pPr>
            <w:r>
              <w:rPr>
                <w:rFonts w:hint="eastAsia" w:ascii="仿宋" w:hAnsi="仿宋" w:eastAsia="仿宋" w:cs="仿宋"/>
                <w:color w:val="auto"/>
                <w:kern w:val="2"/>
                <w:sz w:val="24"/>
                <w:szCs w:val="24"/>
                <w:highlight w:val="none"/>
              </w:rPr>
              <w:t>5</w:t>
            </w:r>
          </w:p>
        </w:tc>
        <w:tc>
          <w:tcPr>
            <w:tcW w:w="1240" w:type="dxa"/>
            <w:vAlign w:val="center"/>
          </w:tcPr>
          <w:p w14:paraId="3702AC52">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i w:val="0"/>
                <w:color w:val="auto"/>
                <w:kern w:val="0"/>
                <w:sz w:val="24"/>
                <w:szCs w:val="24"/>
                <w:highlight w:val="none"/>
                <w:u w:val="none"/>
                <w:lang w:val="en-US" w:eastAsia="zh-CN" w:bidi="ar"/>
              </w:rPr>
              <w:t>万元</w:t>
            </w:r>
          </w:p>
        </w:tc>
        <w:tc>
          <w:tcPr>
            <w:tcW w:w="1139" w:type="dxa"/>
            <w:vAlign w:val="center"/>
          </w:tcPr>
          <w:p w14:paraId="6527179C">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rPr>
            </w:pPr>
          </w:p>
        </w:tc>
      </w:tr>
      <w:tr w14:paraId="7924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6" w:type="dxa"/>
            <w:gridSpan w:val="2"/>
            <w:vAlign w:val="center"/>
          </w:tcPr>
          <w:p w14:paraId="560D294B">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rPr>
            </w:pPr>
          </w:p>
        </w:tc>
        <w:tc>
          <w:tcPr>
            <w:tcW w:w="1323" w:type="dxa"/>
            <w:vAlign w:val="center"/>
          </w:tcPr>
          <w:p w14:paraId="4F39A92E">
            <w:pPr>
              <w:pageBreakBefore w:val="0"/>
              <w:numPr>
                <w:ilvl w:val="-1"/>
                <w:numId w:val="0"/>
              </w:numPr>
              <w:wordWrap/>
              <w:overflowPunct/>
              <w:topLinePunct w:val="0"/>
              <w:bidi w:val="0"/>
              <w:adjustRightInd/>
              <w:spacing w:line="0" w:lineRule="atLeast"/>
              <w:ind w:firstLine="0"/>
              <w:jc w:val="center"/>
              <w:textAlignment w:val="auto"/>
              <w:outlineLvl w:val="0"/>
              <w:rPr>
                <w:rFonts w:hint="eastAsia" w:ascii="仿宋" w:hAnsi="仿宋" w:eastAsia="仿宋" w:cs="仿宋"/>
                <w:color w:val="auto"/>
                <w:kern w:val="2"/>
                <w:sz w:val="24"/>
                <w:szCs w:val="24"/>
                <w:highlight w:val="none"/>
                <w:lang w:val="en-US" w:eastAsia="zh-CN"/>
              </w:rPr>
            </w:pPr>
          </w:p>
        </w:tc>
        <w:tc>
          <w:tcPr>
            <w:tcW w:w="1152" w:type="dxa"/>
            <w:vAlign w:val="center"/>
          </w:tcPr>
          <w:p w14:paraId="60043E3B">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51</w:t>
            </w:r>
          </w:p>
        </w:tc>
        <w:tc>
          <w:tcPr>
            <w:tcW w:w="1240" w:type="dxa"/>
            <w:vAlign w:val="center"/>
          </w:tcPr>
          <w:p w14:paraId="394DB6B5">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93</w:t>
            </w:r>
            <w:r>
              <w:rPr>
                <w:rFonts w:hint="eastAsia" w:ascii="仿宋" w:hAnsi="仿宋" w:eastAsia="仿宋" w:cs="仿宋"/>
                <w:i w:val="0"/>
                <w:color w:val="auto"/>
                <w:kern w:val="0"/>
                <w:sz w:val="24"/>
                <w:szCs w:val="24"/>
                <w:highlight w:val="none"/>
                <w:u w:val="none"/>
                <w:lang w:val="en-US" w:eastAsia="zh-CN" w:bidi="ar"/>
              </w:rPr>
              <w:t>万元</w:t>
            </w:r>
          </w:p>
        </w:tc>
        <w:tc>
          <w:tcPr>
            <w:tcW w:w="1139" w:type="dxa"/>
            <w:vAlign w:val="center"/>
          </w:tcPr>
          <w:p w14:paraId="1B702194">
            <w:pPr>
              <w:keepNext w:val="0"/>
              <w:keepLines w:val="0"/>
              <w:pageBreakBefore w:val="0"/>
              <w:widowControl/>
              <w:numPr>
                <w:ilvl w:val="-1"/>
                <w:numId w:val="0"/>
              </w:numPr>
              <w:suppressLineNumbers w:val="0"/>
              <w:wordWrap/>
              <w:overflowPunct/>
              <w:topLinePunct w:val="0"/>
              <w:bidi w:val="0"/>
              <w:adjustRightInd/>
              <w:spacing w:line="0" w:lineRule="atLeast"/>
              <w:ind w:left="0" w:leftChars="0" w:firstLine="0" w:firstLineChars="0"/>
              <w:jc w:val="center"/>
              <w:textAlignment w:val="auto"/>
              <w:outlineLvl w:val="9"/>
              <w:rPr>
                <w:rFonts w:hint="eastAsia" w:ascii="仿宋" w:hAnsi="仿宋" w:eastAsia="仿宋" w:cs="仿宋"/>
                <w:color w:val="auto"/>
                <w:kern w:val="2"/>
                <w:sz w:val="24"/>
                <w:szCs w:val="24"/>
                <w:highlight w:val="none"/>
              </w:rPr>
            </w:pPr>
          </w:p>
        </w:tc>
      </w:tr>
    </w:tbl>
    <w:p w14:paraId="059B9593">
      <w:pPr>
        <w:pStyle w:val="21"/>
        <w:pageBreakBefore w:val="0"/>
        <w:wordWrap/>
        <w:overflowPunct/>
        <w:topLinePunct w:val="0"/>
        <w:bidi w:val="0"/>
        <w:snapToGrid w:val="0"/>
        <w:spacing w:line="0" w:lineRule="atLeast"/>
        <w:ind w:firstLine="482" w:firstLineChars="200"/>
        <w:jc w:val="both"/>
        <w:outlineLvl w:val="1"/>
        <w:rPr>
          <w:rFonts w:hint="eastAsia" w:ascii="仿宋" w:hAnsi="仿宋" w:eastAsia="仿宋" w:cs="仿宋"/>
          <w:b/>
          <w:bCs/>
          <w:color w:val="auto"/>
          <w:kern w:val="2"/>
          <w:sz w:val="24"/>
          <w:szCs w:val="24"/>
          <w:highlight w:val="none"/>
        </w:rPr>
      </w:pPr>
      <w:bookmarkStart w:id="56" w:name="_Toc23314"/>
      <w:bookmarkStart w:id="57" w:name="_Hlk194935599"/>
      <w:r>
        <w:rPr>
          <w:rFonts w:hint="eastAsia" w:ascii="仿宋" w:hAnsi="仿宋" w:eastAsia="仿宋" w:cs="仿宋"/>
          <w:b/>
          <w:bCs/>
          <w:color w:val="auto"/>
          <w:kern w:val="2"/>
          <w:sz w:val="24"/>
          <w:szCs w:val="24"/>
          <w:highlight w:val="none"/>
        </w:rPr>
        <w:t>二、</w:t>
      </w:r>
      <w:bookmarkEnd w:id="56"/>
      <w:r>
        <w:rPr>
          <w:rFonts w:hint="eastAsia" w:ascii="仿宋" w:hAnsi="仿宋" w:eastAsia="仿宋" w:cs="仿宋"/>
          <w:b/>
          <w:bCs/>
          <w:color w:val="auto"/>
          <w:kern w:val="2"/>
          <w:sz w:val="24"/>
          <w:szCs w:val="24"/>
          <w:highlight w:val="none"/>
          <w:lang w:val="en-US" w:eastAsia="zh-CN"/>
        </w:rPr>
        <w:t>技术服务内容及标准：</w:t>
      </w:r>
    </w:p>
    <w:bookmarkEnd w:id="57"/>
    <w:p w14:paraId="3C96D5C5">
      <w:pPr>
        <w:pStyle w:val="21"/>
        <w:pageBreakBefore w:val="0"/>
        <w:wordWrap/>
        <w:overflowPunct/>
        <w:topLinePunct w:val="0"/>
        <w:bidi w:val="0"/>
        <w:snapToGrid w:val="0"/>
        <w:spacing w:line="0" w:lineRule="atLeast"/>
        <w:ind w:firstLine="482" w:firstLineChars="200"/>
        <w:jc w:val="both"/>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（一）繁育种犬参数要求、履约期限及要求、种犬标准与等级评定办法</w:t>
      </w:r>
    </w:p>
    <w:p w14:paraId="45CF075F">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eastAsia="zh-CN"/>
        </w:rPr>
      </w:pPr>
      <w:bookmarkStart w:id="58" w:name="需求①-德国牧羊犬母犬要求参考2022年种犬采购标准"/>
      <w:bookmarkStart w:id="59" w:name="二参数需求"/>
      <w:r>
        <w:rPr>
          <w:rFonts w:hint="eastAsia" w:ascii="仿宋" w:hAnsi="仿宋" w:eastAsia="仿宋" w:cs="仿宋"/>
          <w:b w:val="0"/>
          <w:bCs w:val="0"/>
          <w:color w:val="auto"/>
          <w:kern w:val="2"/>
          <w:sz w:val="24"/>
          <w:szCs w:val="24"/>
          <w:highlight w:val="none"/>
          <w:lang w:val="en-US" w:eastAsia="zh-CN"/>
        </w:rPr>
        <w:t>1.条件要求</w:t>
      </w:r>
    </w:p>
    <w:p w14:paraId="60B023BC">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需符合公安部五局2022年2月1日起试行关于印发《警犬繁育工作规则（试行）》等六个规范性文件的通知中《警犬繁育工作规则》第十章民犬警用第四十二条引进或选购的警用犬必须是已植入中国工作犬管理协会芯片、并获得公安部南昌警犬训练基地DNA检测证书的犬。第四十四条种犬应具备条件要求：一是公犬年龄1.5－3岁（18</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kern w:val="2"/>
          <w:sz w:val="24"/>
          <w:szCs w:val="24"/>
          <w:highlight w:val="none"/>
          <w:lang w:val="en-US" w:eastAsia="zh-CN"/>
        </w:rPr>
        <w:t>36个</w:t>
      </w:r>
      <w:r>
        <w:rPr>
          <w:rFonts w:hint="eastAsia" w:ascii="仿宋" w:hAnsi="仿宋" w:eastAsia="仿宋" w:cs="仿宋"/>
          <w:b w:val="0"/>
          <w:bCs w:val="0"/>
          <w:color w:val="auto"/>
          <w:kern w:val="2"/>
          <w:sz w:val="24"/>
          <w:szCs w:val="24"/>
          <w:highlight w:val="none"/>
        </w:rPr>
        <w:t>月</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lang w:val="en-US" w:eastAsia="zh-CN"/>
        </w:rPr>
        <w:t>，母犬年龄1－2.5岁（12</w:t>
      </w:r>
      <w:r>
        <w:rPr>
          <w:rFonts w:hint="eastAsia" w:ascii="仿宋" w:hAnsi="仿宋" w:eastAsia="仿宋" w:cs="仿宋"/>
          <w:b w:val="0"/>
          <w:bCs w:val="0"/>
          <w:color w:val="auto"/>
          <w:kern w:val="2"/>
          <w:sz w:val="24"/>
          <w:szCs w:val="24"/>
          <w:highlight w:val="none"/>
        </w:rPr>
        <w:t>-</w:t>
      </w:r>
      <w:r>
        <w:rPr>
          <w:rFonts w:hint="eastAsia" w:ascii="仿宋" w:hAnsi="仿宋" w:eastAsia="仿宋" w:cs="仿宋"/>
          <w:b w:val="0"/>
          <w:bCs w:val="0"/>
          <w:color w:val="auto"/>
          <w:kern w:val="2"/>
          <w:sz w:val="24"/>
          <w:szCs w:val="24"/>
          <w:highlight w:val="none"/>
          <w:lang w:val="en-US" w:eastAsia="zh-CN"/>
        </w:rPr>
        <w:t>30个</w:t>
      </w:r>
      <w:r>
        <w:rPr>
          <w:rFonts w:hint="eastAsia" w:ascii="仿宋" w:hAnsi="仿宋" w:eastAsia="仿宋" w:cs="仿宋"/>
          <w:b w:val="0"/>
          <w:bCs w:val="0"/>
          <w:color w:val="auto"/>
          <w:kern w:val="2"/>
          <w:sz w:val="24"/>
          <w:szCs w:val="24"/>
          <w:highlight w:val="none"/>
        </w:rPr>
        <w:t>月</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lang w:val="en-US" w:eastAsia="zh-CN"/>
        </w:rPr>
        <w:t>；二是除具备第四十二条规定条件外，还需具有公安部警犬繁育工作管理委员会认可的专业机构签发的血统证书、犬籍资料，或出口国政府认可的犬籍管理机构签发的血统证书、DNA检测证书。确保资料真实、完整。三是达到《警犬种犬标准与等级评定办法》规定的标准；四是有公安部一级警犬繁育单位犬病防治职能部门或县级以上（含县级）兽医检疫部门出具的犬健康检查合格证明。</w:t>
      </w:r>
    </w:p>
    <w:p w14:paraId="0BD4BDFB">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2.具体参数要求</w:t>
      </w:r>
    </w:p>
    <w:p w14:paraId="63E3F8A9">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（1）</w:t>
      </w:r>
      <w:r>
        <w:rPr>
          <w:rFonts w:hint="eastAsia" w:ascii="仿宋" w:hAnsi="仿宋" w:eastAsia="仿宋" w:cs="仿宋"/>
          <w:b w:val="0"/>
          <w:bCs w:val="0"/>
          <w:color w:val="auto"/>
          <w:kern w:val="2"/>
          <w:sz w:val="24"/>
          <w:szCs w:val="24"/>
          <w:highlight w:val="none"/>
        </w:rPr>
        <w:t>德国牧羊犬</w:t>
      </w:r>
      <w:r>
        <w:rPr>
          <w:rFonts w:hint="eastAsia" w:ascii="仿宋" w:hAnsi="仿宋" w:eastAsia="仿宋" w:cs="仿宋"/>
          <w:b w:val="0"/>
          <w:bCs w:val="0"/>
          <w:color w:val="auto"/>
          <w:kern w:val="2"/>
          <w:sz w:val="24"/>
          <w:szCs w:val="24"/>
          <w:highlight w:val="none"/>
          <w:lang w:val="en-US" w:eastAsia="zh-CN"/>
        </w:rPr>
        <w:t>种犬母犬</w:t>
      </w:r>
      <w:r>
        <w:rPr>
          <w:rFonts w:hint="eastAsia" w:ascii="仿宋" w:hAnsi="仿宋" w:eastAsia="仿宋" w:cs="仿宋"/>
          <w:b w:val="0"/>
          <w:bCs w:val="0"/>
          <w:color w:val="auto"/>
          <w:kern w:val="2"/>
          <w:sz w:val="24"/>
          <w:szCs w:val="24"/>
          <w:highlight w:val="none"/>
        </w:rPr>
        <w:t>要求</w:t>
      </w:r>
    </w:p>
    <w:p w14:paraId="01D7526F">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年龄：12-30个月之间。</w:t>
      </w:r>
    </w:p>
    <w:p w14:paraId="7DCBDF9D">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体型：</w:t>
      </w:r>
      <w:r>
        <w:rPr>
          <w:rFonts w:hint="eastAsia" w:ascii="仿宋" w:hAnsi="仿宋" w:eastAsia="仿宋" w:cs="仿宋"/>
          <w:b w:val="0"/>
          <w:bCs w:val="0"/>
          <w:color w:val="auto"/>
          <w:kern w:val="2"/>
          <w:sz w:val="24"/>
          <w:szCs w:val="24"/>
          <w:highlight w:val="none"/>
          <w:lang w:val="en-US" w:eastAsia="zh-CN"/>
        </w:rPr>
        <w:t>体型中等，各部位匀称，</w:t>
      </w:r>
      <w:r>
        <w:rPr>
          <w:rFonts w:hint="eastAsia" w:ascii="仿宋" w:hAnsi="仿宋" w:eastAsia="仿宋" w:cs="仿宋"/>
          <w:b w:val="0"/>
          <w:bCs w:val="0"/>
          <w:color w:val="auto"/>
          <w:kern w:val="2"/>
          <w:sz w:val="24"/>
          <w:szCs w:val="24"/>
          <w:highlight w:val="none"/>
        </w:rPr>
        <w:t>体高60-65cm，体长63-67cm，体重26-31kg。</w:t>
      </w:r>
    </w:p>
    <w:p w14:paraId="130C36C2">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外貌：头呈楔形，耳大小适中，呈三角形直立，眼杏仁形，鼻镜黑色，牙齿剪式咬合，唇紧凑。颈长短适中，皮肤紧凑，肌肉发达，鬐甲高于背腰线，胸宽适度，背腰平直，腹紧缩，荐高略低于体高，荐部以23度斜下。前肢平行，后肢有力，角度适中，爪紧凑，呈丸状。静立时尾自然下垂过飞节，呈马刀形。被毛粗细长短适宜，随季节而变化，密生坚固，毛色为黑色、狼青色</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lang w:val="en-US" w:eastAsia="zh-CN"/>
        </w:rPr>
        <w:t>太极色</w:t>
      </w:r>
      <w:r>
        <w:rPr>
          <w:rFonts w:hint="eastAsia" w:ascii="仿宋" w:hAnsi="仿宋" w:eastAsia="仿宋" w:cs="仿宋"/>
          <w:b w:val="0"/>
          <w:bCs w:val="0"/>
          <w:color w:val="auto"/>
          <w:kern w:val="2"/>
          <w:sz w:val="24"/>
          <w:szCs w:val="24"/>
          <w:highlight w:val="none"/>
        </w:rPr>
        <w:t>。</w:t>
      </w:r>
    </w:p>
    <w:p w14:paraId="5B16F52C">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警用性能：犬的嗅、听、视觉灵敏，体质健壮。</w:t>
      </w:r>
    </w:p>
    <w:p w14:paraId="001C5E71">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繁殖性能：性特征明显。生殖系统发育正常，母犬有效乳头数4对以上，大小适中，分布均匀</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性周期正常，母性好；平均窝产仔数6头以上，仔犬初生的平均体重不低于0.4kg，2月龄平均体重不低于4kg，断奶成活率80%以上。</w:t>
      </w:r>
    </w:p>
    <w:p w14:paraId="7A125147">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遗传疾病：无髋关节发育不良，疝气、隐睾、瞎乳头等遗传疾病。</w:t>
      </w:r>
      <w:bookmarkEnd w:id="58"/>
      <w:bookmarkStart w:id="60" w:name="需求②-昆明犬种犬要求按马里努阿犬标准设定参考2022年种犬采购标准"/>
    </w:p>
    <w:p w14:paraId="1E43CAA1">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（2）</w:t>
      </w:r>
      <w:r>
        <w:rPr>
          <w:rFonts w:hint="eastAsia" w:ascii="仿宋" w:hAnsi="仿宋" w:eastAsia="仿宋" w:cs="仿宋"/>
          <w:b w:val="0"/>
          <w:bCs w:val="0"/>
          <w:color w:val="auto"/>
          <w:kern w:val="2"/>
          <w:sz w:val="24"/>
          <w:szCs w:val="24"/>
          <w:highlight w:val="none"/>
        </w:rPr>
        <w:t>昆明犬</w:t>
      </w:r>
      <w:r>
        <w:rPr>
          <w:rFonts w:hint="eastAsia" w:ascii="仿宋" w:hAnsi="仿宋" w:eastAsia="仿宋" w:cs="仿宋"/>
          <w:b w:val="0"/>
          <w:bCs w:val="0"/>
          <w:color w:val="auto"/>
          <w:kern w:val="2"/>
          <w:sz w:val="24"/>
          <w:szCs w:val="24"/>
          <w:highlight w:val="none"/>
          <w:lang w:val="en-US" w:eastAsia="zh-CN"/>
        </w:rPr>
        <w:t>种犬公犬、母犬</w:t>
      </w:r>
      <w:r>
        <w:rPr>
          <w:rFonts w:hint="eastAsia" w:ascii="仿宋" w:hAnsi="仿宋" w:eastAsia="仿宋" w:cs="仿宋"/>
          <w:b w:val="0"/>
          <w:bCs w:val="0"/>
          <w:color w:val="auto"/>
          <w:kern w:val="2"/>
          <w:sz w:val="24"/>
          <w:szCs w:val="24"/>
          <w:highlight w:val="none"/>
        </w:rPr>
        <w:t>要求</w:t>
      </w:r>
    </w:p>
    <w:p w14:paraId="4EAC5F9A">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公犬年龄：18-36个月之间。</w:t>
      </w:r>
    </w:p>
    <w:p w14:paraId="07B4AFF9">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母犬年龄：12-30个月之间。</w:t>
      </w:r>
    </w:p>
    <w:p w14:paraId="72F16B9E">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体型：昆明犬体型适中，外形匀称，略呈方形。公犬体高65—70cm，体长70—76cm，体重35—43kg；母犬体高60—65cm，体长65—70cm，体重32—38kg。</w:t>
      </w:r>
    </w:p>
    <w:p w14:paraId="3946EB34">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eastAsia="zh-CN"/>
        </w:rPr>
      </w:pPr>
      <w:r>
        <w:rPr>
          <w:rFonts w:hint="eastAsia" w:ascii="仿宋" w:hAnsi="仿宋" w:eastAsia="仿宋" w:cs="仿宋"/>
          <w:b w:val="0"/>
          <w:bCs w:val="0"/>
          <w:color w:val="auto"/>
          <w:kern w:val="2"/>
          <w:sz w:val="24"/>
          <w:szCs w:val="24"/>
          <w:highlight w:val="none"/>
          <w:lang w:val="en-US" w:eastAsia="zh-CN"/>
        </w:rPr>
        <w:t>外貌：毛色有狼青，草黄，黑背黄腹。头部呈楔形，外形轮廓明显。吻部比额部稍长或等长。鼻梁平直，鼻镜黑色。两耳自然直立、大小适中。眼呈杏仁形，暗褐色（狼青和黑背犬）或杏黄色（草黄犬）。牙齿呈剪式咬合。颈部肌肉结实，外观紧凑。背腰平直，体高与荐高接近。胸稍窄，胸深小于体高的一半。腹部收缩。前肢直立，肩关节约呈直角，肘部平行向后，掌部与垂直线的角度小于20度。股部肌肉发达，后肢相对直立，跗关节强健而有弹性。趾部紧密，脚垫厚而有弹性。尾形为剑状或钩状，尾巴长度适宜、安静时自然下垂，兴奋时略向上翘起。</w:t>
      </w:r>
    </w:p>
    <w:p w14:paraId="7892DA3F">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警用性能</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活泼兴奋，嗅觉灵敏，胆大勇敢，攻击性强，衔取兴奋，占有欲强，服从性好，体能好。</w:t>
      </w:r>
    </w:p>
    <w:p w14:paraId="3EB80ED2">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eastAsia="zh-CN"/>
        </w:rPr>
      </w:pPr>
      <w:r>
        <w:rPr>
          <w:rFonts w:hint="eastAsia" w:ascii="仿宋" w:hAnsi="仿宋" w:eastAsia="仿宋" w:cs="仿宋"/>
          <w:b w:val="0"/>
          <w:bCs w:val="0"/>
          <w:color w:val="auto"/>
          <w:kern w:val="2"/>
          <w:sz w:val="24"/>
          <w:szCs w:val="24"/>
          <w:highlight w:val="none"/>
        </w:rPr>
        <w:t>繁殖性能：性特征明显</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生殖器官发育正常</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公犬性欲强，精液品质好，精子活力0.6以上；母犬有效乳头数4对以上，大小适中，排列整齐，分布均匀</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母犬性周期正常，平均窝产仔数不低于6头，断奶成活率不低于80%。</w:t>
      </w:r>
    </w:p>
    <w:p w14:paraId="409B2031">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遗传疾病：无髋关节发育不良、疝气、隐睾、瞎乳头等遗传疾病。</w:t>
      </w:r>
      <w:bookmarkEnd w:id="60"/>
      <w:bookmarkStart w:id="61" w:name="注解③-后裔品质要求参考2022年种犬采购标准"/>
    </w:p>
    <w:p w14:paraId="0E2EC4B2">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（3）</w:t>
      </w:r>
      <w:r>
        <w:rPr>
          <w:rFonts w:hint="eastAsia" w:ascii="仿宋" w:hAnsi="仿宋" w:eastAsia="仿宋" w:cs="仿宋"/>
          <w:b w:val="0"/>
          <w:bCs w:val="0"/>
          <w:color w:val="auto"/>
          <w:kern w:val="2"/>
          <w:sz w:val="24"/>
          <w:szCs w:val="24"/>
          <w:highlight w:val="none"/>
        </w:rPr>
        <w:t>史宾格种犬</w:t>
      </w:r>
      <w:r>
        <w:rPr>
          <w:rFonts w:hint="eastAsia" w:ascii="仿宋" w:hAnsi="仿宋" w:eastAsia="仿宋" w:cs="仿宋"/>
          <w:b w:val="0"/>
          <w:bCs w:val="0"/>
          <w:color w:val="auto"/>
          <w:kern w:val="2"/>
          <w:sz w:val="24"/>
          <w:szCs w:val="24"/>
          <w:highlight w:val="none"/>
          <w:lang w:val="en-US" w:eastAsia="zh-CN"/>
        </w:rPr>
        <w:t>母犬</w:t>
      </w:r>
      <w:r>
        <w:rPr>
          <w:rFonts w:hint="eastAsia" w:ascii="仿宋" w:hAnsi="仿宋" w:eastAsia="仿宋" w:cs="仿宋"/>
          <w:b w:val="0"/>
          <w:bCs w:val="0"/>
          <w:color w:val="auto"/>
          <w:kern w:val="2"/>
          <w:sz w:val="24"/>
          <w:szCs w:val="24"/>
          <w:highlight w:val="none"/>
        </w:rPr>
        <w:t>要求：</w:t>
      </w:r>
    </w:p>
    <w:p w14:paraId="2F8807D6">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年龄：12-30个月之间。</w:t>
      </w:r>
    </w:p>
    <w:p w14:paraId="32FAF4E0">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体型：史宾格犬属中小体型。体形匀称、结实有力、结构紧凑。公犬体高42—48cm，体长49—54cm，体重15—20kg，母犬体高41—46cm，体长44—52cm，体重12—18kg。</w:t>
      </w:r>
    </w:p>
    <w:p w14:paraId="5B6BC797">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外貌：毛色为褐色白斑或黑色白斑。耳、胸、四肢、腹下及尾有饰毛。头宽、大小适中。吻长。眼灵活，有神。耳长而宽、下垂。躯干结实有力。胸深，肋扩张良好。前肢挺直，后肢肌肉发达。尾根低，自然下垂（可断尾三分之一）。</w:t>
      </w:r>
    </w:p>
    <w:p w14:paraId="29D34FAE">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警用性能：活泼兴奋，胆大，衔取欲强，温顺友善，耐力强。</w:t>
      </w:r>
    </w:p>
    <w:p w14:paraId="25A5AB69">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eastAsia="zh-CN"/>
        </w:rPr>
      </w:pPr>
      <w:r>
        <w:rPr>
          <w:rFonts w:hint="eastAsia" w:ascii="仿宋" w:hAnsi="仿宋" w:eastAsia="仿宋" w:cs="仿宋"/>
          <w:b w:val="0"/>
          <w:bCs w:val="0"/>
          <w:color w:val="auto"/>
          <w:kern w:val="2"/>
          <w:sz w:val="24"/>
          <w:szCs w:val="24"/>
          <w:highlight w:val="none"/>
        </w:rPr>
        <w:t>繁殖性能：性特征明显</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生殖器官发育正常，母犬有效乳头4对以上，大小适中排列整齐，分布均匀。母犬性周期稳定，平均窝产仔数7头以上，断奶成活率80%以上。</w:t>
      </w:r>
      <w:bookmarkEnd w:id="59"/>
      <w:bookmarkEnd w:id="61"/>
    </w:p>
    <w:p w14:paraId="232DF6BB">
      <w:pPr>
        <w:pStyle w:val="21"/>
        <w:pageBreakBefore w:val="0"/>
        <w:wordWrap/>
        <w:overflowPunct/>
        <w:topLinePunct w:val="0"/>
        <w:bidi w:val="0"/>
        <w:snapToGrid w:val="0"/>
        <w:spacing w:line="0" w:lineRule="atLeast"/>
        <w:ind w:firstLine="482" w:firstLineChars="200"/>
        <w:jc w:val="both"/>
        <w:rPr>
          <w:rFonts w:hint="eastAsia" w:ascii="仿宋" w:hAnsi="仿宋" w:eastAsia="仿宋" w:cs="仿宋"/>
          <w:b/>
          <w:bCs/>
          <w:color w:val="auto"/>
          <w:kern w:val="2"/>
          <w:sz w:val="24"/>
          <w:szCs w:val="24"/>
          <w:highlight w:val="none"/>
          <w:lang w:val="en-US" w:eastAsia="zh-CN"/>
        </w:rPr>
      </w:pPr>
      <w:bookmarkStart w:id="62" w:name="三供货地点及方式"/>
      <w:r>
        <w:rPr>
          <w:rFonts w:hint="eastAsia" w:ascii="仿宋" w:hAnsi="仿宋" w:eastAsia="仿宋" w:cs="仿宋"/>
          <w:b/>
          <w:bCs/>
          <w:color w:val="auto"/>
          <w:kern w:val="2"/>
          <w:sz w:val="24"/>
          <w:szCs w:val="24"/>
          <w:highlight w:val="none"/>
          <w:lang w:val="en-US" w:eastAsia="zh-CN"/>
        </w:rPr>
        <w:t>（二）待训警犬参数要求、履约期限及要求、幼犬考核标准</w:t>
      </w:r>
    </w:p>
    <w:p w14:paraId="7C6C9326">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1.条件要求</w:t>
      </w:r>
    </w:p>
    <w:p w14:paraId="2393773B">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需符合公安部五局2022年2月1日起试行，关于印发《警犬繁育工作规则（试行）》等六个规范性文件的通知中《警犬繁育工作规则》第十章，民犬警用，第四十六条，待训警犬应具备的条件要求：一是年龄符合6—18月龄范围；二是公安部一级警犬繁育单位犬病防治职能部门或有县级以上（含县级）动物卫生监督机构出具的犬健康检查合格证明和规范的犬免疫接种记录；三是生长发育符合《警犬繁育工作规则》规定的要求；四是警用品质符合《警犬繁育工作规则》第三十六条规定（一是具有良好的行为特征，依恋性好，注意力集中，习惯牵引、抚摸和呼名，衔取欲望强；二是体型匀称，体质健壮，发育良好，四肢有力，跑动迅速；三是胆大灵活，适应各种声响和嘈杂环境，适应乘坐交通工具和单犬训养）和《幼犬考核标准》（后附）的要求。</w:t>
      </w:r>
    </w:p>
    <w:p w14:paraId="51E19EC4">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2.具体参数要求</w:t>
      </w:r>
    </w:p>
    <w:p w14:paraId="2DF14C90">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（1）德国牧羊犬公犬要求</w:t>
      </w:r>
    </w:p>
    <w:p w14:paraId="60E04439">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体型：体型中等，各部位匀称，体重≥27.5kg,体长73.0cm,体高≥59.5cm,胸围≥74.2cm,胸深≥26.0cm，荐高≥57.5cm，头长≥26.2cm。</w:t>
      </w:r>
    </w:p>
    <w:p w14:paraId="09876297">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年龄：8-18个月之间。</w:t>
      </w:r>
    </w:p>
    <w:p w14:paraId="0E70BBCF">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外貌：头呈楔形，耳大小适中，呈三角形直立，眼杏仁形，</w:t>
      </w:r>
    </w:p>
    <w:p w14:paraId="44908E23">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鼻镜黑色，牙齿剪式咬合，唇紧凑。颈长短适中，皮肤紧凑，肌肉发达，鬐甲高于背腰线，胸宽适度，背腰平直，腹紧缩。前肢平行，后肢有力，角度适中，爪紧凑，呈丸状。静立时尾自然下垂过飞节，呈马刀形。被毛粗细长短适宜，随季节而变化，密生坚固，毛色为黑色、狼青色、太极色。</w:t>
      </w:r>
    </w:p>
    <w:p w14:paraId="200E9A04">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警用性能：犬的嗅、听、视觉灵敏，体质健壮。</w:t>
      </w:r>
    </w:p>
    <w:p w14:paraId="313A3DE8">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健康状况：无传染病（如犬瘟热、细小病毒）、寄生虫病，疫苗接种齐全（含狂犬病、犬瘟热、细小病毒等核心疫苗）；精神状态良好，体温、呼吸、心率正常，体表无外伤、皮肤病。</w:t>
      </w:r>
    </w:p>
    <w:p w14:paraId="2F56E196">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（2）马里努阿犬公犬要求</w:t>
      </w:r>
    </w:p>
    <w:p w14:paraId="79F6906F">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体型：马里努阿犬体型中等，外形匀称呈方形，头颈高昂。</w:t>
      </w:r>
    </w:p>
    <w:p w14:paraId="1FEBC2F4">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身躯精干、肌肉发达。体重≥21.0kg,体长≥60.3cm,体高≥55.9cm,胸围≥65.8cm,胸深≥23.0cm，荐高≥55.7cm。</w:t>
      </w:r>
    </w:p>
    <w:p w14:paraId="2232CEB2">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年龄：8-18个月之间。</w:t>
      </w:r>
    </w:p>
    <w:p w14:paraId="79AD4827">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外貌：皮薄、被毛短，浅黄褐色到深褐色，毛尖为黑色，口吻部毛色为黑色。头部轮廓分明、大小与身躯相称。眼小、眼睑黑色，眼球褐色。耳大小适中，呈三角形、自然直立。额顶部平坦，额段适中。吻尖，鼻梁平直，鼻镜黑色。唇呈黑色紧密。牙齿排列整齐、剪式或钳式咬合。颈圆皮肤紧凑，鬐甲部突出，背腰平直结实。胸深而不宽，最低点应达肘部。腹部发育适中，轻微收腹，腰部短而宽。荐部中等长，逐渐下斜。两前肢直立、平行。股部肌肉发达，两后肢平行，比前肢稍长。脚垫厚，猫形爪，为黑色或少数白趾尖。尾长适中，根部发达，静立时下垂达飞节，兴奋时翘尾、尾稍卷但不扭曲。</w:t>
      </w:r>
    </w:p>
    <w:p w14:paraId="639055DE">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警用性能：活泼兴奋，嗅觉灵敏。胆大凶猛，攻击力强，警觉性高，探求反射强，衔取兴奋，占有欲强。服从性好。体能好，奔跑快，跳跃性好，耐力持久。</w:t>
      </w:r>
    </w:p>
    <w:p w14:paraId="5F412BC9">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健康状况：无传染病、寄生虫病，疫苗接种齐全；无髋关节发育不良、肘关节异常等遗传疾病，精神状态良好，体表无明显缺陷。</w:t>
      </w:r>
    </w:p>
    <w:p w14:paraId="523927FC">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（3）昆明犬公犬要求</w:t>
      </w:r>
    </w:p>
    <w:p w14:paraId="1BF85486">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体型：昆明犬体型适中，外形匀称，略呈方形。体重≥21.1kg,体长≥60.9cm,体高≥57.5cm,胸围≥67.1cm,胸深≥25.8cm，荐高≥54.6cm，头长≥23.9cm。</w:t>
      </w:r>
    </w:p>
    <w:p w14:paraId="347F35E8">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年龄：8-18个月之间。</w:t>
      </w:r>
    </w:p>
    <w:p w14:paraId="4F6D15F3">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外貌：毛色有狼青，草黄，黑背黄腹。头部呈楔形，外形轮廓明显。吻部比额部稍长或等长。鼻梁平直，鼻镜黑色。两耳自然直立、大小适中。眼呈杏仁形，暗褐色（狼青和黑背犬）或杏黄色（草黄犬）。牙齿呈剪式咬合。颈部肌肉结实，外观紧凑。背腰平直，体高与荐高接近。胸稍窄，胸深小于体高的一半。腹部收缩。前肢直立，肩关节约呈直角，肘部平行向后。股部肌肉发达，后肢相对直立，跗关节强健而有弹性。趾部紧密，脚垫厚而有弹性。尾形为剑状或钩状，尾巴长度适宜、安静时自然下垂，兴奋时略向上翘起。</w:t>
      </w:r>
    </w:p>
    <w:p w14:paraId="25429C05">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警用潜力：</w:t>
      </w:r>
      <w:r>
        <w:rPr>
          <w:rFonts w:hint="eastAsia" w:ascii="仿宋" w:hAnsi="仿宋" w:eastAsia="仿宋" w:cs="仿宋"/>
          <w:b w:val="0"/>
          <w:bCs w:val="0"/>
          <w:color w:val="auto"/>
          <w:kern w:val="2"/>
          <w:sz w:val="24"/>
          <w:szCs w:val="24"/>
          <w:highlight w:val="none"/>
        </w:rPr>
        <w:t>活泼兴奋，嗅觉灵敏，胆大勇敢，攻击性强，衔取兴奋，占有欲强，服从性好，体能好。</w:t>
      </w:r>
    </w:p>
    <w:p w14:paraId="5D046FB6">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健康状况：无传染病、寄生虫病，疫苗接种齐全；无遗传</w:t>
      </w:r>
    </w:p>
    <w:p w14:paraId="41280AC0">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疾病（如髋关节发育不良、疝气等），精神状态良好，体表无外伤或皮肤病。</w:t>
      </w:r>
    </w:p>
    <w:p w14:paraId="14FBF413">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（4）史宾格犬公犬要求</w:t>
      </w:r>
    </w:p>
    <w:p w14:paraId="366CF1A5">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体型：史宾格犬属中小体型。体形匀称、结实有力、结构紧凑。体重≥13.3kg,体长≥43.3cm,体高≥39.9cm,胸围≥42.0cm,胸深≥17.5cm，荐高≥38.7cm。</w:t>
      </w:r>
    </w:p>
    <w:p w14:paraId="771D1995">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年龄：8-18个月之间。</w:t>
      </w:r>
    </w:p>
    <w:p w14:paraId="7474E30D">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外貌：毛色为褐色白斑或黑色白斑。耳、胸、四肢、腹下及尾有饰毛。头宽、大小适中。吻长。眼灵活，有神。耳长而宽、下垂。躯干结实有力。胸深，肋扩张良好。前肢挺直，后肢肌肉发达。尾根低，自然下垂（可断尾三分之一）。</w:t>
      </w:r>
    </w:p>
    <w:p w14:paraId="05B62A57">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警用性能：活泼兴奋，胆大，衔取欲强，温顺友善，耐力强。</w:t>
      </w:r>
    </w:p>
    <w:p w14:paraId="74F2DC0C">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eastAsia="zh-CN"/>
        </w:rPr>
      </w:pPr>
      <w:r>
        <w:rPr>
          <w:rFonts w:hint="eastAsia" w:ascii="仿宋" w:hAnsi="仿宋" w:eastAsia="仿宋" w:cs="仿宋"/>
          <w:b w:val="0"/>
          <w:bCs w:val="0"/>
          <w:color w:val="auto"/>
          <w:kern w:val="2"/>
          <w:sz w:val="24"/>
          <w:szCs w:val="24"/>
          <w:highlight w:val="none"/>
          <w:lang w:val="en-US" w:eastAsia="zh-CN"/>
        </w:rPr>
        <w:t>健康状况：无传染病、寄生虫病，疫苗接种齐全；无遗传疾病（如髋关节发育不良、眼疾等），精神状态良好，呼吸顺畅，无咳嗽、流涕等异常症状。</w:t>
      </w:r>
      <w:bookmarkEnd w:id="62"/>
    </w:p>
    <w:p w14:paraId="34333335">
      <w:pPr>
        <w:pStyle w:val="21"/>
        <w:pageBreakBefore w:val="0"/>
        <w:wordWrap/>
        <w:overflowPunct/>
        <w:topLinePunct w:val="0"/>
        <w:bidi w:val="0"/>
        <w:snapToGrid w:val="0"/>
        <w:spacing w:line="0" w:lineRule="atLeast"/>
        <w:ind w:firstLine="482" w:firstLineChars="200"/>
        <w:jc w:val="both"/>
        <w:outlineLvl w:val="1"/>
        <w:rPr>
          <w:rFonts w:hint="eastAsia" w:ascii="仿宋" w:hAnsi="仿宋" w:eastAsia="仿宋" w:cs="仿宋"/>
          <w:b/>
          <w:bCs/>
          <w:color w:val="auto"/>
          <w:kern w:val="2"/>
          <w:sz w:val="24"/>
          <w:szCs w:val="24"/>
          <w:highlight w:val="none"/>
          <w:lang w:val="en-US" w:eastAsia="zh-CN"/>
        </w:rPr>
      </w:pPr>
      <w:bookmarkStart w:id="63" w:name="_Toc32194"/>
      <w:bookmarkStart w:id="64" w:name="_Hlk194936498"/>
      <w:r>
        <w:rPr>
          <w:rFonts w:hint="eastAsia" w:ascii="仿宋" w:hAnsi="仿宋" w:eastAsia="仿宋" w:cs="仿宋"/>
          <w:b/>
          <w:bCs/>
          <w:color w:val="auto"/>
          <w:kern w:val="2"/>
          <w:sz w:val="24"/>
          <w:szCs w:val="24"/>
          <w:highlight w:val="none"/>
        </w:rPr>
        <w:t>三、</w:t>
      </w:r>
      <w:bookmarkEnd w:id="63"/>
      <w:r>
        <w:rPr>
          <w:rFonts w:hint="eastAsia" w:ascii="仿宋" w:hAnsi="仿宋" w:eastAsia="仿宋" w:cs="仿宋"/>
          <w:b/>
          <w:bCs/>
          <w:color w:val="auto"/>
          <w:kern w:val="2"/>
          <w:sz w:val="24"/>
          <w:szCs w:val="24"/>
          <w:highlight w:val="none"/>
          <w:lang w:val="en-US" w:eastAsia="zh-CN"/>
        </w:rPr>
        <w:t>履约保证金</w:t>
      </w:r>
    </w:p>
    <w:p w14:paraId="04510DEF">
      <w:pPr>
        <w:pStyle w:val="21"/>
        <w:pageBreakBefore w:val="0"/>
        <w:wordWrap/>
        <w:overflowPunct/>
        <w:topLinePunct w:val="0"/>
        <w:bidi w:val="0"/>
        <w:snapToGrid w:val="0"/>
        <w:spacing w:line="0" w:lineRule="atLeast"/>
        <w:ind w:firstLine="480" w:firstLineChars="200"/>
        <w:jc w:val="both"/>
        <w:outlineLvl w:val="2"/>
        <w:rPr>
          <w:rFonts w:hint="eastAsia" w:ascii="仿宋" w:hAnsi="仿宋" w:eastAsia="仿宋" w:cs="仿宋"/>
          <w:color w:val="auto"/>
          <w:kern w:val="2"/>
          <w:sz w:val="24"/>
          <w:szCs w:val="24"/>
          <w:highlight w:val="none"/>
          <w:lang w:val="en-US" w:eastAsia="zh-CN"/>
        </w:rPr>
      </w:pPr>
      <w:bookmarkStart w:id="65" w:name="_Toc25760"/>
      <w:r>
        <w:rPr>
          <w:rFonts w:hint="eastAsia" w:ascii="仿宋" w:hAnsi="仿宋" w:eastAsia="仿宋" w:cs="仿宋"/>
          <w:color w:val="auto"/>
          <w:kern w:val="2"/>
          <w:sz w:val="24"/>
          <w:szCs w:val="24"/>
          <w:highlight w:val="none"/>
          <w:lang w:val="en-US" w:eastAsia="zh-CN"/>
        </w:rPr>
        <w:t>成交通知书下达后7个日历日内，乙方向甲方提供成交价格3%的，见索即付、不可撤销的独立履约保函（期限90个日历日），见索即付、不可撤销的独立履约保函（期限90个日历日），</w:t>
      </w:r>
      <w:r>
        <w:rPr>
          <w:rFonts w:hint="eastAsia" w:ascii="仿宋" w:hAnsi="仿宋" w:eastAsia="仿宋" w:cs="仿宋"/>
          <w:color w:val="auto"/>
          <w:sz w:val="24"/>
          <w:szCs w:val="24"/>
          <w:highlight w:val="none"/>
          <w:lang w:eastAsia="zh-CN"/>
        </w:rPr>
        <w:t>履约保函缴纳后，后期如乙方无故不履行合同，</w:t>
      </w:r>
      <w:r>
        <w:rPr>
          <w:rFonts w:hint="eastAsia" w:ascii="仿宋" w:hAnsi="仿宋" w:eastAsia="仿宋" w:cs="仿宋"/>
          <w:color w:val="auto"/>
          <w:sz w:val="24"/>
          <w:szCs w:val="24"/>
          <w:highlight w:val="none"/>
          <w:lang w:val="en-US" w:eastAsia="zh-CN"/>
        </w:rPr>
        <w:t>甲方有权索兑保函</w:t>
      </w:r>
      <w:r>
        <w:rPr>
          <w:rFonts w:hint="eastAsia" w:ascii="仿宋" w:hAnsi="仿宋" w:eastAsia="仿宋" w:cs="仿宋"/>
          <w:color w:val="auto"/>
          <w:sz w:val="24"/>
          <w:szCs w:val="24"/>
          <w:highlight w:val="none"/>
          <w:lang w:eastAsia="zh-CN"/>
        </w:rPr>
        <w:t>。</w:t>
      </w:r>
    </w:p>
    <w:bookmarkEnd w:id="65"/>
    <w:p w14:paraId="0232B33A">
      <w:pPr>
        <w:pStyle w:val="21"/>
        <w:pageBreakBefore w:val="0"/>
        <w:wordWrap/>
        <w:overflowPunct/>
        <w:topLinePunct w:val="0"/>
        <w:bidi w:val="0"/>
        <w:snapToGrid w:val="0"/>
        <w:spacing w:line="0" w:lineRule="atLeast"/>
        <w:ind w:firstLine="482" w:firstLineChars="200"/>
        <w:jc w:val="both"/>
        <w:outlineLvl w:val="1"/>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rPr>
        <w:t>四、</w:t>
      </w:r>
      <w:r>
        <w:rPr>
          <w:rFonts w:hint="eastAsia" w:ascii="仿宋" w:hAnsi="仿宋" w:eastAsia="仿宋" w:cs="仿宋"/>
          <w:b/>
          <w:bCs/>
          <w:color w:val="auto"/>
          <w:kern w:val="2"/>
          <w:sz w:val="24"/>
          <w:szCs w:val="24"/>
          <w:highlight w:val="none"/>
        </w:rPr>
        <w:t>付款</w:t>
      </w:r>
      <w:r>
        <w:rPr>
          <w:rFonts w:hint="eastAsia" w:ascii="仿宋" w:hAnsi="仿宋" w:eastAsia="仿宋" w:cs="仿宋"/>
          <w:b/>
          <w:bCs/>
          <w:color w:val="auto"/>
          <w:kern w:val="2"/>
          <w:sz w:val="24"/>
          <w:szCs w:val="24"/>
          <w:highlight w:val="none"/>
          <w:lang w:eastAsia="zh-CN"/>
        </w:rPr>
        <w:t>方式及条件</w:t>
      </w:r>
    </w:p>
    <w:p w14:paraId="2F941C5F">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highlight w:val="none"/>
          <w:lang w:val="en-US" w:eastAsia="zh-CN"/>
        </w:rPr>
        <w:t>成交通知书下达后7个日历日内，乙方向甲方提供成交价格3%的履约保函（期限至履约结束），见索即付、不可撤销的独立履约保函（期限90个日历日），</w:t>
      </w:r>
      <w:r>
        <w:rPr>
          <w:rFonts w:hint="eastAsia" w:ascii="仿宋" w:hAnsi="仿宋" w:eastAsia="仿宋" w:cs="仿宋"/>
          <w:color w:val="auto"/>
          <w:sz w:val="24"/>
          <w:szCs w:val="24"/>
          <w:highlight w:val="none"/>
          <w:lang w:eastAsia="zh-CN"/>
        </w:rPr>
        <w:t>履约保函缴纳后，后期如乙方无故不履行合同，</w:t>
      </w:r>
      <w:r>
        <w:rPr>
          <w:rFonts w:hint="eastAsia" w:ascii="仿宋" w:hAnsi="仿宋" w:eastAsia="仿宋" w:cs="仿宋"/>
          <w:color w:val="auto"/>
          <w:sz w:val="24"/>
          <w:szCs w:val="24"/>
          <w:highlight w:val="none"/>
          <w:lang w:val="en-US" w:eastAsia="zh-CN"/>
        </w:rPr>
        <w:t>甲方有权索兑保函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2"/>
          <w:sz w:val="24"/>
          <w:szCs w:val="24"/>
          <w:highlight w:val="none"/>
          <w:lang w:val="en-US" w:eastAsia="zh-CN"/>
        </w:rPr>
        <w:t>。乙方按要求分批次进行供货履约，其中，（1）繁育种犬：合同签订之日起75个日历日内，完成犬只筹备、隔离、选取、体检、防疫驱虫等验收前全部工作；（2）待训警犬：合同签订之日起20个日历日内，完成犬只筹备、隔离、选取、体检、防疫驱虫等验收前全部工作。履约完毕并验收合格后，</w:t>
      </w:r>
      <w:r>
        <w:rPr>
          <w:rFonts w:hint="eastAsia" w:ascii="仿宋" w:hAnsi="仿宋" w:eastAsia="仿宋" w:cs="仿宋"/>
          <w:color w:val="auto"/>
          <w:kern w:val="2"/>
          <w:sz w:val="24"/>
          <w:szCs w:val="24"/>
          <w:highlight w:val="none"/>
          <w:lang w:eastAsia="zh-CN"/>
        </w:rPr>
        <w:t>乙方向甲方提供合同价款</w:t>
      </w:r>
      <w:r>
        <w:rPr>
          <w:rFonts w:hint="eastAsia" w:ascii="仿宋" w:hAnsi="仿宋" w:eastAsia="仿宋" w:cs="仿宋"/>
          <w:color w:val="auto"/>
          <w:kern w:val="2"/>
          <w:sz w:val="24"/>
          <w:szCs w:val="24"/>
          <w:highlight w:val="none"/>
          <w:lang w:val="en-US" w:eastAsia="zh-CN"/>
        </w:rPr>
        <w:t>10</w:t>
      </w:r>
      <w:r>
        <w:rPr>
          <w:rFonts w:hint="eastAsia" w:ascii="仿宋" w:hAnsi="仿宋" w:eastAsia="仿宋" w:cs="仿宋"/>
          <w:color w:val="auto"/>
          <w:kern w:val="2"/>
          <w:sz w:val="24"/>
          <w:szCs w:val="24"/>
          <w:highlight w:val="none"/>
          <w:lang w:eastAsia="zh-CN"/>
        </w:rPr>
        <w:t>0%的发票，资料票据齐全后，在15个日历日内（除因甲方支付环节繁琐导致支付延误的情况除外）向乙方支付合同总额的</w:t>
      </w:r>
      <w:r>
        <w:rPr>
          <w:rFonts w:hint="eastAsia" w:ascii="仿宋" w:hAnsi="仿宋" w:eastAsia="仿宋" w:cs="仿宋"/>
          <w:color w:val="auto"/>
          <w:kern w:val="2"/>
          <w:sz w:val="24"/>
          <w:szCs w:val="24"/>
          <w:highlight w:val="none"/>
          <w:lang w:val="en-US" w:eastAsia="zh-CN"/>
        </w:rPr>
        <w:t>10</w:t>
      </w:r>
      <w:r>
        <w:rPr>
          <w:rFonts w:hint="eastAsia" w:ascii="仿宋" w:hAnsi="仿宋" w:eastAsia="仿宋" w:cs="仿宋"/>
          <w:color w:val="auto"/>
          <w:kern w:val="2"/>
          <w:sz w:val="24"/>
          <w:szCs w:val="24"/>
          <w:highlight w:val="none"/>
          <w:lang w:eastAsia="zh-CN"/>
        </w:rPr>
        <w:t>0%；</w:t>
      </w:r>
    </w:p>
    <w:p w14:paraId="68A3EE48">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eastAsia="zh-CN"/>
        </w:rPr>
        <w:t>经甲方验收合格后，乙方所供产品及服务无质量问题且达到服务要求并无任何违约行为，</w:t>
      </w:r>
      <w:r>
        <w:rPr>
          <w:rFonts w:hint="eastAsia" w:ascii="仿宋" w:hAnsi="仿宋" w:eastAsia="仿宋" w:cs="仿宋"/>
          <w:color w:val="auto"/>
          <w:kern w:val="2"/>
          <w:sz w:val="24"/>
          <w:szCs w:val="24"/>
          <w:highlight w:val="none"/>
        </w:rPr>
        <w:t>甲方配合乙方</w:t>
      </w:r>
      <w:r>
        <w:rPr>
          <w:rFonts w:hint="eastAsia" w:ascii="仿宋" w:hAnsi="仿宋" w:eastAsia="仿宋" w:cs="仿宋"/>
          <w:color w:val="auto"/>
          <w:kern w:val="2"/>
          <w:sz w:val="24"/>
          <w:szCs w:val="24"/>
          <w:highlight w:val="none"/>
          <w:lang w:val="en-US" w:eastAsia="zh-CN"/>
        </w:rPr>
        <w:t>完成履约保函退付（如需要）。</w:t>
      </w:r>
    </w:p>
    <w:p w14:paraId="38881A03">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注：</w:t>
      </w:r>
      <w:r>
        <w:rPr>
          <w:rFonts w:hint="eastAsia" w:ascii="仿宋" w:hAnsi="仿宋" w:eastAsia="仿宋" w:cs="仿宋"/>
          <w:color w:val="auto"/>
          <w:kern w:val="2"/>
          <w:sz w:val="24"/>
          <w:szCs w:val="24"/>
          <w:highlight w:val="none"/>
          <w:lang w:val="zh-TW"/>
        </w:rPr>
        <w:t>如</w:t>
      </w:r>
      <w:r>
        <w:rPr>
          <w:rFonts w:hint="eastAsia" w:ascii="仿宋" w:hAnsi="仿宋" w:eastAsia="仿宋" w:cs="仿宋"/>
          <w:color w:val="auto"/>
          <w:kern w:val="2"/>
          <w:sz w:val="24"/>
          <w:szCs w:val="24"/>
          <w:highlight w:val="none"/>
          <w:lang w:val="en-US" w:eastAsia="zh-CN"/>
        </w:rPr>
        <w:t>供货履约</w:t>
      </w:r>
      <w:r>
        <w:rPr>
          <w:rFonts w:hint="eastAsia" w:ascii="仿宋" w:hAnsi="仿宋" w:eastAsia="仿宋" w:cs="仿宋"/>
          <w:color w:val="auto"/>
          <w:kern w:val="2"/>
          <w:sz w:val="24"/>
          <w:szCs w:val="24"/>
          <w:highlight w:val="none"/>
          <w:lang w:val="zh-TW"/>
        </w:rPr>
        <w:t>服务周期内存在未按照合同履行服务部分，依据单价及数量在</w:t>
      </w:r>
      <w:r>
        <w:rPr>
          <w:rFonts w:hint="eastAsia" w:ascii="仿宋" w:hAnsi="仿宋" w:eastAsia="仿宋" w:cs="仿宋"/>
          <w:color w:val="auto"/>
          <w:kern w:val="2"/>
          <w:sz w:val="24"/>
          <w:szCs w:val="24"/>
          <w:highlight w:val="none"/>
          <w:lang w:val="en-US" w:eastAsia="zh-CN"/>
        </w:rPr>
        <w:t>合同款</w:t>
      </w:r>
      <w:r>
        <w:rPr>
          <w:rFonts w:hint="eastAsia" w:ascii="仿宋" w:hAnsi="仿宋" w:eastAsia="仿宋" w:cs="仿宋"/>
          <w:color w:val="auto"/>
          <w:kern w:val="2"/>
          <w:sz w:val="24"/>
          <w:szCs w:val="24"/>
          <w:highlight w:val="none"/>
          <w:lang w:val="zh-TW"/>
        </w:rPr>
        <w:t>中予以扣除</w:t>
      </w:r>
      <w:r>
        <w:rPr>
          <w:rFonts w:hint="eastAsia" w:ascii="仿宋" w:hAnsi="仿宋" w:eastAsia="仿宋" w:cs="仿宋"/>
          <w:color w:val="auto"/>
          <w:kern w:val="2"/>
          <w:sz w:val="24"/>
          <w:szCs w:val="24"/>
          <w:highlight w:val="none"/>
          <w:lang w:val="zh-TW" w:eastAsia="zh-CN"/>
        </w:rPr>
        <w:t>。</w:t>
      </w:r>
      <w:r>
        <w:rPr>
          <w:rFonts w:hint="eastAsia" w:ascii="仿宋" w:hAnsi="仿宋" w:eastAsia="仿宋" w:cs="仿宋"/>
          <w:color w:val="auto"/>
          <w:kern w:val="2"/>
          <w:sz w:val="24"/>
          <w:szCs w:val="24"/>
          <w:highlight w:val="none"/>
        </w:rPr>
        <w:t>期间，甲方因支付环节繁琐导致支付延误的情况除外，上述款项支付前，</w:t>
      </w:r>
      <w:r>
        <w:rPr>
          <w:rFonts w:hint="eastAsia" w:ascii="仿宋" w:hAnsi="仿宋" w:eastAsia="仿宋" w:cs="仿宋"/>
          <w:color w:val="auto"/>
          <w:kern w:val="2"/>
          <w:sz w:val="24"/>
          <w:szCs w:val="24"/>
          <w:highlight w:val="none"/>
          <w:lang w:eastAsia="zh-CN"/>
        </w:rPr>
        <w:t>乙方须按照甲方</w:t>
      </w:r>
      <w:r>
        <w:rPr>
          <w:rFonts w:hint="eastAsia" w:ascii="仿宋" w:hAnsi="仿宋" w:eastAsia="仿宋" w:cs="仿宋"/>
          <w:color w:val="auto"/>
          <w:kern w:val="2"/>
          <w:sz w:val="24"/>
          <w:szCs w:val="24"/>
          <w:highlight w:val="none"/>
        </w:rPr>
        <w:t>要求开具相应发票，若乙方延迟开具并交付相应发票或开具并交付的发票不符合税法或甲方的要求，则甲方付款时间顺延，由此造成的一切损失，乙方自行负责。乙方不得以此拒绝履行其合同义务，甲方不承担任何违约、赔偿责任。</w:t>
      </w:r>
    </w:p>
    <w:p w14:paraId="2A6D9767">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2.乙方具备上述付款条件后向甲方申请货款时，先将相关结算资料提交甲方。乙方需要提供以下付款单据： </w:t>
      </w:r>
    </w:p>
    <w:p w14:paraId="2DAD3295">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2.1 甲方签署的到货验收合格证明正本一份；</w:t>
      </w:r>
    </w:p>
    <w:p w14:paraId="315A3FA0">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2.2与申请货款等值的税务发票正本一份；</w:t>
      </w:r>
    </w:p>
    <w:p w14:paraId="4EAF88FA">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3.乙方申请付款时，发票必须由乙方提供，不得将货运等发票直接提供给甲方。</w:t>
      </w:r>
    </w:p>
    <w:p w14:paraId="30BF949F">
      <w:pPr>
        <w:pStyle w:val="21"/>
        <w:pageBreakBefore w:val="0"/>
        <w:wordWrap/>
        <w:overflowPunct/>
        <w:topLinePunct w:val="0"/>
        <w:bidi w:val="0"/>
        <w:snapToGrid w:val="0"/>
        <w:spacing w:line="0" w:lineRule="atLeast"/>
        <w:ind w:firstLine="482" w:firstLineChars="200"/>
        <w:jc w:val="both"/>
        <w:outlineLvl w:val="1"/>
        <w:rPr>
          <w:rFonts w:hint="eastAsia" w:ascii="仿宋" w:hAnsi="仿宋" w:eastAsia="仿宋" w:cs="仿宋"/>
          <w:b/>
          <w:bCs/>
          <w:color w:val="auto"/>
          <w:kern w:val="2"/>
          <w:sz w:val="24"/>
          <w:szCs w:val="24"/>
          <w:highlight w:val="none"/>
        </w:rPr>
      </w:pPr>
      <w:bookmarkStart w:id="66" w:name="_Toc15043"/>
      <w:r>
        <w:rPr>
          <w:rFonts w:hint="eastAsia" w:ascii="仿宋" w:hAnsi="仿宋" w:eastAsia="仿宋" w:cs="仿宋"/>
          <w:b/>
          <w:bCs/>
          <w:color w:val="auto"/>
          <w:kern w:val="2"/>
          <w:sz w:val="24"/>
          <w:szCs w:val="24"/>
          <w:highlight w:val="none"/>
          <w:lang w:val="en-US" w:eastAsia="zh-CN"/>
        </w:rPr>
        <w:t>五、供货</w:t>
      </w:r>
      <w:r>
        <w:rPr>
          <w:rFonts w:hint="eastAsia" w:ascii="仿宋" w:hAnsi="仿宋" w:eastAsia="仿宋" w:cs="仿宋"/>
          <w:b/>
          <w:bCs/>
          <w:color w:val="auto"/>
          <w:kern w:val="2"/>
          <w:sz w:val="24"/>
          <w:szCs w:val="24"/>
          <w:highlight w:val="none"/>
        </w:rPr>
        <w:t>期限及要求</w:t>
      </w:r>
      <w:bookmarkEnd w:id="66"/>
    </w:p>
    <w:p w14:paraId="6B894289">
      <w:pPr>
        <w:pStyle w:val="21"/>
        <w:pageBreakBefore w:val="0"/>
        <w:wordWrap/>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bookmarkStart w:id="67" w:name="_Toc788"/>
      <w:r>
        <w:rPr>
          <w:rFonts w:hint="eastAsia" w:ascii="仿宋" w:hAnsi="仿宋" w:eastAsia="仿宋" w:cs="仿宋"/>
          <w:b w:val="0"/>
          <w:bCs w:val="0"/>
          <w:color w:val="auto"/>
          <w:kern w:val="2"/>
          <w:sz w:val="24"/>
          <w:szCs w:val="24"/>
          <w:highlight w:val="none"/>
          <w:lang w:val="en-US" w:eastAsia="zh-CN"/>
        </w:rPr>
        <w:t>合同签订后，乙方应按照甲方要求，分两批次</w:t>
      </w:r>
      <w:r>
        <w:rPr>
          <w:rFonts w:hint="eastAsia" w:ascii="仿宋" w:hAnsi="仿宋" w:eastAsia="仿宋" w:cs="仿宋"/>
          <w:b w:val="0"/>
          <w:bCs w:val="0"/>
          <w:color w:val="auto"/>
          <w:kern w:val="2"/>
          <w:sz w:val="24"/>
          <w:szCs w:val="24"/>
          <w:highlight w:val="none"/>
        </w:rPr>
        <w:t>进行</w:t>
      </w:r>
      <w:r>
        <w:rPr>
          <w:rFonts w:hint="eastAsia" w:ascii="仿宋" w:hAnsi="仿宋" w:eastAsia="仿宋" w:cs="仿宋"/>
          <w:b w:val="0"/>
          <w:bCs w:val="0"/>
          <w:color w:val="auto"/>
          <w:kern w:val="2"/>
          <w:sz w:val="24"/>
          <w:szCs w:val="24"/>
          <w:highlight w:val="none"/>
          <w:lang w:val="en-US" w:eastAsia="zh-CN"/>
        </w:rPr>
        <w:t>供货，其中：（1）繁育种犬：合同签订之日起75个日历日内，完成犬只筹备、隔离、选取、体检、防疫驱虫等验收前全部工作；（2）待训警犬：合同签订之日起20个日历日内，完成犬只筹备、隔离、选取、体检、防疫驱虫等验收前全部工作。</w:t>
      </w:r>
    </w:p>
    <w:p w14:paraId="37E3C1B2">
      <w:pPr>
        <w:pStyle w:val="21"/>
        <w:pageBreakBefore w:val="0"/>
        <w:wordWrap/>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具体情况如下：</w:t>
      </w:r>
    </w:p>
    <w:p w14:paraId="4CFCF27D">
      <w:pPr>
        <w:pStyle w:val="21"/>
        <w:pageBreakBefore w:val="0"/>
        <w:wordWrap/>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（1）繁育种犬：合同签订之日起75个日历日内，完成犬只筹备、隔离、选取、体检、防疫驱虫等验收前全部工作；</w:t>
      </w:r>
    </w:p>
    <w:p w14:paraId="3D325B8B">
      <w:pPr>
        <w:pStyle w:val="21"/>
        <w:pageBreakBefore w:val="0"/>
        <w:wordWrap/>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①犬只筹备：合同签订之日起45个日历日内，乙方需提供按不同种犬品种对应比例犬数量的3倍(18头)犬源送达至乌鲁木齐具备饲养管理条件的区域（区域由乙方自行确定）。</w:t>
      </w:r>
    </w:p>
    <w:p w14:paraId="73F8362C">
      <w:pPr>
        <w:pStyle w:val="21"/>
        <w:pageBreakBefore w:val="0"/>
        <w:wordWrap/>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②犬只隔离：繁育种犬全部送到后，乙方需以函件形式通知甲方（收到函件当日不计算在内），隔离开始时间以函件送达甲方并经甲方确认时间为准，甲方确认后，乙方负责对犬只进行15个日历日的隔离。隔离期间，乙方承担犬只饲养、饲料、人工、防疫、诊疗等所有费用，若隔离期间出现犬只患病、死亡，由乙方无偿补充符合标准的犬只，隔离期重新计算。隔离结束无质量问题后，甲方组织人员对犬只进行测试选取。</w:t>
      </w:r>
    </w:p>
    <w:p w14:paraId="2298F0A9">
      <w:pPr>
        <w:pStyle w:val="21"/>
        <w:pageBreakBefore w:val="0"/>
        <w:wordWrap/>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③犬只测试选取：隔离结束且无质量问题后，乙方需以函件形式通知甲方进行犬只测试选取，甲方自收到函件后10个日历日内（收到函件当日不计算在内），由新疆总站边境管理处负责组织，乌鲁木齐警犬训练基地配合，乙方需委托第三方机构委派1-2名具有警犬技术资质（具体指：中国工作犬管理协会颁发的警犬训练师资格证书、警犬评估师资格证书或同等权威机构出具的警犬技术相关执业资格证书）的专业人员协同监督指导，参照《警犬繁育工作规则（试行）》通知要求，共同完成对18头繁育种犬的挑选并测试，选取符合条件的6头待训警繁育种犬。选犬工作期间产生费用由乙方全额承担。</w:t>
      </w:r>
    </w:p>
    <w:p w14:paraId="4D7FA122">
      <w:pPr>
        <w:pStyle w:val="21"/>
        <w:pageBreakBefore w:val="0"/>
        <w:wordWrap/>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选取标准为：种犬等级评定采用百分制，其中体形外貌占20%、警用性能占30%、繁殖性能占20%、后裔品质占30%。合计总分70-79分为一级，80-89分为二级，90分以上为三级。必须达到90分以上为应标标准。（后附：种犬标准与等级评定办法）</w:t>
      </w:r>
    </w:p>
    <w:p w14:paraId="7DF31960">
      <w:pPr>
        <w:pStyle w:val="21"/>
        <w:pageBreakBefore w:val="0"/>
        <w:wordWrap/>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每头采购种犬均进行科目测试，具体包括：</w:t>
      </w:r>
    </w:p>
    <w:p w14:paraId="45946828">
      <w:pPr>
        <w:pStyle w:val="21"/>
        <w:pageBreakBefore w:val="0"/>
        <w:wordWrap/>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1.服从科目：犬不能出现胆小、外抑制等现象，犬会完成坐、卧、立、随行等基本科目；</w:t>
      </w:r>
    </w:p>
    <w:p w14:paraId="129E45A6">
      <w:pPr>
        <w:pStyle w:val="21"/>
        <w:pageBreakBefore w:val="0"/>
        <w:wordWrap/>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2.衔取科目：犬对物品（球、麻棒等）衔取欲望和占有欲望必须强；</w:t>
      </w:r>
    </w:p>
    <w:p w14:paraId="4015F2A1">
      <w:pPr>
        <w:pStyle w:val="21"/>
        <w:pageBreakBefore w:val="0"/>
        <w:wordWrap/>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3.体型要求：公犬要求体型大（尽可能接近品种标准的上限身高），咬合正确、被毛类型正确、斑纹正确，眼色素合格、结构正确、生殖系统发育正常。母犬要求，体型大或适中（身体结构略长者优先）。不胆怯，物品占有欲高，咬合正确、被毛类型正确、斑纹正确、眼色素合格、结构正确、有效乳头数量正常、生殖系统发育正常。</w:t>
      </w:r>
    </w:p>
    <w:p w14:paraId="0524E965">
      <w:pPr>
        <w:pStyle w:val="21"/>
        <w:pageBreakBefore w:val="0"/>
        <w:wordWrap/>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④体检：3个日历日内，甲方挑选出的犬只由乙方送至具备《动物诊疗许可证》及犬只专业体检资质的动物医院进行全面体检。</w:t>
      </w:r>
    </w:p>
    <w:p w14:paraId="48BDBF03">
      <w:pPr>
        <w:pStyle w:val="21"/>
        <w:pageBreakBefore w:val="0"/>
        <w:wordWrap/>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体检内容包括：体温检测，皮肤检查（真菌、螨虫等），耳道检查，心肺听诊（是否有不适合训练的心脏和肺部疾病），X线检查（检查脊椎、髋关节、肘关节以及骨骼是否有先天性关节变形，骨膜磨损严重或过薄，骨质疏松以及严重缺钙等），B超检查（心、肝、肺、脾、肾），细小病毒和犬瘟热检查，尿常规，血气检查，体温、脉搏、细小病毒、犬瘟热检测，以及对犬的体型骨骼、体态被毛、神经类型及衔取欲望，伍德氏灯皮肤病排查、五大淋巴结检查等。体检合格后，需出具详细的体检报告，并为犬只编制编号，建立一犬一档案。乙方对所有合格犬只完成体检和建档，以函件形式通知甲方，甲方在2个日历日内（收到函件当日不计算在内）对体检及建档情况进行核查核对，经甲（警犬训练基地组织人员）乙双方确认无误后，由乙方运送至甲方警犬训练基地指定地点。</w:t>
      </w:r>
    </w:p>
    <w:p w14:paraId="2565EBFB">
      <w:pPr>
        <w:pStyle w:val="21"/>
        <w:pageBreakBefore w:val="0"/>
        <w:wordWrap/>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4）防疫驱虫：最终选定犬只需在甲方的监督下，完成三次驱虫（2次体内，1次体外）以及英特威四联苗的注射，并在英特威四联苗的注射15个日历日后再注射1针单狂犬疫苗。以上产生的所有费用均由乙方承担。（本项工作不计入合同履约限定时间，乙方须在犬只质保期内完成全部防疫驱虫操作，并将完整操作记录纳入犬只一犬一档案，供甲方核查。）</w:t>
      </w:r>
    </w:p>
    <w:p w14:paraId="226E5A75">
      <w:pPr>
        <w:pStyle w:val="21"/>
        <w:pageBreakBefore w:val="0"/>
        <w:wordWrap/>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5）芯片植入：所供犬只均需提供血统证明（中国工作犬管理协会出具）并植入身份证名芯片（芯片需可扫描并于血统证书信息相一致）。（本项工作不计入合同履约限定时间，乙方须在犬只质保期内完成并记录纳入犬只一犬一档案，供甲方核查。）</w:t>
      </w:r>
    </w:p>
    <w:p w14:paraId="21B465EA">
      <w:pPr>
        <w:pStyle w:val="21"/>
        <w:pageBreakBefore w:val="0"/>
        <w:wordWrap/>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2.甲方最终确定种犬后，需提供完整种犬档案资料，包括：犬的基本情况；犬血统证书；犬生长发育记录；犬免疫记录；犬病历记录；幼犬考察记录；犬训练考核记录；种犬考核记录；同窝犬需标注。</w:t>
      </w:r>
    </w:p>
    <w:p w14:paraId="36808984">
      <w:pPr>
        <w:pageBreakBefore w:val="0"/>
        <w:numPr>
          <w:ilvl w:val="-1"/>
          <w:numId w:val="0"/>
        </w:numPr>
        <w:wordWrap/>
        <w:overflowPunct/>
        <w:topLinePunct w:val="0"/>
        <w:bidi w:val="0"/>
        <w:adjustRightInd/>
        <w:spacing w:line="0" w:lineRule="atLeast"/>
        <w:ind w:firstLine="240" w:firstLineChars="10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三、</w:t>
      </w:r>
      <w:r>
        <w:rPr>
          <w:rFonts w:hint="eastAsia" w:ascii="仿宋" w:hAnsi="仿宋" w:eastAsia="仿宋" w:cs="仿宋"/>
          <w:color w:val="auto"/>
          <w:kern w:val="2"/>
          <w:sz w:val="24"/>
          <w:szCs w:val="24"/>
          <w:highlight w:val="none"/>
        </w:rPr>
        <w:t>警犬种犬标准与等级评定办法</w:t>
      </w:r>
    </w:p>
    <w:p w14:paraId="30A8EC3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w:t>
      </w: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rPr>
        <w:t>-1：德国牧羊犬体形外貌认证项目及评分标准</w:t>
      </w:r>
    </w:p>
    <w:tbl>
      <w:tblPr>
        <w:tblStyle w:val="13"/>
        <w:tblW w:w="87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5"/>
        <w:gridCol w:w="3986"/>
        <w:gridCol w:w="849"/>
        <w:gridCol w:w="3379"/>
      </w:tblGrid>
      <w:tr w14:paraId="1402F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5" w:type="dxa"/>
            <w:noWrap w:val="0"/>
            <w:vAlign w:val="center"/>
          </w:tcPr>
          <w:p w14:paraId="513E0C1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3986" w:type="dxa"/>
            <w:noWrap w:val="0"/>
            <w:vAlign w:val="center"/>
          </w:tcPr>
          <w:p w14:paraId="28E691B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849" w:type="dxa"/>
            <w:noWrap w:val="0"/>
            <w:tcMar>
              <w:left w:w="57" w:type="dxa"/>
              <w:right w:w="57" w:type="dxa"/>
            </w:tcMar>
            <w:vAlign w:val="center"/>
          </w:tcPr>
          <w:p w14:paraId="3A199D5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w:t>
            </w:r>
          </w:p>
          <w:p w14:paraId="3637D76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w:t>
            </w:r>
          </w:p>
        </w:tc>
        <w:tc>
          <w:tcPr>
            <w:tcW w:w="3379" w:type="dxa"/>
            <w:noWrap w:val="0"/>
            <w:vAlign w:val="center"/>
          </w:tcPr>
          <w:p w14:paraId="7587259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26341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4" w:hRule="exact"/>
          <w:jc w:val="center"/>
        </w:trPr>
        <w:tc>
          <w:tcPr>
            <w:tcW w:w="515" w:type="dxa"/>
            <w:vMerge w:val="restart"/>
            <w:noWrap w:val="0"/>
            <w:vAlign w:val="center"/>
          </w:tcPr>
          <w:p w14:paraId="659FD11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总体外貌</w:t>
            </w:r>
          </w:p>
        </w:tc>
        <w:tc>
          <w:tcPr>
            <w:tcW w:w="3986" w:type="dxa"/>
            <w:noWrap w:val="0"/>
            <w:vAlign w:val="top"/>
          </w:tcPr>
          <w:p w14:paraId="34E28A15">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3E1534B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1.各部位匀称，身体结构紧凑、坚实，公母犬性特征明显，生殖器官发育正常。体尺比例恰当，体高与体长之比为8.3-9:10，胸深与体高比为47:100。</w:t>
            </w:r>
          </w:p>
          <w:p w14:paraId="2FE110B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体尺标准（单位cm）：</w:t>
            </w:r>
          </w:p>
          <w:p w14:paraId="32B96F24">
            <w:pPr>
              <w:pageBreakBefore w:val="0"/>
              <w:numPr>
                <w:ilvl w:val="-1"/>
                <w:numId w:val="0"/>
              </w:numPr>
              <w:wordWrap/>
              <w:overflowPunct/>
              <w:topLinePunct w:val="0"/>
              <w:bidi w:val="0"/>
              <w:adjustRightInd/>
              <w:spacing w:line="0" w:lineRule="atLeast"/>
              <w:ind w:firstLine="360" w:firstLineChars="15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体高体长荐高胸围胸深</w:t>
            </w:r>
          </w:p>
          <w:p w14:paraId="1C7381AA">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公60-6568-7259-6369-7328-30</w:t>
            </w:r>
          </w:p>
          <w:p w14:paraId="3D8DCCB1">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母55-6063-6754-5864-6826-28</w:t>
            </w:r>
          </w:p>
        </w:tc>
        <w:tc>
          <w:tcPr>
            <w:tcW w:w="849" w:type="dxa"/>
            <w:noWrap w:val="0"/>
            <w:vAlign w:val="center"/>
          </w:tcPr>
          <w:p w14:paraId="71B304B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w:t>
            </w:r>
          </w:p>
        </w:tc>
        <w:tc>
          <w:tcPr>
            <w:tcW w:w="3379" w:type="dxa"/>
            <w:noWrap w:val="0"/>
            <w:vAlign w:val="top"/>
          </w:tcPr>
          <w:p w14:paraId="4078256D">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0F3CE05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特征不明显为失格，公犬单、双侧隐睾为失格，母犬有效乳头少于四对为失格。身体不紧凑扣1分，胸深超出标准范围1cm、其它体尺任何一项超出标准2cm扣4分。体高低于荐高为失格。体高与体长比例不符扣4分，相反比例为失格。</w:t>
            </w:r>
          </w:p>
        </w:tc>
      </w:tr>
      <w:tr w14:paraId="52A3E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1" w:hRule="exact"/>
          <w:jc w:val="center"/>
        </w:trPr>
        <w:tc>
          <w:tcPr>
            <w:tcW w:w="515" w:type="dxa"/>
            <w:vMerge w:val="continue"/>
            <w:noWrap w:val="0"/>
            <w:vAlign w:val="center"/>
          </w:tcPr>
          <w:p w14:paraId="29D46A9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86" w:type="dxa"/>
            <w:noWrap w:val="0"/>
            <w:vAlign w:val="center"/>
          </w:tcPr>
          <w:p w14:paraId="31F8321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2.毛直而稠密，有光泽，有绒毛层，头部、腿背侧毛最短，毛色为黑色、黑背黄腹、狼青色。</w:t>
            </w:r>
          </w:p>
        </w:tc>
        <w:tc>
          <w:tcPr>
            <w:tcW w:w="849" w:type="dxa"/>
            <w:noWrap w:val="0"/>
            <w:vAlign w:val="center"/>
          </w:tcPr>
          <w:p w14:paraId="1418979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w:t>
            </w:r>
          </w:p>
        </w:tc>
        <w:tc>
          <w:tcPr>
            <w:tcW w:w="3379" w:type="dxa"/>
            <w:noWrap w:val="0"/>
            <w:vAlign w:val="center"/>
          </w:tcPr>
          <w:p w14:paraId="435BD47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被毛超长为失格。卷毛扣3分。</w:t>
            </w:r>
          </w:p>
        </w:tc>
      </w:tr>
      <w:tr w14:paraId="23F98B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15" w:type="dxa"/>
            <w:vMerge w:val="restart"/>
            <w:noWrap w:val="0"/>
            <w:vAlign w:val="center"/>
          </w:tcPr>
          <w:p w14:paraId="20AF29B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头</w:t>
            </w:r>
          </w:p>
          <w:p w14:paraId="7955ADF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27CF1E2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颈</w:t>
            </w:r>
          </w:p>
          <w:p w14:paraId="551B804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6831DFC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部</w:t>
            </w:r>
          </w:p>
        </w:tc>
        <w:tc>
          <w:tcPr>
            <w:tcW w:w="3986" w:type="dxa"/>
            <w:noWrap w:val="0"/>
            <w:vAlign w:val="center"/>
          </w:tcPr>
          <w:p w14:paraId="290FB2F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3.头呈楔型，额段适度，两耳间距适中，额与吻等长。</w:t>
            </w:r>
          </w:p>
        </w:tc>
        <w:tc>
          <w:tcPr>
            <w:tcW w:w="849" w:type="dxa"/>
            <w:noWrap w:val="0"/>
            <w:vAlign w:val="center"/>
          </w:tcPr>
          <w:p w14:paraId="2808660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w:t>
            </w:r>
          </w:p>
        </w:tc>
        <w:tc>
          <w:tcPr>
            <w:tcW w:w="3379" w:type="dxa"/>
            <w:noWrap w:val="0"/>
            <w:vAlign w:val="center"/>
          </w:tcPr>
          <w:p w14:paraId="0CA9E18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头超长为失格。耳间距过窄或过宽扣1分，额部与吻部比例不符扣1分，额阶不明显扣2分。</w:t>
            </w:r>
          </w:p>
        </w:tc>
      </w:tr>
      <w:tr w14:paraId="35CF4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15" w:type="dxa"/>
            <w:vMerge w:val="continue"/>
            <w:noWrap w:val="0"/>
            <w:vAlign w:val="center"/>
          </w:tcPr>
          <w:p w14:paraId="06DA907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86" w:type="dxa"/>
            <w:noWrap w:val="0"/>
            <w:vAlign w:val="center"/>
          </w:tcPr>
          <w:p w14:paraId="7B9645E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4.眼：大小适中，左右对称，呈杏仁形，为棕褐色。</w:t>
            </w:r>
          </w:p>
        </w:tc>
        <w:tc>
          <w:tcPr>
            <w:tcW w:w="849" w:type="dxa"/>
            <w:noWrap w:val="0"/>
            <w:vAlign w:val="center"/>
          </w:tcPr>
          <w:p w14:paraId="75CB027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tc>
        <w:tc>
          <w:tcPr>
            <w:tcW w:w="3379" w:type="dxa"/>
            <w:noWrap w:val="0"/>
            <w:vAlign w:val="center"/>
          </w:tcPr>
          <w:p w14:paraId="375FD5C2">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不呈杏仁形或不对称为失格。眼睛小扣1分，眼色不正扣1分。</w:t>
            </w:r>
          </w:p>
        </w:tc>
      </w:tr>
      <w:tr w14:paraId="520554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5" w:hRule="exact"/>
          <w:jc w:val="center"/>
        </w:trPr>
        <w:tc>
          <w:tcPr>
            <w:tcW w:w="515" w:type="dxa"/>
            <w:vMerge w:val="continue"/>
            <w:noWrap w:val="0"/>
            <w:vAlign w:val="center"/>
          </w:tcPr>
          <w:p w14:paraId="09CD938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86" w:type="dxa"/>
            <w:noWrap w:val="0"/>
            <w:vAlign w:val="center"/>
          </w:tcPr>
          <w:p w14:paraId="33A7D0A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5.耳：大小适中，直立向前，耳基部较厚，其它部位厚薄均匀。</w:t>
            </w:r>
          </w:p>
        </w:tc>
        <w:tc>
          <w:tcPr>
            <w:tcW w:w="849" w:type="dxa"/>
            <w:noWrap w:val="0"/>
            <w:vAlign w:val="center"/>
          </w:tcPr>
          <w:p w14:paraId="3842A1C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w:t>
            </w:r>
          </w:p>
        </w:tc>
        <w:tc>
          <w:tcPr>
            <w:tcW w:w="3379" w:type="dxa"/>
            <w:noWrap w:val="0"/>
            <w:vAlign w:val="center"/>
          </w:tcPr>
          <w:p w14:paraId="2EFE69E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耳半立、不立为失格。耳过大或过小扣1分，耳厚薄不匀扣1分，外倾或内靠扣2分。</w:t>
            </w:r>
          </w:p>
        </w:tc>
      </w:tr>
      <w:tr w14:paraId="7B25E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15" w:type="dxa"/>
            <w:vMerge w:val="continue"/>
            <w:noWrap w:val="0"/>
            <w:vAlign w:val="center"/>
          </w:tcPr>
          <w:p w14:paraId="3189F80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86" w:type="dxa"/>
            <w:noWrap w:val="0"/>
            <w:vAlign w:val="center"/>
          </w:tcPr>
          <w:p w14:paraId="2F15590D">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6.口鼻：鼻梁直，鼻头大小适中，鼻镜为黑色，嘴唇紧缩。</w:t>
            </w:r>
          </w:p>
        </w:tc>
        <w:tc>
          <w:tcPr>
            <w:tcW w:w="849" w:type="dxa"/>
            <w:noWrap w:val="0"/>
            <w:vAlign w:val="center"/>
          </w:tcPr>
          <w:p w14:paraId="2DC5832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w:t>
            </w:r>
          </w:p>
        </w:tc>
        <w:tc>
          <w:tcPr>
            <w:tcW w:w="3379" w:type="dxa"/>
            <w:noWrap w:val="0"/>
            <w:vAlign w:val="center"/>
          </w:tcPr>
          <w:p w14:paraId="5CE132F7">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鼻镜非黑色失格。鼻梁不直扣3分，吻部过细扣1分，嘴唇不紧扣2分。</w:t>
            </w:r>
          </w:p>
        </w:tc>
      </w:tr>
      <w:tr w14:paraId="11029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3" w:hRule="exact"/>
          <w:jc w:val="center"/>
        </w:trPr>
        <w:tc>
          <w:tcPr>
            <w:tcW w:w="515" w:type="dxa"/>
            <w:vMerge w:val="continue"/>
            <w:noWrap w:val="0"/>
            <w:vAlign w:val="center"/>
          </w:tcPr>
          <w:p w14:paraId="2BEA749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86" w:type="dxa"/>
            <w:noWrap w:val="0"/>
            <w:vAlign w:val="center"/>
          </w:tcPr>
          <w:p w14:paraId="46EB52B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7.齿：齿42颗，位置正确，排列整齐，呈剪式咬合。齿式为：</w:t>
            </w:r>
          </w:p>
          <w:p w14:paraId="024F0C80">
            <w:pPr>
              <w:pageBreakBefore w:val="0"/>
              <w:numPr>
                <w:ilvl w:val="-1"/>
                <w:numId w:val="0"/>
              </w:numPr>
              <w:wordWrap/>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3.1.4.2</w:t>
            </w:r>
          </w:p>
          <w:p w14:paraId="2FB01C2F">
            <w:pPr>
              <w:pageBreakBefore w:val="0"/>
              <w:numPr>
                <w:ilvl w:val="-1"/>
                <w:numId w:val="0"/>
              </w:numPr>
              <w:wordWrap/>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p w14:paraId="53CD383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3.1.4.3</w:t>
            </w:r>
          </w:p>
        </w:tc>
        <w:tc>
          <w:tcPr>
            <w:tcW w:w="849" w:type="dxa"/>
            <w:noWrap w:val="0"/>
            <w:vAlign w:val="center"/>
          </w:tcPr>
          <w:p w14:paraId="1091BF5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w:t>
            </w:r>
          </w:p>
        </w:tc>
        <w:tc>
          <w:tcPr>
            <w:tcW w:w="3379" w:type="dxa"/>
            <w:noWrap w:val="0"/>
            <w:vAlign w:val="center"/>
          </w:tcPr>
          <w:p w14:paraId="2E9DA86C">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缺1颗犬齿或其它牙齿2颗以上为失格。上超下超咬合为失格。咬合不良扣2分，牙齿整齐度差扣1分。</w:t>
            </w:r>
          </w:p>
        </w:tc>
      </w:tr>
      <w:tr w14:paraId="01B83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15" w:type="dxa"/>
            <w:vMerge w:val="continue"/>
            <w:noWrap w:val="0"/>
            <w:vAlign w:val="center"/>
          </w:tcPr>
          <w:p w14:paraId="7F7DA38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86" w:type="dxa"/>
            <w:noWrap w:val="0"/>
            <w:vAlign w:val="center"/>
          </w:tcPr>
          <w:p w14:paraId="6C82AE8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8.颈部：颈部长短适宜有力。</w:t>
            </w:r>
          </w:p>
        </w:tc>
        <w:tc>
          <w:tcPr>
            <w:tcW w:w="849" w:type="dxa"/>
            <w:noWrap w:val="0"/>
            <w:vAlign w:val="center"/>
          </w:tcPr>
          <w:p w14:paraId="1EBD930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w:t>
            </w:r>
          </w:p>
        </w:tc>
        <w:tc>
          <w:tcPr>
            <w:tcW w:w="3379" w:type="dxa"/>
            <w:noWrap w:val="0"/>
            <w:vAlign w:val="center"/>
          </w:tcPr>
          <w:p w14:paraId="622F67F7">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颈部肌肉不发达、颈部过短各扣1分。</w:t>
            </w:r>
          </w:p>
        </w:tc>
      </w:tr>
      <w:tr w14:paraId="67B82A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515" w:type="dxa"/>
            <w:noWrap w:val="0"/>
            <w:vAlign w:val="center"/>
          </w:tcPr>
          <w:p w14:paraId="57A053D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躯干部</w:t>
            </w:r>
          </w:p>
        </w:tc>
        <w:tc>
          <w:tcPr>
            <w:tcW w:w="3986" w:type="dxa"/>
            <w:noWrap w:val="0"/>
            <w:vAlign w:val="center"/>
          </w:tcPr>
          <w:p w14:paraId="261DD725">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9.背腰平直，肋骨形状适宜，荐部以23度微向下斜。</w:t>
            </w:r>
          </w:p>
        </w:tc>
        <w:tc>
          <w:tcPr>
            <w:tcW w:w="849" w:type="dxa"/>
            <w:noWrap w:val="0"/>
            <w:vAlign w:val="center"/>
          </w:tcPr>
          <w:p w14:paraId="6A818A1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18</w:t>
            </w:r>
          </w:p>
        </w:tc>
        <w:tc>
          <w:tcPr>
            <w:tcW w:w="3379" w:type="dxa"/>
            <w:noWrap w:val="0"/>
            <w:vAlign w:val="center"/>
          </w:tcPr>
          <w:p w14:paraId="53E896C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凹背、凸背为失格。肋骨扩张不良扣4分，背腰过窄扣2分。</w:t>
            </w:r>
          </w:p>
        </w:tc>
      </w:tr>
      <w:tr w14:paraId="44B6A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8" w:hRule="exact"/>
          <w:jc w:val="center"/>
        </w:trPr>
        <w:tc>
          <w:tcPr>
            <w:tcW w:w="515" w:type="dxa"/>
            <w:vMerge w:val="restart"/>
            <w:noWrap w:val="0"/>
            <w:vAlign w:val="center"/>
          </w:tcPr>
          <w:p w14:paraId="17D1297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四肢与步态</w:t>
            </w:r>
          </w:p>
        </w:tc>
        <w:tc>
          <w:tcPr>
            <w:tcW w:w="3986" w:type="dxa"/>
            <w:noWrap w:val="0"/>
            <w:vAlign w:val="center"/>
          </w:tcPr>
          <w:p w14:paraId="60F37EE5">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四肢强健，趾部紧密。在前肢桡尺部和后肢跖部与地面垂直时，肩胛骨与肱骨角度为95—100度；肱骨与桡尺骨角度为135—145度；髋骨与股骨的角度为90—100度；股骨与胫腓骨角度为130度；胫腓骨与跖骨的角度为120度。</w:t>
            </w:r>
          </w:p>
        </w:tc>
        <w:tc>
          <w:tcPr>
            <w:tcW w:w="849" w:type="dxa"/>
            <w:noWrap w:val="0"/>
            <w:vAlign w:val="center"/>
          </w:tcPr>
          <w:p w14:paraId="4A879C0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3379" w:type="dxa"/>
            <w:noWrap w:val="0"/>
            <w:vAlign w:val="center"/>
          </w:tcPr>
          <w:p w14:paraId="2B961C0A">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关节角度偏差大于10%为失格。关节角偏差5%扣2分，偏差10%扣4分，趾松扣1分。</w:t>
            </w:r>
          </w:p>
        </w:tc>
      </w:tr>
      <w:tr w14:paraId="7CCFC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exact"/>
          <w:jc w:val="center"/>
        </w:trPr>
        <w:tc>
          <w:tcPr>
            <w:tcW w:w="515" w:type="dxa"/>
            <w:vMerge w:val="continue"/>
            <w:noWrap w:val="0"/>
            <w:vAlign w:val="center"/>
          </w:tcPr>
          <w:p w14:paraId="76AA937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86" w:type="dxa"/>
            <w:noWrap w:val="0"/>
            <w:vAlign w:val="center"/>
          </w:tcPr>
          <w:p w14:paraId="4685919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11.步态匀称、协调、轻松。</w:t>
            </w:r>
          </w:p>
        </w:tc>
        <w:tc>
          <w:tcPr>
            <w:tcW w:w="849" w:type="dxa"/>
            <w:noWrap w:val="0"/>
            <w:vAlign w:val="center"/>
          </w:tcPr>
          <w:p w14:paraId="4E42050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3379" w:type="dxa"/>
            <w:noWrap w:val="0"/>
            <w:vAlign w:val="center"/>
          </w:tcPr>
          <w:p w14:paraId="5AD3F7A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跑步时四肢外展为失格。步态不协调扣3分。</w:t>
            </w:r>
          </w:p>
        </w:tc>
      </w:tr>
      <w:tr w14:paraId="479F8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515" w:type="dxa"/>
            <w:noWrap w:val="0"/>
            <w:vAlign w:val="center"/>
          </w:tcPr>
          <w:p w14:paraId="3762CC8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尾</w:t>
            </w:r>
          </w:p>
        </w:tc>
        <w:tc>
          <w:tcPr>
            <w:tcW w:w="3986" w:type="dxa"/>
            <w:noWrap w:val="0"/>
            <w:vAlign w:val="center"/>
          </w:tcPr>
          <w:p w14:paraId="3148E7B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12.呈马刀型，过飞节，大小适中，毛丰满，兴奋时弓状稍向上翘起。</w:t>
            </w:r>
          </w:p>
        </w:tc>
        <w:tc>
          <w:tcPr>
            <w:tcW w:w="849" w:type="dxa"/>
            <w:noWrap w:val="0"/>
            <w:vAlign w:val="center"/>
          </w:tcPr>
          <w:p w14:paraId="26FC0E5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tc>
        <w:tc>
          <w:tcPr>
            <w:tcW w:w="3379" w:type="dxa"/>
            <w:noWrap w:val="0"/>
            <w:vAlign w:val="center"/>
          </w:tcPr>
          <w:p w14:paraId="76D245C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尾过短或过长扣1分，卷尾扣1分。</w:t>
            </w:r>
          </w:p>
        </w:tc>
      </w:tr>
    </w:tbl>
    <w:p w14:paraId="3657B4C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5F1AD38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w:t>
      </w: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rPr>
        <w:t>-2：德国牧羊犬种犬警用性能认证项目及评分标准</w:t>
      </w:r>
    </w:p>
    <w:tbl>
      <w:tblPr>
        <w:tblStyle w:val="13"/>
        <w:tblW w:w="870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571"/>
        <w:gridCol w:w="951"/>
        <w:gridCol w:w="4186"/>
      </w:tblGrid>
      <w:tr w14:paraId="72E59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8" w:type="dxa"/>
            <w:noWrap w:val="0"/>
            <w:vAlign w:val="center"/>
          </w:tcPr>
          <w:p w14:paraId="01D4113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571" w:type="dxa"/>
            <w:noWrap w:val="0"/>
            <w:vAlign w:val="center"/>
          </w:tcPr>
          <w:p w14:paraId="091F879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951" w:type="dxa"/>
            <w:noWrap w:val="0"/>
            <w:vAlign w:val="center"/>
          </w:tcPr>
          <w:p w14:paraId="1F2E1F5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4186" w:type="dxa"/>
            <w:noWrap w:val="0"/>
            <w:vAlign w:val="center"/>
          </w:tcPr>
          <w:p w14:paraId="01D15A1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47D54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998" w:type="dxa"/>
            <w:noWrap w:val="0"/>
            <w:vAlign w:val="center"/>
          </w:tcPr>
          <w:p w14:paraId="648F4DB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神经</w:t>
            </w:r>
          </w:p>
          <w:p w14:paraId="6A34DE6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类型</w:t>
            </w:r>
          </w:p>
        </w:tc>
        <w:tc>
          <w:tcPr>
            <w:tcW w:w="2571" w:type="dxa"/>
            <w:noWrap w:val="0"/>
            <w:vAlign w:val="center"/>
          </w:tcPr>
          <w:p w14:paraId="7A8973F5">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活泼、兴奋，转化快。</w:t>
            </w:r>
          </w:p>
        </w:tc>
        <w:tc>
          <w:tcPr>
            <w:tcW w:w="951" w:type="dxa"/>
            <w:noWrap w:val="0"/>
            <w:vAlign w:val="center"/>
          </w:tcPr>
          <w:p w14:paraId="1E7E65D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w:t>
            </w:r>
          </w:p>
        </w:tc>
        <w:tc>
          <w:tcPr>
            <w:tcW w:w="4186" w:type="dxa"/>
            <w:noWrap w:val="0"/>
            <w:vAlign w:val="center"/>
          </w:tcPr>
          <w:p w14:paraId="527D489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弱型为失格。兴奋性偏低扣5分，转化慢扣5分。</w:t>
            </w:r>
          </w:p>
        </w:tc>
      </w:tr>
      <w:tr w14:paraId="1F371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8" w:type="dxa"/>
            <w:noWrap w:val="0"/>
            <w:vAlign w:val="center"/>
          </w:tcPr>
          <w:p w14:paraId="3AAFC95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胆量</w:t>
            </w:r>
          </w:p>
        </w:tc>
        <w:tc>
          <w:tcPr>
            <w:tcW w:w="2571" w:type="dxa"/>
            <w:noWrap w:val="0"/>
            <w:vAlign w:val="center"/>
          </w:tcPr>
          <w:p w14:paraId="7778442C">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胆大，对环境适应强。</w:t>
            </w:r>
          </w:p>
        </w:tc>
        <w:tc>
          <w:tcPr>
            <w:tcW w:w="951" w:type="dxa"/>
            <w:noWrap w:val="0"/>
            <w:vAlign w:val="center"/>
          </w:tcPr>
          <w:p w14:paraId="2D8123E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w:t>
            </w:r>
          </w:p>
        </w:tc>
        <w:tc>
          <w:tcPr>
            <w:tcW w:w="4186" w:type="dxa"/>
            <w:noWrap w:val="0"/>
            <w:vAlign w:val="center"/>
          </w:tcPr>
          <w:p w14:paraId="16F250E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胆小为失格。对环境适应性弱扣5—10分。</w:t>
            </w:r>
          </w:p>
        </w:tc>
      </w:tr>
      <w:tr w14:paraId="3716C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998" w:type="dxa"/>
            <w:noWrap w:val="0"/>
            <w:vAlign w:val="center"/>
          </w:tcPr>
          <w:p w14:paraId="6C3A8E7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攻击性</w:t>
            </w:r>
          </w:p>
        </w:tc>
        <w:tc>
          <w:tcPr>
            <w:tcW w:w="2571" w:type="dxa"/>
            <w:noWrap w:val="0"/>
            <w:vAlign w:val="center"/>
          </w:tcPr>
          <w:p w14:paraId="39E844FC">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敢于攻击目标，具有凶猛性</w:t>
            </w:r>
          </w:p>
        </w:tc>
        <w:tc>
          <w:tcPr>
            <w:tcW w:w="951" w:type="dxa"/>
            <w:noWrap w:val="0"/>
            <w:vAlign w:val="center"/>
          </w:tcPr>
          <w:p w14:paraId="7F6B678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w:t>
            </w:r>
          </w:p>
        </w:tc>
        <w:tc>
          <w:tcPr>
            <w:tcW w:w="4186" w:type="dxa"/>
            <w:noWrap w:val="0"/>
            <w:vAlign w:val="center"/>
          </w:tcPr>
          <w:p w14:paraId="40CA922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不敢攻击目标为失格。有凶猛性但攻击目标为犹豫或胆怯表现扣8分，攻击目标凶猛性不高扣5分。</w:t>
            </w:r>
          </w:p>
        </w:tc>
      </w:tr>
      <w:tr w14:paraId="057E6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5" w:hRule="exact"/>
          <w:jc w:val="center"/>
        </w:trPr>
        <w:tc>
          <w:tcPr>
            <w:tcW w:w="998" w:type="dxa"/>
            <w:noWrap w:val="0"/>
            <w:vAlign w:val="center"/>
          </w:tcPr>
          <w:p w14:paraId="7EA695F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衔取欲</w:t>
            </w:r>
          </w:p>
        </w:tc>
        <w:tc>
          <w:tcPr>
            <w:tcW w:w="2571" w:type="dxa"/>
            <w:noWrap w:val="0"/>
            <w:vAlign w:val="center"/>
          </w:tcPr>
          <w:p w14:paraId="7AAD200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猎取反射强，占有欲望强。</w:t>
            </w:r>
          </w:p>
        </w:tc>
        <w:tc>
          <w:tcPr>
            <w:tcW w:w="951" w:type="dxa"/>
            <w:noWrap w:val="0"/>
            <w:vAlign w:val="center"/>
          </w:tcPr>
          <w:p w14:paraId="0102071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w:t>
            </w:r>
          </w:p>
        </w:tc>
        <w:tc>
          <w:tcPr>
            <w:tcW w:w="4186" w:type="dxa"/>
            <w:noWrap w:val="0"/>
            <w:vAlign w:val="center"/>
          </w:tcPr>
          <w:p w14:paraId="2CF2F59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不衔物品为失格。衔取兴奋性不高扣3分，衔取不持久、中途吐物扣2分。占有欲弱扣5分。</w:t>
            </w:r>
          </w:p>
        </w:tc>
      </w:tr>
      <w:tr w14:paraId="1F005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98" w:type="dxa"/>
            <w:noWrap w:val="0"/>
            <w:vAlign w:val="center"/>
          </w:tcPr>
          <w:p w14:paraId="64F6AA2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服从性</w:t>
            </w:r>
          </w:p>
        </w:tc>
        <w:tc>
          <w:tcPr>
            <w:tcW w:w="2571" w:type="dxa"/>
            <w:noWrap w:val="0"/>
            <w:vAlign w:val="center"/>
          </w:tcPr>
          <w:p w14:paraId="167FDC5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服从主人指挥。</w:t>
            </w:r>
          </w:p>
        </w:tc>
        <w:tc>
          <w:tcPr>
            <w:tcW w:w="951" w:type="dxa"/>
            <w:noWrap w:val="0"/>
            <w:vAlign w:val="center"/>
          </w:tcPr>
          <w:p w14:paraId="5330B5B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4186" w:type="dxa"/>
            <w:noWrap w:val="0"/>
            <w:vAlign w:val="center"/>
          </w:tcPr>
          <w:p w14:paraId="4CC2ED8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重复指挥一次扣1分，重复指挥二次再扣2分。</w:t>
            </w:r>
          </w:p>
        </w:tc>
      </w:tr>
      <w:tr w14:paraId="6F3F2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998" w:type="dxa"/>
            <w:noWrap w:val="0"/>
            <w:vAlign w:val="center"/>
          </w:tcPr>
          <w:p w14:paraId="0AF982F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体能</w:t>
            </w:r>
          </w:p>
        </w:tc>
        <w:tc>
          <w:tcPr>
            <w:tcW w:w="2571" w:type="dxa"/>
            <w:noWrap w:val="0"/>
            <w:vAlign w:val="center"/>
          </w:tcPr>
          <w:p w14:paraId="31B5F27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能连续奔跑5千米以上。</w:t>
            </w:r>
          </w:p>
        </w:tc>
        <w:tc>
          <w:tcPr>
            <w:tcW w:w="951" w:type="dxa"/>
            <w:noWrap w:val="0"/>
            <w:vAlign w:val="center"/>
          </w:tcPr>
          <w:p w14:paraId="18AA5AF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w:t>
            </w:r>
          </w:p>
        </w:tc>
        <w:tc>
          <w:tcPr>
            <w:tcW w:w="4186" w:type="dxa"/>
            <w:noWrap w:val="0"/>
            <w:vAlign w:val="center"/>
          </w:tcPr>
          <w:p w14:paraId="300CE37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不能连续奔跑3千米不得分，不能连续奔跑4千米扣5分。</w:t>
            </w:r>
          </w:p>
        </w:tc>
      </w:tr>
    </w:tbl>
    <w:p w14:paraId="1DA54B2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56510CE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w:t>
      </w: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rPr>
        <w:t>-3：德国牧羊犬种公犬繁殖性能认证项目及评分标准</w:t>
      </w:r>
    </w:p>
    <w:tbl>
      <w:tblPr>
        <w:tblStyle w:val="13"/>
        <w:tblW w:w="86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862"/>
        <w:gridCol w:w="951"/>
        <w:gridCol w:w="3854"/>
      </w:tblGrid>
      <w:tr w14:paraId="622B1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26" w:type="dxa"/>
            <w:noWrap w:val="0"/>
            <w:vAlign w:val="center"/>
          </w:tcPr>
          <w:p w14:paraId="0958959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862" w:type="dxa"/>
            <w:noWrap w:val="0"/>
            <w:vAlign w:val="center"/>
          </w:tcPr>
          <w:p w14:paraId="5EB4E5F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951" w:type="dxa"/>
            <w:noWrap w:val="0"/>
            <w:vAlign w:val="center"/>
          </w:tcPr>
          <w:p w14:paraId="60E8655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3854" w:type="dxa"/>
            <w:noWrap w:val="0"/>
            <w:vAlign w:val="center"/>
          </w:tcPr>
          <w:p w14:paraId="38D52E2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0C605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1026" w:type="dxa"/>
            <w:noWrap w:val="0"/>
            <w:vAlign w:val="center"/>
          </w:tcPr>
          <w:p w14:paraId="7548A4E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性反射</w:t>
            </w:r>
          </w:p>
          <w:p w14:paraId="13B4F15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能力</w:t>
            </w:r>
          </w:p>
        </w:tc>
        <w:tc>
          <w:tcPr>
            <w:tcW w:w="2862" w:type="dxa"/>
            <w:noWrap w:val="0"/>
            <w:vAlign w:val="center"/>
          </w:tcPr>
          <w:p w14:paraId="127F048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spacing w:val="-8"/>
                <w:kern w:val="2"/>
                <w:sz w:val="24"/>
                <w:szCs w:val="24"/>
                <w:highlight w:val="none"/>
              </w:rPr>
            </w:pPr>
            <w:r>
              <w:rPr>
                <w:rFonts w:hint="eastAsia" w:ascii="仿宋" w:hAnsi="仿宋" w:eastAsia="仿宋" w:cs="仿宋"/>
                <w:color w:val="auto"/>
                <w:spacing w:val="-8"/>
                <w:kern w:val="2"/>
                <w:sz w:val="24"/>
                <w:szCs w:val="24"/>
                <w:highlight w:val="none"/>
              </w:rPr>
              <w:t>对发情母犬产生强烈的性欲望。</w:t>
            </w:r>
          </w:p>
        </w:tc>
        <w:tc>
          <w:tcPr>
            <w:tcW w:w="951" w:type="dxa"/>
            <w:noWrap w:val="0"/>
            <w:vAlign w:val="center"/>
          </w:tcPr>
          <w:p w14:paraId="6C12893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40</w:t>
            </w:r>
          </w:p>
        </w:tc>
        <w:tc>
          <w:tcPr>
            <w:tcW w:w="3854" w:type="dxa"/>
            <w:noWrap w:val="0"/>
            <w:vAlign w:val="center"/>
          </w:tcPr>
          <w:p w14:paraId="154AB01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靠近最适交配期发情母犬，不嗅闻又不爬跨为失格。交配欲望较差扣5分，交配时爬跨5—10次后不再爬跨扣5分，爬跨2—3次后不再爬跨扣10分，对发情母犬只嗅闻完全不爬跨扣30分。</w:t>
            </w:r>
          </w:p>
        </w:tc>
      </w:tr>
      <w:tr w14:paraId="1D8D4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26" w:type="dxa"/>
            <w:noWrap w:val="0"/>
            <w:vAlign w:val="center"/>
          </w:tcPr>
          <w:p w14:paraId="7D04481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精子</w:t>
            </w:r>
          </w:p>
          <w:p w14:paraId="618C6C9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活力</w:t>
            </w:r>
          </w:p>
        </w:tc>
        <w:tc>
          <w:tcPr>
            <w:tcW w:w="2862" w:type="dxa"/>
            <w:noWrap w:val="0"/>
            <w:vAlign w:val="center"/>
          </w:tcPr>
          <w:p w14:paraId="74AC44E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0.6以上</w:t>
            </w:r>
          </w:p>
        </w:tc>
        <w:tc>
          <w:tcPr>
            <w:tcW w:w="951" w:type="dxa"/>
            <w:noWrap w:val="0"/>
            <w:vAlign w:val="center"/>
          </w:tcPr>
          <w:p w14:paraId="4A2CCC6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60</w:t>
            </w:r>
          </w:p>
        </w:tc>
        <w:tc>
          <w:tcPr>
            <w:tcW w:w="3854" w:type="dxa"/>
            <w:noWrap w:val="0"/>
            <w:vAlign w:val="center"/>
          </w:tcPr>
          <w:p w14:paraId="5D0074B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低于0.6为失格。0.8以上得满分，每少0.1扣9分。</w:t>
            </w:r>
          </w:p>
        </w:tc>
      </w:tr>
    </w:tbl>
    <w:p w14:paraId="4CCA40E4">
      <w:pPr>
        <w:pageBreakBefore w:val="0"/>
        <w:numPr>
          <w:ilvl w:val="-1"/>
          <w:numId w:val="0"/>
        </w:numPr>
        <w:wordWrap/>
        <w:overflowPunct/>
        <w:topLinePunct w:val="0"/>
        <w:bidi w:val="0"/>
        <w:adjustRightInd/>
        <w:spacing w:line="0" w:lineRule="atLeast"/>
        <w:ind w:firstLine="0"/>
        <w:jc w:val="both"/>
        <w:textAlignment w:val="auto"/>
        <w:rPr>
          <w:rFonts w:hint="eastAsia" w:ascii="仿宋" w:hAnsi="仿宋" w:eastAsia="仿宋" w:cs="仿宋"/>
          <w:color w:val="auto"/>
          <w:kern w:val="2"/>
          <w:sz w:val="24"/>
          <w:szCs w:val="24"/>
          <w:highlight w:val="none"/>
        </w:rPr>
      </w:pPr>
    </w:p>
    <w:p w14:paraId="1C3BDAD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w:t>
      </w: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rPr>
        <w:t>-4：德国牧羊犬种母犬繁殖性能认证项目及评分标准</w:t>
      </w:r>
    </w:p>
    <w:tbl>
      <w:tblPr>
        <w:tblStyle w:val="13"/>
        <w:tblW w:w="86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2874"/>
        <w:gridCol w:w="951"/>
        <w:gridCol w:w="3854"/>
      </w:tblGrid>
      <w:tr w14:paraId="0D205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4" w:type="dxa"/>
            <w:noWrap w:val="0"/>
            <w:vAlign w:val="center"/>
          </w:tcPr>
          <w:p w14:paraId="23030BD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874" w:type="dxa"/>
            <w:noWrap w:val="0"/>
            <w:vAlign w:val="center"/>
          </w:tcPr>
          <w:p w14:paraId="17101CD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951" w:type="dxa"/>
            <w:noWrap w:val="0"/>
            <w:vAlign w:val="center"/>
          </w:tcPr>
          <w:p w14:paraId="0773676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3854" w:type="dxa"/>
            <w:noWrap w:val="0"/>
            <w:vAlign w:val="center"/>
          </w:tcPr>
          <w:p w14:paraId="7A6BCE0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5528F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1014" w:type="dxa"/>
            <w:noWrap w:val="0"/>
            <w:vAlign w:val="center"/>
          </w:tcPr>
          <w:p w14:paraId="7846525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窝产</w:t>
            </w:r>
          </w:p>
          <w:p w14:paraId="77E559F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仔数</w:t>
            </w:r>
          </w:p>
        </w:tc>
        <w:tc>
          <w:tcPr>
            <w:tcW w:w="2874" w:type="dxa"/>
            <w:noWrap w:val="0"/>
            <w:vAlign w:val="center"/>
          </w:tcPr>
          <w:p w14:paraId="4953923C">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spacing w:val="-8"/>
                <w:kern w:val="2"/>
                <w:sz w:val="24"/>
                <w:szCs w:val="24"/>
                <w:highlight w:val="none"/>
              </w:rPr>
            </w:pPr>
            <w:r>
              <w:rPr>
                <w:rFonts w:hint="eastAsia" w:ascii="仿宋" w:hAnsi="仿宋" w:eastAsia="仿宋" w:cs="仿宋"/>
                <w:color w:val="auto"/>
                <w:spacing w:val="-8"/>
                <w:kern w:val="2"/>
                <w:sz w:val="24"/>
                <w:szCs w:val="24"/>
                <w:highlight w:val="none"/>
              </w:rPr>
              <w:t>累计2窝以上（含2窝）资料评定，平均窝产仔数达到6头以上。</w:t>
            </w:r>
          </w:p>
        </w:tc>
        <w:tc>
          <w:tcPr>
            <w:tcW w:w="951" w:type="dxa"/>
            <w:noWrap w:val="0"/>
            <w:vAlign w:val="center"/>
          </w:tcPr>
          <w:p w14:paraId="06E42C5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30</w:t>
            </w:r>
          </w:p>
        </w:tc>
        <w:tc>
          <w:tcPr>
            <w:tcW w:w="3854" w:type="dxa"/>
            <w:noWrap w:val="0"/>
            <w:vAlign w:val="center"/>
          </w:tcPr>
          <w:p w14:paraId="410C46B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平均窝产仔数6头以上得满分，每少1头扣10分。</w:t>
            </w:r>
          </w:p>
        </w:tc>
      </w:tr>
      <w:tr w14:paraId="27ADD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4" w:type="dxa"/>
            <w:noWrap w:val="0"/>
            <w:vAlign w:val="center"/>
          </w:tcPr>
          <w:p w14:paraId="1EA2440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初生重</w:t>
            </w:r>
          </w:p>
        </w:tc>
        <w:tc>
          <w:tcPr>
            <w:tcW w:w="2874" w:type="dxa"/>
            <w:noWrap w:val="0"/>
            <w:vAlign w:val="center"/>
          </w:tcPr>
          <w:p w14:paraId="46C04172">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每头仔犬0.32kg以上</w:t>
            </w:r>
          </w:p>
        </w:tc>
        <w:tc>
          <w:tcPr>
            <w:tcW w:w="951" w:type="dxa"/>
            <w:noWrap w:val="0"/>
            <w:vAlign w:val="center"/>
          </w:tcPr>
          <w:p w14:paraId="62FE235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w:t>
            </w:r>
          </w:p>
        </w:tc>
        <w:tc>
          <w:tcPr>
            <w:tcW w:w="3854" w:type="dxa"/>
            <w:noWrap w:val="0"/>
            <w:vAlign w:val="center"/>
          </w:tcPr>
          <w:p w14:paraId="66F9937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每1头不达标扣4分，连续两窝仔犬超过半数不达标为失格。</w:t>
            </w:r>
          </w:p>
        </w:tc>
      </w:tr>
      <w:tr w14:paraId="36239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4" w:type="dxa"/>
            <w:noWrap w:val="0"/>
            <w:vAlign w:val="center"/>
          </w:tcPr>
          <w:p w14:paraId="0DE9991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断奶成</w:t>
            </w:r>
          </w:p>
          <w:p w14:paraId="2F77111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活率</w:t>
            </w:r>
          </w:p>
        </w:tc>
        <w:tc>
          <w:tcPr>
            <w:tcW w:w="2874" w:type="dxa"/>
            <w:noWrap w:val="0"/>
            <w:vAlign w:val="center"/>
          </w:tcPr>
          <w:p w14:paraId="5503CAA2">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累计2窝以上（含2窝）资料评定，断奶成活率80%以上。</w:t>
            </w:r>
          </w:p>
        </w:tc>
        <w:tc>
          <w:tcPr>
            <w:tcW w:w="951" w:type="dxa"/>
            <w:noWrap w:val="0"/>
            <w:vAlign w:val="center"/>
          </w:tcPr>
          <w:p w14:paraId="4ED3906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w:t>
            </w:r>
          </w:p>
        </w:tc>
        <w:tc>
          <w:tcPr>
            <w:tcW w:w="3854" w:type="dxa"/>
            <w:noWrap w:val="0"/>
            <w:vAlign w:val="center"/>
          </w:tcPr>
          <w:p w14:paraId="583695BA">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断奶成活率90%以上为满分，每减少1%扣2分。</w:t>
            </w:r>
          </w:p>
        </w:tc>
      </w:tr>
      <w:tr w14:paraId="55830F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4" w:type="dxa"/>
            <w:noWrap w:val="0"/>
            <w:vAlign w:val="center"/>
          </w:tcPr>
          <w:p w14:paraId="130CD2E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2月龄</w:t>
            </w:r>
          </w:p>
          <w:p w14:paraId="67F8036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体重</w:t>
            </w:r>
          </w:p>
        </w:tc>
        <w:tc>
          <w:tcPr>
            <w:tcW w:w="2874" w:type="dxa"/>
            <w:noWrap w:val="0"/>
            <w:vAlign w:val="center"/>
          </w:tcPr>
          <w:p w14:paraId="6BD7B242">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每头幼犬4kg以上</w:t>
            </w:r>
          </w:p>
        </w:tc>
        <w:tc>
          <w:tcPr>
            <w:tcW w:w="951" w:type="dxa"/>
            <w:noWrap w:val="0"/>
            <w:vAlign w:val="center"/>
          </w:tcPr>
          <w:p w14:paraId="432B5FB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w:t>
            </w:r>
          </w:p>
        </w:tc>
        <w:tc>
          <w:tcPr>
            <w:tcW w:w="3854" w:type="dxa"/>
            <w:noWrap w:val="0"/>
            <w:vAlign w:val="center"/>
          </w:tcPr>
          <w:p w14:paraId="6C7BADD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每1头不达标扣4分，连续两窝幼犬超过半数不达标为失格。</w:t>
            </w:r>
          </w:p>
        </w:tc>
      </w:tr>
    </w:tbl>
    <w:p w14:paraId="5DDDD16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38060C4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w:t>
      </w: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rPr>
        <w:t>-5：德国牧羊犬后裔品质认证项目及评分标准</w:t>
      </w:r>
    </w:p>
    <w:tbl>
      <w:tblPr>
        <w:tblStyle w:val="13"/>
        <w:tblW w:w="88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957"/>
        <w:gridCol w:w="879"/>
        <w:gridCol w:w="3991"/>
      </w:tblGrid>
      <w:tr w14:paraId="78B8F0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024" w:type="dxa"/>
            <w:noWrap w:val="0"/>
            <w:vAlign w:val="center"/>
          </w:tcPr>
          <w:p w14:paraId="7A1EFDC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957" w:type="dxa"/>
            <w:noWrap w:val="0"/>
            <w:vAlign w:val="center"/>
          </w:tcPr>
          <w:p w14:paraId="7B6F908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879" w:type="dxa"/>
            <w:noWrap w:val="0"/>
            <w:vAlign w:val="center"/>
          </w:tcPr>
          <w:p w14:paraId="50E55E5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3991" w:type="dxa"/>
            <w:noWrap w:val="0"/>
            <w:vAlign w:val="center"/>
          </w:tcPr>
          <w:p w14:paraId="1E45FEE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32CF2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1024" w:type="dxa"/>
            <w:noWrap w:val="0"/>
            <w:vAlign w:val="center"/>
          </w:tcPr>
          <w:p w14:paraId="0E88A1D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同窝仔犬整齐度</w:t>
            </w:r>
          </w:p>
        </w:tc>
        <w:tc>
          <w:tcPr>
            <w:tcW w:w="2957" w:type="dxa"/>
            <w:noWrap w:val="0"/>
            <w:vAlign w:val="center"/>
          </w:tcPr>
          <w:p w14:paraId="1DC2824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同窝犬初生体重、2月龄体重离平均体重偏差不超过20%。</w:t>
            </w:r>
          </w:p>
        </w:tc>
        <w:tc>
          <w:tcPr>
            <w:tcW w:w="879" w:type="dxa"/>
            <w:noWrap w:val="0"/>
            <w:vAlign w:val="center"/>
          </w:tcPr>
          <w:p w14:paraId="1D6D3F1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40</w:t>
            </w:r>
          </w:p>
        </w:tc>
        <w:tc>
          <w:tcPr>
            <w:tcW w:w="3991" w:type="dxa"/>
            <w:noWrap w:val="0"/>
            <w:vAlign w:val="center"/>
          </w:tcPr>
          <w:p w14:paraId="3514BEF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偏差小于10%计满分（产仔数8头以上，差率小于15%计满分）。每增加1%扣2分。</w:t>
            </w:r>
          </w:p>
        </w:tc>
      </w:tr>
      <w:tr w14:paraId="323274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024" w:type="dxa"/>
            <w:noWrap w:val="0"/>
            <w:vAlign w:val="center"/>
          </w:tcPr>
          <w:p w14:paraId="264E780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幼训</w:t>
            </w:r>
          </w:p>
          <w:p w14:paraId="3921C14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合格率</w:t>
            </w:r>
          </w:p>
        </w:tc>
        <w:tc>
          <w:tcPr>
            <w:tcW w:w="2957" w:type="dxa"/>
            <w:noWrap w:val="0"/>
            <w:vAlign w:val="center"/>
          </w:tcPr>
          <w:p w14:paraId="6823100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不低于75%</w:t>
            </w:r>
          </w:p>
        </w:tc>
        <w:tc>
          <w:tcPr>
            <w:tcW w:w="879" w:type="dxa"/>
            <w:noWrap w:val="0"/>
            <w:vAlign w:val="center"/>
          </w:tcPr>
          <w:p w14:paraId="2B0DC90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30</w:t>
            </w:r>
          </w:p>
        </w:tc>
        <w:tc>
          <w:tcPr>
            <w:tcW w:w="3991" w:type="dxa"/>
            <w:noWrap w:val="0"/>
            <w:vAlign w:val="center"/>
          </w:tcPr>
          <w:p w14:paraId="68B74AD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合格率85%以上得满分，每减少1%扣3分。</w:t>
            </w:r>
          </w:p>
        </w:tc>
      </w:tr>
      <w:tr w14:paraId="22D5AF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024" w:type="dxa"/>
            <w:noWrap w:val="0"/>
            <w:vAlign w:val="center"/>
          </w:tcPr>
          <w:p w14:paraId="7266DDA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训练</w:t>
            </w:r>
          </w:p>
          <w:p w14:paraId="393AB5F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合格率</w:t>
            </w:r>
          </w:p>
        </w:tc>
        <w:tc>
          <w:tcPr>
            <w:tcW w:w="2957" w:type="dxa"/>
            <w:noWrap w:val="0"/>
            <w:vAlign w:val="center"/>
          </w:tcPr>
          <w:p w14:paraId="3972E46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不低于70%</w:t>
            </w:r>
          </w:p>
        </w:tc>
        <w:tc>
          <w:tcPr>
            <w:tcW w:w="879" w:type="dxa"/>
            <w:noWrap w:val="0"/>
            <w:vAlign w:val="center"/>
          </w:tcPr>
          <w:p w14:paraId="74AE309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30</w:t>
            </w:r>
          </w:p>
        </w:tc>
        <w:tc>
          <w:tcPr>
            <w:tcW w:w="3991" w:type="dxa"/>
            <w:noWrap w:val="0"/>
            <w:vAlign w:val="center"/>
          </w:tcPr>
          <w:p w14:paraId="0CC396F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合格率80%以上得满分，每减少1%扣3分。</w:t>
            </w:r>
          </w:p>
        </w:tc>
      </w:tr>
    </w:tbl>
    <w:p w14:paraId="7DF942CD">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3FEFEB0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表2-1：昆明犬种犬体形外貌认证项目及评分标准</w:t>
      </w:r>
    </w:p>
    <w:tbl>
      <w:tblPr>
        <w:tblStyle w:val="13"/>
        <w:tblW w:w="89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6"/>
        <w:gridCol w:w="3641"/>
        <w:gridCol w:w="707"/>
        <w:gridCol w:w="4094"/>
      </w:tblGrid>
      <w:tr w14:paraId="2CF7F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16" w:type="dxa"/>
            <w:noWrap w:val="0"/>
            <w:vAlign w:val="center"/>
          </w:tcPr>
          <w:p w14:paraId="45B33B6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3641" w:type="dxa"/>
            <w:noWrap w:val="0"/>
            <w:vAlign w:val="center"/>
          </w:tcPr>
          <w:p w14:paraId="68D08EB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707" w:type="dxa"/>
            <w:noWrap w:val="0"/>
            <w:vAlign w:val="center"/>
          </w:tcPr>
          <w:p w14:paraId="6836173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4094" w:type="dxa"/>
            <w:noWrap w:val="0"/>
            <w:vAlign w:val="center"/>
          </w:tcPr>
          <w:p w14:paraId="777984B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53883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09" w:hRule="exact"/>
          <w:jc w:val="center"/>
        </w:trPr>
        <w:tc>
          <w:tcPr>
            <w:tcW w:w="516" w:type="dxa"/>
            <w:vMerge w:val="restart"/>
            <w:noWrap w:val="0"/>
            <w:vAlign w:val="center"/>
          </w:tcPr>
          <w:p w14:paraId="5700571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总</w:t>
            </w:r>
          </w:p>
          <w:p w14:paraId="4EBAF9C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w:t>
            </w:r>
          </w:p>
          <w:p w14:paraId="09DAF34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外</w:t>
            </w:r>
          </w:p>
          <w:p w14:paraId="29822F8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貌</w:t>
            </w:r>
          </w:p>
        </w:tc>
        <w:tc>
          <w:tcPr>
            <w:tcW w:w="3641" w:type="dxa"/>
            <w:noWrap w:val="0"/>
            <w:vAlign w:val="center"/>
          </w:tcPr>
          <w:p w14:paraId="7A8A3367">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1.各部位匀称，身体结构紧凑、坚实。生殖器官发育正常，公母犬性特征明显。体尺比例恰当，体长略大于体高。</w:t>
            </w:r>
          </w:p>
          <w:p w14:paraId="72CD2D8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体尺标准（单位cm）：</w:t>
            </w:r>
          </w:p>
          <w:p w14:paraId="387C6FC1">
            <w:pPr>
              <w:pageBreakBefore w:val="0"/>
              <w:numPr>
                <w:ilvl w:val="-1"/>
                <w:numId w:val="0"/>
              </w:numPr>
              <w:wordWrap/>
              <w:overflowPunct/>
              <w:topLinePunct w:val="0"/>
              <w:bidi w:val="0"/>
              <w:adjustRightInd/>
              <w:spacing w:line="0" w:lineRule="atLeast"/>
              <w:ind w:firstLine="532" w:firstLineChars="222"/>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体高体长荐高胸围胸深</w:t>
            </w:r>
          </w:p>
          <w:p w14:paraId="164239C2">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公65-7070-7663-6870-8030-34</w:t>
            </w:r>
          </w:p>
          <w:p w14:paraId="1261F0E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母60-6565-7058-6365-7526-32</w:t>
            </w:r>
          </w:p>
        </w:tc>
        <w:tc>
          <w:tcPr>
            <w:tcW w:w="707" w:type="dxa"/>
            <w:noWrap w:val="0"/>
            <w:vAlign w:val="center"/>
          </w:tcPr>
          <w:p w14:paraId="5F8D3B8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w:t>
            </w:r>
          </w:p>
        </w:tc>
        <w:tc>
          <w:tcPr>
            <w:tcW w:w="4094" w:type="dxa"/>
            <w:noWrap w:val="0"/>
            <w:vAlign w:val="center"/>
          </w:tcPr>
          <w:p w14:paraId="2DB2085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性特征不明显，公犬单、双侧隐睾、体尺偏差超过5cm，荐高超过体高为失格，母犬乳头少于4对为失格。胸围较小，比例不相称扣2分，胸深超过体高的一半扣5分，荐高、体高每偏差1cm扣1分。</w:t>
            </w:r>
          </w:p>
        </w:tc>
      </w:tr>
      <w:tr w14:paraId="57781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52" w:hRule="exact"/>
          <w:jc w:val="center"/>
        </w:trPr>
        <w:tc>
          <w:tcPr>
            <w:tcW w:w="516" w:type="dxa"/>
            <w:vMerge w:val="continue"/>
            <w:noWrap w:val="0"/>
            <w:vAlign w:val="center"/>
          </w:tcPr>
          <w:p w14:paraId="039E563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641" w:type="dxa"/>
            <w:noWrap w:val="0"/>
            <w:vAlign w:val="center"/>
          </w:tcPr>
          <w:p w14:paraId="78BF6AF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2.毛短而紧密，针毛层密、毛直而粗糙，绒毛层较少。毛色有狼青色、草黄色和黑背黄腹。</w:t>
            </w:r>
          </w:p>
        </w:tc>
        <w:tc>
          <w:tcPr>
            <w:tcW w:w="707" w:type="dxa"/>
            <w:noWrap w:val="0"/>
            <w:vAlign w:val="center"/>
          </w:tcPr>
          <w:p w14:paraId="1582EC9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w:t>
            </w:r>
          </w:p>
        </w:tc>
        <w:tc>
          <w:tcPr>
            <w:tcW w:w="4094" w:type="dxa"/>
            <w:noWrap w:val="0"/>
            <w:vAlign w:val="center"/>
          </w:tcPr>
          <w:p w14:paraId="7EAA48D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明显白毛、银灰色、桔黄色、棕红色、中毛、长毛、趾间明显长毛等均为失格。狼青色含黄毛明显的扣1分，黑背但腹毛黄色不明显的扣1分，耳朵绒毛多者扣1分，背毛出现沙白的扣1分，脚趾间出现少量长毛的扣1分，除草黄犬外、背毛卷的扣2分。</w:t>
            </w:r>
          </w:p>
        </w:tc>
      </w:tr>
      <w:tr w14:paraId="1154C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0" w:hRule="exact"/>
          <w:jc w:val="center"/>
        </w:trPr>
        <w:tc>
          <w:tcPr>
            <w:tcW w:w="516" w:type="dxa"/>
            <w:vMerge w:val="restart"/>
            <w:noWrap w:val="0"/>
            <w:vAlign w:val="center"/>
          </w:tcPr>
          <w:p w14:paraId="126C2D6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头</w:t>
            </w:r>
          </w:p>
          <w:p w14:paraId="74A21FF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41DC8D1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颈</w:t>
            </w:r>
          </w:p>
          <w:p w14:paraId="6DAF626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5D5BE1B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部</w:t>
            </w:r>
          </w:p>
        </w:tc>
        <w:tc>
          <w:tcPr>
            <w:tcW w:w="3641" w:type="dxa"/>
            <w:noWrap w:val="0"/>
            <w:vAlign w:val="center"/>
          </w:tcPr>
          <w:p w14:paraId="25707C1A">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3.头部呈楔形，外形轮廓明显，吻部比额部稍长或等长。</w:t>
            </w:r>
          </w:p>
        </w:tc>
        <w:tc>
          <w:tcPr>
            <w:tcW w:w="707" w:type="dxa"/>
            <w:noWrap w:val="0"/>
            <w:vAlign w:val="center"/>
          </w:tcPr>
          <w:p w14:paraId="0E5AF5B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w:t>
            </w:r>
          </w:p>
        </w:tc>
        <w:tc>
          <w:tcPr>
            <w:tcW w:w="4094" w:type="dxa"/>
            <w:noWrap w:val="0"/>
            <w:vAlign w:val="center"/>
          </w:tcPr>
          <w:p w14:paraId="20D3ED31">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颈部皮肤明显松弛、眼眶外明显黑色形成四眼犬的均为失格。头部楔形不明显扣2分，外廓不明显扣1分，黑背犬头无蝴蝶斑或口吻非黑色分别扣2分。</w:t>
            </w:r>
          </w:p>
        </w:tc>
      </w:tr>
      <w:tr w14:paraId="38A65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516" w:type="dxa"/>
            <w:vMerge w:val="continue"/>
            <w:noWrap w:val="0"/>
            <w:vAlign w:val="center"/>
          </w:tcPr>
          <w:p w14:paraId="6F1A6C9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641" w:type="dxa"/>
            <w:noWrap w:val="0"/>
            <w:vAlign w:val="center"/>
          </w:tcPr>
          <w:p w14:paraId="114A0CC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4.眼：眼呈杏仁形，暗褐色或杏黄色。</w:t>
            </w:r>
          </w:p>
        </w:tc>
        <w:tc>
          <w:tcPr>
            <w:tcW w:w="707" w:type="dxa"/>
            <w:noWrap w:val="0"/>
            <w:vAlign w:val="center"/>
          </w:tcPr>
          <w:p w14:paraId="7FA6402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tc>
        <w:tc>
          <w:tcPr>
            <w:tcW w:w="4094" w:type="dxa"/>
            <w:noWrap w:val="0"/>
            <w:vAlign w:val="center"/>
          </w:tcPr>
          <w:p w14:paraId="5D793C22">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不呈杏形扣1分，白色或其它颜色均为失格。</w:t>
            </w:r>
          </w:p>
        </w:tc>
      </w:tr>
      <w:tr w14:paraId="061A3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exact"/>
          <w:jc w:val="center"/>
        </w:trPr>
        <w:tc>
          <w:tcPr>
            <w:tcW w:w="516" w:type="dxa"/>
            <w:vMerge w:val="continue"/>
            <w:noWrap w:val="0"/>
            <w:vAlign w:val="center"/>
          </w:tcPr>
          <w:p w14:paraId="62AB75C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641" w:type="dxa"/>
            <w:noWrap w:val="0"/>
            <w:vAlign w:val="center"/>
          </w:tcPr>
          <w:p w14:paraId="4A9038FD">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5.耳：呈三角形，两耳自然直立，大小适中，活动灵活。</w:t>
            </w:r>
          </w:p>
        </w:tc>
        <w:tc>
          <w:tcPr>
            <w:tcW w:w="707" w:type="dxa"/>
            <w:noWrap w:val="0"/>
            <w:vAlign w:val="center"/>
          </w:tcPr>
          <w:p w14:paraId="38D1BBB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w:t>
            </w:r>
          </w:p>
        </w:tc>
        <w:tc>
          <w:tcPr>
            <w:tcW w:w="4094" w:type="dxa"/>
            <w:noWrap w:val="0"/>
            <w:vAlign w:val="center"/>
          </w:tcPr>
          <w:p w14:paraId="20305755">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耳半立或不立为失格。耳过长、过大扣2分。</w:t>
            </w:r>
          </w:p>
        </w:tc>
      </w:tr>
      <w:tr w14:paraId="7A47BD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4" w:hRule="exact"/>
          <w:jc w:val="center"/>
        </w:trPr>
        <w:tc>
          <w:tcPr>
            <w:tcW w:w="516" w:type="dxa"/>
            <w:vMerge w:val="continue"/>
            <w:noWrap w:val="0"/>
            <w:vAlign w:val="center"/>
          </w:tcPr>
          <w:p w14:paraId="1D4CA59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641" w:type="dxa"/>
            <w:noWrap w:val="0"/>
            <w:vAlign w:val="center"/>
          </w:tcPr>
          <w:p w14:paraId="5550C8B1">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6.口鼻：鼻梁直，基部宽、鼻镜为黑色，吻粗短、嘴唇为黑色。</w:t>
            </w:r>
          </w:p>
        </w:tc>
        <w:tc>
          <w:tcPr>
            <w:tcW w:w="707" w:type="dxa"/>
            <w:noWrap w:val="0"/>
            <w:vAlign w:val="center"/>
          </w:tcPr>
          <w:p w14:paraId="6B96B41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w:t>
            </w:r>
          </w:p>
        </w:tc>
        <w:tc>
          <w:tcPr>
            <w:tcW w:w="4094" w:type="dxa"/>
            <w:noWrap w:val="0"/>
            <w:vAlign w:val="center"/>
          </w:tcPr>
          <w:p w14:paraId="7E7DC8C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鼻镜缺乏色素、红鼻镜、嘴唇粉红色为失格，吻部过细扣2分。</w:t>
            </w:r>
          </w:p>
        </w:tc>
      </w:tr>
      <w:tr w14:paraId="45448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1" w:hRule="exact"/>
          <w:jc w:val="center"/>
        </w:trPr>
        <w:tc>
          <w:tcPr>
            <w:tcW w:w="516" w:type="dxa"/>
            <w:vMerge w:val="continue"/>
            <w:noWrap w:val="0"/>
            <w:vAlign w:val="center"/>
          </w:tcPr>
          <w:p w14:paraId="762B9AA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641" w:type="dxa"/>
            <w:noWrap w:val="0"/>
            <w:vAlign w:val="center"/>
          </w:tcPr>
          <w:p w14:paraId="09DAC06C">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7.齿：齿42颗，位置正确，排列整齐，剪式咬合。齿式为：</w:t>
            </w:r>
          </w:p>
          <w:p w14:paraId="7F7DAF1A">
            <w:pPr>
              <w:pageBreakBefore w:val="0"/>
              <w:numPr>
                <w:ilvl w:val="-1"/>
                <w:numId w:val="0"/>
              </w:numPr>
              <w:wordWrap/>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3.1.4.2</w:t>
            </w:r>
          </w:p>
          <w:p w14:paraId="111456FF">
            <w:pPr>
              <w:pageBreakBefore w:val="0"/>
              <w:numPr>
                <w:ilvl w:val="-1"/>
                <w:numId w:val="0"/>
              </w:numPr>
              <w:wordWrap/>
              <w:overflowPunct/>
              <w:topLinePunct w:val="0"/>
              <w:bidi w:val="0"/>
              <w:adjustRightInd/>
              <w:spacing w:line="0" w:lineRule="atLeast"/>
              <w:ind w:firstLine="482"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b/>
                <w:color w:val="auto"/>
                <w:kern w:val="2"/>
                <w:sz w:val="24"/>
                <w:szCs w:val="24"/>
                <w:highlight w:val="none"/>
              </w:rPr>
              <w:t>———</w:t>
            </w:r>
            <w:r>
              <w:rPr>
                <w:rFonts w:hint="eastAsia" w:ascii="仿宋" w:hAnsi="仿宋" w:eastAsia="仿宋" w:cs="仿宋"/>
                <w:color w:val="auto"/>
                <w:kern w:val="2"/>
                <w:sz w:val="24"/>
                <w:szCs w:val="24"/>
                <w:highlight w:val="none"/>
              </w:rPr>
              <w:t>×2</w:t>
            </w:r>
          </w:p>
          <w:p w14:paraId="7E2CE01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3.1.4.3</w:t>
            </w:r>
          </w:p>
        </w:tc>
        <w:tc>
          <w:tcPr>
            <w:tcW w:w="707" w:type="dxa"/>
            <w:noWrap w:val="0"/>
            <w:vAlign w:val="center"/>
          </w:tcPr>
          <w:p w14:paraId="44E7116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w:t>
            </w:r>
          </w:p>
        </w:tc>
        <w:tc>
          <w:tcPr>
            <w:tcW w:w="4094" w:type="dxa"/>
            <w:noWrap w:val="0"/>
            <w:vAlign w:val="center"/>
          </w:tcPr>
          <w:p w14:paraId="49C3F1B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缺犬齿、上超或下超咬合为失格。牙齿整齐度差扣1分，咬合不良扣2分。</w:t>
            </w:r>
          </w:p>
        </w:tc>
      </w:tr>
      <w:tr w14:paraId="7D64B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4" w:hRule="exact"/>
          <w:jc w:val="center"/>
        </w:trPr>
        <w:tc>
          <w:tcPr>
            <w:tcW w:w="516" w:type="dxa"/>
            <w:vMerge w:val="continue"/>
            <w:noWrap w:val="0"/>
            <w:vAlign w:val="center"/>
          </w:tcPr>
          <w:p w14:paraId="25A4DC0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641" w:type="dxa"/>
            <w:noWrap w:val="0"/>
            <w:vAlign w:val="center"/>
          </w:tcPr>
          <w:p w14:paraId="2DA4E8C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8.颈部：颈部肌肉较少，无松弛皮肤。</w:t>
            </w:r>
          </w:p>
        </w:tc>
        <w:tc>
          <w:tcPr>
            <w:tcW w:w="707" w:type="dxa"/>
            <w:noWrap w:val="0"/>
            <w:vAlign w:val="center"/>
          </w:tcPr>
          <w:p w14:paraId="44E116D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w:t>
            </w:r>
          </w:p>
        </w:tc>
        <w:tc>
          <w:tcPr>
            <w:tcW w:w="4094" w:type="dxa"/>
            <w:noWrap w:val="0"/>
            <w:vAlign w:val="center"/>
          </w:tcPr>
          <w:p w14:paraId="1CA0391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颈部过短或肌肉过于发达扣1分，颈部皮肤松弛扣1分。</w:t>
            </w:r>
          </w:p>
        </w:tc>
      </w:tr>
      <w:tr w14:paraId="1992B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16" w:type="dxa"/>
            <w:noWrap w:val="0"/>
            <w:vAlign w:val="center"/>
          </w:tcPr>
          <w:p w14:paraId="2E748D3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躯</w:t>
            </w:r>
          </w:p>
          <w:p w14:paraId="487CA13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干</w:t>
            </w:r>
          </w:p>
          <w:p w14:paraId="2FFA355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部</w:t>
            </w:r>
          </w:p>
        </w:tc>
        <w:tc>
          <w:tcPr>
            <w:tcW w:w="3641" w:type="dxa"/>
            <w:noWrap w:val="0"/>
            <w:vAlign w:val="center"/>
          </w:tcPr>
          <w:p w14:paraId="2BF9FDD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9.鬐甲突出，背腰平直，胸部向后经腹部升高而收腹，腹围较小、背腰线接近水平。</w:t>
            </w:r>
          </w:p>
        </w:tc>
        <w:tc>
          <w:tcPr>
            <w:tcW w:w="707" w:type="dxa"/>
            <w:noWrap w:val="0"/>
            <w:vAlign w:val="center"/>
          </w:tcPr>
          <w:p w14:paraId="25588A3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18</w:t>
            </w:r>
          </w:p>
        </w:tc>
        <w:tc>
          <w:tcPr>
            <w:tcW w:w="4094" w:type="dxa"/>
            <w:noWrap w:val="0"/>
            <w:vAlign w:val="center"/>
          </w:tcPr>
          <w:p w14:paraId="05F123D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凹背、凸背为失格。收腹不明显扣2分，肋骨扩张不良或畸形扣2分，背腰过窄扣1分。</w:t>
            </w:r>
          </w:p>
        </w:tc>
      </w:tr>
      <w:tr w14:paraId="322C6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98" w:hRule="exact"/>
          <w:jc w:val="center"/>
        </w:trPr>
        <w:tc>
          <w:tcPr>
            <w:tcW w:w="516" w:type="dxa"/>
            <w:vMerge w:val="restart"/>
            <w:noWrap w:val="0"/>
            <w:vAlign w:val="center"/>
          </w:tcPr>
          <w:p w14:paraId="34AE084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四</w:t>
            </w:r>
          </w:p>
          <w:p w14:paraId="34DDAA4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肢</w:t>
            </w:r>
          </w:p>
          <w:p w14:paraId="12CF6DC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与</w:t>
            </w:r>
          </w:p>
          <w:p w14:paraId="4032F26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步</w:t>
            </w:r>
          </w:p>
          <w:p w14:paraId="414332C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态</w:t>
            </w:r>
          </w:p>
        </w:tc>
        <w:tc>
          <w:tcPr>
            <w:tcW w:w="3641" w:type="dxa"/>
            <w:noWrap w:val="0"/>
            <w:vAlign w:val="center"/>
          </w:tcPr>
          <w:p w14:paraId="3D218FFA">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10.四肢强健，前肢直立，肘部不弯曲，掌部与垂直线形成角度小于20度，大腿部肌肉发达，股骨与胫腓骨成145度，跖骨与胫腓骨成156度。跗关节强有弹性、脚趾紧贴、脚垫厚结实，爪色深，趾间毛短，毛色一致。</w:t>
            </w:r>
          </w:p>
        </w:tc>
        <w:tc>
          <w:tcPr>
            <w:tcW w:w="707" w:type="dxa"/>
            <w:noWrap w:val="0"/>
            <w:vAlign w:val="center"/>
          </w:tcPr>
          <w:p w14:paraId="5310B90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4094" w:type="dxa"/>
            <w:noWrap w:val="0"/>
            <w:vAlign w:val="center"/>
          </w:tcPr>
          <w:p w14:paraId="1666655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爪白色为失格。脚趾松散扣1分，脚趾白色扣2分，关节角度偏差5%扣1分。</w:t>
            </w:r>
          </w:p>
        </w:tc>
      </w:tr>
      <w:tr w14:paraId="175E44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6" w:hRule="exact"/>
          <w:jc w:val="center"/>
        </w:trPr>
        <w:tc>
          <w:tcPr>
            <w:tcW w:w="516" w:type="dxa"/>
            <w:vMerge w:val="continue"/>
            <w:noWrap w:val="0"/>
            <w:vAlign w:val="center"/>
          </w:tcPr>
          <w:p w14:paraId="3612A8C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641" w:type="dxa"/>
            <w:noWrap w:val="0"/>
            <w:vAlign w:val="center"/>
          </w:tcPr>
          <w:p w14:paraId="48EC709E">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11.步态伸展有弹性，典雅起伏富有节奏，前后步幅均等，善疾步跑，无摇摆和扭动。</w:t>
            </w:r>
          </w:p>
        </w:tc>
        <w:tc>
          <w:tcPr>
            <w:tcW w:w="707" w:type="dxa"/>
            <w:noWrap w:val="0"/>
            <w:vAlign w:val="center"/>
          </w:tcPr>
          <w:p w14:paraId="23A8515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4094" w:type="dxa"/>
            <w:noWrap w:val="0"/>
            <w:vAlign w:val="center"/>
          </w:tcPr>
          <w:p w14:paraId="09D37CA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步幅稍有差异扣1分，轻微摇摆扣2分，步态僵硬扣2分。</w:t>
            </w:r>
          </w:p>
        </w:tc>
      </w:tr>
      <w:tr w14:paraId="3C4A8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7" w:hRule="exact"/>
          <w:jc w:val="center"/>
        </w:trPr>
        <w:tc>
          <w:tcPr>
            <w:tcW w:w="516" w:type="dxa"/>
            <w:noWrap w:val="0"/>
            <w:vAlign w:val="center"/>
          </w:tcPr>
          <w:p w14:paraId="5D312AA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尾</w:t>
            </w:r>
          </w:p>
        </w:tc>
        <w:tc>
          <w:tcPr>
            <w:tcW w:w="3641" w:type="dxa"/>
            <w:noWrap w:val="0"/>
            <w:vAlign w:val="center"/>
          </w:tcPr>
          <w:p w14:paraId="6903124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12.呈剑状或钩状，自然下垂。</w:t>
            </w:r>
          </w:p>
        </w:tc>
        <w:tc>
          <w:tcPr>
            <w:tcW w:w="707" w:type="dxa"/>
            <w:noWrap w:val="0"/>
            <w:vAlign w:val="center"/>
          </w:tcPr>
          <w:p w14:paraId="0A1A97B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tc>
        <w:tc>
          <w:tcPr>
            <w:tcW w:w="4094" w:type="dxa"/>
            <w:noWrap w:val="0"/>
            <w:vAlign w:val="center"/>
          </w:tcPr>
          <w:p w14:paraId="324895C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严重卷尾，扭尾均为失格。尾端无毛扣1分。</w:t>
            </w:r>
          </w:p>
        </w:tc>
      </w:tr>
    </w:tbl>
    <w:p w14:paraId="7828A427">
      <w:pPr>
        <w:pageBreakBefore w:val="0"/>
        <w:widowControl w:val="0"/>
        <w:wordWrap/>
        <w:overflowPunct/>
        <w:topLinePunct w:val="0"/>
        <w:bidi w:val="0"/>
        <w:snapToGrid w:val="0"/>
        <w:spacing w:line="0" w:lineRule="atLeast"/>
        <w:jc w:val="left"/>
        <w:rPr>
          <w:rFonts w:hint="eastAsia" w:ascii="仿宋" w:hAnsi="仿宋" w:eastAsia="仿宋" w:cs="仿宋"/>
          <w:color w:val="auto"/>
          <w:kern w:val="2"/>
          <w:sz w:val="24"/>
          <w:szCs w:val="24"/>
          <w:highlight w:val="none"/>
          <w:lang w:val="en-US" w:eastAsia="zh-CN" w:bidi="ar-SA"/>
        </w:rPr>
      </w:pPr>
    </w:p>
    <w:p w14:paraId="0AC7F26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表2-2：昆明犬种犬警用性能认证项目及评分标准</w:t>
      </w:r>
    </w:p>
    <w:tbl>
      <w:tblPr>
        <w:tblStyle w:val="13"/>
        <w:tblW w:w="90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350"/>
        <w:gridCol w:w="900"/>
        <w:gridCol w:w="4726"/>
      </w:tblGrid>
      <w:tr w14:paraId="01471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exact"/>
          <w:jc w:val="center"/>
        </w:trPr>
        <w:tc>
          <w:tcPr>
            <w:tcW w:w="1027" w:type="dxa"/>
            <w:noWrap w:val="0"/>
            <w:vAlign w:val="center"/>
          </w:tcPr>
          <w:p w14:paraId="17C04AD8">
            <w:pPr>
              <w:pageBreakBefore w:val="0"/>
              <w:numPr>
                <w:ilvl w:val="-1"/>
                <w:numId w:val="0"/>
              </w:numPr>
              <w:tabs>
                <w:tab w:val="center" w:pos="4153"/>
                <w:tab w:val="right" w:pos="8306"/>
              </w:tabs>
              <w:wordWrap/>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2350" w:type="dxa"/>
            <w:noWrap w:val="0"/>
            <w:vAlign w:val="center"/>
          </w:tcPr>
          <w:p w14:paraId="1FF465A2">
            <w:pPr>
              <w:pageBreakBefore w:val="0"/>
              <w:numPr>
                <w:ilvl w:val="-1"/>
                <w:numId w:val="0"/>
              </w:numPr>
              <w:tabs>
                <w:tab w:val="center" w:pos="4153"/>
                <w:tab w:val="right" w:pos="8306"/>
              </w:tabs>
              <w:wordWrap/>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要求</w:t>
            </w:r>
          </w:p>
        </w:tc>
        <w:tc>
          <w:tcPr>
            <w:tcW w:w="900" w:type="dxa"/>
            <w:noWrap w:val="0"/>
            <w:vAlign w:val="center"/>
          </w:tcPr>
          <w:p w14:paraId="24B6E7A9">
            <w:pPr>
              <w:pageBreakBefore w:val="0"/>
              <w:numPr>
                <w:ilvl w:val="-1"/>
                <w:numId w:val="0"/>
              </w:numPr>
              <w:tabs>
                <w:tab w:val="center" w:pos="4153"/>
                <w:tab w:val="right" w:pos="8306"/>
              </w:tabs>
              <w:wordWrap/>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w:t>
            </w:r>
          </w:p>
          <w:p w14:paraId="3E924BED">
            <w:pPr>
              <w:pageBreakBefore w:val="0"/>
              <w:numPr>
                <w:ilvl w:val="-1"/>
                <w:numId w:val="0"/>
              </w:numPr>
              <w:tabs>
                <w:tab w:val="center" w:pos="4153"/>
                <w:tab w:val="right" w:pos="8306"/>
              </w:tabs>
              <w:wordWrap/>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w:t>
            </w:r>
          </w:p>
        </w:tc>
        <w:tc>
          <w:tcPr>
            <w:tcW w:w="4726" w:type="dxa"/>
            <w:noWrap w:val="0"/>
            <w:vAlign w:val="center"/>
          </w:tcPr>
          <w:p w14:paraId="6BD79034">
            <w:pPr>
              <w:pageBreakBefore w:val="0"/>
              <w:numPr>
                <w:ilvl w:val="-1"/>
                <w:numId w:val="0"/>
              </w:numPr>
              <w:tabs>
                <w:tab w:val="center" w:pos="4153"/>
                <w:tab w:val="right" w:pos="8306"/>
              </w:tabs>
              <w:wordWrap/>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19F1B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027" w:type="dxa"/>
            <w:noWrap w:val="0"/>
            <w:vAlign w:val="center"/>
          </w:tcPr>
          <w:p w14:paraId="34E83D21">
            <w:pPr>
              <w:pageBreakBefore w:val="0"/>
              <w:numPr>
                <w:ilvl w:val="-1"/>
                <w:numId w:val="0"/>
              </w:numPr>
              <w:tabs>
                <w:tab w:val="center" w:pos="4153"/>
                <w:tab w:val="right" w:pos="8306"/>
              </w:tabs>
              <w:wordWrap/>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神经类型</w:t>
            </w:r>
          </w:p>
        </w:tc>
        <w:tc>
          <w:tcPr>
            <w:tcW w:w="2350" w:type="dxa"/>
            <w:noWrap w:val="0"/>
            <w:vAlign w:val="center"/>
          </w:tcPr>
          <w:p w14:paraId="369B554A">
            <w:pPr>
              <w:pageBreakBefore w:val="0"/>
              <w:numPr>
                <w:ilvl w:val="-1"/>
                <w:numId w:val="0"/>
              </w:numPr>
              <w:tabs>
                <w:tab w:val="center" w:pos="4153"/>
                <w:tab w:val="right" w:pos="8306"/>
              </w:tabs>
              <w:wordWrap/>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活泼、兴奋、转化快。</w:t>
            </w:r>
          </w:p>
        </w:tc>
        <w:tc>
          <w:tcPr>
            <w:tcW w:w="900" w:type="dxa"/>
            <w:noWrap w:val="0"/>
            <w:vAlign w:val="center"/>
          </w:tcPr>
          <w:p w14:paraId="346B2FAA">
            <w:pPr>
              <w:pageBreakBefore w:val="0"/>
              <w:numPr>
                <w:ilvl w:val="-1"/>
                <w:numId w:val="0"/>
              </w:numPr>
              <w:tabs>
                <w:tab w:val="center" w:pos="4153"/>
                <w:tab w:val="right" w:pos="8306"/>
              </w:tabs>
              <w:wordWrap/>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w:t>
            </w:r>
          </w:p>
        </w:tc>
        <w:tc>
          <w:tcPr>
            <w:tcW w:w="4726" w:type="dxa"/>
            <w:noWrap w:val="0"/>
            <w:vAlign w:val="center"/>
          </w:tcPr>
          <w:p w14:paraId="330B4EBD">
            <w:pPr>
              <w:pageBreakBefore w:val="0"/>
              <w:numPr>
                <w:ilvl w:val="-1"/>
                <w:numId w:val="0"/>
              </w:numPr>
              <w:tabs>
                <w:tab w:val="center" w:pos="4153"/>
                <w:tab w:val="right" w:pos="8306"/>
              </w:tabs>
              <w:wordWrap/>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过分安静、神经质为失格。兴奋与抑制转化较慢扣2分，偏安静扣3分，过分好斗扣2分。</w:t>
            </w:r>
          </w:p>
        </w:tc>
      </w:tr>
      <w:tr w14:paraId="0D809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noWrap w:val="0"/>
            <w:vAlign w:val="center"/>
          </w:tcPr>
          <w:p w14:paraId="4E582BDE">
            <w:pPr>
              <w:pageBreakBefore w:val="0"/>
              <w:numPr>
                <w:ilvl w:val="-1"/>
                <w:numId w:val="0"/>
              </w:numPr>
              <w:tabs>
                <w:tab w:val="center" w:pos="4153"/>
                <w:tab w:val="right" w:pos="8306"/>
              </w:tabs>
              <w:wordWrap/>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胆量</w:t>
            </w:r>
          </w:p>
        </w:tc>
        <w:tc>
          <w:tcPr>
            <w:tcW w:w="2350" w:type="dxa"/>
            <w:noWrap w:val="0"/>
            <w:vAlign w:val="center"/>
          </w:tcPr>
          <w:p w14:paraId="7EDC9B0C">
            <w:pPr>
              <w:pageBreakBefore w:val="0"/>
              <w:numPr>
                <w:ilvl w:val="-1"/>
                <w:numId w:val="0"/>
              </w:numPr>
              <w:tabs>
                <w:tab w:val="center" w:pos="4153"/>
                <w:tab w:val="right" w:pos="8306"/>
              </w:tabs>
              <w:wordWrap/>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胆大，对环境适应强。</w:t>
            </w:r>
          </w:p>
        </w:tc>
        <w:tc>
          <w:tcPr>
            <w:tcW w:w="900" w:type="dxa"/>
            <w:noWrap w:val="0"/>
            <w:vAlign w:val="center"/>
          </w:tcPr>
          <w:p w14:paraId="51CB1454">
            <w:pPr>
              <w:pageBreakBefore w:val="0"/>
              <w:numPr>
                <w:ilvl w:val="-1"/>
                <w:numId w:val="0"/>
              </w:numPr>
              <w:tabs>
                <w:tab w:val="center" w:pos="4153"/>
                <w:tab w:val="right" w:pos="8306"/>
              </w:tabs>
              <w:wordWrap/>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w:t>
            </w:r>
          </w:p>
        </w:tc>
        <w:tc>
          <w:tcPr>
            <w:tcW w:w="4726" w:type="dxa"/>
            <w:noWrap w:val="0"/>
            <w:vAlign w:val="center"/>
          </w:tcPr>
          <w:p w14:paraId="4FC328CA">
            <w:pPr>
              <w:pageBreakBefore w:val="0"/>
              <w:numPr>
                <w:ilvl w:val="-1"/>
                <w:numId w:val="0"/>
              </w:numPr>
              <w:tabs>
                <w:tab w:val="center" w:pos="4153"/>
                <w:tab w:val="right" w:pos="8306"/>
              </w:tabs>
              <w:wordWrap/>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胆小为失格。对环境适应性弱扣5—10分。</w:t>
            </w:r>
          </w:p>
        </w:tc>
      </w:tr>
      <w:tr w14:paraId="4D5D0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27" w:type="dxa"/>
            <w:noWrap w:val="0"/>
            <w:vAlign w:val="center"/>
          </w:tcPr>
          <w:p w14:paraId="298BF421">
            <w:pPr>
              <w:pageBreakBefore w:val="0"/>
              <w:numPr>
                <w:ilvl w:val="-1"/>
                <w:numId w:val="0"/>
              </w:numPr>
              <w:tabs>
                <w:tab w:val="center" w:pos="4153"/>
                <w:tab w:val="right" w:pos="8306"/>
              </w:tabs>
              <w:wordWrap/>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攻击性</w:t>
            </w:r>
          </w:p>
        </w:tc>
        <w:tc>
          <w:tcPr>
            <w:tcW w:w="2350" w:type="dxa"/>
            <w:noWrap w:val="0"/>
            <w:vAlign w:val="center"/>
          </w:tcPr>
          <w:p w14:paraId="0637C99B">
            <w:pPr>
              <w:pageBreakBefore w:val="0"/>
              <w:numPr>
                <w:ilvl w:val="-1"/>
                <w:numId w:val="0"/>
              </w:numPr>
              <w:tabs>
                <w:tab w:val="center" w:pos="4153"/>
                <w:tab w:val="right" w:pos="8306"/>
              </w:tabs>
              <w:wordWrap/>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敢于攻击目标，具有凶猛性</w:t>
            </w:r>
          </w:p>
        </w:tc>
        <w:tc>
          <w:tcPr>
            <w:tcW w:w="900" w:type="dxa"/>
            <w:noWrap w:val="0"/>
            <w:vAlign w:val="center"/>
          </w:tcPr>
          <w:p w14:paraId="09CAF25A">
            <w:pPr>
              <w:pageBreakBefore w:val="0"/>
              <w:numPr>
                <w:ilvl w:val="-1"/>
                <w:numId w:val="0"/>
              </w:numPr>
              <w:tabs>
                <w:tab w:val="center" w:pos="4153"/>
                <w:tab w:val="right" w:pos="8306"/>
              </w:tabs>
              <w:wordWrap/>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w:t>
            </w:r>
          </w:p>
        </w:tc>
        <w:tc>
          <w:tcPr>
            <w:tcW w:w="4726" w:type="dxa"/>
            <w:noWrap w:val="0"/>
            <w:vAlign w:val="center"/>
          </w:tcPr>
          <w:p w14:paraId="00468718">
            <w:pPr>
              <w:pageBreakBefore w:val="0"/>
              <w:numPr>
                <w:ilvl w:val="-1"/>
                <w:numId w:val="0"/>
              </w:numPr>
              <w:tabs>
                <w:tab w:val="center" w:pos="4153"/>
                <w:tab w:val="right" w:pos="8306"/>
              </w:tabs>
              <w:wordWrap/>
              <w:overflowPunct/>
              <w:topLinePunct w:val="0"/>
              <w:bidi w:val="0"/>
              <w:adjustRightInd/>
              <w:snapToGrid w:val="0"/>
              <w:spacing w:line="0" w:lineRule="atLeast"/>
              <w:ind w:firstLine="0"/>
              <w:textAlignment w:val="auto"/>
              <w:rPr>
                <w:rFonts w:hint="eastAsia"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不攻击目标为失格。有凶猛性但攻击目标有犹豫或胆怯表现扣8分，攻击目标凶猛性不强扣2分。</w:t>
            </w:r>
          </w:p>
        </w:tc>
      </w:tr>
      <w:tr w14:paraId="3F2AA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1027" w:type="dxa"/>
            <w:noWrap w:val="0"/>
            <w:vAlign w:val="center"/>
          </w:tcPr>
          <w:p w14:paraId="4854668D">
            <w:pPr>
              <w:pageBreakBefore w:val="0"/>
              <w:numPr>
                <w:ilvl w:val="-1"/>
                <w:numId w:val="0"/>
              </w:numPr>
              <w:tabs>
                <w:tab w:val="center" w:pos="4153"/>
                <w:tab w:val="right" w:pos="8306"/>
              </w:tabs>
              <w:wordWrap/>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衔取欲</w:t>
            </w:r>
          </w:p>
        </w:tc>
        <w:tc>
          <w:tcPr>
            <w:tcW w:w="2350" w:type="dxa"/>
            <w:noWrap w:val="0"/>
            <w:vAlign w:val="center"/>
          </w:tcPr>
          <w:p w14:paraId="5DFE347B">
            <w:pPr>
              <w:pageBreakBefore w:val="0"/>
              <w:numPr>
                <w:ilvl w:val="-1"/>
                <w:numId w:val="0"/>
              </w:numPr>
              <w:tabs>
                <w:tab w:val="center" w:pos="4153"/>
                <w:tab w:val="right" w:pos="8306"/>
              </w:tabs>
              <w:wordWrap/>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猎取反射强，占有欲望强。</w:t>
            </w:r>
          </w:p>
        </w:tc>
        <w:tc>
          <w:tcPr>
            <w:tcW w:w="900" w:type="dxa"/>
            <w:noWrap w:val="0"/>
            <w:vAlign w:val="center"/>
          </w:tcPr>
          <w:p w14:paraId="6735B958">
            <w:pPr>
              <w:pageBreakBefore w:val="0"/>
              <w:numPr>
                <w:ilvl w:val="-1"/>
                <w:numId w:val="0"/>
              </w:numPr>
              <w:tabs>
                <w:tab w:val="center" w:pos="4153"/>
                <w:tab w:val="right" w:pos="8306"/>
              </w:tabs>
              <w:wordWrap/>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w:t>
            </w:r>
          </w:p>
        </w:tc>
        <w:tc>
          <w:tcPr>
            <w:tcW w:w="4726" w:type="dxa"/>
            <w:noWrap w:val="0"/>
            <w:vAlign w:val="center"/>
          </w:tcPr>
          <w:p w14:paraId="4BEBBCBF">
            <w:pPr>
              <w:pageBreakBefore w:val="0"/>
              <w:numPr>
                <w:ilvl w:val="-1"/>
                <w:numId w:val="0"/>
              </w:numPr>
              <w:tabs>
                <w:tab w:val="center" w:pos="4153"/>
                <w:tab w:val="right" w:pos="8306"/>
              </w:tabs>
              <w:wordWrap/>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不衔物品为失格。衔取兴奋性不高扣3分，衔取不持久或中途吐物扣2分。占有欲弱扣5分。</w:t>
            </w:r>
          </w:p>
        </w:tc>
      </w:tr>
      <w:tr w14:paraId="049C1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027" w:type="dxa"/>
            <w:noWrap w:val="0"/>
            <w:vAlign w:val="center"/>
          </w:tcPr>
          <w:p w14:paraId="3D9A2F8C">
            <w:pPr>
              <w:pageBreakBefore w:val="0"/>
              <w:numPr>
                <w:ilvl w:val="-1"/>
                <w:numId w:val="0"/>
              </w:numPr>
              <w:tabs>
                <w:tab w:val="center" w:pos="4153"/>
                <w:tab w:val="right" w:pos="8306"/>
              </w:tabs>
              <w:wordWrap/>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服从性</w:t>
            </w:r>
          </w:p>
        </w:tc>
        <w:tc>
          <w:tcPr>
            <w:tcW w:w="2350" w:type="dxa"/>
            <w:noWrap w:val="0"/>
            <w:vAlign w:val="center"/>
          </w:tcPr>
          <w:p w14:paraId="660606FC">
            <w:pPr>
              <w:pageBreakBefore w:val="0"/>
              <w:numPr>
                <w:ilvl w:val="-1"/>
                <w:numId w:val="0"/>
              </w:numPr>
              <w:tabs>
                <w:tab w:val="center" w:pos="4153"/>
                <w:tab w:val="right" w:pos="8306"/>
              </w:tabs>
              <w:wordWrap/>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服从主人指挥。</w:t>
            </w:r>
          </w:p>
        </w:tc>
        <w:tc>
          <w:tcPr>
            <w:tcW w:w="900" w:type="dxa"/>
            <w:noWrap w:val="0"/>
            <w:vAlign w:val="center"/>
          </w:tcPr>
          <w:p w14:paraId="1EC4D5BD">
            <w:pPr>
              <w:pageBreakBefore w:val="0"/>
              <w:numPr>
                <w:ilvl w:val="-1"/>
                <w:numId w:val="0"/>
              </w:numPr>
              <w:tabs>
                <w:tab w:val="center" w:pos="4153"/>
                <w:tab w:val="right" w:pos="8306"/>
              </w:tabs>
              <w:wordWrap/>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4726" w:type="dxa"/>
            <w:noWrap w:val="0"/>
            <w:vAlign w:val="center"/>
          </w:tcPr>
          <w:p w14:paraId="47061C64">
            <w:pPr>
              <w:pageBreakBefore w:val="0"/>
              <w:numPr>
                <w:ilvl w:val="-1"/>
                <w:numId w:val="0"/>
              </w:numPr>
              <w:tabs>
                <w:tab w:val="center" w:pos="4153"/>
                <w:tab w:val="right" w:pos="8306"/>
              </w:tabs>
              <w:wordWrap/>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重复指挥一次扣1分，重复指挥二次再扣2分。</w:t>
            </w:r>
          </w:p>
        </w:tc>
      </w:tr>
      <w:tr w14:paraId="04472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27" w:type="dxa"/>
            <w:noWrap w:val="0"/>
            <w:vAlign w:val="center"/>
          </w:tcPr>
          <w:p w14:paraId="0AA2FE14">
            <w:pPr>
              <w:pageBreakBefore w:val="0"/>
              <w:numPr>
                <w:ilvl w:val="-1"/>
                <w:numId w:val="0"/>
              </w:numPr>
              <w:tabs>
                <w:tab w:val="center" w:pos="4153"/>
                <w:tab w:val="right" w:pos="8306"/>
              </w:tabs>
              <w:wordWrap/>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体能</w:t>
            </w:r>
          </w:p>
        </w:tc>
        <w:tc>
          <w:tcPr>
            <w:tcW w:w="2350" w:type="dxa"/>
            <w:noWrap w:val="0"/>
            <w:vAlign w:val="center"/>
          </w:tcPr>
          <w:p w14:paraId="21EF32CE">
            <w:pPr>
              <w:pageBreakBefore w:val="0"/>
              <w:numPr>
                <w:ilvl w:val="-1"/>
                <w:numId w:val="0"/>
              </w:numPr>
              <w:tabs>
                <w:tab w:val="center" w:pos="4153"/>
                <w:tab w:val="right" w:pos="8306"/>
              </w:tabs>
              <w:wordWrap/>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能连续奔跑8千米以上。</w:t>
            </w:r>
          </w:p>
        </w:tc>
        <w:tc>
          <w:tcPr>
            <w:tcW w:w="900" w:type="dxa"/>
            <w:noWrap w:val="0"/>
            <w:vAlign w:val="center"/>
          </w:tcPr>
          <w:p w14:paraId="69395D8D">
            <w:pPr>
              <w:pageBreakBefore w:val="0"/>
              <w:numPr>
                <w:ilvl w:val="-1"/>
                <w:numId w:val="0"/>
              </w:numPr>
              <w:tabs>
                <w:tab w:val="center" w:pos="4153"/>
                <w:tab w:val="right" w:pos="8306"/>
              </w:tabs>
              <w:wordWrap/>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w:t>
            </w:r>
          </w:p>
        </w:tc>
        <w:tc>
          <w:tcPr>
            <w:tcW w:w="4726" w:type="dxa"/>
            <w:noWrap w:val="0"/>
            <w:vAlign w:val="center"/>
          </w:tcPr>
          <w:p w14:paraId="4A33EDE8">
            <w:pPr>
              <w:pageBreakBefore w:val="0"/>
              <w:numPr>
                <w:ilvl w:val="-1"/>
                <w:numId w:val="0"/>
              </w:numPr>
              <w:tabs>
                <w:tab w:val="center" w:pos="4153"/>
                <w:tab w:val="right" w:pos="8306"/>
              </w:tabs>
              <w:wordWrap/>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不能连续奔跑3千米不得分，不能连续奔跑4千米扣5分。</w:t>
            </w:r>
          </w:p>
        </w:tc>
      </w:tr>
    </w:tbl>
    <w:p w14:paraId="466C9CE8">
      <w:pPr>
        <w:pageBreakBefore w:val="0"/>
        <w:numPr>
          <w:ilvl w:val="-1"/>
          <w:numId w:val="0"/>
        </w:numPr>
        <w:wordWrap/>
        <w:overflowPunct/>
        <w:topLinePunct w:val="0"/>
        <w:bidi w:val="0"/>
        <w:adjustRightInd/>
        <w:spacing w:line="0" w:lineRule="atLeast"/>
        <w:ind w:firstLine="0"/>
        <w:jc w:val="both"/>
        <w:textAlignment w:val="auto"/>
        <w:rPr>
          <w:rFonts w:hint="eastAsia" w:ascii="仿宋" w:hAnsi="仿宋" w:eastAsia="仿宋" w:cs="仿宋"/>
          <w:color w:val="auto"/>
          <w:kern w:val="2"/>
          <w:sz w:val="24"/>
          <w:szCs w:val="24"/>
          <w:highlight w:val="none"/>
        </w:rPr>
      </w:pPr>
    </w:p>
    <w:p w14:paraId="57D29E8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表2-3：昆明犬种公犬繁殖性能认证项目及评分标准</w:t>
      </w:r>
    </w:p>
    <w:tbl>
      <w:tblPr>
        <w:tblStyle w:val="13"/>
        <w:tblW w:w="87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470"/>
        <w:gridCol w:w="986"/>
        <w:gridCol w:w="4382"/>
      </w:tblGrid>
      <w:tr w14:paraId="3D35E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4" w:type="dxa"/>
            <w:noWrap w:val="0"/>
            <w:vAlign w:val="center"/>
          </w:tcPr>
          <w:p w14:paraId="41E73F5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470" w:type="dxa"/>
            <w:noWrap w:val="0"/>
            <w:vAlign w:val="center"/>
          </w:tcPr>
          <w:p w14:paraId="1FF9B87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986" w:type="dxa"/>
            <w:noWrap w:val="0"/>
            <w:vAlign w:val="center"/>
          </w:tcPr>
          <w:p w14:paraId="24DC2E2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4382" w:type="dxa"/>
            <w:noWrap w:val="0"/>
            <w:vAlign w:val="center"/>
          </w:tcPr>
          <w:p w14:paraId="47A2CB3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0DA1B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894" w:type="dxa"/>
            <w:noWrap w:val="0"/>
            <w:vAlign w:val="center"/>
          </w:tcPr>
          <w:p w14:paraId="3392C66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性反射能力</w:t>
            </w:r>
          </w:p>
        </w:tc>
        <w:tc>
          <w:tcPr>
            <w:tcW w:w="2470" w:type="dxa"/>
            <w:noWrap w:val="0"/>
            <w:vAlign w:val="center"/>
          </w:tcPr>
          <w:p w14:paraId="16F47D7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spacing w:val="-8"/>
                <w:kern w:val="2"/>
                <w:sz w:val="24"/>
                <w:szCs w:val="24"/>
                <w:highlight w:val="none"/>
              </w:rPr>
            </w:pPr>
            <w:r>
              <w:rPr>
                <w:rFonts w:hint="eastAsia" w:ascii="仿宋" w:hAnsi="仿宋" w:eastAsia="仿宋" w:cs="仿宋"/>
                <w:color w:val="auto"/>
                <w:spacing w:val="-8"/>
                <w:kern w:val="2"/>
                <w:sz w:val="24"/>
                <w:szCs w:val="24"/>
                <w:highlight w:val="none"/>
              </w:rPr>
              <w:t>对发情母犬产生强烈的性欲望。</w:t>
            </w:r>
          </w:p>
        </w:tc>
        <w:tc>
          <w:tcPr>
            <w:tcW w:w="986" w:type="dxa"/>
            <w:noWrap w:val="0"/>
            <w:vAlign w:val="center"/>
          </w:tcPr>
          <w:p w14:paraId="1DDC97B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40</w:t>
            </w:r>
          </w:p>
        </w:tc>
        <w:tc>
          <w:tcPr>
            <w:tcW w:w="4382" w:type="dxa"/>
            <w:noWrap w:val="0"/>
            <w:vAlign w:val="center"/>
          </w:tcPr>
          <w:p w14:paraId="68DAE62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靠近最适交配期发情母犬，不嗅闻又不爬跨为失格。交配欲较差扣5分，交配时爬跨5—10次后不再爬跨扣5分，爬跨2—3次后不再爬跨扣10分，只嗅闻完全不爬跨扣30分。</w:t>
            </w:r>
          </w:p>
        </w:tc>
      </w:tr>
      <w:tr w14:paraId="5227D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94" w:type="dxa"/>
            <w:noWrap w:val="0"/>
            <w:vAlign w:val="center"/>
          </w:tcPr>
          <w:p w14:paraId="051A2F5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精子</w:t>
            </w:r>
          </w:p>
          <w:p w14:paraId="70DCDA8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活力</w:t>
            </w:r>
          </w:p>
        </w:tc>
        <w:tc>
          <w:tcPr>
            <w:tcW w:w="2470" w:type="dxa"/>
            <w:noWrap w:val="0"/>
            <w:vAlign w:val="center"/>
          </w:tcPr>
          <w:p w14:paraId="29713802">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0.6以上</w:t>
            </w:r>
          </w:p>
        </w:tc>
        <w:tc>
          <w:tcPr>
            <w:tcW w:w="986" w:type="dxa"/>
            <w:noWrap w:val="0"/>
            <w:vAlign w:val="center"/>
          </w:tcPr>
          <w:p w14:paraId="68AFAA6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60</w:t>
            </w:r>
          </w:p>
        </w:tc>
        <w:tc>
          <w:tcPr>
            <w:tcW w:w="4382" w:type="dxa"/>
            <w:noWrap w:val="0"/>
            <w:vAlign w:val="center"/>
          </w:tcPr>
          <w:p w14:paraId="29AE4B81">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低于0.6为失格。0.8以上得满分，每降0.1扣9分。</w:t>
            </w:r>
          </w:p>
        </w:tc>
      </w:tr>
    </w:tbl>
    <w:p w14:paraId="5F84C31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30AC913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表2-4：昆明犬种母犬繁殖性能认证项目及评分标准</w:t>
      </w:r>
    </w:p>
    <w:tbl>
      <w:tblPr>
        <w:tblStyle w:val="13"/>
        <w:tblW w:w="87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797"/>
        <w:gridCol w:w="951"/>
        <w:gridCol w:w="4104"/>
      </w:tblGrid>
      <w:tr w14:paraId="71A3AB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exact"/>
          <w:jc w:val="center"/>
        </w:trPr>
        <w:tc>
          <w:tcPr>
            <w:tcW w:w="880" w:type="dxa"/>
            <w:noWrap w:val="0"/>
            <w:vAlign w:val="center"/>
          </w:tcPr>
          <w:p w14:paraId="123A098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797" w:type="dxa"/>
            <w:noWrap w:val="0"/>
            <w:vAlign w:val="center"/>
          </w:tcPr>
          <w:p w14:paraId="0EBC237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要求</w:t>
            </w:r>
          </w:p>
        </w:tc>
        <w:tc>
          <w:tcPr>
            <w:tcW w:w="951" w:type="dxa"/>
            <w:noWrap w:val="0"/>
            <w:vAlign w:val="center"/>
          </w:tcPr>
          <w:p w14:paraId="676C74C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w:t>
            </w:r>
          </w:p>
          <w:p w14:paraId="2EB92E1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w:t>
            </w:r>
          </w:p>
        </w:tc>
        <w:tc>
          <w:tcPr>
            <w:tcW w:w="4104" w:type="dxa"/>
            <w:noWrap w:val="0"/>
            <w:vAlign w:val="center"/>
          </w:tcPr>
          <w:p w14:paraId="6DFB70D6">
            <w:pPr>
              <w:pageBreakBefore w:val="0"/>
              <w:numPr>
                <w:ilvl w:val="-1"/>
                <w:numId w:val="0"/>
              </w:numPr>
              <w:wordWrap/>
              <w:overflowPunct/>
              <w:topLinePunct w:val="0"/>
              <w:bidi w:val="0"/>
              <w:adjustRightInd/>
              <w:spacing w:line="0" w:lineRule="atLeast"/>
              <w:ind w:firstLine="648"/>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673E4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880" w:type="dxa"/>
            <w:noWrap w:val="0"/>
            <w:vAlign w:val="center"/>
          </w:tcPr>
          <w:p w14:paraId="0CB5ACC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窝产</w:t>
            </w:r>
          </w:p>
          <w:p w14:paraId="330AB91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仔数</w:t>
            </w:r>
          </w:p>
        </w:tc>
        <w:tc>
          <w:tcPr>
            <w:tcW w:w="2797" w:type="dxa"/>
            <w:noWrap w:val="0"/>
            <w:vAlign w:val="center"/>
          </w:tcPr>
          <w:p w14:paraId="431B7407">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累计2窝以上（含2窝）资料评定，产仔数不低于6头。</w:t>
            </w:r>
          </w:p>
        </w:tc>
        <w:tc>
          <w:tcPr>
            <w:tcW w:w="951" w:type="dxa"/>
            <w:noWrap w:val="0"/>
            <w:vAlign w:val="center"/>
          </w:tcPr>
          <w:p w14:paraId="14FD0F9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55</w:t>
            </w:r>
          </w:p>
        </w:tc>
        <w:tc>
          <w:tcPr>
            <w:tcW w:w="4104" w:type="dxa"/>
            <w:noWrap w:val="0"/>
            <w:vAlign w:val="center"/>
          </w:tcPr>
          <w:p w14:paraId="6EBB01C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窝产仔数8头以上为满分，每少1头扣10分。</w:t>
            </w:r>
          </w:p>
        </w:tc>
      </w:tr>
      <w:tr w14:paraId="416B8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noWrap w:val="0"/>
            <w:vAlign w:val="center"/>
          </w:tcPr>
          <w:p w14:paraId="5B1BD09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断奶成活率</w:t>
            </w:r>
          </w:p>
        </w:tc>
        <w:tc>
          <w:tcPr>
            <w:tcW w:w="2797" w:type="dxa"/>
            <w:noWrap w:val="0"/>
            <w:vAlign w:val="center"/>
          </w:tcPr>
          <w:p w14:paraId="4AEB73C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spacing w:val="-8"/>
                <w:kern w:val="2"/>
                <w:sz w:val="24"/>
                <w:szCs w:val="24"/>
                <w:highlight w:val="none"/>
              </w:rPr>
              <w:t>累计2窝以上（含2窝）资料评定，断奶成活率不低于</w:t>
            </w:r>
            <w:r>
              <w:rPr>
                <w:rFonts w:hint="eastAsia" w:ascii="仿宋" w:hAnsi="仿宋" w:eastAsia="仿宋" w:cs="仿宋"/>
                <w:color w:val="auto"/>
                <w:kern w:val="2"/>
                <w:sz w:val="24"/>
                <w:szCs w:val="24"/>
                <w:highlight w:val="none"/>
              </w:rPr>
              <w:t>80%。</w:t>
            </w:r>
          </w:p>
        </w:tc>
        <w:tc>
          <w:tcPr>
            <w:tcW w:w="951" w:type="dxa"/>
            <w:noWrap w:val="0"/>
            <w:vAlign w:val="center"/>
          </w:tcPr>
          <w:p w14:paraId="144B9F0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45</w:t>
            </w:r>
          </w:p>
        </w:tc>
        <w:tc>
          <w:tcPr>
            <w:tcW w:w="4104" w:type="dxa"/>
            <w:noWrap w:val="0"/>
            <w:vAlign w:val="center"/>
          </w:tcPr>
          <w:p w14:paraId="1B75B45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成活率90%以上为满分，每减少1%扣2分。</w:t>
            </w:r>
          </w:p>
        </w:tc>
      </w:tr>
    </w:tbl>
    <w:p w14:paraId="27939E4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07514B0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表2-5：昆明犬后裔品质认证项目及评分标准</w:t>
      </w:r>
    </w:p>
    <w:tbl>
      <w:tblPr>
        <w:tblStyle w:val="13"/>
        <w:tblW w:w="87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645"/>
        <w:gridCol w:w="958"/>
        <w:gridCol w:w="4112"/>
      </w:tblGrid>
      <w:tr w14:paraId="480CD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dxa"/>
            <w:noWrap w:val="0"/>
            <w:vAlign w:val="center"/>
          </w:tcPr>
          <w:p w14:paraId="0AD9249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645" w:type="dxa"/>
            <w:noWrap w:val="0"/>
            <w:vAlign w:val="center"/>
          </w:tcPr>
          <w:p w14:paraId="06CEDDA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要求</w:t>
            </w:r>
          </w:p>
        </w:tc>
        <w:tc>
          <w:tcPr>
            <w:tcW w:w="958" w:type="dxa"/>
            <w:noWrap w:val="0"/>
            <w:vAlign w:val="center"/>
          </w:tcPr>
          <w:p w14:paraId="0C9809B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w:t>
            </w:r>
          </w:p>
          <w:p w14:paraId="0AE4AE8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w:t>
            </w:r>
          </w:p>
        </w:tc>
        <w:tc>
          <w:tcPr>
            <w:tcW w:w="4112" w:type="dxa"/>
            <w:noWrap w:val="0"/>
            <w:vAlign w:val="center"/>
          </w:tcPr>
          <w:p w14:paraId="343214D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0E767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1017" w:type="dxa"/>
            <w:noWrap w:val="0"/>
            <w:vAlign w:val="center"/>
          </w:tcPr>
          <w:p w14:paraId="698AE3A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同窝仔</w:t>
            </w:r>
          </w:p>
          <w:p w14:paraId="51A9D1C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犬整齐度</w:t>
            </w:r>
          </w:p>
        </w:tc>
        <w:tc>
          <w:tcPr>
            <w:tcW w:w="2645" w:type="dxa"/>
            <w:noWrap w:val="0"/>
            <w:vAlign w:val="center"/>
          </w:tcPr>
          <w:p w14:paraId="0FE0731D">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spacing w:val="-8"/>
                <w:kern w:val="2"/>
                <w:sz w:val="24"/>
                <w:szCs w:val="24"/>
                <w:highlight w:val="none"/>
              </w:rPr>
            </w:pPr>
            <w:r>
              <w:rPr>
                <w:rFonts w:hint="eastAsia" w:ascii="仿宋" w:hAnsi="仿宋" w:eastAsia="仿宋" w:cs="仿宋"/>
                <w:color w:val="auto"/>
                <w:spacing w:val="-8"/>
                <w:kern w:val="2"/>
                <w:sz w:val="24"/>
                <w:szCs w:val="24"/>
                <w:highlight w:val="none"/>
              </w:rPr>
              <w:t>同窝犬初生体重、2月龄体重离平均体重偏差不超过20%。</w:t>
            </w:r>
          </w:p>
        </w:tc>
        <w:tc>
          <w:tcPr>
            <w:tcW w:w="958" w:type="dxa"/>
            <w:noWrap w:val="0"/>
            <w:vAlign w:val="center"/>
          </w:tcPr>
          <w:p w14:paraId="60CC4AE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w:t>
            </w:r>
          </w:p>
        </w:tc>
        <w:tc>
          <w:tcPr>
            <w:tcW w:w="4112" w:type="dxa"/>
            <w:noWrap w:val="0"/>
            <w:vAlign w:val="center"/>
          </w:tcPr>
          <w:p w14:paraId="40E7D5D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偏差小于10%为满分（窝产仔数8头以上，差率小于15%计满分），每增加1%扣1分。</w:t>
            </w:r>
          </w:p>
        </w:tc>
      </w:tr>
      <w:tr w14:paraId="2097DB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dxa"/>
            <w:noWrap w:val="0"/>
            <w:vAlign w:val="center"/>
          </w:tcPr>
          <w:p w14:paraId="11D19C3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幼训合</w:t>
            </w:r>
          </w:p>
          <w:p w14:paraId="1462C31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格率</w:t>
            </w:r>
          </w:p>
        </w:tc>
        <w:tc>
          <w:tcPr>
            <w:tcW w:w="2645" w:type="dxa"/>
            <w:noWrap w:val="0"/>
            <w:vAlign w:val="center"/>
          </w:tcPr>
          <w:p w14:paraId="7CFCB1D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不低于70%。</w:t>
            </w:r>
          </w:p>
        </w:tc>
        <w:tc>
          <w:tcPr>
            <w:tcW w:w="958" w:type="dxa"/>
            <w:noWrap w:val="0"/>
            <w:vAlign w:val="center"/>
          </w:tcPr>
          <w:p w14:paraId="3516308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40</w:t>
            </w:r>
          </w:p>
        </w:tc>
        <w:tc>
          <w:tcPr>
            <w:tcW w:w="4112" w:type="dxa"/>
            <w:noWrap w:val="0"/>
            <w:vAlign w:val="center"/>
          </w:tcPr>
          <w:p w14:paraId="4D8FFEF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合格率80%以上为满分，每减少1%扣2分。</w:t>
            </w:r>
          </w:p>
        </w:tc>
      </w:tr>
      <w:tr w14:paraId="7B8AC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dxa"/>
            <w:noWrap w:val="0"/>
            <w:vAlign w:val="center"/>
          </w:tcPr>
          <w:p w14:paraId="3CDEA36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训练合</w:t>
            </w:r>
          </w:p>
          <w:p w14:paraId="70BDDC1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格率</w:t>
            </w:r>
          </w:p>
        </w:tc>
        <w:tc>
          <w:tcPr>
            <w:tcW w:w="2645" w:type="dxa"/>
            <w:noWrap w:val="0"/>
            <w:vAlign w:val="center"/>
          </w:tcPr>
          <w:p w14:paraId="1BD4DC2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不低于70%。</w:t>
            </w:r>
          </w:p>
        </w:tc>
        <w:tc>
          <w:tcPr>
            <w:tcW w:w="958" w:type="dxa"/>
            <w:noWrap w:val="0"/>
            <w:vAlign w:val="center"/>
          </w:tcPr>
          <w:p w14:paraId="6BA30CC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35</w:t>
            </w:r>
          </w:p>
        </w:tc>
        <w:tc>
          <w:tcPr>
            <w:tcW w:w="4112" w:type="dxa"/>
            <w:noWrap w:val="0"/>
            <w:vAlign w:val="center"/>
          </w:tcPr>
          <w:p w14:paraId="311355B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合格率80%以上为满分，每减少1%扣2分。</w:t>
            </w:r>
          </w:p>
        </w:tc>
      </w:tr>
    </w:tbl>
    <w:p w14:paraId="089BFFB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303C867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表</w:t>
      </w:r>
      <w:r>
        <w:rPr>
          <w:rFonts w:hint="eastAsia" w:ascii="仿宋" w:hAnsi="仿宋" w:eastAsia="仿宋" w:cs="仿宋"/>
          <w:bCs/>
          <w:color w:val="auto"/>
          <w:kern w:val="2"/>
          <w:sz w:val="24"/>
          <w:szCs w:val="24"/>
          <w:highlight w:val="none"/>
          <w:lang w:val="en-US" w:eastAsia="zh-CN"/>
        </w:rPr>
        <w:t>3</w:t>
      </w:r>
      <w:r>
        <w:rPr>
          <w:rFonts w:hint="eastAsia" w:ascii="仿宋" w:hAnsi="仿宋" w:eastAsia="仿宋" w:cs="仿宋"/>
          <w:bCs/>
          <w:color w:val="auto"/>
          <w:kern w:val="2"/>
          <w:sz w:val="24"/>
          <w:szCs w:val="24"/>
          <w:highlight w:val="none"/>
        </w:rPr>
        <w:t>-1：史宾格犬种犬体形外貌认证项目及评分标准</w:t>
      </w:r>
    </w:p>
    <w:tbl>
      <w:tblPr>
        <w:tblStyle w:val="13"/>
        <w:tblW w:w="87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6"/>
        <w:gridCol w:w="3965"/>
        <w:gridCol w:w="951"/>
        <w:gridCol w:w="3380"/>
      </w:tblGrid>
      <w:tr w14:paraId="6CAA5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5" w:hRule="exact"/>
          <w:jc w:val="center"/>
        </w:trPr>
        <w:tc>
          <w:tcPr>
            <w:tcW w:w="436" w:type="dxa"/>
            <w:noWrap w:val="0"/>
            <w:vAlign w:val="center"/>
          </w:tcPr>
          <w:p w14:paraId="5EE5184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3965" w:type="dxa"/>
            <w:noWrap w:val="0"/>
            <w:vAlign w:val="center"/>
          </w:tcPr>
          <w:p w14:paraId="0F73086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951" w:type="dxa"/>
            <w:noWrap w:val="0"/>
            <w:vAlign w:val="center"/>
          </w:tcPr>
          <w:p w14:paraId="041D4B2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3380" w:type="dxa"/>
            <w:noWrap w:val="0"/>
            <w:vAlign w:val="center"/>
          </w:tcPr>
          <w:p w14:paraId="69E1C97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44570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09" w:hRule="exact"/>
          <w:jc w:val="center"/>
        </w:trPr>
        <w:tc>
          <w:tcPr>
            <w:tcW w:w="436" w:type="dxa"/>
            <w:vMerge w:val="restart"/>
            <w:noWrap w:val="0"/>
            <w:vAlign w:val="center"/>
          </w:tcPr>
          <w:p w14:paraId="042B593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总体外貌</w:t>
            </w:r>
          </w:p>
        </w:tc>
        <w:tc>
          <w:tcPr>
            <w:tcW w:w="3965" w:type="dxa"/>
            <w:noWrap w:val="0"/>
            <w:vAlign w:val="center"/>
          </w:tcPr>
          <w:p w14:paraId="1BB507FA">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1.性别特征、各部位轮廓明显，结合良好，外形匀称，骨骼紧密，肌肉发达，结实有力。长高比例适中。</w:t>
            </w:r>
          </w:p>
          <w:p w14:paraId="7ACB3BE7">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体尺标准（单位：cm）：</w:t>
            </w:r>
          </w:p>
          <w:p w14:paraId="46E719F9">
            <w:pPr>
              <w:pageBreakBefore w:val="0"/>
              <w:numPr>
                <w:ilvl w:val="-1"/>
                <w:numId w:val="0"/>
              </w:numPr>
              <w:wordWrap/>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体高体长荐高胸围胸深</w:t>
            </w:r>
          </w:p>
          <w:p w14:paraId="798B798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公42-4849-5440-4555-6019-22</w:t>
            </w:r>
          </w:p>
          <w:p w14:paraId="60CCAF7C">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母41-4644-5239-4353-5817-20</w:t>
            </w:r>
          </w:p>
        </w:tc>
        <w:tc>
          <w:tcPr>
            <w:tcW w:w="951" w:type="dxa"/>
            <w:noWrap w:val="0"/>
            <w:vAlign w:val="center"/>
          </w:tcPr>
          <w:p w14:paraId="5A162E6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Cs/>
                <w:iCs/>
                <w:color w:val="auto"/>
                <w:kern w:val="2"/>
                <w:sz w:val="24"/>
                <w:szCs w:val="24"/>
                <w:highlight w:val="none"/>
              </w:rPr>
            </w:pPr>
            <w:r>
              <w:rPr>
                <w:rFonts w:hint="eastAsia" w:ascii="仿宋" w:hAnsi="仿宋" w:eastAsia="仿宋" w:cs="仿宋"/>
                <w:bCs/>
                <w:iCs/>
                <w:color w:val="auto"/>
                <w:kern w:val="2"/>
                <w:sz w:val="24"/>
                <w:szCs w:val="24"/>
                <w:highlight w:val="none"/>
              </w:rPr>
              <w:t>20</w:t>
            </w:r>
          </w:p>
        </w:tc>
        <w:tc>
          <w:tcPr>
            <w:tcW w:w="3380" w:type="dxa"/>
            <w:noWrap w:val="0"/>
            <w:vAlign w:val="center"/>
          </w:tcPr>
          <w:p w14:paraId="3D40065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性征不明显、公犬单侧或双侧隐睾、母犬有效乳头少于4对均为失格。外形不匀称，比例不协调扣2分，骨胳、肌肉不符合标准各扣2分。过肥过瘦扣2分，体高超出标准2cm扣4分。</w:t>
            </w:r>
          </w:p>
        </w:tc>
      </w:tr>
      <w:tr w14:paraId="114E7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87" w:hRule="exact"/>
          <w:jc w:val="center"/>
        </w:trPr>
        <w:tc>
          <w:tcPr>
            <w:tcW w:w="436" w:type="dxa"/>
            <w:vMerge w:val="continue"/>
            <w:noWrap w:val="0"/>
            <w:vAlign w:val="center"/>
          </w:tcPr>
          <w:p w14:paraId="4CF4D93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65" w:type="dxa"/>
            <w:noWrap w:val="0"/>
            <w:vAlign w:val="center"/>
          </w:tcPr>
          <w:p w14:paraId="0BDB1C51">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2.毛密而直、耳、胸、四肢、腹下和尾有饰毛。皮肤富有弹性。毛色有褐色白斑或黑色白斑。不能有粗毛。</w:t>
            </w:r>
          </w:p>
        </w:tc>
        <w:tc>
          <w:tcPr>
            <w:tcW w:w="951" w:type="dxa"/>
            <w:noWrap w:val="0"/>
            <w:vAlign w:val="center"/>
          </w:tcPr>
          <w:p w14:paraId="48B1C80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w:t>
            </w:r>
          </w:p>
        </w:tc>
        <w:tc>
          <w:tcPr>
            <w:tcW w:w="3380" w:type="dxa"/>
            <w:noWrap w:val="0"/>
            <w:vAlign w:val="center"/>
          </w:tcPr>
          <w:p w14:paraId="4D75997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杂色毛扣2分，皮肤弹性较差的扣2分。</w:t>
            </w:r>
            <w:r>
              <w:rPr>
                <w:rFonts w:hint="eastAsia" w:ascii="仿宋" w:hAnsi="仿宋" w:eastAsia="仿宋" w:cs="仿宋"/>
                <w:bCs/>
                <w:iCs/>
                <w:color w:val="auto"/>
                <w:kern w:val="2"/>
                <w:sz w:val="24"/>
                <w:szCs w:val="24"/>
                <w:highlight w:val="none"/>
              </w:rPr>
              <w:t>背部毛色分布均匀的满分或加分。</w:t>
            </w:r>
          </w:p>
        </w:tc>
      </w:tr>
      <w:tr w14:paraId="76696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5" w:hRule="exact"/>
          <w:jc w:val="center"/>
        </w:trPr>
        <w:tc>
          <w:tcPr>
            <w:tcW w:w="436" w:type="dxa"/>
            <w:vMerge w:val="restart"/>
            <w:noWrap w:val="0"/>
            <w:vAlign w:val="center"/>
          </w:tcPr>
          <w:p w14:paraId="1D5EA31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头</w:t>
            </w:r>
          </w:p>
          <w:p w14:paraId="7A4338E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23EC437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颈</w:t>
            </w:r>
          </w:p>
          <w:p w14:paraId="7ED7475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0D1BED6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部</w:t>
            </w:r>
          </w:p>
        </w:tc>
        <w:tc>
          <w:tcPr>
            <w:tcW w:w="3965" w:type="dxa"/>
            <w:noWrap w:val="0"/>
            <w:vAlign w:val="center"/>
          </w:tcPr>
          <w:p w14:paraId="10206AD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3.头大小适宜，外形轮廓明显，干燥，吻部长短适中，两眼之间凹槽明显。</w:t>
            </w:r>
          </w:p>
        </w:tc>
        <w:tc>
          <w:tcPr>
            <w:tcW w:w="951" w:type="dxa"/>
            <w:noWrap w:val="0"/>
            <w:vAlign w:val="center"/>
          </w:tcPr>
          <w:p w14:paraId="3BF8EAC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3380" w:type="dxa"/>
            <w:noWrap w:val="0"/>
            <w:vAlign w:val="center"/>
          </w:tcPr>
          <w:p w14:paraId="01BB737D">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spacing w:val="-6"/>
                <w:kern w:val="2"/>
                <w:sz w:val="24"/>
                <w:szCs w:val="24"/>
                <w:highlight w:val="none"/>
              </w:rPr>
            </w:pPr>
            <w:r>
              <w:rPr>
                <w:rFonts w:hint="eastAsia" w:ascii="仿宋" w:hAnsi="仿宋" w:eastAsia="仿宋" w:cs="仿宋"/>
                <w:bCs/>
                <w:iCs/>
                <w:color w:val="auto"/>
                <w:spacing w:val="-6"/>
                <w:kern w:val="2"/>
                <w:sz w:val="24"/>
                <w:szCs w:val="24"/>
                <w:highlight w:val="none"/>
              </w:rPr>
              <w:t>头有一道白杠的满分（白杠0.5cm为佳）</w:t>
            </w:r>
            <w:r>
              <w:rPr>
                <w:rFonts w:hint="eastAsia" w:ascii="仿宋" w:hAnsi="仿宋" w:eastAsia="仿宋" w:cs="仿宋"/>
                <w:bCs/>
                <w:color w:val="auto"/>
                <w:spacing w:val="-6"/>
                <w:kern w:val="2"/>
                <w:sz w:val="24"/>
                <w:szCs w:val="24"/>
                <w:highlight w:val="none"/>
              </w:rPr>
              <w:t>，</w:t>
            </w:r>
            <w:r>
              <w:rPr>
                <w:rFonts w:hint="eastAsia" w:ascii="仿宋" w:hAnsi="仿宋" w:eastAsia="仿宋" w:cs="仿宋"/>
                <w:color w:val="auto"/>
                <w:spacing w:val="-6"/>
                <w:kern w:val="2"/>
                <w:sz w:val="24"/>
                <w:szCs w:val="24"/>
                <w:highlight w:val="none"/>
              </w:rPr>
              <w:t>外形轮廓不明显扣2分，颈与头结合不好扣1分，颈皮明显松弛扣2分。</w:t>
            </w:r>
          </w:p>
        </w:tc>
      </w:tr>
      <w:tr w14:paraId="31EB3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36" w:type="dxa"/>
            <w:vMerge w:val="continue"/>
            <w:noWrap w:val="0"/>
            <w:vAlign w:val="center"/>
          </w:tcPr>
          <w:p w14:paraId="6CA015D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65" w:type="dxa"/>
            <w:noWrap w:val="0"/>
            <w:vAlign w:val="center"/>
          </w:tcPr>
          <w:p w14:paraId="1547D28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4.眼：呈杏形，暗褐色或杏黄色。</w:t>
            </w:r>
          </w:p>
        </w:tc>
        <w:tc>
          <w:tcPr>
            <w:tcW w:w="951" w:type="dxa"/>
            <w:noWrap w:val="0"/>
            <w:vAlign w:val="center"/>
          </w:tcPr>
          <w:p w14:paraId="2C0B31E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w:t>
            </w:r>
          </w:p>
        </w:tc>
        <w:tc>
          <w:tcPr>
            <w:tcW w:w="3380" w:type="dxa"/>
            <w:noWrap w:val="0"/>
            <w:vAlign w:val="center"/>
          </w:tcPr>
          <w:p w14:paraId="7E77C3AC">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眼睛过小扣2分。</w:t>
            </w:r>
          </w:p>
        </w:tc>
      </w:tr>
      <w:tr w14:paraId="3BA43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1" w:hRule="exact"/>
          <w:jc w:val="center"/>
        </w:trPr>
        <w:tc>
          <w:tcPr>
            <w:tcW w:w="436" w:type="dxa"/>
            <w:vMerge w:val="continue"/>
            <w:noWrap w:val="0"/>
            <w:vAlign w:val="center"/>
          </w:tcPr>
          <w:p w14:paraId="19B6148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65" w:type="dxa"/>
            <w:noWrap w:val="0"/>
            <w:vAlign w:val="center"/>
          </w:tcPr>
          <w:p w14:paraId="271CB145">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5.耳：两耳自然下垂，紧贴头部，大小适中，有丰富饰毛。</w:t>
            </w:r>
          </w:p>
        </w:tc>
        <w:tc>
          <w:tcPr>
            <w:tcW w:w="951" w:type="dxa"/>
            <w:noWrap w:val="0"/>
            <w:vAlign w:val="center"/>
          </w:tcPr>
          <w:p w14:paraId="6D87F59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w:t>
            </w:r>
          </w:p>
        </w:tc>
        <w:tc>
          <w:tcPr>
            <w:tcW w:w="3380" w:type="dxa"/>
            <w:noWrap w:val="0"/>
            <w:vAlign w:val="center"/>
          </w:tcPr>
          <w:p w14:paraId="6C86203D">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耳不下垂为失格。</w:t>
            </w:r>
          </w:p>
          <w:p w14:paraId="158C47AE">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过大或过小扣2分，饰毛不丰富扣2分。</w:t>
            </w:r>
          </w:p>
        </w:tc>
      </w:tr>
      <w:tr w14:paraId="20AC3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36" w:type="dxa"/>
            <w:vMerge w:val="continue"/>
            <w:noWrap w:val="0"/>
            <w:vAlign w:val="center"/>
          </w:tcPr>
          <w:p w14:paraId="2DCCC90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65" w:type="dxa"/>
            <w:noWrap w:val="0"/>
            <w:vAlign w:val="center"/>
          </w:tcPr>
          <w:p w14:paraId="03722B8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6.鼻：鼻梁平直，鼻镜黑色或深褐色。</w:t>
            </w:r>
          </w:p>
        </w:tc>
        <w:tc>
          <w:tcPr>
            <w:tcW w:w="951" w:type="dxa"/>
            <w:noWrap w:val="0"/>
            <w:vAlign w:val="center"/>
          </w:tcPr>
          <w:p w14:paraId="30583BE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w:t>
            </w:r>
          </w:p>
        </w:tc>
        <w:tc>
          <w:tcPr>
            <w:tcW w:w="3380" w:type="dxa"/>
            <w:noWrap w:val="0"/>
            <w:vAlign w:val="center"/>
          </w:tcPr>
          <w:p w14:paraId="5D414E8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鼻镜颜色与毛色不符扣1—3分。</w:t>
            </w:r>
          </w:p>
        </w:tc>
      </w:tr>
      <w:tr w14:paraId="5899EA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17" w:hRule="exact"/>
          <w:jc w:val="center"/>
        </w:trPr>
        <w:tc>
          <w:tcPr>
            <w:tcW w:w="436" w:type="dxa"/>
            <w:vMerge w:val="continue"/>
            <w:noWrap w:val="0"/>
            <w:vAlign w:val="center"/>
          </w:tcPr>
          <w:p w14:paraId="7690868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65" w:type="dxa"/>
            <w:noWrap w:val="0"/>
            <w:vAlign w:val="center"/>
          </w:tcPr>
          <w:p w14:paraId="2801BD1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7.齿：42颗，剪式咬合。齿式：</w:t>
            </w:r>
          </w:p>
          <w:p w14:paraId="33496A4E">
            <w:pPr>
              <w:pageBreakBefore w:val="0"/>
              <w:numPr>
                <w:ilvl w:val="-1"/>
                <w:numId w:val="0"/>
              </w:numPr>
              <w:wordWrap/>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3.1.4.2</w:t>
            </w:r>
          </w:p>
          <w:p w14:paraId="2E9D5BBB">
            <w:pPr>
              <w:pageBreakBefore w:val="0"/>
              <w:numPr>
                <w:ilvl w:val="-1"/>
                <w:numId w:val="0"/>
              </w:numPr>
              <w:wordWrap/>
              <w:overflowPunct/>
              <w:topLinePunct w:val="0"/>
              <w:bidi w:val="0"/>
              <w:adjustRightInd/>
              <w:spacing w:line="0" w:lineRule="atLeast"/>
              <w:ind w:firstLine="482"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b/>
                <w:color w:val="auto"/>
                <w:kern w:val="2"/>
                <w:sz w:val="24"/>
                <w:szCs w:val="24"/>
                <w:highlight w:val="none"/>
              </w:rPr>
              <w:t>———</w:t>
            </w:r>
            <w:r>
              <w:rPr>
                <w:rFonts w:hint="eastAsia" w:ascii="仿宋" w:hAnsi="仿宋" w:eastAsia="仿宋" w:cs="仿宋"/>
                <w:color w:val="auto"/>
                <w:kern w:val="2"/>
                <w:sz w:val="24"/>
                <w:szCs w:val="24"/>
                <w:highlight w:val="none"/>
              </w:rPr>
              <w:t>×2</w:t>
            </w:r>
          </w:p>
          <w:p w14:paraId="5DDAC92C">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3.1.4.3</w:t>
            </w:r>
          </w:p>
        </w:tc>
        <w:tc>
          <w:tcPr>
            <w:tcW w:w="951" w:type="dxa"/>
            <w:noWrap w:val="0"/>
            <w:vAlign w:val="center"/>
          </w:tcPr>
          <w:p w14:paraId="3C411BF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w:t>
            </w:r>
          </w:p>
        </w:tc>
        <w:tc>
          <w:tcPr>
            <w:tcW w:w="3380" w:type="dxa"/>
            <w:noWrap w:val="0"/>
            <w:vAlign w:val="center"/>
          </w:tcPr>
          <w:p w14:paraId="4C407C3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缺犬齿或其他牙齿2颗为失格。咬合不良扣3分。</w:t>
            </w:r>
          </w:p>
        </w:tc>
      </w:tr>
      <w:tr w14:paraId="0F8883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exact"/>
          <w:jc w:val="center"/>
        </w:trPr>
        <w:tc>
          <w:tcPr>
            <w:tcW w:w="436" w:type="dxa"/>
            <w:vMerge w:val="continue"/>
            <w:noWrap w:val="0"/>
            <w:vAlign w:val="center"/>
          </w:tcPr>
          <w:p w14:paraId="528D654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65" w:type="dxa"/>
            <w:noWrap w:val="0"/>
            <w:vAlign w:val="center"/>
          </w:tcPr>
          <w:p w14:paraId="3872680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8.颈部：肌肉较少，无松弛皮褶。</w:t>
            </w:r>
          </w:p>
        </w:tc>
        <w:tc>
          <w:tcPr>
            <w:tcW w:w="951" w:type="dxa"/>
            <w:noWrap w:val="0"/>
            <w:vAlign w:val="center"/>
          </w:tcPr>
          <w:p w14:paraId="6398938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w:t>
            </w:r>
          </w:p>
        </w:tc>
        <w:tc>
          <w:tcPr>
            <w:tcW w:w="3380" w:type="dxa"/>
            <w:noWrap w:val="0"/>
            <w:vAlign w:val="center"/>
          </w:tcPr>
          <w:p w14:paraId="04637D12">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过短或肌肉不发达，转动不灵活扣2分，皮肤松弛扣2分。</w:t>
            </w:r>
          </w:p>
        </w:tc>
      </w:tr>
      <w:tr w14:paraId="16B93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0" w:hRule="exact"/>
          <w:jc w:val="center"/>
        </w:trPr>
        <w:tc>
          <w:tcPr>
            <w:tcW w:w="436" w:type="dxa"/>
            <w:noWrap w:val="0"/>
            <w:vAlign w:val="center"/>
          </w:tcPr>
          <w:p w14:paraId="5DED9F4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躯干部</w:t>
            </w:r>
          </w:p>
        </w:tc>
        <w:tc>
          <w:tcPr>
            <w:tcW w:w="3965" w:type="dxa"/>
            <w:noWrap w:val="0"/>
            <w:vAlign w:val="center"/>
          </w:tcPr>
          <w:p w14:paraId="2FB09765">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9.胸宽而深、背腰平直，侧看背腰线接近水平，腰臀结合紧凑，平滑。</w:t>
            </w:r>
          </w:p>
        </w:tc>
        <w:tc>
          <w:tcPr>
            <w:tcW w:w="951" w:type="dxa"/>
            <w:noWrap w:val="0"/>
            <w:vAlign w:val="center"/>
          </w:tcPr>
          <w:p w14:paraId="2556B01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w:t>
            </w:r>
          </w:p>
        </w:tc>
        <w:tc>
          <w:tcPr>
            <w:tcW w:w="3380" w:type="dxa"/>
            <w:noWrap w:val="0"/>
            <w:vAlign w:val="center"/>
          </w:tcPr>
          <w:p w14:paraId="76F3A64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背腰过</w:t>
            </w:r>
            <w:r>
              <w:rPr>
                <w:rFonts w:hint="eastAsia" w:ascii="仿宋" w:hAnsi="仿宋" w:eastAsia="仿宋" w:cs="仿宋"/>
                <w:bCs/>
                <w:iCs/>
                <w:color w:val="auto"/>
                <w:kern w:val="2"/>
                <w:sz w:val="24"/>
                <w:szCs w:val="24"/>
                <w:highlight w:val="none"/>
              </w:rPr>
              <w:t>薄</w:t>
            </w:r>
            <w:r>
              <w:rPr>
                <w:rFonts w:hint="eastAsia" w:ascii="仿宋" w:hAnsi="仿宋" w:eastAsia="仿宋" w:cs="仿宋"/>
                <w:color w:val="auto"/>
                <w:kern w:val="2"/>
                <w:sz w:val="24"/>
                <w:szCs w:val="24"/>
                <w:highlight w:val="none"/>
              </w:rPr>
              <w:t>扣3分，腹围过大扣2分，腰臀结合不良扣1分</w:t>
            </w:r>
          </w:p>
        </w:tc>
      </w:tr>
      <w:tr w14:paraId="16063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1" w:hRule="exact"/>
          <w:jc w:val="center"/>
        </w:trPr>
        <w:tc>
          <w:tcPr>
            <w:tcW w:w="436" w:type="dxa"/>
            <w:vMerge w:val="restart"/>
            <w:noWrap w:val="0"/>
            <w:vAlign w:val="center"/>
          </w:tcPr>
          <w:p w14:paraId="169FADE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四肢与步态</w:t>
            </w:r>
          </w:p>
        </w:tc>
        <w:tc>
          <w:tcPr>
            <w:tcW w:w="3965" w:type="dxa"/>
            <w:noWrap w:val="0"/>
            <w:vAlign w:val="center"/>
          </w:tcPr>
          <w:p w14:paraId="775544E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10.四肢强健，前肢直立，大腿部肌肉发达，脚趾紧贴、脚垫厚结实，有丰富的饰毛。</w:t>
            </w:r>
          </w:p>
        </w:tc>
        <w:tc>
          <w:tcPr>
            <w:tcW w:w="951" w:type="dxa"/>
            <w:noWrap w:val="0"/>
            <w:vAlign w:val="center"/>
          </w:tcPr>
          <w:p w14:paraId="3CA831A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3380" w:type="dxa"/>
            <w:noWrap w:val="0"/>
            <w:vAlign w:val="center"/>
          </w:tcPr>
          <w:p w14:paraId="6C8F4CAA">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bCs/>
                <w:iCs/>
                <w:color w:val="auto"/>
                <w:kern w:val="2"/>
                <w:sz w:val="24"/>
                <w:szCs w:val="24"/>
                <w:highlight w:val="none"/>
              </w:rPr>
              <w:t>前肢斑点分部均匀的满分或加分</w:t>
            </w:r>
            <w:r>
              <w:rPr>
                <w:rFonts w:hint="eastAsia" w:ascii="仿宋" w:hAnsi="仿宋" w:eastAsia="仿宋" w:cs="仿宋"/>
                <w:color w:val="auto"/>
                <w:kern w:val="2"/>
                <w:sz w:val="24"/>
                <w:szCs w:val="24"/>
                <w:highlight w:val="none"/>
              </w:rPr>
              <w:t>，严重佝偻后遗症或跛行为失格。</w:t>
            </w:r>
          </w:p>
          <w:p w14:paraId="325F9EB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脚趾松散扣3分，无饰毛或毛量不足扣2分。</w:t>
            </w:r>
          </w:p>
        </w:tc>
      </w:tr>
      <w:tr w14:paraId="00F91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5" w:hRule="exact"/>
          <w:jc w:val="center"/>
        </w:trPr>
        <w:tc>
          <w:tcPr>
            <w:tcW w:w="436" w:type="dxa"/>
            <w:vMerge w:val="continue"/>
            <w:noWrap w:val="0"/>
            <w:vAlign w:val="center"/>
          </w:tcPr>
          <w:p w14:paraId="63B56C8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65" w:type="dxa"/>
            <w:noWrap w:val="0"/>
            <w:vAlign w:val="center"/>
          </w:tcPr>
          <w:p w14:paraId="0F2041C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11.步态：灵活伸展有弹性，前后步幅均等、善疾步跑，无摇摆和扭动。</w:t>
            </w:r>
          </w:p>
        </w:tc>
        <w:tc>
          <w:tcPr>
            <w:tcW w:w="951" w:type="dxa"/>
            <w:noWrap w:val="0"/>
            <w:vAlign w:val="center"/>
          </w:tcPr>
          <w:p w14:paraId="19CE1FE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3380" w:type="dxa"/>
            <w:noWrap w:val="0"/>
            <w:vAlign w:val="center"/>
          </w:tcPr>
          <w:p w14:paraId="2851823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步态不正扣3分，步幅轻微摇摆、僵硬扣4分。</w:t>
            </w:r>
          </w:p>
        </w:tc>
      </w:tr>
      <w:tr w14:paraId="737D5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436" w:type="dxa"/>
            <w:noWrap w:val="0"/>
            <w:vAlign w:val="center"/>
          </w:tcPr>
          <w:p w14:paraId="1193340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尾</w:t>
            </w:r>
          </w:p>
        </w:tc>
        <w:tc>
          <w:tcPr>
            <w:tcW w:w="3965" w:type="dxa"/>
            <w:noWrap w:val="0"/>
            <w:vAlign w:val="center"/>
          </w:tcPr>
          <w:p w14:paraId="45A49FC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12.尾根低，兴奋时尾不超过背，有良好饰毛，好摆动，通常断尾。</w:t>
            </w:r>
          </w:p>
        </w:tc>
        <w:tc>
          <w:tcPr>
            <w:tcW w:w="951" w:type="dxa"/>
            <w:noWrap w:val="0"/>
            <w:vAlign w:val="center"/>
          </w:tcPr>
          <w:p w14:paraId="3C58EB8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w:t>
            </w:r>
          </w:p>
        </w:tc>
        <w:tc>
          <w:tcPr>
            <w:tcW w:w="3380" w:type="dxa"/>
            <w:noWrap w:val="0"/>
            <w:vAlign w:val="center"/>
          </w:tcPr>
          <w:p w14:paraId="70BB7F8C">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bCs/>
                <w:iCs/>
                <w:color w:val="auto"/>
                <w:kern w:val="2"/>
                <w:sz w:val="24"/>
                <w:szCs w:val="24"/>
                <w:highlight w:val="none"/>
              </w:rPr>
              <w:t>严重卷尾、扭尾均匀为失格</w:t>
            </w:r>
            <w:r>
              <w:rPr>
                <w:rFonts w:hint="eastAsia" w:ascii="仿宋" w:hAnsi="仿宋" w:eastAsia="仿宋" w:cs="仿宋"/>
                <w:color w:val="auto"/>
                <w:kern w:val="2"/>
                <w:sz w:val="24"/>
                <w:szCs w:val="24"/>
                <w:highlight w:val="none"/>
              </w:rPr>
              <w:t>。</w:t>
            </w:r>
          </w:p>
          <w:p w14:paraId="36F3F207">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尾过短或过长扣2分，无饰毛扣1分。</w:t>
            </w:r>
          </w:p>
        </w:tc>
      </w:tr>
    </w:tbl>
    <w:p w14:paraId="4E45CEB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bCs/>
          <w:color w:val="auto"/>
          <w:kern w:val="2"/>
          <w:sz w:val="24"/>
          <w:szCs w:val="24"/>
          <w:highlight w:val="none"/>
        </w:rPr>
        <w:t>表</w:t>
      </w:r>
      <w:r>
        <w:rPr>
          <w:rFonts w:hint="eastAsia" w:ascii="仿宋" w:hAnsi="仿宋" w:eastAsia="仿宋" w:cs="仿宋"/>
          <w:bCs/>
          <w:color w:val="auto"/>
          <w:kern w:val="2"/>
          <w:sz w:val="24"/>
          <w:szCs w:val="24"/>
          <w:highlight w:val="none"/>
          <w:lang w:val="en-US" w:eastAsia="zh-CN"/>
        </w:rPr>
        <w:t>3</w:t>
      </w:r>
      <w:r>
        <w:rPr>
          <w:rFonts w:hint="eastAsia" w:ascii="仿宋" w:hAnsi="仿宋" w:eastAsia="仿宋" w:cs="仿宋"/>
          <w:bCs/>
          <w:color w:val="auto"/>
          <w:kern w:val="2"/>
          <w:sz w:val="24"/>
          <w:szCs w:val="24"/>
          <w:highlight w:val="none"/>
        </w:rPr>
        <w:t>-2：</w:t>
      </w:r>
      <w:r>
        <w:rPr>
          <w:rFonts w:hint="eastAsia" w:ascii="仿宋" w:hAnsi="仿宋" w:eastAsia="仿宋" w:cs="仿宋"/>
          <w:color w:val="auto"/>
          <w:kern w:val="2"/>
          <w:sz w:val="24"/>
          <w:szCs w:val="24"/>
          <w:highlight w:val="none"/>
        </w:rPr>
        <w:t>史宾格犬种犬警用性能认证项目及评分标准</w:t>
      </w:r>
    </w:p>
    <w:tbl>
      <w:tblPr>
        <w:tblStyle w:val="13"/>
        <w:tblW w:w="87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2555"/>
        <w:gridCol w:w="951"/>
        <w:gridCol w:w="4014"/>
      </w:tblGrid>
      <w:tr w14:paraId="14C28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12" w:type="dxa"/>
            <w:noWrap w:val="0"/>
            <w:vAlign w:val="center"/>
          </w:tcPr>
          <w:p w14:paraId="1CD985F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555" w:type="dxa"/>
            <w:noWrap w:val="0"/>
            <w:vAlign w:val="center"/>
          </w:tcPr>
          <w:p w14:paraId="5071E18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951" w:type="dxa"/>
            <w:noWrap w:val="0"/>
            <w:vAlign w:val="center"/>
          </w:tcPr>
          <w:p w14:paraId="05A4D85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4014" w:type="dxa"/>
            <w:noWrap w:val="0"/>
            <w:vAlign w:val="center"/>
          </w:tcPr>
          <w:p w14:paraId="394A869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67B0E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1212" w:type="dxa"/>
            <w:noWrap w:val="0"/>
            <w:vAlign w:val="center"/>
          </w:tcPr>
          <w:p w14:paraId="43DA8F5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神经类型</w:t>
            </w:r>
          </w:p>
        </w:tc>
        <w:tc>
          <w:tcPr>
            <w:tcW w:w="2555" w:type="dxa"/>
            <w:noWrap w:val="0"/>
            <w:vAlign w:val="center"/>
          </w:tcPr>
          <w:p w14:paraId="463ED18C">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活泼、兴奋、转化快。温顺友善，不应有攻击性</w:t>
            </w:r>
          </w:p>
        </w:tc>
        <w:tc>
          <w:tcPr>
            <w:tcW w:w="951" w:type="dxa"/>
            <w:noWrap w:val="0"/>
            <w:vAlign w:val="center"/>
          </w:tcPr>
          <w:p w14:paraId="1445115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40</w:t>
            </w:r>
          </w:p>
        </w:tc>
        <w:tc>
          <w:tcPr>
            <w:tcW w:w="4014" w:type="dxa"/>
            <w:noWrap w:val="0"/>
            <w:vAlign w:val="center"/>
          </w:tcPr>
          <w:p w14:paraId="0D59041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spacing w:val="-8"/>
                <w:kern w:val="2"/>
                <w:sz w:val="24"/>
                <w:szCs w:val="24"/>
                <w:highlight w:val="none"/>
              </w:rPr>
            </w:pPr>
            <w:r>
              <w:rPr>
                <w:rFonts w:hint="eastAsia" w:ascii="仿宋" w:hAnsi="仿宋" w:eastAsia="仿宋" w:cs="仿宋"/>
                <w:color w:val="auto"/>
                <w:spacing w:val="-8"/>
                <w:kern w:val="2"/>
                <w:sz w:val="24"/>
                <w:szCs w:val="24"/>
                <w:highlight w:val="none"/>
              </w:rPr>
              <w:t>过分安静、神经质为失格。偏安静扣5分，好斗扣8分。有攻击性扣25分，攻击性过强为失格。</w:t>
            </w:r>
          </w:p>
        </w:tc>
      </w:tr>
      <w:tr w14:paraId="1E966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12" w:type="dxa"/>
            <w:noWrap w:val="0"/>
            <w:vAlign w:val="center"/>
          </w:tcPr>
          <w:p w14:paraId="19042AE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胆量</w:t>
            </w:r>
          </w:p>
        </w:tc>
        <w:tc>
          <w:tcPr>
            <w:tcW w:w="2555" w:type="dxa"/>
            <w:noWrap w:val="0"/>
            <w:vAlign w:val="center"/>
          </w:tcPr>
          <w:p w14:paraId="0BFB449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胆大，对环境适应强。</w:t>
            </w:r>
          </w:p>
        </w:tc>
        <w:tc>
          <w:tcPr>
            <w:tcW w:w="951" w:type="dxa"/>
            <w:noWrap w:val="0"/>
            <w:vAlign w:val="center"/>
          </w:tcPr>
          <w:p w14:paraId="679D411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w:t>
            </w:r>
          </w:p>
        </w:tc>
        <w:tc>
          <w:tcPr>
            <w:tcW w:w="4014" w:type="dxa"/>
            <w:noWrap w:val="0"/>
            <w:vAlign w:val="center"/>
          </w:tcPr>
          <w:p w14:paraId="5B51ECB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明显胆小为失格。稍有胆怯表现的扣7分。对环境适应性弱扣5—10分。</w:t>
            </w:r>
          </w:p>
        </w:tc>
      </w:tr>
      <w:tr w14:paraId="4A3F9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12" w:type="dxa"/>
            <w:noWrap w:val="0"/>
            <w:vAlign w:val="center"/>
          </w:tcPr>
          <w:p w14:paraId="37E51B7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衔取欲</w:t>
            </w:r>
          </w:p>
        </w:tc>
        <w:tc>
          <w:tcPr>
            <w:tcW w:w="2555" w:type="dxa"/>
            <w:noWrap w:val="0"/>
            <w:vAlign w:val="center"/>
          </w:tcPr>
          <w:p w14:paraId="753BFD27">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猎取反射强，占有欲望强。</w:t>
            </w:r>
          </w:p>
        </w:tc>
        <w:tc>
          <w:tcPr>
            <w:tcW w:w="951" w:type="dxa"/>
            <w:noWrap w:val="0"/>
            <w:vAlign w:val="center"/>
          </w:tcPr>
          <w:p w14:paraId="3416B27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w:t>
            </w:r>
          </w:p>
        </w:tc>
        <w:tc>
          <w:tcPr>
            <w:tcW w:w="4014" w:type="dxa"/>
            <w:noWrap w:val="0"/>
            <w:vAlign w:val="center"/>
          </w:tcPr>
          <w:p w14:paraId="6D5CB3E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不衔取为失格。衔取兴奋性不高扣15分。占有欲弱扣5分。</w:t>
            </w:r>
          </w:p>
        </w:tc>
      </w:tr>
      <w:tr w14:paraId="5BA9FB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212" w:type="dxa"/>
            <w:noWrap w:val="0"/>
            <w:vAlign w:val="center"/>
          </w:tcPr>
          <w:p w14:paraId="0D5F629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服从性</w:t>
            </w:r>
          </w:p>
        </w:tc>
        <w:tc>
          <w:tcPr>
            <w:tcW w:w="2555" w:type="dxa"/>
            <w:noWrap w:val="0"/>
            <w:vAlign w:val="center"/>
          </w:tcPr>
          <w:p w14:paraId="6E1A2C6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服从主人指挥。</w:t>
            </w:r>
          </w:p>
        </w:tc>
        <w:tc>
          <w:tcPr>
            <w:tcW w:w="951" w:type="dxa"/>
            <w:noWrap w:val="0"/>
            <w:vAlign w:val="center"/>
          </w:tcPr>
          <w:p w14:paraId="6FB8A54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4014" w:type="dxa"/>
            <w:noWrap w:val="0"/>
            <w:vAlign w:val="center"/>
          </w:tcPr>
          <w:p w14:paraId="5EC873A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重复指挥一次扣1分，重复指挥二次再扣2分。</w:t>
            </w:r>
          </w:p>
        </w:tc>
      </w:tr>
      <w:tr w14:paraId="4E37A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1212" w:type="dxa"/>
            <w:noWrap w:val="0"/>
            <w:vAlign w:val="center"/>
          </w:tcPr>
          <w:p w14:paraId="63FD343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体能</w:t>
            </w:r>
          </w:p>
        </w:tc>
        <w:tc>
          <w:tcPr>
            <w:tcW w:w="2555" w:type="dxa"/>
            <w:noWrap w:val="0"/>
            <w:vAlign w:val="center"/>
          </w:tcPr>
          <w:p w14:paraId="6A9FC35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连续疾跑运动30分钟或跑1500米后没有疲劳表现。</w:t>
            </w:r>
          </w:p>
        </w:tc>
        <w:tc>
          <w:tcPr>
            <w:tcW w:w="951" w:type="dxa"/>
            <w:noWrap w:val="0"/>
            <w:vAlign w:val="center"/>
          </w:tcPr>
          <w:p w14:paraId="3991A40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4014" w:type="dxa"/>
            <w:noWrap w:val="0"/>
            <w:vAlign w:val="center"/>
          </w:tcPr>
          <w:p w14:paraId="4BB07F9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有疲劳表现或运动能力较差者扣5分。</w:t>
            </w:r>
          </w:p>
        </w:tc>
      </w:tr>
    </w:tbl>
    <w:p w14:paraId="4598B321">
      <w:pPr>
        <w:pageBreakBefore w:val="0"/>
        <w:widowControl w:val="0"/>
        <w:wordWrap/>
        <w:overflowPunct/>
        <w:topLinePunct w:val="0"/>
        <w:bidi w:val="0"/>
        <w:snapToGrid w:val="0"/>
        <w:spacing w:line="0" w:lineRule="atLeast"/>
        <w:jc w:val="left"/>
        <w:rPr>
          <w:rFonts w:hint="eastAsia" w:ascii="仿宋" w:hAnsi="仿宋" w:eastAsia="仿宋" w:cs="仿宋"/>
          <w:color w:val="auto"/>
          <w:kern w:val="2"/>
          <w:sz w:val="24"/>
          <w:szCs w:val="24"/>
          <w:highlight w:val="none"/>
          <w:lang w:val="en-US" w:eastAsia="zh-CN" w:bidi="ar-SA"/>
        </w:rPr>
      </w:pPr>
    </w:p>
    <w:p w14:paraId="70507075">
      <w:pPr>
        <w:pageBreakBefore w:val="0"/>
        <w:widowControl w:val="0"/>
        <w:wordWrap/>
        <w:overflowPunct/>
        <w:topLinePunct w:val="0"/>
        <w:bidi w:val="0"/>
        <w:snapToGrid w:val="0"/>
        <w:spacing w:line="0" w:lineRule="atLeast"/>
        <w:jc w:val="left"/>
        <w:rPr>
          <w:rFonts w:hint="eastAsia" w:ascii="仿宋" w:hAnsi="仿宋" w:eastAsia="仿宋" w:cs="仿宋"/>
          <w:color w:val="auto"/>
          <w:kern w:val="2"/>
          <w:sz w:val="24"/>
          <w:szCs w:val="24"/>
          <w:highlight w:val="none"/>
          <w:lang w:val="en-US" w:eastAsia="zh-CN" w:bidi="ar-SA"/>
        </w:rPr>
      </w:pPr>
    </w:p>
    <w:p w14:paraId="390B52B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bCs/>
          <w:color w:val="auto"/>
          <w:kern w:val="2"/>
          <w:sz w:val="24"/>
          <w:szCs w:val="24"/>
          <w:highlight w:val="none"/>
        </w:rPr>
        <w:t>表</w:t>
      </w:r>
      <w:r>
        <w:rPr>
          <w:rFonts w:hint="eastAsia" w:ascii="仿宋" w:hAnsi="仿宋" w:eastAsia="仿宋" w:cs="仿宋"/>
          <w:bCs/>
          <w:color w:val="auto"/>
          <w:kern w:val="2"/>
          <w:sz w:val="24"/>
          <w:szCs w:val="24"/>
          <w:highlight w:val="none"/>
          <w:lang w:val="en-US" w:eastAsia="zh-CN"/>
        </w:rPr>
        <w:t>3</w:t>
      </w:r>
      <w:r>
        <w:rPr>
          <w:rFonts w:hint="eastAsia" w:ascii="仿宋" w:hAnsi="仿宋" w:eastAsia="仿宋" w:cs="仿宋"/>
          <w:bCs/>
          <w:color w:val="auto"/>
          <w:kern w:val="2"/>
          <w:sz w:val="24"/>
          <w:szCs w:val="24"/>
          <w:highlight w:val="none"/>
        </w:rPr>
        <w:t>-3：史宾格犬种公犬繁殖性能认证项目及评分标准</w:t>
      </w:r>
    </w:p>
    <w:tbl>
      <w:tblPr>
        <w:tblStyle w:val="13"/>
        <w:tblW w:w="87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2539"/>
        <w:gridCol w:w="951"/>
        <w:gridCol w:w="4028"/>
      </w:tblGrid>
      <w:tr w14:paraId="6FBC1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214" w:type="dxa"/>
            <w:noWrap w:val="0"/>
            <w:vAlign w:val="center"/>
          </w:tcPr>
          <w:p w14:paraId="7E4C616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539" w:type="dxa"/>
            <w:noWrap w:val="0"/>
            <w:vAlign w:val="center"/>
          </w:tcPr>
          <w:p w14:paraId="0800240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951" w:type="dxa"/>
            <w:noWrap w:val="0"/>
            <w:vAlign w:val="center"/>
          </w:tcPr>
          <w:p w14:paraId="347CCCC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4028" w:type="dxa"/>
            <w:noWrap w:val="0"/>
            <w:vAlign w:val="center"/>
          </w:tcPr>
          <w:p w14:paraId="3CFBFFC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6903B3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7" w:hRule="exact"/>
          <w:jc w:val="center"/>
        </w:trPr>
        <w:tc>
          <w:tcPr>
            <w:tcW w:w="1214" w:type="dxa"/>
            <w:noWrap w:val="0"/>
            <w:vAlign w:val="center"/>
          </w:tcPr>
          <w:p w14:paraId="7457CE7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性反射能力</w:t>
            </w:r>
          </w:p>
        </w:tc>
        <w:tc>
          <w:tcPr>
            <w:tcW w:w="2539" w:type="dxa"/>
            <w:noWrap w:val="0"/>
            <w:vAlign w:val="center"/>
          </w:tcPr>
          <w:p w14:paraId="28701787">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对发情母犬产生强烈的性欲望</w:t>
            </w:r>
          </w:p>
        </w:tc>
        <w:tc>
          <w:tcPr>
            <w:tcW w:w="951" w:type="dxa"/>
            <w:noWrap w:val="0"/>
            <w:vAlign w:val="center"/>
          </w:tcPr>
          <w:p w14:paraId="19C89B7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40</w:t>
            </w:r>
          </w:p>
        </w:tc>
        <w:tc>
          <w:tcPr>
            <w:tcW w:w="4028" w:type="dxa"/>
            <w:noWrap w:val="0"/>
            <w:vAlign w:val="center"/>
          </w:tcPr>
          <w:p w14:paraId="4C79E5CC">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靠近最适交配期发情母犬，不嗅闻又不爬跨为失格。交配欲望较差扣5分，交配5—10次后不爬跨扣5分，爬跨2—3次后不爬者扣10分，只嗅闻完全不爬跨扣30分。</w:t>
            </w:r>
          </w:p>
        </w:tc>
      </w:tr>
      <w:tr w14:paraId="7D37A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214" w:type="dxa"/>
            <w:noWrap w:val="0"/>
            <w:vAlign w:val="center"/>
          </w:tcPr>
          <w:p w14:paraId="635C1C8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精子活力</w:t>
            </w:r>
          </w:p>
        </w:tc>
        <w:tc>
          <w:tcPr>
            <w:tcW w:w="2539" w:type="dxa"/>
            <w:noWrap w:val="0"/>
            <w:vAlign w:val="center"/>
          </w:tcPr>
          <w:p w14:paraId="45A5466D">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bCs/>
                <w:iCs/>
                <w:color w:val="auto"/>
                <w:kern w:val="2"/>
                <w:sz w:val="24"/>
                <w:szCs w:val="24"/>
                <w:highlight w:val="none"/>
              </w:rPr>
              <w:t>0.6</w:t>
            </w:r>
            <w:r>
              <w:rPr>
                <w:rFonts w:hint="eastAsia" w:ascii="仿宋" w:hAnsi="仿宋" w:eastAsia="仿宋" w:cs="仿宋"/>
                <w:color w:val="auto"/>
                <w:kern w:val="2"/>
                <w:sz w:val="24"/>
                <w:szCs w:val="24"/>
                <w:highlight w:val="none"/>
              </w:rPr>
              <w:t>以上</w:t>
            </w:r>
          </w:p>
        </w:tc>
        <w:tc>
          <w:tcPr>
            <w:tcW w:w="951" w:type="dxa"/>
            <w:noWrap w:val="0"/>
            <w:vAlign w:val="center"/>
          </w:tcPr>
          <w:p w14:paraId="0157E73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60</w:t>
            </w:r>
          </w:p>
        </w:tc>
        <w:tc>
          <w:tcPr>
            <w:tcW w:w="4028" w:type="dxa"/>
            <w:noWrap w:val="0"/>
            <w:vAlign w:val="center"/>
          </w:tcPr>
          <w:p w14:paraId="12E107B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低于0.6为失格，</w:t>
            </w:r>
            <w:r>
              <w:rPr>
                <w:rFonts w:hint="eastAsia" w:ascii="仿宋" w:hAnsi="仿宋" w:eastAsia="仿宋" w:cs="仿宋"/>
                <w:bCs/>
                <w:iCs/>
                <w:color w:val="auto"/>
                <w:kern w:val="0"/>
                <w:sz w:val="24"/>
                <w:szCs w:val="24"/>
                <w:highlight w:val="none"/>
              </w:rPr>
              <w:t>0.8</w:t>
            </w:r>
            <w:r>
              <w:rPr>
                <w:rFonts w:hint="eastAsia" w:ascii="仿宋" w:hAnsi="仿宋" w:eastAsia="仿宋" w:cs="仿宋"/>
                <w:color w:val="auto"/>
                <w:kern w:val="0"/>
                <w:sz w:val="24"/>
                <w:szCs w:val="24"/>
                <w:highlight w:val="none"/>
              </w:rPr>
              <w:t>以上得满分，每少</w:t>
            </w:r>
            <w:r>
              <w:rPr>
                <w:rFonts w:hint="eastAsia" w:ascii="仿宋" w:hAnsi="仿宋" w:eastAsia="仿宋" w:cs="仿宋"/>
                <w:bCs/>
                <w:iCs/>
                <w:color w:val="auto"/>
                <w:kern w:val="0"/>
                <w:sz w:val="24"/>
                <w:szCs w:val="24"/>
                <w:highlight w:val="none"/>
              </w:rPr>
              <w:t>0.1扣9分</w:t>
            </w:r>
          </w:p>
        </w:tc>
      </w:tr>
    </w:tbl>
    <w:p w14:paraId="17BC0E5C">
      <w:pPr>
        <w:pageBreakBefore w:val="0"/>
        <w:widowControl w:val="0"/>
        <w:wordWrap/>
        <w:overflowPunct/>
        <w:topLinePunct w:val="0"/>
        <w:bidi w:val="0"/>
        <w:snapToGrid w:val="0"/>
        <w:spacing w:line="0" w:lineRule="atLeast"/>
        <w:jc w:val="left"/>
        <w:rPr>
          <w:rFonts w:hint="eastAsia" w:ascii="仿宋" w:hAnsi="仿宋" w:eastAsia="仿宋" w:cs="仿宋"/>
          <w:bCs/>
          <w:color w:val="auto"/>
          <w:kern w:val="2"/>
          <w:sz w:val="24"/>
          <w:szCs w:val="24"/>
          <w:highlight w:val="none"/>
          <w:lang w:val="en-US" w:eastAsia="zh-CN" w:bidi="ar-SA"/>
        </w:rPr>
      </w:pPr>
    </w:p>
    <w:p w14:paraId="5180D61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bCs/>
          <w:color w:val="auto"/>
          <w:kern w:val="2"/>
          <w:sz w:val="24"/>
          <w:szCs w:val="24"/>
          <w:highlight w:val="none"/>
        </w:rPr>
        <w:t>表</w:t>
      </w:r>
      <w:r>
        <w:rPr>
          <w:rFonts w:hint="eastAsia" w:ascii="仿宋" w:hAnsi="仿宋" w:eastAsia="仿宋" w:cs="仿宋"/>
          <w:bCs/>
          <w:color w:val="auto"/>
          <w:kern w:val="2"/>
          <w:sz w:val="24"/>
          <w:szCs w:val="24"/>
          <w:highlight w:val="none"/>
          <w:lang w:val="en-US" w:eastAsia="zh-CN"/>
        </w:rPr>
        <w:t>3</w:t>
      </w:r>
      <w:r>
        <w:rPr>
          <w:rFonts w:hint="eastAsia" w:ascii="仿宋" w:hAnsi="仿宋" w:eastAsia="仿宋" w:cs="仿宋"/>
          <w:bCs/>
          <w:color w:val="auto"/>
          <w:kern w:val="2"/>
          <w:sz w:val="24"/>
          <w:szCs w:val="24"/>
          <w:highlight w:val="none"/>
        </w:rPr>
        <w:t>-4：史宾格犬种母犬繁殖性能认证项目及评分标准</w:t>
      </w:r>
    </w:p>
    <w:tbl>
      <w:tblPr>
        <w:tblStyle w:val="13"/>
        <w:tblW w:w="873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12"/>
        <w:gridCol w:w="2550"/>
        <w:gridCol w:w="951"/>
        <w:gridCol w:w="4019"/>
      </w:tblGrid>
      <w:tr w14:paraId="3B4F82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24" w:hRule="exact"/>
          <w:jc w:val="center"/>
        </w:trPr>
        <w:tc>
          <w:tcPr>
            <w:tcW w:w="1212" w:type="dxa"/>
            <w:noWrap w:val="0"/>
            <w:vAlign w:val="center"/>
          </w:tcPr>
          <w:p w14:paraId="2AFD7B1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550" w:type="dxa"/>
            <w:noWrap w:val="0"/>
            <w:vAlign w:val="center"/>
          </w:tcPr>
          <w:p w14:paraId="35B50A8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951" w:type="dxa"/>
            <w:noWrap w:val="0"/>
            <w:vAlign w:val="center"/>
          </w:tcPr>
          <w:p w14:paraId="66E4073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4019" w:type="dxa"/>
            <w:noWrap w:val="0"/>
            <w:vAlign w:val="center"/>
          </w:tcPr>
          <w:p w14:paraId="6167BEA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25C8A5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31" w:hRule="exact"/>
          <w:jc w:val="center"/>
        </w:trPr>
        <w:tc>
          <w:tcPr>
            <w:tcW w:w="1212" w:type="dxa"/>
            <w:noWrap w:val="0"/>
            <w:vAlign w:val="center"/>
          </w:tcPr>
          <w:p w14:paraId="5B2A2B30">
            <w:pPr>
              <w:pageBreakBefore w:val="0"/>
              <w:numPr>
                <w:ilvl w:val="-1"/>
                <w:numId w:val="0"/>
              </w:numPr>
              <w:wordWrap/>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窝产仔数</w:t>
            </w:r>
          </w:p>
        </w:tc>
        <w:tc>
          <w:tcPr>
            <w:tcW w:w="2550" w:type="dxa"/>
            <w:noWrap w:val="0"/>
            <w:vAlign w:val="center"/>
          </w:tcPr>
          <w:p w14:paraId="4D25D4F6">
            <w:pPr>
              <w:pageBreakBefore w:val="0"/>
              <w:numPr>
                <w:ilvl w:val="-1"/>
                <w:numId w:val="0"/>
              </w:numPr>
              <w:wordWrap/>
              <w:overflowPunct/>
              <w:topLinePunct w:val="0"/>
              <w:autoSpaceDE w:val="0"/>
              <w:autoSpaceDN w:val="0"/>
              <w:bidi w:val="0"/>
              <w:adjustRightInd/>
              <w:spacing w:line="0" w:lineRule="atLeast"/>
              <w:ind w:firstLine="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累计2窝以上（含2窝），资料评定，要求平均窝产仔数达到7头以上。</w:t>
            </w:r>
          </w:p>
        </w:tc>
        <w:tc>
          <w:tcPr>
            <w:tcW w:w="951" w:type="dxa"/>
            <w:noWrap w:val="0"/>
            <w:vAlign w:val="center"/>
          </w:tcPr>
          <w:p w14:paraId="169F4AA1">
            <w:pPr>
              <w:pageBreakBefore w:val="0"/>
              <w:numPr>
                <w:ilvl w:val="-1"/>
                <w:numId w:val="0"/>
              </w:numPr>
              <w:wordWrap/>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55</w:t>
            </w:r>
          </w:p>
        </w:tc>
        <w:tc>
          <w:tcPr>
            <w:tcW w:w="4019" w:type="dxa"/>
            <w:noWrap w:val="0"/>
            <w:vAlign w:val="center"/>
          </w:tcPr>
          <w:p w14:paraId="06C99598">
            <w:pPr>
              <w:pageBreakBefore w:val="0"/>
              <w:numPr>
                <w:ilvl w:val="-1"/>
                <w:numId w:val="0"/>
              </w:numPr>
              <w:wordWrap/>
              <w:overflowPunct/>
              <w:topLinePunct w:val="0"/>
              <w:autoSpaceDE w:val="0"/>
              <w:autoSpaceDN w:val="0"/>
              <w:bidi w:val="0"/>
              <w:adjustRightInd/>
              <w:spacing w:line="0" w:lineRule="atLeast"/>
              <w:ind w:firstLine="0"/>
              <w:textAlignment w:val="auto"/>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平均窝产仔数</w:t>
            </w:r>
            <w:r>
              <w:rPr>
                <w:rFonts w:hint="eastAsia" w:ascii="仿宋" w:hAnsi="仿宋" w:eastAsia="仿宋" w:cs="仿宋"/>
                <w:bCs/>
                <w:iCs/>
                <w:color w:val="auto"/>
                <w:spacing w:val="-6"/>
                <w:kern w:val="0"/>
                <w:sz w:val="24"/>
                <w:szCs w:val="24"/>
                <w:highlight w:val="none"/>
              </w:rPr>
              <w:t>7</w:t>
            </w:r>
            <w:r>
              <w:rPr>
                <w:rFonts w:hint="eastAsia" w:ascii="仿宋" w:hAnsi="仿宋" w:eastAsia="仿宋" w:cs="仿宋"/>
                <w:color w:val="auto"/>
                <w:spacing w:val="-6"/>
                <w:kern w:val="0"/>
                <w:sz w:val="24"/>
                <w:szCs w:val="24"/>
                <w:highlight w:val="none"/>
              </w:rPr>
              <w:t>头以上得满分，每少1头扣10分。</w:t>
            </w:r>
          </w:p>
        </w:tc>
      </w:tr>
      <w:tr w14:paraId="6F9F29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208" w:hRule="exact"/>
          <w:jc w:val="center"/>
        </w:trPr>
        <w:tc>
          <w:tcPr>
            <w:tcW w:w="1212" w:type="dxa"/>
            <w:noWrap w:val="0"/>
            <w:vAlign w:val="center"/>
          </w:tcPr>
          <w:p w14:paraId="3F581F09">
            <w:pPr>
              <w:pageBreakBefore w:val="0"/>
              <w:numPr>
                <w:ilvl w:val="-1"/>
                <w:numId w:val="0"/>
              </w:numPr>
              <w:wordWrap/>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断奶仔犬</w:t>
            </w:r>
          </w:p>
          <w:p w14:paraId="175C8A98">
            <w:pPr>
              <w:pageBreakBefore w:val="0"/>
              <w:numPr>
                <w:ilvl w:val="-1"/>
                <w:numId w:val="0"/>
              </w:numPr>
              <w:wordWrap/>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成活率</w:t>
            </w:r>
          </w:p>
        </w:tc>
        <w:tc>
          <w:tcPr>
            <w:tcW w:w="2550" w:type="dxa"/>
            <w:noWrap w:val="0"/>
            <w:vAlign w:val="center"/>
          </w:tcPr>
          <w:p w14:paraId="4424BB3F">
            <w:pPr>
              <w:pageBreakBefore w:val="0"/>
              <w:numPr>
                <w:ilvl w:val="-1"/>
                <w:numId w:val="0"/>
              </w:numPr>
              <w:wordWrap/>
              <w:overflowPunct/>
              <w:topLinePunct w:val="0"/>
              <w:autoSpaceDE w:val="0"/>
              <w:autoSpaceDN w:val="0"/>
              <w:bidi w:val="0"/>
              <w:adjustRightInd/>
              <w:spacing w:line="0" w:lineRule="atLeast"/>
              <w:ind w:firstLine="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累计2窝以上（含2窝）资料评定，要求断奶仔犬成活率达到80%以上。</w:t>
            </w:r>
          </w:p>
        </w:tc>
        <w:tc>
          <w:tcPr>
            <w:tcW w:w="951" w:type="dxa"/>
            <w:noWrap w:val="0"/>
            <w:vAlign w:val="center"/>
          </w:tcPr>
          <w:p w14:paraId="1B6AA504">
            <w:pPr>
              <w:pageBreakBefore w:val="0"/>
              <w:numPr>
                <w:ilvl w:val="-1"/>
                <w:numId w:val="0"/>
              </w:numPr>
              <w:wordWrap/>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45</w:t>
            </w:r>
          </w:p>
        </w:tc>
        <w:tc>
          <w:tcPr>
            <w:tcW w:w="4019" w:type="dxa"/>
            <w:noWrap w:val="0"/>
            <w:vAlign w:val="center"/>
          </w:tcPr>
          <w:p w14:paraId="37042FE0">
            <w:pPr>
              <w:pageBreakBefore w:val="0"/>
              <w:numPr>
                <w:ilvl w:val="-1"/>
                <w:numId w:val="0"/>
              </w:numPr>
              <w:wordWrap/>
              <w:overflowPunct/>
              <w:topLinePunct w:val="0"/>
              <w:autoSpaceDE w:val="0"/>
              <w:autoSpaceDN w:val="0"/>
              <w:bidi w:val="0"/>
              <w:adjustRightInd/>
              <w:spacing w:line="0" w:lineRule="atLeast"/>
              <w:ind w:firstLine="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断奶成活率80%以上为满分，每少1%扣2分</w:t>
            </w:r>
          </w:p>
        </w:tc>
      </w:tr>
    </w:tbl>
    <w:p w14:paraId="5D821AAD">
      <w:pPr>
        <w:pageBreakBefore w:val="0"/>
        <w:widowControl w:val="0"/>
        <w:wordWrap/>
        <w:overflowPunct/>
        <w:topLinePunct w:val="0"/>
        <w:bidi w:val="0"/>
        <w:snapToGrid w:val="0"/>
        <w:spacing w:line="0" w:lineRule="atLeast"/>
        <w:jc w:val="left"/>
        <w:rPr>
          <w:rFonts w:hint="eastAsia" w:ascii="仿宋" w:hAnsi="仿宋" w:eastAsia="仿宋" w:cs="仿宋"/>
          <w:color w:val="auto"/>
          <w:kern w:val="2"/>
          <w:sz w:val="24"/>
          <w:szCs w:val="24"/>
          <w:highlight w:val="none"/>
          <w:lang w:val="en-US" w:eastAsia="zh-CN" w:bidi="ar-SA"/>
        </w:rPr>
      </w:pPr>
    </w:p>
    <w:p w14:paraId="2A32413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bCs/>
          <w:color w:val="auto"/>
          <w:kern w:val="2"/>
          <w:sz w:val="24"/>
          <w:szCs w:val="24"/>
          <w:highlight w:val="none"/>
        </w:rPr>
        <w:t>表</w:t>
      </w:r>
      <w:r>
        <w:rPr>
          <w:rFonts w:hint="eastAsia" w:ascii="仿宋" w:hAnsi="仿宋" w:eastAsia="仿宋" w:cs="仿宋"/>
          <w:bCs/>
          <w:color w:val="auto"/>
          <w:kern w:val="2"/>
          <w:sz w:val="24"/>
          <w:szCs w:val="24"/>
          <w:highlight w:val="none"/>
          <w:lang w:val="en-US" w:eastAsia="zh-CN"/>
        </w:rPr>
        <w:t>3</w:t>
      </w:r>
      <w:r>
        <w:rPr>
          <w:rFonts w:hint="eastAsia" w:ascii="仿宋" w:hAnsi="仿宋" w:eastAsia="仿宋" w:cs="仿宋"/>
          <w:bCs/>
          <w:color w:val="auto"/>
          <w:kern w:val="2"/>
          <w:sz w:val="24"/>
          <w:szCs w:val="24"/>
          <w:highlight w:val="none"/>
        </w:rPr>
        <w:t>-5：史宾格犬后裔品质认证项目及评分标准</w:t>
      </w:r>
    </w:p>
    <w:tbl>
      <w:tblPr>
        <w:tblStyle w:val="13"/>
        <w:tblW w:w="873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146"/>
        <w:gridCol w:w="2614"/>
        <w:gridCol w:w="869"/>
        <w:gridCol w:w="4103"/>
      </w:tblGrid>
      <w:tr w14:paraId="1CFE22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24" w:hRule="exact"/>
          <w:jc w:val="center"/>
        </w:trPr>
        <w:tc>
          <w:tcPr>
            <w:tcW w:w="1146" w:type="dxa"/>
            <w:noWrap w:val="0"/>
            <w:vAlign w:val="center"/>
          </w:tcPr>
          <w:p w14:paraId="7BB12C9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614" w:type="dxa"/>
            <w:noWrap w:val="0"/>
            <w:vAlign w:val="center"/>
          </w:tcPr>
          <w:p w14:paraId="28C80D3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869" w:type="dxa"/>
            <w:noWrap w:val="0"/>
            <w:vAlign w:val="center"/>
          </w:tcPr>
          <w:p w14:paraId="428763C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4103" w:type="dxa"/>
            <w:noWrap w:val="0"/>
            <w:vAlign w:val="center"/>
          </w:tcPr>
          <w:p w14:paraId="160C7C1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0D410F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36" w:hRule="exact"/>
          <w:jc w:val="center"/>
        </w:trPr>
        <w:tc>
          <w:tcPr>
            <w:tcW w:w="1146" w:type="dxa"/>
            <w:noWrap w:val="0"/>
            <w:vAlign w:val="center"/>
          </w:tcPr>
          <w:p w14:paraId="10645122">
            <w:pPr>
              <w:pageBreakBefore w:val="0"/>
              <w:numPr>
                <w:ilvl w:val="-1"/>
                <w:numId w:val="0"/>
              </w:numPr>
              <w:wordWrap/>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同窝仔犬</w:t>
            </w:r>
          </w:p>
          <w:p w14:paraId="57864FD3">
            <w:pPr>
              <w:pageBreakBefore w:val="0"/>
              <w:numPr>
                <w:ilvl w:val="-1"/>
                <w:numId w:val="0"/>
              </w:numPr>
              <w:wordWrap/>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整齐度</w:t>
            </w:r>
          </w:p>
        </w:tc>
        <w:tc>
          <w:tcPr>
            <w:tcW w:w="2614" w:type="dxa"/>
            <w:noWrap w:val="0"/>
            <w:vAlign w:val="center"/>
          </w:tcPr>
          <w:p w14:paraId="2663E972">
            <w:pPr>
              <w:pageBreakBefore w:val="0"/>
              <w:numPr>
                <w:ilvl w:val="-1"/>
                <w:numId w:val="0"/>
              </w:numPr>
              <w:wordWrap/>
              <w:overflowPunct/>
              <w:topLinePunct w:val="0"/>
              <w:autoSpaceDE w:val="0"/>
              <w:autoSpaceDN w:val="0"/>
              <w:bidi w:val="0"/>
              <w:adjustRightInd/>
              <w:spacing w:line="0" w:lineRule="atLeast"/>
              <w:ind w:firstLine="0"/>
              <w:textAlignment w:val="auto"/>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以同窝犬初生体重、2月龄离平均体重偏差不超过20%。</w:t>
            </w:r>
          </w:p>
        </w:tc>
        <w:tc>
          <w:tcPr>
            <w:tcW w:w="869" w:type="dxa"/>
            <w:noWrap w:val="0"/>
            <w:vAlign w:val="center"/>
          </w:tcPr>
          <w:p w14:paraId="0AF588A1">
            <w:pPr>
              <w:pageBreakBefore w:val="0"/>
              <w:numPr>
                <w:ilvl w:val="-1"/>
                <w:numId w:val="0"/>
              </w:numPr>
              <w:wordWrap/>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40</w:t>
            </w:r>
          </w:p>
        </w:tc>
        <w:tc>
          <w:tcPr>
            <w:tcW w:w="4103" w:type="dxa"/>
            <w:noWrap w:val="0"/>
            <w:vAlign w:val="center"/>
          </w:tcPr>
          <w:p w14:paraId="74650893">
            <w:pPr>
              <w:pageBreakBefore w:val="0"/>
              <w:numPr>
                <w:ilvl w:val="-1"/>
                <w:numId w:val="0"/>
              </w:numPr>
              <w:wordWrap/>
              <w:overflowPunct/>
              <w:topLinePunct w:val="0"/>
              <w:autoSpaceDE w:val="0"/>
              <w:autoSpaceDN w:val="0"/>
              <w:bidi w:val="0"/>
              <w:adjustRightInd/>
              <w:spacing w:line="0" w:lineRule="atLeast"/>
              <w:ind w:firstLine="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偏差小于10%为满分（窝产仔数7头以上，偏差小于15%计满分），每增加1%扣2分。</w:t>
            </w:r>
          </w:p>
        </w:tc>
      </w:tr>
      <w:tr w14:paraId="49FA90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81" w:hRule="exact"/>
          <w:jc w:val="center"/>
        </w:trPr>
        <w:tc>
          <w:tcPr>
            <w:tcW w:w="1146" w:type="dxa"/>
            <w:noWrap w:val="0"/>
            <w:vAlign w:val="center"/>
          </w:tcPr>
          <w:p w14:paraId="03F13365">
            <w:pPr>
              <w:pageBreakBefore w:val="0"/>
              <w:numPr>
                <w:ilvl w:val="-1"/>
                <w:numId w:val="0"/>
              </w:numPr>
              <w:wordWrap/>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幼训合格率</w:t>
            </w:r>
          </w:p>
        </w:tc>
        <w:tc>
          <w:tcPr>
            <w:tcW w:w="2614" w:type="dxa"/>
            <w:noWrap w:val="0"/>
            <w:vAlign w:val="center"/>
          </w:tcPr>
          <w:p w14:paraId="1CB039BA">
            <w:pPr>
              <w:pageBreakBefore w:val="0"/>
              <w:numPr>
                <w:ilvl w:val="-1"/>
                <w:numId w:val="0"/>
              </w:numPr>
              <w:wordWrap/>
              <w:overflowPunct/>
              <w:topLinePunct w:val="0"/>
              <w:autoSpaceDE w:val="0"/>
              <w:autoSpaceDN w:val="0"/>
              <w:bidi w:val="0"/>
              <w:adjustRightInd/>
              <w:spacing w:line="0" w:lineRule="atLeast"/>
              <w:ind w:firstLine="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不低于</w:t>
            </w:r>
            <w:r>
              <w:rPr>
                <w:rFonts w:hint="eastAsia" w:ascii="仿宋" w:hAnsi="仿宋" w:eastAsia="仿宋" w:cs="仿宋"/>
                <w:bCs/>
                <w:iCs/>
                <w:color w:val="auto"/>
                <w:kern w:val="0"/>
                <w:sz w:val="24"/>
                <w:szCs w:val="24"/>
                <w:highlight w:val="none"/>
              </w:rPr>
              <w:t>75%</w:t>
            </w:r>
          </w:p>
        </w:tc>
        <w:tc>
          <w:tcPr>
            <w:tcW w:w="869" w:type="dxa"/>
            <w:noWrap w:val="0"/>
            <w:vAlign w:val="center"/>
          </w:tcPr>
          <w:p w14:paraId="40E62D30">
            <w:pPr>
              <w:pageBreakBefore w:val="0"/>
              <w:numPr>
                <w:ilvl w:val="-1"/>
                <w:numId w:val="0"/>
              </w:numPr>
              <w:wordWrap/>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w:t>
            </w:r>
          </w:p>
        </w:tc>
        <w:tc>
          <w:tcPr>
            <w:tcW w:w="4103" w:type="dxa"/>
            <w:noWrap w:val="0"/>
            <w:vAlign w:val="center"/>
          </w:tcPr>
          <w:p w14:paraId="44EE5269">
            <w:pPr>
              <w:pageBreakBefore w:val="0"/>
              <w:numPr>
                <w:ilvl w:val="-1"/>
                <w:numId w:val="0"/>
              </w:numPr>
              <w:wordWrap/>
              <w:overflowPunct/>
              <w:topLinePunct w:val="0"/>
              <w:autoSpaceDE w:val="0"/>
              <w:autoSpaceDN w:val="0"/>
              <w:bidi w:val="0"/>
              <w:adjustRightInd/>
              <w:spacing w:line="0" w:lineRule="atLeast"/>
              <w:ind w:firstLine="0"/>
              <w:textAlignment w:val="auto"/>
              <w:rPr>
                <w:rFonts w:hint="eastAsia" w:ascii="仿宋" w:hAnsi="仿宋" w:eastAsia="仿宋" w:cs="仿宋"/>
                <w:color w:val="auto"/>
                <w:spacing w:val="-8"/>
                <w:kern w:val="0"/>
                <w:sz w:val="24"/>
                <w:szCs w:val="24"/>
                <w:highlight w:val="none"/>
              </w:rPr>
            </w:pPr>
            <w:r>
              <w:rPr>
                <w:rFonts w:hint="eastAsia" w:ascii="仿宋" w:hAnsi="仿宋" w:eastAsia="仿宋" w:cs="仿宋"/>
                <w:color w:val="auto"/>
                <w:spacing w:val="-8"/>
                <w:kern w:val="0"/>
                <w:sz w:val="24"/>
                <w:szCs w:val="24"/>
                <w:highlight w:val="none"/>
              </w:rPr>
              <w:t>平均合格率75</w:t>
            </w:r>
            <w:r>
              <w:rPr>
                <w:rFonts w:hint="eastAsia" w:ascii="仿宋" w:hAnsi="仿宋" w:eastAsia="仿宋" w:cs="仿宋"/>
                <w:bCs/>
                <w:iCs/>
                <w:color w:val="auto"/>
                <w:spacing w:val="-8"/>
                <w:kern w:val="0"/>
                <w:sz w:val="24"/>
                <w:szCs w:val="24"/>
                <w:highlight w:val="none"/>
              </w:rPr>
              <w:t>%</w:t>
            </w:r>
            <w:r>
              <w:rPr>
                <w:rFonts w:hint="eastAsia" w:ascii="仿宋" w:hAnsi="仿宋" w:eastAsia="仿宋" w:cs="仿宋"/>
                <w:color w:val="auto"/>
                <w:spacing w:val="-8"/>
                <w:kern w:val="0"/>
                <w:sz w:val="24"/>
                <w:szCs w:val="24"/>
                <w:highlight w:val="none"/>
              </w:rPr>
              <w:t>以上得满分，每减少1%扣1分。</w:t>
            </w:r>
          </w:p>
        </w:tc>
      </w:tr>
      <w:tr w14:paraId="29AD46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74" w:hRule="exact"/>
          <w:jc w:val="center"/>
        </w:trPr>
        <w:tc>
          <w:tcPr>
            <w:tcW w:w="1146" w:type="dxa"/>
            <w:noWrap w:val="0"/>
            <w:vAlign w:val="center"/>
          </w:tcPr>
          <w:p w14:paraId="29B4018F">
            <w:pPr>
              <w:pageBreakBefore w:val="0"/>
              <w:numPr>
                <w:ilvl w:val="-1"/>
                <w:numId w:val="0"/>
              </w:numPr>
              <w:wordWrap/>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训练合格率</w:t>
            </w:r>
          </w:p>
        </w:tc>
        <w:tc>
          <w:tcPr>
            <w:tcW w:w="2614" w:type="dxa"/>
            <w:noWrap w:val="0"/>
            <w:vAlign w:val="center"/>
          </w:tcPr>
          <w:p w14:paraId="5B266DC9">
            <w:pPr>
              <w:pageBreakBefore w:val="0"/>
              <w:numPr>
                <w:ilvl w:val="-1"/>
                <w:numId w:val="0"/>
              </w:numPr>
              <w:wordWrap/>
              <w:overflowPunct/>
              <w:topLinePunct w:val="0"/>
              <w:autoSpaceDE w:val="0"/>
              <w:autoSpaceDN w:val="0"/>
              <w:bidi w:val="0"/>
              <w:adjustRightInd/>
              <w:spacing w:line="0" w:lineRule="atLeast"/>
              <w:ind w:firstLine="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不低于</w:t>
            </w:r>
            <w:r>
              <w:rPr>
                <w:rFonts w:hint="eastAsia" w:ascii="仿宋" w:hAnsi="仿宋" w:eastAsia="仿宋" w:cs="仿宋"/>
                <w:bCs/>
                <w:iCs/>
                <w:color w:val="auto"/>
                <w:kern w:val="0"/>
                <w:sz w:val="24"/>
                <w:szCs w:val="24"/>
                <w:highlight w:val="none"/>
              </w:rPr>
              <w:t>80%</w:t>
            </w:r>
          </w:p>
        </w:tc>
        <w:tc>
          <w:tcPr>
            <w:tcW w:w="869" w:type="dxa"/>
            <w:noWrap w:val="0"/>
            <w:vAlign w:val="center"/>
          </w:tcPr>
          <w:p w14:paraId="5E4FEF19">
            <w:pPr>
              <w:pageBreakBefore w:val="0"/>
              <w:numPr>
                <w:ilvl w:val="-1"/>
                <w:numId w:val="0"/>
              </w:numPr>
              <w:wordWrap/>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w:t>
            </w:r>
          </w:p>
        </w:tc>
        <w:tc>
          <w:tcPr>
            <w:tcW w:w="4103" w:type="dxa"/>
            <w:noWrap w:val="0"/>
            <w:vAlign w:val="center"/>
          </w:tcPr>
          <w:p w14:paraId="15DE8454">
            <w:pPr>
              <w:pageBreakBefore w:val="0"/>
              <w:numPr>
                <w:ilvl w:val="-1"/>
                <w:numId w:val="0"/>
              </w:numPr>
              <w:wordWrap/>
              <w:overflowPunct/>
              <w:topLinePunct w:val="0"/>
              <w:autoSpaceDE w:val="0"/>
              <w:autoSpaceDN w:val="0"/>
              <w:bidi w:val="0"/>
              <w:adjustRightInd/>
              <w:spacing w:line="0" w:lineRule="atLeast"/>
              <w:ind w:firstLine="0"/>
              <w:textAlignment w:val="auto"/>
              <w:rPr>
                <w:rFonts w:hint="eastAsia" w:ascii="仿宋" w:hAnsi="仿宋" w:eastAsia="仿宋" w:cs="仿宋"/>
                <w:color w:val="auto"/>
                <w:spacing w:val="-8"/>
                <w:kern w:val="0"/>
                <w:sz w:val="24"/>
                <w:szCs w:val="24"/>
                <w:highlight w:val="none"/>
              </w:rPr>
            </w:pPr>
            <w:r>
              <w:rPr>
                <w:rFonts w:hint="eastAsia" w:ascii="仿宋" w:hAnsi="仿宋" w:eastAsia="仿宋" w:cs="仿宋"/>
                <w:color w:val="auto"/>
                <w:spacing w:val="-8"/>
                <w:kern w:val="0"/>
                <w:sz w:val="24"/>
                <w:szCs w:val="24"/>
                <w:highlight w:val="none"/>
              </w:rPr>
              <w:t>平均合格率</w:t>
            </w:r>
            <w:r>
              <w:rPr>
                <w:rFonts w:hint="eastAsia" w:ascii="仿宋" w:hAnsi="仿宋" w:eastAsia="仿宋" w:cs="仿宋"/>
                <w:bCs/>
                <w:iCs/>
                <w:color w:val="auto"/>
                <w:spacing w:val="-8"/>
                <w:kern w:val="0"/>
                <w:sz w:val="24"/>
                <w:szCs w:val="24"/>
                <w:highlight w:val="none"/>
              </w:rPr>
              <w:t>80%</w:t>
            </w:r>
            <w:r>
              <w:rPr>
                <w:rFonts w:hint="eastAsia" w:ascii="仿宋" w:hAnsi="仿宋" w:eastAsia="仿宋" w:cs="仿宋"/>
                <w:color w:val="auto"/>
                <w:spacing w:val="-8"/>
                <w:kern w:val="0"/>
                <w:sz w:val="24"/>
                <w:szCs w:val="24"/>
                <w:highlight w:val="none"/>
              </w:rPr>
              <w:t>以上得满分，每减少1%扣1分。</w:t>
            </w:r>
          </w:p>
        </w:tc>
      </w:tr>
    </w:tbl>
    <w:p w14:paraId="2BF982DF">
      <w:pPr>
        <w:pageBreakBefore w:val="0"/>
        <w:numPr>
          <w:ilvl w:val="0"/>
          <w:numId w:val="0"/>
        </w:numPr>
        <w:wordWrap/>
        <w:overflowPunct/>
        <w:topLinePunct w:val="0"/>
        <w:bidi w:val="0"/>
        <w:adjustRightInd/>
        <w:snapToGrid w:val="0"/>
        <w:spacing w:line="0" w:lineRule="atLeast"/>
        <w:ind w:firstLine="480" w:firstLineChars="200"/>
        <w:jc w:val="both"/>
        <w:textAlignment w:val="auto"/>
        <w:outlineLvl w:val="2"/>
        <w:rPr>
          <w:rFonts w:hint="eastAsia" w:ascii="仿宋" w:hAnsi="仿宋" w:eastAsia="仿宋" w:cs="仿宋"/>
          <w:color w:val="auto"/>
          <w:kern w:val="2"/>
          <w:sz w:val="24"/>
          <w:szCs w:val="24"/>
          <w:highlight w:val="none"/>
          <w:u w:val="none"/>
          <w:lang w:val="en-US" w:eastAsia="zh-CN"/>
        </w:rPr>
      </w:pPr>
      <w:r>
        <w:rPr>
          <w:rFonts w:hint="eastAsia" w:ascii="仿宋" w:hAnsi="仿宋" w:eastAsia="仿宋" w:cs="仿宋"/>
          <w:color w:val="auto"/>
          <w:kern w:val="2"/>
          <w:sz w:val="24"/>
          <w:szCs w:val="24"/>
          <w:highlight w:val="none"/>
          <w:u w:val="none"/>
          <w:lang w:val="en-US" w:eastAsia="zh-CN"/>
        </w:rPr>
        <w:t>（2）</w:t>
      </w:r>
      <w:r>
        <w:rPr>
          <w:rFonts w:hint="eastAsia" w:ascii="仿宋" w:hAnsi="仿宋" w:eastAsia="仿宋" w:cs="仿宋"/>
          <w:color w:val="auto"/>
          <w:kern w:val="2"/>
          <w:sz w:val="24"/>
          <w:szCs w:val="24"/>
          <w:highlight w:val="none"/>
          <w:u w:val="none"/>
          <w:lang w:val="en-US" w:eastAsia="zh-CN" w:bidi="ar-SA"/>
        </w:rPr>
        <w:t>待训警犬：</w:t>
      </w:r>
      <w:r>
        <w:rPr>
          <w:rFonts w:hint="eastAsia" w:ascii="仿宋" w:hAnsi="仿宋" w:eastAsia="仿宋" w:cs="仿宋"/>
          <w:color w:val="auto"/>
          <w:kern w:val="2"/>
          <w:sz w:val="24"/>
          <w:szCs w:val="24"/>
          <w:highlight w:val="none"/>
          <w:u w:val="none"/>
          <w:lang w:val="en-US" w:eastAsia="zh-CN"/>
        </w:rPr>
        <w:t>合同签订之日起</w:t>
      </w:r>
      <w:r>
        <w:rPr>
          <w:rFonts w:hint="eastAsia" w:ascii="仿宋" w:hAnsi="仿宋" w:eastAsia="仿宋" w:cs="仿宋"/>
          <w:color w:val="auto"/>
          <w:kern w:val="2"/>
          <w:sz w:val="24"/>
          <w:szCs w:val="24"/>
          <w:highlight w:val="none"/>
          <w:u w:val="none"/>
          <w:lang w:val="en-US" w:eastAsia="zh-CN" w:bidi="ar-SA"/>
        </w:rPr>
        <w:t>20个日历日内，</w:t>
      </w:r>
      <w:r>
        <w:rPr>
          <w:rFonts w:hint="eastAsia" w:ascii="仿宋" w:hAnsi="仿宋" w:eastAsia="仿宋" w:cs="仿宋"/>
          <w:color w:val="auto"/>
          <w:kern w:val="2"/>
          <w:sz w:val="24"/>
          <w:szCs w:val="24"/>
          <w:highlight w:val="none"/>
          <w:u w:val="none"/>
          <w:lang w:val="en-US" w:eastAsia="zh-CN"/>
        </w:rPr>
        <w:t>完成犬只筹备、隔离、选取、体检、防疫驱虫等验收前全部工作。</w:t>
      </w:r>
    </w:p>
    <w:p w14:paraId="0BCF1C3E">
      <w:pPr>
        <w:pageBreakBefore w:val="0"/>
        <w:numPr>
          <w:ilvl w:val="0"/>
          <w:numId w:val="0"/>
        </w:numPr>
        <w:wordWrap/>
        <w:overflowPunct/>
        <w:topLinePunct w:val="0"/>
        <w:bidi w:val="0"/>
        <w:adjustRightInd/>
        <w:snapToGrid w:val="0"/>
        <w:spacing w:line="0" w:lineRule="atLeast"/>
        <w:ind w:firstLine="480" w:firstLineChars="200"/>
        <w:jc w:val="both"/>
        <w:textAlignment w:val="auto"/>
        <w:outlineLvl w:val="2"/>
        <w:rPr>
          <w:rFonts w:hint="eastAsia" w:ascii="仿宋" w:hAnsi="仿宋" w:eastAsia="仿宋" w:cs="仿宋"/>
          <w:color w:val="auto"/>
          <w:kern w:val="2"/>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①犬只筹备：</w:t>
      </w:r>
      <w:r>
        <w:rPr>
          <w:rFonts w:hint="eastAsia" w:ascii="仿宋" w:hAnsi="仿宋" w:eastAsia="仿宋" w:cs="仿宋"/>
          <w:color w:val="auto"/>
          <w:kern w:val="2"/>
          <w:sz w:val="24"/>
          <w:szCs w:val="24"/>
          <w:highlight w:val="none"/>
          <w:u w:val="none"/>
          <w:lang w:val="en-US" w:eastAsia="zh-CN"/>
        </w:rPr>
        <w:t>合同签订之日起5个日历日内，</w:t>
      </w:r>
      <w:r>
        <w:rPr>
          <w:rFonts w:hint="eastAsia" w:ascii="仿宋" w:hAnsi="仿宋" w:eastAsia="仿宋" w:cs="仿宋"/>
          <w:b w:val="0"/>
          <w:bCs w:val="0"/>
          <w:color w:val="auto"/>
          <w:sz w:val="24"/>
          <w:szCs w:val="24"/>
          <w:highlight w:val="none"/>
          <w:u w:val="none"/>
          <w:lang w:val="en-US" w:eastAsia="zh-CN"/>
        </w:rPr>
        <w:t>乙方</w:t>
      </w:r>
      <w:r>
        <w:rPr>
          <w:rFonts w:hint="eastAsia" w:ascii="仿宋" w:hAnsi="仿宋" w:eastAsia="仿宋" w:cs="仿宋"/>
          <w:color w:val="auto"/>
          <w:sz w:val="24"/>
          <w:szCs w:val="24"/>
          <w:highlight w:val="none"/>
          <w:u w:val="none"/>
          <w:lang w:val="en-US" w:eastAsia="zh-CN"/>
        </w:rPr>
        <w:t>需提供按不同种犬品种对应1:1.2犬数量比例（54头）的待训警犬</w:t>
      </w:r>
      <w:r>
        <w:rPr>
          <w:rFonts w:hint="eastAsia" w:ascii="仿宋" w:hAnsi="仿宋" w:eastAsia="仿宋" w:cs="仿宋"/>
          <w:color w:val="auto"/>
          <w:kern w:val="0"/>
          <w:sz w:val="24"/>
          <w:szCs w:val="24"/>
          <w:highlight w:val="none"/>
          <w:u w:val="none"/>
          <w:lang w:val="en-US" w:eastAsia="zh-CN"/>
        </w:rPr>
        <w:t>送达至乌鲁木齐具备饲养管理条件的区域（区域由乙方</w:t>
      </w:r>
      <w:r>
        <w:rPr>
          <w:rFonts w:hint="eastAsia" w:ascii="仿宋" w:hAnsi="仿宋" w:eastAsia="仿宋" w:cs="仿宋"/>
          <w:color w:val="auto"/>
          <w:kern w:val="2"/>
          <w:sz w:val="24"/>
          <w:szCs w:val="24"/>
          <w:highlight w:val="none"/>
          <w:u w:val="none"/>
          <w:lang w:val="en-US" w:eastAsia="zh-CN"/>
        </w:rPr>
        <w:t>自行确定）。</w:t>
      </w:r>
    </w:p>
    <w:p w14:paraId="41A97E95">
      <w:pPr>
        <w:pageBreakBefore w:val="0"/>
        <w:wordWrap/>
        <w:overflowPunct/>
        <w:topLinePunct w:val="0"/>
        <w:bidi w:val="0"/>
        <w:adjustRightInd/>
        <w:snapToGrid w:val="0"/>
        <w:spacing w:line="0" w:lineRule="atLeast"/>
        <w:ind w:firstLine="480" w:firstLineChars="200"/>
        <w:textAlignment w:val="auto"/>
        <w:outlineLvl w:val="2"/>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kern w:val="2"/>
          <w:sz w:val="24"/>
          <w:szCs w:val="24"/>
          <w:highlight w:val="none"/>
          <w:u w:val="none"/>
          <w:lang w:val="en-US" w:eastAsia="zh-CN"/>
        </w:rPr>
        <w:t>②犬只隔离：</w:t>
      </w:r>
      <w:r>
        <w:rPr>
          <w:rFonts w:hint="eastAsia" w:ascii="仿宋" w:hAnsi="仿宋" w:eastAsia="仿宋" w:cs="仿宋"/>
          <w:color w:val="auto"/>
          <w:kern w:val="2"/>
          <w:sz w:val="24"/>
          <w:szCs w:val="24"/>
          <w:highlight w:val="none"/>
          <w:u w:val="none"/>
          <w:lang w:val="en-US" w:eastAsia="zh-CN" w:bidi="ar-SA"/>
        </w:rPr>
        <w:t>待训警犬全部送到后，乙方需以函件形式通知甲方</w:t>
      </w:r>
      <w:r>
        <w:rPr>
          <w:rFonts w:hint="eastAsia" w:ascii="仿宋" w:hAnsi="仿宋" w:eastAsia="仿宋" w:cs="仿宋"/>
          <w:color w:val="auto"/>
          <w:kern w:val="2"/>
          <w:sz w:val="24"/>
          <w:szCs w:val="24"/>
          <w:highlight w:val="none"/>
          <w:u w:val="none"/>
          <w:lang w:val="en-US" w:eastAsia="zh-CN"/>
        </w:rPr>
        <w:t>（收到函件当日不计算在内）</w:t>
      </w:r>
      <w:r>
        <w:rPr>
          <w:rFonts w:hint="eastAsia" w:ascii="仿宋" w:hAnsi="仿宋" w:eastAsia="仿宋" w:cs="仿宋"/>
          <w:color w:val="auto"/>
          <w:kern w:val="2"/>
          <w:sz w:val="24"/>
          <w:szCs w:val="24"/>
          <w:highlight w:val="none"/>
          <w:u w:val="none"/>
          <w:lang w:val="en-US" w:eastAsia="zh-CN" w:bidi="ar-SA"/>
        </w:rPr>
        <w:t>，</w:t>
      </w:r>
      <w:r>
        <w:rPr>
          <w:rFonts w:hint="eastAsia" w:ascii="仿宋" w:hAnsi="仿宋" w:eastAsia="仿宋" w:cs="仿宋"/>
          <w:color w:val="auto"/>
          <w:kern w:val="2"/>
          <w:sz w:val="24"/>
          <w:szCs w:val="24"/>
          <w:highlight w:val="none"/>
          <w:u w:val="none"/>
          <w:lang w:val="en-US" w:eastAsia="zh-CN"/>
        </w:rPr>
        <w:t>隔离开始时间以函件送达甲方并经甲方确认时间为准，甲方确认后，乙方负责对犬只进行7个日历日的隔离。</w:t>
      </w:r>
      <w:r>
        <w:rPr>
          <w:rFonts w:hint="eastAsia" w:ascii="仿宋" w:hAnsi="仿宋" w:eastAsia="仿宋" w:cs="仿宋"/>
          <w:color w:val="auto"/>
          <w:sz w:val="24"/>
          <w:szCs w:val="24"/>
          <w:highlight w:val="none"/>
          <w:u w:val="none"/>
          <w:lang w:val="en-US" w:eastAsia="zh-CN"/>
        </w:rPr>
        <w:t>隔离期间，乙方承担犬只饲养、饲料、人工、防疫、诊疗等所有费用，若隔离期间出现犬只患病、死亡，由乙方无偿补充符合标准的犬只，隔离期重新计算。</w:t>
      </w:r>
      <w:r>
        <w:rPr>
          <w:rFonts w:hint="eastAsia" w:ascii="仿宋" w:hAnsi="仿宋" w:eastAsia="仿宋" w:cs="仿宋"/>
          <w:color w:val="auto"/>
          <w:kern w:val="2"/>
          <w:sz w:val="24"/>
          <w:szCs w:val="24"/>
          <w:highlight w:val="none"/>
          <w:u w:val="none"/>
          <w:lang w:val="en-US" w:eastAsia="zh-CN"/>
        </w:rPr>
        <w:t>隔离结束无质量问题后，甲方组织人员对犬只进行测试选取。</w:t>
      </w:r>
      <w:r>
        <w:rPr>
          <w:rFonts w:hint="eastAsia" w:ascii="仿宋" w:hAnsi="仿宋" w:eastAsia="仿宋" w:cs="仿宋"/>
          <w:color w:val="auto"/>
          <w:sz w:val="24"/>
          <w:szCs w:val="24"/>
          <w:highlight w:val="none"/>
          <w:u w:val="none"/>
          <w:lang w:val="en-US" w:eastAsia="zh-CN"/>
        </w:rPr>
        <w:t>所供犬只均需提供血统证明（中国工作犬管理协会出具）并植入身份证名芯片（芯片需可扫描并于血统证书信息相一致）。</w:t>
      </w:r>
    </w:p>
    <w:p w14:paraId="5B2F656E">
      <w:pPr>
        <w:pageBreakBefore w:val="0"/>
        <w:wordWrap/>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（2）犬只测试选取：</w:t>
      </w:r>
      <w:r>
        <w:rPr>
          <w:rFonts w:hint="eastAsia" w:ascii="仿宋" w:hAnsi="仿宋" w:eastAsia="仿宋" w:cs="仿宋"/>
          <w:color w:val="auto"/>
          <w:kern w:val="2"/>
          <w:sz w:val="24"/>
          <w:szCs w:val="24"/>
          <w:highlight w:val="none"/>
          <w:u w:val="none"/>
          <w:lang w:val="en-US" w:eastAsia="zh-CN"/>
        </w:rPr>
        <w:t>③犬只测试选取：隔离结束且无质量问题后，乙方需以函件形式通知甲方进行犬只测试选取，甲方自收到函件后4个日历日内（收到函件当日不计算在内），由新疆总站边境管理处负责组织，乌鲁木齐警犬训练基地配合，</w:t>
      </w:r>
      <w:r>
        <w:rPr>
          <w:rFonts w:hint="eastAsia" w:ascii="仿宋" w:hAnsi="仿宋" w:eastAsia="仿宋" w:cs="仿宋"/>
          <w:b w:val="0"/>
          <w:bCs w:val="0"/>
          <w:color w:val="auto"/>
          <w:sz w:val="24"/>
          <w:szCs w:val="24"/>
          <w:highlight w:val="none"/>
          <w:u w:val="none"/>
          <w:lang w:val="en-US" w:eastAsia="zh-CN"/>
        </w:rPr>
        <w:t>乙方需委托第三方机构委派1-2名具有警犬技术资质（具体指：中国工作犬管理协会颁发的警犬训练师资格证书、警犬评估师资格证书或同等权威机构出具的警犬技术相关执业资格证书）的专业人员协同监督指导，</w:t>
      </w:r>
      <w:r>
        <w:rPr>
          <w:rFonts w:hint="eastAsia" w:ascii="仿宋" w:hAnsi="仿宋" w:eastAsia="仿宋" w:cs="仿宋"/>
          <w:color w:val="auto"/>
          <w:sz w:val="24"/>
          <w:szCs w:val="24"/>
          <w:highlight w:val="none"/>
          <w:u w:val="none"/>
          <w:lang w:val="en-US" w:eastAsia="zh-CN"/>
        </w:rPr>
        <w:t>参照《警犬繁育工作规则（试行）》通知要求，共同完成对54头待训警犬的挑选并测试，选取符合条件的45头待训警犬。选犬工作期间产生费用由乙方全额承担。</w:t>
      </w:r>
    </w:p>
    <w:p w14:paraId="7C3CEF88">
      <w:pPr>
        <w:pageBreakBefore w:val="0"/>
        <w:wordWrap/>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测试标准：参考6月龄幼犬考核标准</w:t>
      </w:r>
      <w:r>
        <w:rPr>
          <w:rFonts w:hint="eastAsia" w:ascii="仿宋" w:hAnsi="仿宋" w:eastAsia="仿宋" w:cs="仿宋"/>
          <w:b/>
          <w:bCs/>
          <w:color w:val="auto"/>
          <w:sz w:val="24"/>
          <w:szCs w:val="24"/>
          <w:highlight w:val="none"/>
          <w:u w:val="none"/>
          <w:lang w:val="en-US" w:eastAsia="zh-CN"/>
        </w:rPr>
        <w:t>（后附）</w:t>
      </w:r>
    </w:p>
    <w:p w14:paraId="2CBB486F">
      <w:pPr>
        <w:pageBreakBefore w:val="0"/>
        <w:wordWrap/>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测试内容：德国牧羊犬、马里努阿犬、昆明犬考核发育状况、体能、服从性、衔取欲、胆量五项内容；史宾格犬在上述五项基础上，同时考核搜索欲和占有欲，共计七项。</w:t>
      </w:r>
    </w:p>
    <w:p w14:paraId="13196CE0">
      <w:pPr>
        <w:pageBreakBefore w:val="0"/>
        <w:wordWrap/>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测试方法：</w:t>
      </w:r>
    </w:p>
    <w:p w14:paraId="5959B1DD">
      <w:pPr>
        <w:pageBreakBefore w:val="0"/>
        <w:wordWrap/>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①发育状况：对待训警犬进行称重、体尺测量，所获数据符合《警犬繁育工作规则》中的相关指标。</w:t>
      </w:r>
    </w:p>
    <w:p w14:paraId="2774F591">
      <w:pPr>
        <w:pageBreakBefore w:val="0"/>
        <w:wordWrap/>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②体能：在2分钟内，待训警犬在牵引状态下连续跑200米后，犬仍然兴奋、自然，能在牵引状态下通过自然障碍。</w:t>
      </w:r>
    </w:p>
    <w:p w14:paraId="2C650D4F">
      <w:pPr>
        <w:pageBreakBefore w:val="0"/>
        <w:wordWrap/>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③服从性：待训警犬在牵引或自然状态下，在20米外唤犬前来，犬能够兴奋快速地跑到繁育员跟前。待训警犬在牵引状态下，能在繁育员左侧随行10米以上。</w:t>
      </w:r>
    </w:p>
    <w:p w14:paraId="72A61349">
      <w:pPr>
        <w:pageBreakBefore w:val="0"/>
        <w:wordWrap/>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④衔取欲：用物品逗引，犬能集中注意力注视物品，连续兴奋地衔取抛至20米外的运动和静止物品，并能回到主人身边。</w:t>
      </w:r>
    </w:p>
    <w:p w14:paraId="0DA1B50F">
      <w:pPr>
        <w:pageBreakBefore w:val="0"/>
        <w:wordWrap/>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⑤胆量：犬在牵引状态下能自由穿梭6人以上陌生人群，并能适应陌生人牵引、抚摸和50米处声响刺激，对车辆行人不惊慌。</w:t>
      </w:r>
    </w:p>
    <w:p w14:paraId="3D81F101">
      <w:pPr>
        <w:pageBreakBefore w:val="0"/>
        <w:wordWrap/>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⑥占有欲：用物品逗引，犬兴奋，与繁育员进行拔河游戏，并表现出强烈的占有欲和自信。</w:t>
      </w:r>
    </w:p>
    <w:p w14:paraId="2D97CD4B">
      <w:pPr>
        <w:pageBreakBefore w:val="0"/>
        <w:wordWrap/>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⑦搜索欲：将犬用牵引带拴系或由他人牵引，用犬感兴趣的物品进行逗引，犬对物品兴奋后，立即将物品藏于10米外的草丛或土地表层，30秒钟内让犬搜索，犬表现出强烈的搜索欲望，并能在3分钟内搜到物品。</w:t>
      </w:r>
    </w:p>
    <w:p w14:paraId="3F4E6A8B">
      <w:pPr>
        <w:pageBreakBefore w:val="0"/>
        <w:wordWrap/>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德国牧羊犬、马里努阿犬、昆明犬其发育状况、体能、服从性、衔取欲、胆量五部分考核分值各为20分；史宾格犬考核分值为：衔取欲、胆量各20分，发育状况、体能、服从性、占有欲或搜索欲各15分。</w:t>
      </w:r>
    </w:p>
    <w:p w14:paraId="0DF5E345">
      <w:pPr>
        <w:pageBreakBefore w:val="0"/>
        <w:wordWrap/>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测试评定：测试总分59分以下为不合格，60—79分为基本合格，80分以上为合格。仅合格犬只可纳入采购选取范围，若合格犬只数量不足45头，由乙方在3个日历日内无偿补充符合本文件隔离标准的待训犬只，补充犬只需完成7日隔离后重新参与测试，直至选取满45头合格犬只，补充犬只的隔离、测试、饲养等所有费用由乙方承担。测试淘汰的犬只（含不合格、基本合格未被选取），由乙方在测试结束后3个日历日内自行处置，全程承担运输、饲养、防疫等所有费用，不得向甲方主张任何费用，也不得在甲方指定区域周边随意处置。</w:t>
      </w:r>
    </w:p>
    <w:p w14:paraId="4F0E8C21">
      <w:pPr>
        <w:pageBreakBefore w:val="0"/>
        <w:wordWrap/>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体检：3个日历日内，甲方挑选出的犬只由乙方送至具备《动物诊疗许可证》、具备犬只专业体检资质的动物医院进行全面体检（合理安排体检犬只可多家医院同时进行）。体检内容包括：体温检测，皮肤检查（真菌、螨虫等），耳道检查，心肺听诊（是否有不适合训练的心脏和肺部疾病），X线检查（检查脊椎、髋关节、肘关节以及骨骼是否有先天性关节变形，骨膜磨损严重或过薄，骨质疏松以及严重缺钙等），B超检查（心、肝、肺、脾、肾），细小病毒和犬瘟热检查，尿常规，血气检查，体温、脉搏、细小病毒、犬瘟热检测，以及对犬的体型骨骼、体态被毛、神经类型及衔取欲望，伍德氏灯皮肤病排查、五大淋巴结检查等。体检合格后，需出具详细的体检报告，并为犬只编制编号，建立一犬一档案。乙方对所有合格犬只完成体检和建档，以函件形式通知甲方，甲方在1个日历日内（收到函件当日不计算在内）对体检及建档情况进行核查核对，经甲（警犬训练基地组织人员）乙双方确认无误后，由乙方运送至甲方指定地点。</w:t>
      </w:r>
    </w:p>
    <w:p w14:paraId="0BA3F216">
      <w:pPr>
        <w:pageBreakBefore w:val="0"/>
        <w:wordWrap/>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4）防疫驱虫：最终选定犬只，需在甲方的监督下，完成三次驱虫（2次体内，1次体外）以及英特威四联苗的注射，并在英特威四联苗的注射15个日历日后再注射1针单狂犬疫苗，以上产生的所有费用均由乙方承担。（本项工作不计入合同履约限定时间，乙方须在犬只质保期内完成全部防疫驱虫操作，并将完整操作记录纳入犬只一犬一档案，供甲方核查。）</w:t>
      </w:r>
    </w:p>
    <w:p w14:paraId="30DE2E8E">
      <w:pPr>
        <w:pageBreakBefore w:val="0"/>
        <w:wordWrap/>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5）芯片植入：所供犬只均需提供血统证明（中国工作犬管理协会出具）并植入身份证名芯片（芯片需可扫描并于血统证书信息相一致）。（本项工作不计入合同履约限定时间，乙方须在犬只质保期内完成并记录纳入犬只一犬一档案，供甲方核查。）</w:t>
      </w:r>
    </w:p>
    <w:p w14:paraId="4ABF088E">
      <w:pPr>
        <w:pageBreakBefore w:val="0"/>
        <w:numPr>
          <w:ilvl w:val="-1"/>
          <w:numId w:val="0"/>
        </w:numPr>
        <w:wordWrap/>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三、幼犬考核标准</w:t>
      </w:r>
    </w:p>
    <w:p w14:paraId="0A848EE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bCs/>
          <w:color w:val="auto"/>
          <w:kern w:val="2"/>
          <w:sz w:val="24"/>
          <w:szCs w:val="24"/>
          <w:highlight w:val="none"/>
        </w:rPr>
        <w:t>德国牧羊犬、昆明犬、马里努阿犬</w:t>
      </w:r>
    </w:p>
    <w:p w14:paraId="1E36A8F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6月龄考核验收的内容、方法和评分标准</w:t>
      </w:r>
    </w:p>
    <w:tbl>
      <w:tblPr>
        <w:tblStyle w:val="13"/>
        <w:tblpPr w:leftFromText="180" w:rightFromText="180" w:vertAnchor="text" w:horzAnchor="margin" w:tblpXSpec="center" w:tblpY="114"/>
        <w:tblOverlap w:val="never"/>
        <w:tblW w:w="864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751"/>
        <w:gridCol w:w="614"/>
        <w:gridCol w:w="2145"/>
        <w:gridCol w:w="3450"/>
      </w:tblGrid>
      <w:tr w14:paraId="41ECD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81" w:type="dxa"/>
            <w:noWrap w:val="0"/>
            <w:vAlign w:val="center"/>
          </w:tcPr>
          <w:p w14:paraId="05036A7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考核内容</w:t>
            </w:r>
          </w:p>
        </w:tc>
        <w:tc>
          <w:tcPr>
            <w:tcW w:w="1751" w:type="dxa"/>
            <w:noWrap w:val="0"/>
            <w:vAlign w:val="center"/>
          </w:tcPr>
          <w:p w14:paraId="0A29EF7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考核方法</w:t>
            </w:r>
          </w:p>
        </w:tc>
        <w:tc>
          <w:tcPr>
            <w:tcW w:w="614" w:type="dxa"/>
            <w:noWrap w:val="0"/>
            <w:tcMar>
              <w:left w:w="0" w:type="dxa"/>
              <w:right w:w="0" w:type="dxa"/>
            </w:tcMar>
            <w:vAlign w:val="center"/>
          </w:tcPr>
          <w:p w14:paraId="102DE40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分值</w:t>
            </w:r>
          </w:p>
        </w:tc>
        <w:tc>
          <w:tcPr>
            <w:tcW w:w="5595" w:type="dxa"/>
            <w:gridSpan w:val="2"/>
            <w:noWrap w:val="0"/>
            <w:vAlign w:val="center"/>
          </w:tcPr>
          <w:p w14:paraId="4AFBD4C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评分标准</w:t>
            </w:r>
          </w:p>
          <w:p w14:paraId="581CC14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扣分（每项分值扣完为止）</w:t>
            </w:r>
          </w:p>
        </w:tc>
      </w:tr>
      <w:tr w14:paraId="5182C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5" w:hRule="exact"/>
        </w:trPr>
        <w:tc>
          <w:tcPr>
            <w:tcW w:w="681" w:type="dxa"/>
            <w:noWrap w:val="0"/>
            <w:vAlign w:val="center"/>
          </w:tcPr>
          <w:p w14:paraId="7AFF3D6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发育状况</w:t>
            </w:r>
          </w:p>
        </w:tc>
        <w:tc>
          <w:tcPr>
            <w:tcW w:w="1751" w:type="dxa"/>
            <w:noWrap w:val="0"/>
            <w:vAlign w:val="center"/>
          </w:tcPr>
          <w:p w14:paraId="450FA2F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spacing w:val="-10"/>
                <w:kern w:val="2"/>
                <w:sz w:val="24"/>
                <w:szCs w:val="24"/>
                <w:highlight w:val="none"/>
              </w:rPr>
            </w:pPr>
            <w:r>
              <w:rPr>
                <w:rFonts w:hint="eastAsia" w:ascii="仿宋" w:hAnsi="仿宋" w:eastAsia="仿宋" w:cs="仿宋"/>
                <w:color w:val="auto"/>
                <w:spacing w:val="-10"/>
                <w:kern w:val="2"/>
                <w:sz w:val="24"/>
                <w:szCs w:val="24"/>
                <w:highlight w:val="none"/>
              </w:rPr>
              <w:t>在空腹状态下称重，在平地犬自然站立状态下测量体尺</w:t>
            </w:r>
          </w:p>
        </w:tc>
        <w:tc>
          <w:tcPr>
            <w:tcW w:w="614" w:type="dxa"/>
            <w:noWrap w:val="0"/>
            <w:tcMar>
              <w:left w:w="0" w:type="dxa"/>
              <w:right w:w="0" w:type="dxa"/>
            </w:tcMar>
            <w:vAlign w:val="center"/>
          </w:tcPr>
          <w:p w14:paraId="75111169">
            <w:pPr>
              <w:pageBreakBefore w:val="0"/>
              <w:numPr>
                <w:ilvl w:val="-1"/>
                <w:numId w:val="0"/>
              </w:numPr>
              <w:wordWrap/>
              <w:overflowPunct/>
              <w:topLinePunct w:val="0"/>
              <w:bidi w:val="0"/>
              <w:adjustRightInd/>
              <w:spacing w:line="0" w:lineRule="atLeast"/>
              <w:ind w:left="201" w:hanging="240" w:hangingChars="10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20分</w:t>
            </w:r>
          </w:p>
        </w:tc>
        <w:tc>
          <w:tcPr>
            <w:tcW w:w="2145" w:type="dxa"/>
            <w:noWrap w:val="0"/>
            <w:vAlign w:val="center"/>
          </w:tcPr>
          <w:p w14:paraId="3B53E16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spacing w:val="-6"/>
                <w:kern w:val="2"/>
                <w:sz w:val="24"/>
                <w:szCs w:val="24"/>
                <w:highlight w:val="none"/>
              </w:rPr>
              <w:t>幼犬体重、体尺标准符合《警犬繁育工作规则》的相关规定20分</w:t>
            </w:r>
          </w:p>
        </w:tc>
        <w:tc>
          <w:tcPr>
            <w:tcW w:w="3450" w:type="dxa"/>
            <w:noWrap w:val="0"/>
            <w:vAlign w:val="center"/>
          </w:tcPr>
          <w:p w14:paraId="632A1B5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任一项每低于标准的1%扣1分</w:t>
            </w:r>
          </w:p>
          <w:p w14:paraId="2E327E5E">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任一项低于标准的20%不合格幼犬</w:t>
            </w:r>
          </w:p>
        </w:tc>
      </w:tr>
      <w:tr w14:paraId="7A9ED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681" w:type="dxa"/>
            <w:vMerge w:val="restart"/>
            <w:noWrap w:val="0"/>
            <w:vAlign w:val="center"/>
          </w:tcPr>
          <w:p w14:paraId="102A6A6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w:t>
            </w:r>
          </w:p>
          <w:p w14:paraId="4DE4C79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3428351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能</w:t>
            </w:r>
          </w:p>
        </w:tc>
        <w:tc>
          <w:tcPr>
            <w:tcW w:w="1751" w:type="dxa"/>
            <w:vMerge w:val="restart"/>
            <w:noWrap w:val="0"/>
            <w:vAlign w:val="center"/>
          </w:tcPr>
          <w:p w14:paraId="15618DF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在2分钟内，幼犬在牵引状态下跑步200米，犬仍兴奋、自然；</w:t>
            </w:r>
          </w:p>
          <w:p w14:paraId="41B4BD6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犬能在牵引状态下通过自然障碍。</w:t>
            </w:r>
          </w:p>
        </w:tc>
        <w:tc>
          <w:tcPr>
            <w:tcW w:w="614" w:type="dxa"/>
            <w:vMerge w:val="restart"/>
            <w:noWrap w:val="0"/>
            <w:tcMar>
              <w:left w:w="0" w:type="dxa"/>
              <w:right w:w="0" w:type="dxa"/>
            </w:tcMar>
            <w:vAlign w:val="center"/>
          </w:tcPr>
          <w:p w14:paraId="5C1ECD20">
            <w:pPr>
              <w:pageBreakBefore w:val="0"/>
              <w:numPr>
                <w:ilvl w:val="-1"/>
                <w:numId w:val="0"/>
              </w:numPr>
              <w:wordWrap/>
              <w:overflowPunct/>
              <w:topLinePunct w:val="0"/>
              <w:bidi w:val="0"/>
              <w:adjustRightInd/>
              <w:spacing w:line="0" w:lineRule="atLeast"/>
              <w:ind w:left="201" w:hanging="240" w:hangingChars="10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20分</w:t>
            </w:r>
          </w:p>
        </w:tc>
        <w:tc>
          <w:tcPr>
            <w:tcW w:w="2145" w:type="dxa"/>
            <w:noWrap w:val="0"/>
            <w:vAlign w:val="center"/>
          </w:tcPr>
          <w:p w14:paraId="5D7F68DD">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奔跑8分</w:t>
            </w:r>
          </w:p>
        </w:tc>
        <w:tc>
          <w:tcPr>
            <w:tcW w:w="3450" w:type="dxa"/>
            <w:noWrap w:val="0"/>
            <w:vAlign w:val="center"/>
          </w:tcPr>
          <w:p w14:paraId="3A82AE5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在规定时间内未跑完200米不得分</w:t>
            </w:r>
          </w:p>
          <w:p w14:paraId="10F2E68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跑完200米不兴奋、自然扣2—5分</w:t>
            </w:r>
          </w:p>
        </w:tc>
      </w:tr>
      <w:tr w14:paraId="6E148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4" w:hRule="exact"/>
        </w:trPr>
        <w:tc>
          <w:tcPr>
            <w:tcW w:w="681" w:type="dxa"/>
            <w:vMerge w:val="continue"/>
            <w:noWrap w:val="0"/>
            <w:vAlign w:val="center"/>
          </w:tcPr>
          <w:p w14:paraId="7301BC0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32A0411A">
            <w:pPr>
              <w:pageBreakBefore w:val="0"/>
              <w:numPr>
                <w:ilvl w:val="-1"/>
                <w:numId w:val="0"/>
              </w:numPr>
              <w:wordWrap/>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p>
        </w:tc>
        <w:tc>
          <w:tcPr>
            <w:tcW w:w="614" w:type="dxa"/>
            <w:vMerge w:val="continue"/>
            <w:noWrap w:val="0"/>
            <w:tcMar>
              <w:left w:w="0" w:type="dxa"/>
              <w:right w:w="0" w:type="dxa"/>
            </w:tcMar>
            <w:vAlign w:val="center"/>
          </w:tcPr>
          <w:p w14:paraId="156D5BEA">
            <w:pPr>
              <w:pageBreakBefore w:val="0"/>
              <w:numPr>
                <w:ilvl w:val="-1"/>
                <w:numId w:val="0"/>
              </w:numPr>
              <w:wordWrap/>
              <w:overflowPunct/>
              <w:topLinePunct w:val="0"/>
              <w:bidi w:val="0"/>
              <w:adjustRightInd/>
              <w:spacing w:line="0" w:lineRule="atLeast"/>
              <w:ind w:left="201" w:hanging="240" w:hangingChars="100"/>
              <w:jc w:val="center"/>
              <w:textAlignment w:val="auto"/>
              <w:rPr>
                <w:rFonts w:hint="eastAsia" w:ascii="仿宋" w:hAnsi="仿宋" w:eastAsia="仿宋" w:cs="仿宋"/>
                <w:color w:val="auto"/>
                <w:kern w:val="2"/>
                <w:sz w:val="24"/>
                <w:szCs w:val="24"/>
                <w:highlight w:val="none"/>
              </w:rPr>
            </w:pPr>
          </w:p>
        </w:tc>
        <w:tc>
          <w:tcPr>
            <w:tcW w:w="2145" w:type="dxa"/>
            <w:noWrap w:val="0"/>
            <w:vAlign w:val="center"/>
          </w:tcPr>
          <w:p w14:paraId="15504CF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通过自然障碍</w:t>
            </w:r>
          </w:p>
          <w:p w14:paraId="29E36A42">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6分</w:t>
            </w:r>
          </w:p>
        </w:tc>
        <w:tc>
          <w:tcPr>
            <w:tcW w:w="3450" w:type="dxa"/>
            <w:noWrap w:val="0"/>
            <w:vAlign w:val="center"/>
          </w:tcPr>
          <w:p w14:paraId="3224253E">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不能通过不得分</w:t>
            </w:r>
          </w:p>
          <w:p w14:paraId="3071F707">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通过但不顺利扣1—3分</w:t>
            </w:r>
          </w:p>
        </w:tc>
      </w:tr>
      <w:tr w14:paraId="08A4F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681" w:type="dxa"/>
            <w:vMerge w:val="continue"/>
            <w:noWrap w:val="0"/>
            <w:vAlign w:val="center"/>
          </w:tcPr>
          <w:p w14:paraId="105551C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6A4DA504">
            <w:pPr>
              <w:pageBreakBefore w:val="0"/>
              <w:numPr>
                <w:ilvl w:val="-1"/>
                <w:numId w:val="0"/>
              </w:numPr>
              <w:wordWrap/>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p>
        </w:tc>
        <w:tc>
          <w:tcPr>
            <w:tcW w:w="614" w:type="dxa"/>
            <w:vMerge w:val="continue"/>
            <w:noWrap w:val="0"/>
            <w:tcMar>
              <w:left w:w="0" w:type="dxa"/>
              <w:right w:w="0" w:type="dxa"/>
            </w:tcMar>
            <w:vAlign w:val="center"/>
          </w:tcPr>
          <w:p w14:paraId="16CD143E">
            <w:pPr>
              <w:pageBreakBefore w:val="0"/>
              <w:numPr>
                <w:ilvl w:val="-1"/>
                <w:numId w:val="0"/>
              </w:numPr>
              <w:wordWrap/>
              <w:overflowPunct/>
              <w:topLinePunct w:val="0"/>
              <w:bidi w:val="0"/>
              <w:adjustRightInd/>
              <w:spacing w:line="0" w:lineRule="atLeast"/>
              <w:ind w:left="201" w:hanging="240" w:hangingChars="100"/>
              <w:jc w:val="center"/>
              <w:textAlignment w:val="auto"/>
              <w:rPr>
                <w:rFonts w:hint="eastAsia" w:ascii="仿宋" w:hAnsi="仿宋" w:eastAsia="仿宋" w:cs="仿宋"/>
                <w:color w:val="auto"/>
                <w:kern w:val="2"/>
                <w:sz w:val="24"/>
                <w:szCs w:val="24"/>
                <w:highlight w:val="none"/>
              </w:rPr>
            </w:pPr>
          </w:p>
        </w:tc>
        <w:tc>
          <w:tcPr>
            <w:tcW w:w="2145" w:type="dxa"/>
            <w:noWrap w:val="0"/>
            <w:vAlign w:val="center"/>
          </w:tcPr>
          <w:p w14:paraId="30C56E0E">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步态特征6分</w:t>
            </w:r>
          </w:p>
        </w:tc>
        <w:tc>
          <w:tcPr>
            <w:tcW w:w="3450" w:type="dxa"/>
            <w:noWrap w:val="0"/>
            <w:vAlign w:val="center"/>
          </w:tcPr>
          <w:p w14:paraId="36868C2E">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步态不协调扣1—3分</w:t>
            </w:r>
          </w:p>
        </w:tc>
      </w:tr>
      <w:tr w14:paraId="01192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84" w:hRule="exact"/>
        </w:trPr>
        <w:tc>
          <w:tcPr>
            <w:tcW w:w="681" w:type="dxa"/>
            <w:vMerge w:val="restart"/>
            <w:noWrap w:val="0"/>
            <w:vAlign w:val="center"/>
          </w:tcPr>
          <w:p w14:paraId="4D3C582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服</w:t>
            </w:r>
          </w:p>
          <w:p w14:paraId="68CB273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从</w:t>
            </w:r>
          </w:p>
          <w:p w14:paraId="0030295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w:t>
            </w:r>
          </w:p>
        </w:tc>
        <w:tc>
          <w:tcPr>
            <w:tcW w:w="1751" w:type="dxa"/>
            <w:vMerge w:val="restart"/>
            <w:noWrap w:val="0"/>
            <w:vAlign w:val="center"/>
          </w:tcPr>
          <w:p w14:paraId="4D3221C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助训员牵引或自由状态下，繁育员跑出20米唤犬前来，犬能够兴奋快速地跑到繁育员跟前。</w:t>
            </w:r>
          </w:p>
          <w:p w14:paraId="2EF51D1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幼犬在繁育员牵引状态下，能在繁育员左侧随行10米以上。</w:t>
            </w:r>
          </w:p>
        </w:tc>
        <w:tc>
          <w:tcPr>
            <w:tcW w:w="614" w:type="dxa"/>
            <w:vMerge w:val="restart"/>
            <w:noWrap w:val="0"/>
            <w:tcMar>
              <w:left w:w="0" w:type="dxa"/>
              <w:right w:w="0" w:type="dxa"/>
            </w:tcMar>
            <w:vAlign w:val="center"/>
          </w:tcPr>
          <w:p w14:paraId="05ABC3D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20分</w:t>
            </w:r>
          </w:p>
        </w:tc>
        <w:tc>
          <w:tcPr>
            <w:tcW w:w="2145" w:type="dxa"/>
            <w:noWrap w:val="0"/>
            <w:vAlign w:val="center"/>
          </w:tcPr>
          <w:p w14:paraId="3ED53FF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自由状态下前来</w:t>
            </w:r>
          </w:p>
          <w:p w14:paraId="72A2826E">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6分</w:t>
            </w:r>
          </w:p>
        </w:tc>
        <w:tc>
          <w:tcPr>
            <w:tcW w:w="3450" w:type="dxa"/>
            <w:noWrap w:val="0"/>
            <w:vAlign w:val="center"/>
          </w:tcPr>
          <w:p w14:paraId="26A0F63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犬不注意主人扣1分</w:t>
            </w:r>
          </w:p>
          <w:p w14:paraId="2A1DD03B">
            <w:pPr>
              <w:pageBreakBefore w:val="0"/>
              <w:numPr>
                <w:ilvl w:val="-1"/>
                <w:numId w:val="0"/>
              </w:numPr>
              <w:wordWrap/>
              <w:overflowPunct/>
              <w:topLinePunct w:val="0"/>
              <w:bidi w:val="0"/>
              <w:adjustRightInd/>
              <w:spacing w:line="0" w:lineRule="atLeast"/>
              <w:ind w:left="7"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犬前来不顺利扣1—2分</w:t>
            </w:r>
          </w:p>
          <w:p w14:paraId="6418C71E">
            <w:pPr>
              <w:pageBreakBefore w:val="0"/>
              <w:numPr>
                <w:ilvl w:val="-1"/>
                <w:numId w:val="0"/>
              </w:numPr>
              <w:wordWrap/>
              <w:overflowPunct/>
              <w:topLinePunct w:val="0"/>
              <w:bidi w:val="0"/>
              <w:adjustRightInd/>
              <w:spacing w:line="0" w:lineRule="atLeast"/>
              <w:ind w:left="7"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一次呼名后犬不前来扣1分</w:t>
            </w:r>
          </w:p>
          <w:p w14:paraId="1563F783">
            <w:pPr>
              <w:pageBreakBefore w:val="0"/>
              <w:numPr>
                <w:ilvl w:val="-1"/>
                <w:numId w:val="0"/>
              </w:numPr>
              <w:wordWrap/>
              <w:overflowPunct/>
              <w:topLinePunct w:val="0"/>
              <w:bidi w:val="0"/>
              <w:adjustRightInd/>
              <w:spacing w:line="0" w:lineRule="atLeast"/>
              <w:ind w:left="7"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二次呼名后犬不前来扣2分</w:t>
            </w:r>
          </w:p>
          <w:p w14:paraId="295F0261">
            <w:pPr>
              <w:pageBreakBefore w:val="0"/>
              <w:numPr>
                <w:ilvl w:val="-1"/>
                <w:numId w:val="0"/>
              </w:numPr>
              <w:wordWrap/>
              <w:overflowPunct/>
              <w:topLinePunct w:val="0"/>
              <w:bidi w:val="0"/>
              <w:adjustRightInd/>
              <w:spacing w:line="0" w:lineRule="atLeast"/>
              <w:ind w:left="7"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三次呼名后犬不前来不得分</w:t>
            </w:r>
          </w:p>
        </w:tc>
      </w:tr>
      <w:tr w14:paraId="38832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81" w:type="dxa"/>
            <w:vMerge w:val="continue"/>
            <w:noWrap w:val="0"/>
            <w:vAlign w:val="center"/>
          </w:tcPr>
          <w:p w14:paraId="39FCFC8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6A5E6F71">
            <w:pPr>
              <w:pageBreakBefore w:val="0"/>
              <w:numPr>
                <w:ilvl w:val="-1"/>
                <w:numId w:val="0"/>
              </w:numPr>
              <w:wordWrap/>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p>
        </w:tc>
        <w:tc>
          <w:tcPr>
            <w:tcW w:w="614" w:type="dxa"/>
            <w:vMerge w:val="continue"/>
            <w:noWrap w:val="0"/>
            <w:tcMar>
              <w:left w:w="0" w:type="dxa"/>
              <w:right w:w="0" w:type="dxa"/>
            </w:tcMar>
            <w:vAlign w:val="center"/>
          </w:tcPr>
          <w:p w14:paraId="454DE2A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145" w:type="dxa"/>
            <w:noWrap w:val="0"/>
            <w:tcMar>
              <w:left w:w="57" w:type="dxa"/>
              <w:right w:w="57" w:type="dxa"/>
            </w:tcMar>
            <w:vAlign w:val="center"/>
          </w:tcPr>
          <w:p w14:paraId="5C9E0E5D">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spacing w:val="-8"/>
                <w:kern w:val="2"/>
                <w:sz w:val="24"/>
                <w:szCs w:val="24"/>
                <w:highlight w:val="none"/>
              </w:rPr>
            </w:pPr>
            <w:r>
              <w:rPr>
                <w:rFonts w:hint="eastAsia" w:ascii="仿宋" w:hAnsi="仿宋" w:eastAsia="仿宋" w:cs="仿宋"/>
                <w:color w:val="auto"/>
                <w:spacing w:val="-8"/>
                <w:kern w:val="2"/>
                <w:sz w:val="24"/>
                <w:szCs w:val="24"/>
                <w:highlight w:val="none"/>
              </w:rPr>
              <w:t>牵引状态下寻找主人</w:t>
            </w:r>
          </w:p>
          <w:p w14:paraId="286912EC">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spacing w:val="-8"/>
                <w:kern w:val="2"/>
                <w:sz w:val="24"/>
                <w:szCs w:val="24"/>
                <w:highlight w:val="none"/>
              </w:rPr>
            </w:pPr>
            <w:r>
              <w:rPr>
                <w:rFonts w:hint="eastAsia" w:ascii="仿宋" w:hAnsi="仿宋" w:eastAsia="仿宋" w:cs="仿宋"/>
                <w:color w:val="auto"/>
                <w:spacing w:val="-8"/>
                <w:kern w:val="2"/>
                <w:sz w:val="24"/>
                <w:szCs w:val="24"/>
                <w:highlight w:val="none"/>
              </w:rPr>
              <w:t>8分</w:t>
            </w:r>
          </w:p>
        </w:tc>
        <w:tc>
          <w:tcPr>
            <w:tcW w:w="3450" w:type="dxa"/>
            <w:noWrap w:val="0"/>
            <w:vAlign w:val="center"/>
          </w:tcPr>
          <w:p w14:paraId="0C781BF0">
            <w:pPr>
              <w:pageBreakBefore w:val="0"/>
              <w:numPr>
                <w:ilvl w:val="-1"/>
                <w:numId w:val="0"/>
              </w:numPr>
              <w:wordWrap/>
              <w:overflowPunct/>
              <w:topLinePunct w:val="0"/>
              <w:bidi w:val="0"/>
              <w:adjustRightInd/>
              <w:spacing w:line="0" w:lineRule="atLeast"/>
              <w:ind w:left="7"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犬不注意主人扣1—2分</w:t>
            </w:r>
          </w:p>
          <w:p w14:paraId="1E8EB312">
            <w:pPr>
              <w:pageBreakBefore w:val="0"/>
              <w:numPr>
                <w:ilvl w:val="-1"/>
                <w:numId w:val="0"/>
              </w:numPr>
              <w:wordWrap/>
              <w:overflowPunct/>
              <w:topLinePunct w:val="0"/>
              <w:bidi w:val="0"/>
              <w:adjustRightInd/>
              <w:spacing w:line="0" w:lineRule="atLeast"/>
              <w:ind w:left="7"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寻找主人不积极扣3—5分</w:t>
            </w:r>
          </w:p>
        </w:tc>
      </w:tr>
      <w:tr w14:paraId="13314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8" w:hRule="exact"/>
        </w:trPr>
        <w:tc>
          <w:tcPr>
            <w:tcW w:w="681" w:type="dxa"/>
            <w:vMerge w:val="continue"/>
            <w:noWrap w:val="0"/>
            <w:vAlign w:val="center"/>
          </w:tcPr>
          <w:p w14:paraId="531BDC8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35F2F6BA">
            <w:pPr>
              <w:pageBreakBefore w:val="0"/>
              <w:numPr>
                <w:ilvl w:val="-1"/>
                <w:numId w:val="0"/>
              </w:numPr>
              <w:wordWrap/>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p>
        </w:tc>
        <w:tc>
          <w:tcPr>
            <w:tcW w:w="614" w:type="dxa"/>
            <w:vMerge w:val="continue"/>
            <w:noWrap w:val="0"/>
            <w:tcMar>
              <w:left w:w="0" w:type="dxa"/>
              <w:right w:w="0" w:type="dxa"/>
            </w:tcMar>
            <w:vAlign w:val="center"/>
          </w:tcPr>
          <w:p w14:paraId="7304CA8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145" w:type="dxa"/>
            <w:noWrap w:val="0"/>
            <w:vAlign w:val="center"/>
          </w:tcPr>
          <w:p w14:paraId="65881DFD">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牵引随行6分</w:t>
            </w:r>
          </w:p>
        </w:tc>
        <w:tc>
          <w:tcPr>
            <w:tcW w:w="3450" w:type="dxa"/>
            <w:noWrap w:val="0"/>
            <w:vAlign w:val="center"/>
          </w:tcPr>
          <w:p w14:paraId="035863B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对牵引随行有被动行为扣2—4分</w:t>
            </w:r>
          </w:p>
          <w:p w14:paraId="2A8AC457">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不能完成随行不得分</w:t>
            </w:r>
          </w:p>
        </w:tc>
      </w:tr>
      <w:tr w14:paraId="6DBDE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1" w:type="dxa"/>
            <w:vMerge w:val="restart"/>
            <w:noWrap w:val="0"/>
            <w:vAlign w:val="center"/>
          </w:tcPr>
          <w:p w14:paraId="7CEA76D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衔</w:t>
            </w:r>
          </w:p>
          <w:p w14:paraId="7153B01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取</w:t>
            </w:r>
          </w:p>
          <w:p w14:paraId="7348FC4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欲</w:t>
            </w:r>
          </w:p>
        </w:tc>
        <w:tc>
          <w:tcPr>
            <w:tcW w:w="1751" w:type="dxa"/>
            <w:vMerge w:val="restart"/>
            <w:noWrap w:val="0"/>
            <w:vAlign w:val="center"/>
          </w:tcPr>
          <w:p w14:paraId="0732E291">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繁育员用物品逗引，犬能集中注意力，注视物品，连续兴奋地衔取抛至20米外的运动或静止物品，并能回到主人身边。</w:t>
            </w:r>
          </w:p>
        </w:tc>
        <w:tc>
          <w:tcPr>
            <w:tcW w:w="614" w:type="dxa"/>
            <w:vMerge w:val="restart"/>
            <w:noWrap w:val="0"/>
            <w:tcMar>
              <w:left w:w="0" w:type="dxa"/>
              <w:right w:w="0" w:type="dxa"/>
            </w:tcMar>
            <w:vAlign w:val="center"/>
          </w:tcPr>
          <w:p w14:paraId="1459952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20分</w:t>
            </w:r>
          </w:p>
        </w:tc>
        <w:tc>
          <w:tcPr>
            <w:tcW w:w="2145" w:type="dxa"/>
            <w:noWrap w:val="0"/>
            <w:vAlign w:val="center"/>
          </w:tcPr>
          <w:p w14:paraId="055547A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注意力5分</w:t>
            </w:r>
          </w:p>
        </w:tc>
        <w:tc>
          <w:tcPr>
            <w:tcW w:w="3450" w:type="dxa"/>
            <w:noWrap w:val="0"/>
            <w:vAlign w:val="center"/>
          </w:tcPr>
          <w:p w14:paraId="151ACDFA">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犬不注意物品扣2—5分</w:t>
            </w:r>
          </w:p>
        </w:tc>
      </w:tr>
      <w:tr w14:paraId="5A105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6" w:hRule="exact"/>
        </w:trPr>
        <w:tc>
          <w:tcPr>
            <w:tcW w:w="681" w:type="dxa"/>
            <w:vMerge w:val="continue"/>
            <w:noWrap w:val="0"/>
            <w:vAlign w:val="center"/>
          </w:tcPr>
          <w:p w14:paraId="610A425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0557423E">
            <w:pPr>
              <w:pageBreakBefore w:val="0"/>
              <w:numPr>
                <w:ilvl w:val="-1"/>
                <w:numId w:val="0"/>
              </w:numPr>
              <w:wordWrap/>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p>
        </w:tc>
        <w:tc>
          <w:tcPr>
            <w:tcW w:w="614" w:type="dxa"/>
            <w:vMerge w:val="continue"/>
            <w:noWrap w:val="0"/>
            <w:tcMar>
              <w:left w:w="0" w:type="dxa"/>
              <w:right w:w="0" w:type="dxa"/>
            </w:tcMar>
            <w:vAlign w:val="center"/>
          </w:tcPr>
          <w:p w14:paraId="2DF3B4F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145" w:type="dxa"/>
            <w:noWrap w:val="0"/>
            <w:vAlign w:val="center"/>
          </w:tcPr>
          <w:p w14:paraId="0EEEB12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抛物衔取（动态）</w:t>
            </w:r>
          </w:p>
          <w:p w14:paraId="4623A86D">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6分</w:t>
            </w:r>
          </w:p>
        </w:tc>
        <w:tc>
          <w:tcPr>
            <w:tcW w:w="3450" w:type="dxa"/>
            <w:noWrap w:val="0"/>
            <w:vAlign w:val="center"/>
          </w:tcPr>
          <w:p w14:paraId="514D3C2A">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犬不积极追抢物品扣1—2分</w:t>
            </w:r>
          </w:p>
          <w:p w14:paraId="7AD911F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一次未去衔物品扣1分</w:t>
            </w:r>
          </w:p>
          <w:p w14:paraId="6DA842D1">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二次未去衔物品扣2分</w:t>
            </w:r>
          </w:p>
          <w:p w14:paraId="2B01D23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三次未去衔物品不得分</w:t>
            </w:r>
          </w:p>
        </w:tc>
      </w:tr>
      <w:tr w14:paraId="29FD24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3" w:hRule="exact"/>
        </w:trPr>
        <w:tc>
          <w:tcPr>
            <w:tcW w:w="681" w:type="dxa"/>
            <w:vMerge w:val="continue"/>
            <w:noWrap w:val="0"/>
            <w:vAlign w:val="center"/>
          </w:tcPr>
          <w:p w14:paraId="010D26B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43DB0017">
            <w:pPr>
              <w:pageBreakBefore w:val="0"/>
              <w:numPr>
                <w:ilvl w:val="-1"/>
                <w:numId w:val="0"/>
              </w:numPr>
              <w:wordWrap/>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p>
        </w:tc>
        <w:tc>
          <w:tcPr>
            <w:tcW w:w="614" w:type="dxa"/>
            <w:vMerge w:val="continue"/>
            <w:noWrap w:val="0"/>
            <w:tcMar>
              <w:left w:w="0" w:type="dxa"/>
              <w:right w:w="0" w:type="dxa"/>
            </w:tcMar>
            <w:vAlign w:val="center"/>
          </w:tcPr>
          <w:p w14:paraId="54EAAED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145" w:type="dxa"/>
            <w:noWrap w:val="0"/>
            <w:vAlign w:val="center"/>
          </w:tcPr>
          <w:p w14:paraId="5D7500E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抛物衔取（静态）</w:t>
            </w:r>
          </w:p>
          <w:p w14:paraId="1093761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6分</w:t>
            </w:r>
          </w:p>
        </w:tc>
        <w:tc>
          <w:tcPr>
            <w:tcW w:w="3450" w:type="dxa"/>
            <w:noWrap w:val="0"/>
            <w:vAlign w:val="center"/>
          </w:tcPr>
          <w:p w14:paraId="573A5B5C">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一次未去衔物品扣1分</w:t>
            </w:r>
          </w:p>
          <w:p w14:paraId="69E5FB0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二次未去衔物品扣2分</w:t>
            </w:r>
          </w:p>
          <w:p w14:paraId="5BCB4F9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三次未去衔物品不得分</w:t>
            </w:r>
          </w:p>
        </w:tc>
      </w:tr>
      <w:tr w14:paraId="2250D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7" w:hRule="exact"/>
        </w:trPr>
        <w:tc>
          <w:tcPr>
            <w:tcW w:w="681" w:type="dxa"/>
            <w:vMerge w:val="continue"/>
            <w:noWrap w:val="0"/>
            <w:vAlign w:val="center"/>
          </w:tcPr>
          <w:p w14:paraId="3435C01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70510274">
            <w:pPr>
              <w:pageBreakBefore w:val="0"/>
              <w:numPr>
                <w:ilvl w:val="-1"/>
                <w:numId w:val="0"/>
              </w:numPr>
              <w:wordWrap/>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p>
        </w:tc>
        <w:tc>
          <w:tcPr>
            <w:tcW w:w="614" w:type="dxa"/>
            <w:vMerge w:val="continue"/>
            <w:noWrap w:val="0"/>
            <w:tcMar>
              <w:left w:w="0" w:type="dxa"/>
              <w:right w:w="0" w:type="dxa"/>
            </w:tcMar>
            <w:vAlign w:val="center"/>
          </w:tcPr>
          <w:p w14:paraId="74303E4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145" w:type="dxa"/>
            <w:noWrap w:val="0"/>
            <w:vAlign w:val="center"/>
          </w:tcPr>
          <w:p w14:paraId="4FF2459C">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衔物前来3分</w:t>
            </w:r>
          </w:p>
        </w:tc>
        <w:tc>
          <w:tcPr>
            <w:tcW w:w="3450" w:type="dxa"/>
            <w:noWrap w:val="0"/>
            <w:vAlign w:val="center"/>
          </w:tcPr>
          <w:p w14:paraId="551EE982">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犬中途吐物扣1分</w:t>
            </w:r>
          </w:p>
          <w:p w14:paraId="203889C1">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不能衔回主人身边扣1—2分</w:t>
            </w:r>
          </w:p>
        </w:tc>
      </w:tr>
      <w:tr w14:paraId="69C53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1" w:hRule="exact"/>
        </w:trPr>
        <w:tc>
          <w:tcPr>
            <w:tcW w:w="681" w:type="dxa"/>
            <w:vMerge w:val="restart"/>
            <w:noWrap w:val="0"/>
            <w:vAlign w:val="center"/>
          </w:tcPr>
          <w:p w14:paraId="05A43B7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w:t>
            </w:r>
          </w:p>
          <w:p w14:paraId="324C130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29E4F68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量</w:t>
            </w:r>
          </w:p>
        </w:tc>
        <w:tc>
          <w:tcPr>
            <w:tcW w:w="1751" w:type="dxa"/>
            <w:vMerge w:val="restart"/>
            <w:noWrap w:val="0"/>
            <w:vAlign w:val="center"/>
          </w:tcPr>
          <w:p w14:paraId="7CFB6C9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犬在牵引状态下能自由穿梭6人以上人群，同时能适应陌生人牵引、抚摸，并在犬离开人群时于50米外燃放鞭炮，不胆怯。</w:t>
            </w:r>
          </w:p>
          <w:p w14:paraId="218AC0C7">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对车辆行人不胆怯。</w:t>
            </w:r>
          </w:p>
        </w:tc>
        <w:tc>
          <w:tcPr>
            <w:tcW w:w="614" w:type="dxa"/>
            <w:vMerge w:val="restart"/>
            <w:noWrap w:val="0"/>
            <w:tcMar>
              <w:left w:w="0" w:type="dxa"/>
              <w:right w:w="0" w:type="dxa"/>
            </w:tcMar>
            <w:vAlign w:val="center"/>
          </w:tcPr>
          <w:p w14:paraId="31F4E31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20分</w:t>
            </w:r>
          </w:p>
        </w:tc>
        <w:tc>
          <w:tcPr>
            <w:tcW w:w="2145" w:type="dxa"/>
            <w:noWrap w:val="0"/>
            <w:vAlign w:val="center"/>
          </w:tcPr>
          <w:p w14:paraId="0A4B8E1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穿梭人群8分</w:t>
            </w:r>
          </w:p>
        </w:tc>
        <w:tc>
          <w:tcPr>
            <w:tcW w:w="3450" w:type="dxa"/>
            <w:noWrap w:val="0"/>
            <w:vAlign w:val="center"/>
          </w:tcPr>
          <w:p w14:paraId="0FA9AFA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犬不敢进入人群不得分</w:t>
            </w:r>
          </w:p>
          <w:p w14:paraId="67CB73B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犬在人群中表现胆怯扣3—5分</w:t>
            </w:r>
          </w:p>
          <w:p w14:paraId="4823067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犬对人群有攻击行为扣1—3分</w:t>
            </w:r>
          </w:p>
        </w:tc>
      </w:tr>
      <w:tr w14:paraId="508B56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4" w:hRule="exact"/>
        </w:trPr>
        <w:tc>
          <w:tcPr>
            <w:tcW w:w="681" w:type="dxa"/>
            <w:vMerge w:val="continue"/>
            <w:noWrap w:val="0"/>
            <w:vAlign w:val="center"/>
          </w:tcPr>
          <w:p w14:paraId="45874F3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0385F36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614" w:type="dxa"/>
            <w:vMerge w:val="continue"/>
            <w:noWrap w:val="0"/>
            <w:vAlign w:val="center"/>
          </w:tcPr>
          <w:p w14:paraId="15499A9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2145" w:type="dxa"/>
            <w:noWrap w:val="0"/>
            <w:vAlign w:val="center"/>
          </w:tcPr>
          <w:p w14:paraId="0DB3CE3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陌生人牵引、抚摸5分</w:t>
            </w:r>
          </w:p>
        </w:tc>
        <w:tc>
          <w:tcPr>
            <w:tcW w:w="3450" w:type="dxa"/>
            <w:noWrap w:val="0"/>
            <w:vAlign w:val="center"/>
          </w:tcPr>
          <w:p w14:paraId="2EA3F72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对陌生人牵引有胆怯行为扣2—3分</w:t>
            </w:r>
          </w:p>
          <w:p w14:paraId="4E090ECE">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对陌生人抚摸有胆怯行为扣1—3分</w:t>
            </w:r>
          </w:p>
        </w:tc>
      </w:tr>
      <w:tr w14:paraId="7E34D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681" w:type="dxa"/>
            <w:vMerge w:val="continue"/>
            <w:noWrap w:val="0"/>
            <w:vAlign w:val="center"/>
          </w:tcPr>
          <w:p w14:paraId="4F47F14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61E38D62">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614" w:type="dxa"/>
            <w:vMerge w:val="continue"/>
            <w:noWrap w:val="0"/>
            <w:vAlign w:val="center"/>
          </w:tcPr>
          <w:p w14:paraId="5C4EE04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2145" w:type="dxa"/>
            <w:noWrap w:val="0"/>
            <w:vAlign w:val="center"/>
          </w:tcPr>
          <w:p w14:paraId="2134CAA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声响刺激4分</w:t>
            </w:r>
          </w:p>
        </w:tc>
        <w:tc>
          <w:tcPr>
            <w:tcW w:w="3450" w:type="dxa"/>
            <w:noWrap w:val="0"/>
            <w:vAlign w:val="center"/>
          </w:tcPr>
          <w:p w14:paraId="4DAB583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犬对鞭炮声响害怕扣1—4分</w:t>
            </w:r>
          </w:p>
        </w:tc>
      </w:tr>
      <w:tr w14:paraId="1E117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81" w:type="dxa"/>
            <w:vMerge w:val="continue"/>
            <w:noWrap w:val="0"/>
            <w:vAlign w:val="center"/>
          </w:tcPr>
          <w:p w14:paraId="34CAC8BE">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5EF49F4C">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614" w:type="dxa"/>
            <w:vMerge w:val="continue"/>
            <w:noWrap w:val="0"/>
            <w:vAlign w:val="center"/>
          </w:tcPr>
          <w:p w14:paraId="72188CDE">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2145" w:type="dxa"/>
            <w:noWrap w:val="0"/>
            <w:vAlign w:val="center"/>
          </w:tcPr>
          <w:p w14:paraId="28EB7942">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适应车辆行人3分</w:t>
            </w:r>
          </w:p>
        </w:tc>
        <w:tc>
          <w:tcPr>
            <w:tcW w:w="3450" w:type="dxa"/>
            <w:noWrap w:val="0"/>
            <w:vAlign w:val="center"/>
          </w:tcPr>
          <w:p w14:paraId="7ECF3E5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有胆怯行为扣1—3分</w:t>
            </w:r>
          </w:p>
        </w:tc>
      </w:tr>
    </w:tbl>
    <w:p w14:paraId="0068D25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史宾格犬6月龄考核验收的内容、方法和评分标准</w:t>
      </w:r>
    </w:p>
    <w:tbl>
      <w:tblPr>
        <w:tblStyle w:val="13"/>
        <w:tblpPr w:leftFromText="180" w:rightFromText="180" w:vertAnchor="text" w:horzAnchor="margin" w:tblpXSpec="center" w:tblpY="116"/>
        <w:tblOverlap w:val="never"/>
        <w:tblW w:w="853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597"/>
        <w:gridCol w:w="2012"/>
        <w:gridCol w:w="515"/>
        <w:gridCol w:w="1937"/>
        <w:gridCol w:w="3474"/>
      </w:tblGrid>
      <w:tr w14:paraId="6D44BF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3" w:hRule="atLeast"/>
        </w:trPr>
        <w:tc>
          <w:tcPr>
            <w:tcW w:w="597" w:type="dxa"/>
            <w:noWrap w:val="0"/>
            <w:vAlign w:val="center"/>
          </w:tcPr>
          <w:p w14:paraId="2C64A7D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考核</w:t>
            </w:r>
          </w:p>
          <w:p w14:paraId="04431C9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内容</w:t>
            </w:r>
          </w:p>
        </w:tc>
        <w:tc>
          <w:tcPr>
            <w:tcW w:w="2012" w:type="dxa"/>
            <w:noWrap w:val="0"/>
            <w:vAlign w:val="center"/>
          </w:tcPr>
          <w:p w14:paraId="4501BBF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考核方法</w:t>
            </w:r>
          </w:p>
        </w:tc>
        <w:tc>
          <w:tcPr>
            <w:tcW w:w="515" w:type="dxa"/>
            <w:noWrap w:val="0"/>
            <w:tcMar>
              <w:left w:w="0" w:type="dxa"/>
              <w:right w:w="0" w:type="dxa"/>
            </w:tcMar>
            <w:vAlign w:val="center"/>
          </w:tcPr>
          <w:p w14:paraId="63C0A20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分值</w:t>
            </w:r>
          </w:p>
        </w:tc>
        <w:tc>
          <w:tcPr>
            <w:tcW w:w="5411" w:type="dxa"/>
            <w:gridSpan w:val="2"/>
            <w:noWrap w:val="0"/>
            <w:vAlign w:val="center"/>
          </w:tcPr>
          <w:p w14:paraId="4E904BB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评分标准</w:t>
            </w:r>
          </w:p>
          <w:p w14:paraId="1984272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扣分（每项分值扣完为止）</w:t>
            </w:r>
          </w:p>
        </w:tc>
      </w:tr>
      <w:tr w14:paraId="38491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21" w:hRule="exact"/>
        </w:trPr>
        <w:tc>
          <w:tcPr>
            <w:tcW w:w="597" w:type="dxa"/>
            <w:noWrap w:val="0"/>
            <w:vAlign w:val="center"/>
          </w:tcPr>
          <w:p w14:paraId="1662EB1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发育</w:t>
            </w:r>
          </w:p>
          <w:p w14:paraId="21438F5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状况</w:t>
            </w:r>
          </w:p>
        </w:tc>
        <w:tc>
          <w:tcPr>
            <w:tcW w:w="2012" w:type="dxa"/>
            <w:noWrap w:val="0"/>
            <w:vAlign w:val="center"/>
          </w:tcPr>
          <w:p w14:paraId="6A3E7EC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在空腹状态下称重，在平地犬自然站立状态下测量体尺。</w:t>
            </w:r>
          </w:p>
        </w:tc>
        <w:tc>
          <w:tcPr>
            <w:tcW w:w="515" w:type="dxa"/>
            <w:noWrap w:val="0"/>
            <w:tcMar>
              <w:left w:w="0" w:type="dxa"/>
              <w:right w:w="0" w:type="dxa"/>
            </w:tcMar>
            <w:vAlign w:val="center"/>
          </w:tcPr>
          <w:p w14:paraId="6A1E534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15分</w:t>
            </w:r>
          </w:p>
        </w:tc>
        <w:tc>
          <w:tcPr>
            <w:tcW w:w="1937" w:type="dxa"/>
            <w:noWrap w:val="0"/>
            <w:vAlign w:val="center"/>
          </w:tcPr>
          <w:p w14:paraId="44752A3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spacing w:val="-6"/>
                <w:kern w:val="2"/>
                <w:sz w:val="24"/>
                <w:szCs w:val="24"/>
                <w:highlight w:val="none"/>
              </w:rPr>
              <w:t>幼犬体重、体尺标准符合《警犬繁育工作规则》的相关规定15分</w:t>
            </w:r>
          </w:p>
        </w:tc>
        <w:tc>
          <w:tcPr>
            <w:tcW w:w="3474" w:type="dxa"/>
            <w:noWrap w:val="0"/>
            <w:vAlign w:val="center"/>
          </w:tcPr>
          <w:p w14:paraId="5A6EA2F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任一项每低于标准的1%　扣1分</w:t>
            </w:r>
          </w:p>
          <w:p w14:paraId="555B725D">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任一项低于标准的20%不合格幼犬</w:t>
            </w:r>
          </w:p>
        </w:tc>
      </w:tr>
      <w:tr w14:paraId="238C7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3" w:hRule="atLeast"/>
        </w:trPr>
        <w:tc>
          <w:tcPr>
            <w:tcW w:w="597" w:type="dxa"/>
            <w:vMerge w:val="restart"/>
            <w:noWrap w:val="0"/>
            <w:vAlign w:val="center"/>
          </w:tcPr>
          <w:p w14:paraId="644B30D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w:t>
            </w:r>
          </w:p>
          <w:p w14:paraId="4D3B361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能</w:t>
            </w:r>
          </w:p>
          <w:p w14:paraId="6F74384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测</w:t>
            </w:r>
          </w:p>
          <w:p w14:paraId="2E38968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试</w:t>
            </w:r>
          </w:p>
        </w:tc>
        <w:tc>
          <w:tcPr>
            <w:tcW w:w="2012" w:type="dxa"/>
            <w:vMerge w:val="restart"/>
            <w:noWrap w:val="0"/>
            <w:vAlign w:val="center"/>
          </w:tcPr>
          <w:p w14:paraId="292FD7B7">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在2分钟内，幼犬在牵引状态下跑步200米，犬仍兴奋、自然；</w:t>
            </w:r>
          </w:p>
          <w:p w14:paraId="1E74C30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犬能在牵引状态下通过自然障碍。</w:t>
            </w:r>
          </w:p>
        </w:tc>
        <w:tc>
          <w:tcPr>
            <w:tcW w:w="515" w:type="dxa"/>
            <w:vMerge w:val="restart"/>
            <w:noWrap w:val="0"/>
            <w:tcMar>
              <w:left w:w="0" w:type="dxa"/>
              <w:right w:w="0" w:type="dxa"/>
            </w:tcMar>
            <w:vAlign w:val="center"/>
          </w:tcPr>
          <w:p w14:paraId="4C0F06C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15分</w:t>
            </w:r>
          </w:p>
        </w:tc>
        <w:tc>
          <w:tcPr>
            <w:tcW w:w="1937" w:type="dxa"/>
            <w:noWrap w:val="0"/>
            <w:vAlign w:val="center"/>
          </w:tcPr>
          <w:p w14:paraId="1C24C15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奔跑5分</w:t>
            </w:r>
          </w:p>
        </w:tc>
        <w:tc>
          <w:tcPr>
            <w:tcW w:w="3474" w:type="dxa"/>
            <w:noWrap w:val="0"/>
            <w:vAlign w:val="center"/>
          </w:tcPr>
          <w:p w14:paraId="7A5F613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在规定时间内未跑完300米不得分</w:t>
            </w:r>
          </w:p>
          <w:p w14:paraId="4A2D77A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跑完300米不兴奋、自然扣2—5分</w:t>
            </w:r>
          </w:p>
        </w:tc>
      </w:tr>
      <w:tr w14:paraId="24F237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0" w:hRule="atLeast"/>
        </w:trPr>
        <w:tc>
          <w:tcPr>
            <w:tcW w:w="597" w:type="dxa"/>
            <w:vMerge w:val="continue"/>
            <w:noWrap w:val="0"/>
            <w:vAlign w:val="center"/>
          </w:tcPr>
          <w:p w14:paraId="783EB29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7B6F160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2A22A01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2F67629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通过自然障碍5分</w:t>
            </w:r>
          </w:p>
        </w:tc>
        <w:tc>
          <w:tcPr>
            <w:tcW w:w="3474" w:type="dxa"/>
            <w:noWrap w:val="0"/>
            <w:vAlign w:val="center"/>
          </w:tcPr>
          <w:p w14:paraId="72723F1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不能通过不得分</w:t>
            </w:r>
          </w:p>
          <w:p w14:paraId="7B5CE66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通过但不顺利扣1—3分</w:t>
            </w:r>
          </w:p>
        </w:tc>
      </w:tr>
      <w:tr w14:paraId="6EB75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0" w:hRule="atLeast"/>
        </w:trPr>
        <w:tc>
          <w:tcPr>
            <w:tcW w:w="597" w:type="dxa"/>
            <w:vMerge w:val="continue"/>
            <w:noWrap w:val="0"/>
            <w:vAlign w:val="center"/>
          </w:tcPr>
          <w:p w14:paraId="07C158C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7FC3A79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1C32B9F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096640E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步态特征5分</w:t>
            </w:r>
          </w:p>
        </w:tc>
        <w:tc>
          <w:tcPr>
            <w:tcW w:w="3474" w:type="dxa"/>
            <w:noWrap w:val="0"/>
            <w:vAlign w:val="center"/>
          </w:tcPr>
          <w:p w14:paraId="4534BB8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步态不协调扣1—3分</w:t>
            </w:r>
          </w:p>
        </w:tc>
      </w:tr>
      <w:tr w14:paraId="02B254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07" w:hRule="exact"/>
        </w:trPr>
        <w:tc>
          <w:tcPr>
            <w:tcW w:w="597" w:type="dxa"/>
            <w:vMerge w:val="restart"/>
            <w:noWrap w:val="0"/>
            <w:vAlign w:val="center"/>
          </w:tcPr>
          <w:p w14:paraId="4001335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服</w:t>
            </w:r>
          </w:p>
          <w:p w14:paraId="74B8150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从</w:t>
            </w:r>
          </w:p>
          <w:p w14:paraId="2DEC808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w:t>
            </w:r>
          </w:p>
        </w:tc>
        <w:tc>
          <w:tcPr>
            <w:tcW w:w="2012" w:type="dxa"/>
            <w:vMerge w:val="restart"/>
            <w:noWrap w:val="0"/>
            <w:vAlign w:val="center"/>
          </w:tcPr>
          <w:p w14:paraId="35485FE7">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助训员牵引或自由状态下，繁育员跑出20米唤犬前来，犬能够兴奋快速地跑到繁育员跟前。</w:t>
            </w:r>
          </w:p>
          <w:p w14:paraId="22222725">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幼犬在繁育员牵引状态下，能在繁育员左侧随行10米以上。</w:t>
            </w:r>
          </w:p>
        </w:tc>
        <w:tc>
          <w:tcPr>
            <w:tcW w:w="515" w:type="dxa"/>
            <w:vMerge w:val="restart"/>
            <w:noWrap w:val="0"/>
            <w:tcMar>
              <w:left w:w="0" w:type="dxa"/>
              <w:right w:w="0" w:type="dxa"/>
            </w:tcMar>
            <w:vAlign w:val="center"/>
          </w:tcPr>
          <w:p w14:paraId="284FDDF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15分</w:t>
            </w:r>
          </w:p>
        </w:tc>
        <w:tc>
          <w:tcPr>
            <w:tcW w:w="1937" w:type="dxa"/>
            <w:noWrap w:val="0"/>
            <w:vAlign w:val="center"/>
          </w:tcPr>
          <w:p w14:paraId="5B933FC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自由状态下前来5分</w:t>
            </w:r>
          </w:p>
        </w:tc>
        <w:tc>
          <w:tcPr>
            <w:tcW w:w="3474" w:type="dxa"/>
            <w:noWrap w:val="0"/>
            <w:vAlign w:val="center"/>
          </w:tcPr>
          <w:p w14:paraId="7DEA9197">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犬不注意主人扣1分</w:t>
            </w:r>
          </w:p>
          <w:p w14:paraId="4B280B9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犬前来不顺利扣1—2分</w:t>
            </w:r>
          </w:p>
          <w:p w14:paraId="58352FDE">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一次呼名后犬不前来扣1分</w:t>
            </w:r>
          </w:p>
          <w:p w14:paraId="0A0C5C21">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二次呼名后犬不前来扣2分</w:t>
            </w:r>
          </w:p>
          <w:p w14:paraId="3FECABAA">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三次呼名后犬不前来不得分</w:t>
            </w:r>
          </w:p>
        </w:tc>
      </w:tr>
      <w:tr w14:paraId="68E2BD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82" w:hRule="atLeast"/>
        </w:trPr>
        <w:tc>
          <w:tcPr>
            <w:tcW w:w="597" w:type="dxa"/>
            <w:vMerge w:val="continue"/>
            <w:noWrap w:val="0"/>
            <w:vAlign w:val="center"/>
          </w:tcPr>
          <w:p w14:paraId="21D9CE4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02BD7D9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4814AB1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4B47F9C1">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牵引状态下寻找主人5分</w:t>
            </w:r>
          </w:p>
        </w:tc>
        <w:tc>
          <w:tcPr>
            <w:tcW w:w="3474" w:type="dxa"/>
            <w:noWrap w:val="0"/>
            <w:vAlign w:val="center"/>
          </w:tcPr>
          <w:p w14:paraId="4C5F8C75">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犬不注意主人扣1—2分</w:t>
            </w:r>
          </w:p>
          <w:p w14:paraId="21C1A52E">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寻找主人不积极扣3—5分</w:t>
            </w:r>
          </w:p>
        </w:tc>
      </w:tr>
      <w:tr w14:paraId="4A83A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trPr>
        <w:tc>
          <w:tcPr>
            <w:tcW w:w="597" w:type="dxa"/>
            <w:vMerge w:val="continue"/>
            <w:noWrap w:val="0"/>
            <w:vAlign w:val="center"/>
          </w:tcPr>
          <w:p w14:paraId="247DD55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08479A01">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6EB9FF7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3350295E">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牵引随行5分</w:t>
            </w:r>
          </w:p>
        </w:tc>
        <w:tc>
          <w:tcPr>
            <w:tcW w:w="3474" w:type="dxa"/>
            <w:noWrap w:val="0"/>
            <w:vAlign w:val="center"/>
          </w:tcPr>
          <w:p w14:paraId="39FE468A">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对牵引随行有被动行为扣2—4分</w:t>
            </w:r>
          </w:p>
          <w:p w14:paraId="13F01D81">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不能完成随行不得分</w:t>
            </w:r>
          </w:p>
        </w:tc>
      </w:tr>
      <w:tr w14:paraId="27F43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1" w:hRule="atLeast"/>
        </w:trPr>
        <w:tc>
          <w:tcPr>
            <w:tcW w:w="597" w:type="dxa"/>
            <w:vMerge w:val="restart"/>
            <w:noWrap w:val="0"/>
            <w:vAlign w:val="center"/>
          </w:tcPr>
          <w:p w14:paraId="2745F9A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衔</w:t>
            </w:r>
          </w:p>
          <w:p w14:paraId="0888B7E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取</w:t>
            </w:r>
          </w:p>
          <w:p w14:paraId="4F55D42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欲</w:t>
            </w:r>
          </w:p>
        </w:tc>
        <w:tc>
          <w:tcPr>
            <w:tcW w:w="2012" w:type="dxa"/>
            <w:vMerge w:val="restart"/>
            <w:noWrap w:val="0"/>
            <w:vAlign w:val="center"/>
          </w:tcPr>
          <w:p w14:paraId="63F380E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繁育员用物品逗引，犬能集中注意力，注视物品，连续兴奋地衔取抛至20米外的运动或静止物品，并能回到主人身边。</w:t>
            </w:r>
          </w:p>
        </w:tc>
        <w:tc>
          <w:tcPr>
            <w:tcW w:w="515" w:type="dxa"/>
            <w:vMerge w:val="restart"/>
            <w:noWrap w:val="0"/>
            <w:tcMar>
              <w:left w:w="0" w:type="dxa"/>
              <w:right w:w="0" w:type="dxa"/>
            </w:tcMar>
            <w:vAlign w:val="center"/>
          </w:tcPr>
          <w:p w14:paraId="02C241C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20分</w:t>
            </w:r>
          </w:p>
        </w:tc>
        <w:tc>
          <w:tcPr>
            <w:tcW w:w="1937" w:type="dxa"/>
            <w:noWrap w:val="0"/>
            <w:vAlign w:val="center"/>
          </w:tcPr>
          <w:p w14:paraId="0B13E0FA">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注意力5分</w:t>
            </w:r>
          </w:p>
        </w:tc>
        <w:tc>
          <w:tcPr>
            <w:tcW w:w="3474" w:type="dxa"/>
            <w:noWrap w:val="0"/>
            <w:vAlign w:val="center"/>
          </w:tcPr>
          <w:p w14:paraId="56F83BD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犬不注意物品扣2—5分</w:t>
            </w:r>
          </w:p>
        </w:tc>
      </w:tr>
      <w:tr w14:paraId="6A56EF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457" w:hRule="exact"/>
        </w:trPr>
        <w:tc>
          <w:tcPr>
            <w:tcW w:w="597" w:type="dxa"/>
            <w:vMerge w:val="continue"/>
            <w:noWrap w:val="0"/>
            <w:vAlign w:val="center"/>
          </w:tcPr>
          <w:p w14:paraId="02407B3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312433C2">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0B6DC4C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4D07B52A">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spacing w:val="-10"/>
                <w:kern w:val="2"/>
                <w:sz w:val="24"/>
                <w:szCs w:val="24"/>
                <w:highlight w:val="none"/>
              </w:rPr>
            </w:pPr>
            <w:r>
              <w:rPr>
                <w:rFonts w:hint="eastAsia" w:ascii="仿宋" w:hAnsi="仿宋" w:eastAsia="仿宋" w:cs="仿宋"/>
                <w:color w:val="auto"/>
                <w:spacing w:val="-10"/>
                <w:kern w:val="2"/>
                <w:sz w:val="24"/>
                <w:szCs w:val="24"/>
                <w:highlight w:val="none"/>
              </w:rPr>
              <w:t>抛物衔取（动态）6分</w:t>
            </w:r>
          </w:p>
        </w:tc>
        <w:tc>
          <w:tcPr>
            <w:tcW w:w="3474" w:type="dxa"/>
            <w:noWrap w:val="0"/>
            <w:vAlign w:val="center"/>
          </w:tcPr>
          <w:p w14:paraId="44F10DC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犬不积极追抢物品扣1—2分</w:t>
            </w:r>
          </w:p>
          <w:p w14:paraId="0C23C73D">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一次未去衔物品扣1分</w:t>
            </w:r>
          </w:p>
          <w:p w14:paraId="2B02D981">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二次未去衔物品扣2分</w:t>
            </w:r>
          </w:p>
          <w:p w14:paraId="6CF39AAC">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三次未去衔物品不得分</w:t>
            </w:r>
          </w:p>
        </w:tc>
      </w:tr>
      <w:tr w14:paraId="2BA91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30" w:hRule="exact"/>
        </w:trPr>
        <w:tc>
          <w:tcPr>
            <w:tcW w:w="597" w:type="dxa"/>
            <w:vMerge w:val="continue"/>
            <w:noWrap w:val="0"/>
            <w:vAlign w:val="center"/>
          </w:tcPr>
          <w:p w14:paraId="52AC0F5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51FB6ACC">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23F5D58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6AC9A36D">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spacing w:val="-10"/>
                <w:kern w:val="2"/>
                <w:sz w:val="24"/>
                <w:szCs w:val="24"/>
                <w:highlight w:val="none"/>
              </w:rPr>
            </w:pPr>
            <w:r>
              <w:rPr>
                <w:rFonts w:hint="eastAsia" w:ascii="仿宋" w:hAnsi="仿宋" w:eastAsia="仿宋" w:cs="仿宋"/>
                <w:color w:val="auto"/>
                <w:spacing w:val="-10"/>
                <w:kern w:val="2"/>
                <w:sz w:val="24"/>
                <w:szCs w:val="24"/>
                <w:highlight w:val="none"/>
              </w:rPr>
              <w:t>抛物衔取（静态）6分</w:t>
            </w:r>
          </w:p>
        </w:tc>
        <w:tc>
          <w:tcPr>
            <w:tcW w:w="3474" w:type="dxa"/>
            <w:noWrap w:val="0"/>
            <w:vAlign w:val="center"/>
          </w:tcPr>
          <w:p w14:paraId="3DD25FB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一次未去衔物品扣1分</w:t>
            </w:r>
          </w:p>
          <w:p w14:paraId="559FA815">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二次未去衔物品扣2分</w:t>
            </w:r>
          </w:p>
          <w:p w14:paraId="50F2E00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三次未去衔物品不得分</w:t>
            </w:r>
          </w:p>
        </w:tc>
      </w:tr>
      <w:tr w14:paraId="29C56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78" w:hRule="atLeast"/>
        </w:trPr>
        <w:tc>
          <w:tcPr>
            <w:tcW w:w="597" w:type="dxa"/>
            <w:vMerge w:val="continue"/>
            <w:noWrap w:val="0"/>
            <w:vAlign w:val="center"/>
          </w:tcPr>
          <w:p w14:paraId="72BE184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7D871A61">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51FC644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1FE53FF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衔物前来3分</w:t>
            </w:r>
          </w:p>
        </w:tc>
        <w:tc>
          <w:tcPr>
            <w:tcW w:w="3474" w:type="dxa"/>
            <w:noWrap w:val="0"/>
            <w:vAlign w:val="center"/>
          </w:tcPr>
          <w:p w14:paraId="04D711EA">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犬中途吐物扣1分</w:t>
            </w:r>
          </w:p>
          <w:p w14:paraId="2A15C9B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不能衔回主人身边扣1—2分</w:t>
            </w:r>
          </w:p>
        </w:tc>
      </w:tr>
      <w:tr w14:paraId="79901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29" w:hRule="exact"/>
        </w:trPr>
        <w:tc>
          <w:tcPr>
            <w:tcW w:w="597" w:type="dxa"/>
            <w:vMerge w:val="restart"/>
            <w:noWrap w:val="0"/>
            <w:vAlign w:val="center"/>
          </w:tcPr>
          <w:p w14:paraId="263A34B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w:t>
            </w:r>
          </w:p>
          <w:p w14:paraId="7646B6C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2D9B036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量</w:t>
            </w:r>
          </w:p>
        </w:tc>
        <w:tc>
          <w:tcPr>
            <w:tcW w:w="2012" w:type="dxa"/>
            <w:vMerge w:val="restart"/>
            <w:noWrap w:val="0"/>
            <w:vAlign w:val="center"/>
          </w:tcPr>
          <w:p w14:paraId="5378CDE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犬在牵引状态下能自由穿梭6人以上人群，同时能适应陌生人牵引、抚摸，并在犬离开人群时于50米外燃放鞭炮不胆怯。</w:t>
            </w:r>
          </w:p>
          <w:p w14:paraId="6C15CC8A">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对车辆行人不胆怯。</w:t>
            </w:r>
          </w:p>
        </w:tc>
        <w:tc>
          <w:tcPr>
            <w:tcW w:w="515" w:type="dxa"/>
            <w:vMerge w:val="restart"/>
            <w:noWrap w:val="0"/>
            <w:tcMar>
              <w:left w:w="0" w:type="dxa"/>
              <w:right w:w="0" w:type="dxa"/>
            </w:tcMar>
            <w:vAlign w:val="center"/>
          </w:tcPr>
          <w:p w14:paraId="0EC9653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20分</w:t>
            </w:r>
          </w:p>
        </w:tc>
        <w:tc>
          <w:tcPr>
            <w:tcW w:w="1937" w:type="dxa"/>
            <w:noWrap w:val="0"/>
            <w:vAlign w:val="center"/>
          </w:tcPr>
          <w:p w14:paraId="1EBA6AC7">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穿梭人群8分</w:t>
            </w:r>
          </w:p>
        </w:tc>
        <w:tc>
          <w:tcPr>
            <w:tcW w:w="3474" w:type="dxa"/>
            <w:noWrap w:val="0"/>
            <w:vAlign w:val="center"/>
          </w:tcPr>
          <w:p w14:paraId="195EA86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犬不敢进入人群不得分</w:t>
            </w:r>
          </w:p>
          <w:p w14:paraId="69C4872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犬在人群中表现胆怯扣3—5分</w:t>
            </w:r>
          </w:p>
          <w:p w14:paraId="5CF819CE">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犬对人群有攻击行为扣1—3分</w:t>
            </w:r>
          </w:p>
        </w:tc>
      </w:tr>
      <w:tr w14:paraId="689171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71" w:hRule="exact"/>
        </w:trPr>
        <w:tc>
          <w:tcPr>
            <w:tcW w:w="597" w:type="dxa"/>
            <w:vMerge w:val="continue"/>
            <w:noWrap w:val="0"/>
            <w:vAlign w:val="center"/>
          </w:tcPr>
          <w:p w14:paraId="58EA33F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56066D5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51C6D3C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6DA8289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陌生人牵引、抚摸5分</w:t>
            </w:r>
          </w:p>
        </w:tc>
        <w:tc>
          <w:tcPr>
            <w:tcW w:w="3474" w:type="dxa"/>
            <w:noWrap w:val="0"/>
            <w:vAlign w:val="center"/>
          </w:tcPr>
          <w:p w14:paraId="7B606307">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对陌生人牵引有胆怯行为扣2—3分</w:t>
            </w:r>
          </w:p>
          <w:p w14:paraId="080B80F9">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对陌生人抚摸有胆怯行为扣1—3分</w:t>
            </w:r>
          </w:p>
        </w:tc>
      </w:tr>
      <w:tr w14:paraId="30A18C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trPr>
        <w:tc>
          <w:tcPr>
            <w:tcW w:w="597" w:type="dxa"/>
            <w:vMerge w:val="continue"/>
            <w:noWrap w:val="0"/>
            <w:vAlign w:val="center"/>
          </w:tcPr>
          <w:p w14:paraId="77C2C60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46F3FEBD">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615405F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12D92FD2">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声响刺激4分</w:t>
            </w:r>
          </w:p>
        </w:tc>
        <w:tc>
          <w:tcPr>
            <w:tcW w:w="3474" w:type="dxa"/>
            <w:noWrap w:val="0"/>
            <w:vAlign w:val="center"/>
          </w:tcPr>
          <w:p w14:paraId="637D856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犬对鞭炮声响害怕扣1—4分</w:t>
            </w:r>
          </w:p>
        </w:tc>
      </w:tr>
      <w:tr w14:paraId="5C6F7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trPr>
        <w:tc>
          <w:tcPr>
            <w:tcW w:w="597" w:type="dxa"/>
            <w:vMerge w:val="continue"/>
            <w:noWrap w:val="0"/>
            <w:vAlign w:val="center"/>
          </w:tcPr>
          <w:p w14:paraId="080FFB3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1E9ED50D">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6A781EE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6C8080A5">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适应车辆行人3分</w:t>
            </w:r>
          </w:p>
        </w:tc>
        <w:tc>
          <w:tcPr>
            <w:tcW w:w="3474" w:type="dxa"/>
            <w:noWrap w:val="0"/>
            <w:vAlign w:val="center"/>
          </w:tcPr>
          <w:p w14:paraId="04DD733C">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有胆怯行为扣1—3分</w:t>
            </w:r>
          </w:p>
        </w:tc>
      </w:tr>
      <w:tr w14:paraId="1452C8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48" w:hRule="exact"/>
        </w:trPr>
        <w:tc>
          <w:tcPr>
            <w:tcW w:w="597" w:type="dxa"/>
            <w:vMerge w:val="restart"/>
            <w:noWrap w:val="0"/>
            <w:vAlign w:val="center"/>
          </w:tcPr>
          <w:p w14:paraId="2E2DADA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搜</w:t>
            </w:r>
          </w:p>
          <w:p w14:paraId="25AEE85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索</w:t>
            </w:r>
          </w:p>
          <w:p w14:paraId="4EBF21B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欲</w:t>
            </w:r>
          </w:p>
        </w:tc>
        <w:tc>
          <w:tcPr>
            <w:tcW w:w="2012" w:type="dxa"/>
            <w:vMerge w:val="restart"/>
            <w:noWrap w:val="0"/>
            <w:vAlign w:val="center"/>
          </w:tcPr>
          <w:p w14:paraId="1920074B">
            <w:pPr>
              <w:pageBreakBefore w:val="0"/>
              <w:widowControl/>
              <w:numPr>
                <w:ilvl w:val="-1"/>
                <w:numId w:val="0"/>
              </w:numPr>
              <w:wordWrap/>
              <w:overflowPunct/>
              <w:topLinePunct w:val="0"/>
              <w:bidi w:val="0"/>
              <w:adjustRightInd/>
              <w:spacing w:line="0" w:lineRule="atLeast"/>
              <w:ind w:firstLine="0"/>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繁育员将犬感兴趣的物品藏于土堆或草丛中，犬表现出强烈的搜索欲并找出物品。</w:t>
            </w:r>
          </w:p>
        </w:tc>
        <w:tc>
          <w:tcPr>
            <w:tcW w:w="515" w:type="dxa"/>
            <w:vMerge w:val="restart"/>
            <w:noWrap w:val="0"/>
            <w:tcMar>
              <w:left w:w="0" w:type="dxa"/>
              <w:right w:w="0" w:type="dxa"/>
            </w:tcMar>
            <w:vAlign w:val="center"/>
          </w:tcPr>
          <w:p w14:paraId="563E8B3D">
            <w:pPr>
              <w:pageBreakBefore w:val="0"/>
              <w:widowControl/>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15分</w:t>
            </w:r>
          </w:p>
        </w:tc>
        <w:tc>
          <w:tcPr>
            <w:tcW w:w="1937" w:type="dxa"/>
            <w:noWrap w:val="0"/>
            <w:vAlign w:val="center"/>
          </w:tcPr>
          <w:p w14:paraId="6A939029">
            <w:pPr>
              <w:pageBreakBefore w:val="0"/>
              <w:widowControl/>
              <w:numPr>
                <w:ilvl w:val="-1"/>
                <w:numId w:val="0"/>
              </w:numPr>
              <w:wordWrap/>
              <w:overflowPunct/>
              <w:topLinePunct w:val="0"/>
              <w:bidi w:val="0"/>
              <w:adjustRightInd/>
              <w:spacing w:line="0" w:lineRule="atLeast"/>
              <w:ind w:firstLine="0"/>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搜索欲10分</w:t>
            </w:r>
          </w:p>
        </w:tc>
        <w:tc>
          <w:tcPr>
            <w:tcW w:w="3474" w:type="dxa"/>
            <w:noWrap w:val="0"/>
            <w:vAlign w:val="center"/>
          </w:tcPr>
          <w:p w14:paraId="60E5D803">
            <w:pPr>
              <w:pageBreakBefore w:val="0"/>
              <w:widowControl/>
              <w:numPr>
                <w:ilvl w:val="-1"/>
                <w:numId w:val="0"/>
              </w:numPr>
              <w:wordWrap/>
              <w:overflowPunct/>
              <w:topLinePunct w:val="0"/>
              <w:bidi w:val="0"/>
              <w:adjustRightInd/>
              <w:spacing w:line="0" w:lineRule="atLeast"/>
              <w:ind w:firstLine="0"/>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搜索欲不强或3分钟</w:t>
            </w:r>
          </w:p>
          <w:p w14:paraId="36C7811D">
            <w:pPr>
              <w:pageBreakBefore w:val="0"/>
              <w:widowControl/>
              <w:numPr>
                <w:ilvl w:val="-1"/>
                <w:numId w:val="0"/>
              </w:numPr>
              <w:wordWrap/>
              <w:overflowPunct/>
              <w:topLinePunct w:val="0"/>
              <w:bidi w:val="0"/>
              <w:adjustRightInd/>
              <w:spacing w:line="0" w:lineRule="atLeast"/>
              <w:ind w:firstLine="0"/>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未找出物品而中断搜索扣5</w:t>
            </w:r>
            <w:r>
              <w:rPr>
                <w:rFonts w:hint="eastAsia" w:ascii="仿宋" w:hAnsi="仿宋" w:eastAsia="仿宋" w:cs="仿宋"/>
                <w:color w:val="auto"/>
                <w:kern w:val="2"/>
                <w:sz w:val="24"/>
                <w:szCs w:val="24"/>
                <w:highlight w:val="none"/>
              </w:rPr>
              <w:t>—</w:t>
            </w:r>
            <w:r>
              <w:rPr>
                <w:rFonts w:hint="eastAsia" w:ascii="仿宋" w:hAnsi="仿宋" w:eastAsia="仿宋" w:cs="仿宋"/>
                <w:bCs/>
                <w:color w:val="auto"/>
                <w:kern w:val="2"/>
                <w:sz w:val="24"/>
                <w:szCs w:val="24"/>
                <w:highlight w:val="none"/>
              </w:rPr>
              <w:t>10分</w:t>
            </w:r>
          </w:p>
        </w:tc>
      </w:tr>
      <w:tr w14:paraId="79A8D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4" w:hRule="exact"/>
        </w:trPr>
        <w:tc>
          <w:tcPr>
            <w:tcW w:w="597" w:type="dxa"/>
            <w:vMerge w:val="continue"/>
            <w:noWrap w:val="0"/>
            <w:vAlign w:val="top"/>
          </w:tcPr>
          <w:p w14:paraId="0CC3C6C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bCs/>
                <w:color w:val="auto"/>
                <w:kern w:val="2"/>
                <w:sz w:val="24"/>
                <w:szCs w:val="24"/>
                <w:highlight w:val="none"/>
              </w:rPr>
            </w:pPr>
          </w:p>
        </w:tc>
        <w:tc>
          <w:tcPr>
            <w:tcW w:w="2012" w:type="dxa"/>
            <w:vMerge w:val="continue"/>
            <w:noWrap w:val="0"/>
            <w:vAlign w:val="top"/>
          </w:tcPr>
          <w:p w14:paraId="1A38B2F7">
            <w:pPr>
              <w:pageBreakBefore w:val="0"/>
              <w:widowControl/>
              <w:numPr>
                <w:ilvl w:val="-1"/>
                <w:numId w:val="0"/>
              </w:numPr>
              <w:wordWrap/>
              <w:overflowPunct/>
              <w:topLinePunct w:val="0"/>
              <w:bidi w:val="0"/>
              <w:adjustRightInd/>
              <w:spacing w:line="0" w:lineRule="atLeast"/>
              <w:ind w:firstLine="0"/>
              <w:jc w:val="left"/>
              <w:textAlignment w:val="auto"/>
              <w:rPr>
                <w:rFonts w:hint="eastAsia" w:ascii="仿宋" w:hAnsi="仿宋" w:eastAsia="仿宋" w:cs="仿宋"/>
                <w:bCs/>
                <w:color w:val="auto"/>
                <w:kern w:val="2"/>
                <w:sz w:val="24"/>
                <w:szCs w:val="24"/>
                <w:highlight w:val="none"/>
              </w:rPr>
            </w:pPr>
          </w:p>
        </w:tc>
        <w:tc>
          <w:tcPr>
            <w:tcW w:w="515" w:type="dxa"/>
            <w:vMerge w:val="continue"/>
            <w:noWrap w:val="0"/>
            <w:vAlign w:val="top"/>
          </w:tcPr>
          <w:p w14:paraId="08747DC6">
            <w:pPr>
              <w:pageBreakBefore w:val="0"/>
              <w:widowControl/>
              <w:numPr>
                <w:ilvl w:val="-1"/>
                <w:numId w:val="0"/>
              </w:numPr>
              <w:wordWrap/>
              <w:overflowPunct/>
              <w:topLinePunct w:val="0"/>
              <w:bidi w:val="0"/>
              <w:adjustRightInd/>
              <w:spacing w:line="0" w:lineRule="atLeast"/>
              <w:ind w:firstLine="0"/>
              <w:jc w:val="left"/>
              <w:textAlignment w:val="auto"/>
              <w:rPr>
                <w:rFonts w:hint="eastAsia" w:ascii="仿宋" w:hAnsi="仿宋" w:eastAsia="仿宋" w:cs="仿宋"/>
                <w:bCs/>
                <w:color w:val="auto"/>
                <w:kern w:val="2"/>
                <w:sz w:val="24"/>
                <w:szCs w:val="24"/>
                <w:highlight w:val="none"/>
              </w:rPr>
            </w:pPr>
          </w:p>
        </w:tc>
        <w:tc>
          <w:tcPr>
            <w:tcW w:w="1937" w:type="dxa"/>
            <w:noWrap w:val="0"/>
            <w:vAlign w:val="center"/>
          </w:tcPr>
          <w:p w14:paraId="70BCBDC0">
            <w:pPr>
              <w:pageBreakBefore w:val="0"/>
              <w:widowControl/>
              <w:numPr>
                <w:ilvl w:val="-1"/>
                <w:numId w:val="0"/>
              </w:numPr>
              <w:wordWrap/>
              <w:overflowPunct/>
              <w:topLinePunct w:val="0"/>
              <w:bidi w:val="0"/>
              <w:adjustRightInd/>
              <w:spacing w:line="0" w:lineRule="atLeast"/>
              <w:ind w:firstLine="0"/>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搜索用时5分</w:t>
            </w:r>
          </w:p>
        </w:tc>
        <w:tc>
          <w:tcPr>
            <w:tcW w:w="3474" w:type="dxa"/>
            <w:noWrap w:val="0"/>
            <w:vAlign w:val="center"/>
          </w:tcPr>
          <w:p w14:paraId="430ABF93">
            <w:pPr>
              <w:pageBreakBefore w:val="0"/>
              <w:widowControl/>
              <w:numPr>
                <w:ilvl w:val="-1"/>
                <w:numId w:val="0"/>
              </w:numPr>
              <w:wordWrap/>
              <w:overflowPunct/>
              <w:topLinePunct w:val="0"/>
              <w:bidi w:val="0"/>
              <w:adjustRightInd/>
              <w:spacing w:line="0" w:lineRule="atLeast"/>
              <w:ind w:firstLine="0"/>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搜索超时扣1</w:t>
            </w:r>
            <w:r>
              <w:rPr>
                <w:rFonts w:hint="eastAsia" w:ascii="仿宋" w:hAnsi="仿宋" w:eastAsia="仿宋" w:cs="仿宋"/>
                <w:color w:val="auto"/>
                <w:kern w:val="2"/>
                <w:sz w:val="24"/>
                <w:szCs w:val="24"/>
                <w:highlight w:val="none"/>
              </w:rPr>
              <w:t>—</w:t>
            </w:r>
            <w:r>
              <w:rPr>
                <w:rFonts w:hint="eastAsia" w:ascii="仿宋" w:hAnsi="仿宋" w:eastAsia="仿宋" w:cs="仿宋"/>
                <w:bCs/>
                <w:color w:val="auto"/>
                <w:kern w:val="2"/>
                <w:sz w:val="24"/>
                <w:szCs w:val="24"/>
                <w:highlight w:val="none"/>
              </w:rPr>
              <w:t>3分</w:t>
            </w:r>
          </w:p>
        </w:tc>
      </w:tr>
    </w:tbl>
    <w:p w14:paraId="2EE71DD0">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bCs/>
          <w:color w:val="auto"/>
          <w:kern w:val="2"/>
          <w:sz w:val="24"/>
          <w:szCs w:val="24"/>
          <w:highlight w:val="none"/>
        </w:rPr>
      </w:pPr>
    </w:p>
    <w:p w14:paraId="1FA3D95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lang w:val="en-US" w:eastAsia="zh-CN"/>
        </w:rPr>
      </w:pPr>
    </w:p>
    <w:p w14:paraId="075A4B3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lang w:val="en-US" w:eastAsia="zh-CN"/>
        </w:rPr>
      </w:pPr>
    </w:p>
    <w:p w14:paraId="0A6A216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lang w:val="en-US" w:eastAsia="zh-CN"/>
        </w:rPr>
      </w:pPr>
    </w:p>
    <w:p w14:paraId="163F5DB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lang w:val="en-US" w:eastAsia="zh-CN"/>
        </w:rPr>
      </w:pPr>
    </w:p>
    <w:p w14:paraId="61ABC2A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lang w:val="en-US" w:eastAsia="zh-CN"/>
        </w:rPr>
      </w:pPr>
    </w:p>
    <w:p w14:paraId="4CFB27AA">
      <w:pPr>
        <w:pStyle w:val="5"/>
        <w:rPr>
          <w:rFonts w:hint="eastAsia"/>
          <w:color w:val="auto"/>
          <w:highlight w:val="none"/>
          <w:lang w:val="en-US" w:eastAsia="zh-CN"/>
        </w:rPr>
      </w:pPr>
    </w:p>
    <w:p w14:paraId="3C7FB1B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32"/>
          <w:szCs w:val="32"/>
          <w:highlight w:val="none"/>
        </w:rPr>
      </w:pPr>
      <w:r>
        <w:rPr>
          <w:rFonts w:hint="eastAsia" w:ascii="仿宋" w:hAnsi="仿宋" w:eastAsia="仿宋" w:cs="仿宋"/>
          <w:bCs/>
          <w:color w:val="auto"/>
          <w:kern w:val="2"/>
          <w:sz w:val="32"/>
          <w:szCs w:val="32"/>
          <w:highlight w:val="none"/>
          <w:lang w:val="en-US" w:eastAsia="zh-CN"/>
        </w:rPr>
        <w:t>待训警犬</w:t>
      </w:r>
      <w:r>
        <w:rPr>
          <w:rFonts w:hint="eastAsia" w:ascii="仿宋" w:hAnsi="仿宋" w:eastAsia="仿宋" w:cs="仿宋"/>
          <w:bCs/>
          <w:color w:val="auto"/>
          <w:kern w:val="2"/>
          <w:sz w:val="32"/>
          <w:szCs w:val="32"/>
          <w:highlight w:val="none"/>
        </w:rPr>
        <w:t>验收记录表</w:t>
      </w:r>
    </w:p>
    <w:p w14:paraId="24E6F40A">
      <w:pPr>
        <w:pageBreakBefore w:val="0"/>
        <w:numPr>
          <w:ilvl w:val="-1"/>
          <w:numId w:val="0"/>
        </w:numPr>
        <w:wordWrap/>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测试</w:t>
      </w:r>
      <w:r>
        <w:rPr>
          <w:rFonts w:hint="eastAsia" w:ascii="仿宋" w:hAnsi="仿宋" w:eastAsia="仿宋" w:cs="仿宋"/>
          <w:color w:val="auto"/>
          <w:kern w:val="2"/>
          <w:sz w:val="24"/>
          <w:szCs w:val="24"/>
          <w:highlight w:val="none"/>
        </w:rPr>
        <w:t>日期：　　年　月　日　　　　　单位：kg、cm</w:t>
      </w:r>
    </w:p>
    <w:tbl>
      <w:tblPr>
        <w:tblStyle w:val="13"/>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69"/>
        <w:gridCol w:w="869"/>
        <w:gridCol w:w="838"/>
        <w:gridCol w:w="839"/>
        <w:gridCol w:w="870"/>
        <w:gridCol w:w="870"/>
        <w:gridCol w:w="839"/>
        <w:gridCol w:w="839"/>
        <w:gridCol w:w="893"/>
      </w:tblGrid>
      <w:tr w14:paraId="714F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06" w:type="dxa"/>
            <w:vMerge w:val="restart"/>
            <w:tcBorders>
              <w:top w:val="single" w:color="auto" w:sz="8" w:space="0"/>
              <w:left w:val="single" w:color="auto" w:sz="8" w:space="0"/>
              <w:tl2br w:val="single" w:color="auto" w:sz="4" w:space="0"/>
            </w:tcBorders>
            <w:noWrap w:val="0"/>
            <w:tcMar>
              <w:left w:w="28" w:type="dxa"/>
              <w:right w:w="28" w:type="dxa"/>
            </w:tcMar>
            <w:vAlign w:val="top"/>
          </w:tcPr>
          <w:p w14:paraId="28876F0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基本</w:t>
            </w:r>
          </w:p>
          <w:p w14:paraId="2704F40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情况</w:t>
            </w:r>
          </w:p>
          <w:p w14:paraId="3B75D5C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36FDB778">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0595EC03">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127C0BA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22AD118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078BDD6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6EB232AD">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0967F176">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考核</w:t>
            </w:r>
          </w:p>
          <w:p w14:paraId="353090FF">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869" w:type="dxa"/>
            <w:tcBorders>
              <w:top w:val="single" w:color="auto" w:sz="8" w:space="0"/>
            </w:tcBorders>
            <w:noWrap w:val="0"/>
            <w:vAlign w:val="center"/>
          </w:tcPr>
          <w:p w14:paraId="65178E0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犬名</w:t>
            </w:r>
          </w:p>
        </w:tc>
        <w:tc>
          <w:tcPr>
            <w:tcW w:w="869" w:type="dxa"/>
            <w:tcBorders>
              <w:top w:val="single" w:color="auto" w:sz="8" w:space="0"/>
            </w:tcBorders>
            <w:noWrap w:val="0"/>
            <w:vAlign w:val="center"/>
          </w:tcPr>
          <w:p w14:paraId="4626E31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芯片号</w:t>
            </w:r>
          </w:p>
        </w:tc>
        <w:tc>
          <w:tcPr>
            <w:tcW w:w="1677" w:type="dxa"/>
            <w:gridSpan w:val="2"/>
            <w:tcBorders>
              <w:top w:val="single" w:color="auto" w:sz="8" w:space="0"/>
            </w:tcBorders>
            <w:noWrap w:val="0"/>
            <w:vAlign w:val="center"/>
          </w:tcPr>
          <w:p w14:paraId="2F6E3AD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　别</w:t>
            </w:r>
          </w:p>
        </w:tc>
        <w:tc>
          <w:tcPr>
            <w:tcW w:w="870" w:type="dxa"/>
            <w:tcBorders>
              <w:top w:val="single" w:color="auto" w:sz="8" w:space="0"/>
            </w:tcBorders>
            <w:noWrap w:val="0"/>
            <w:vAlign w:val="center"/>
          </w:tcPr>
          <w:p w14:paraId="475FDD5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品种</w:t>
            </w:r>
          </w:p>
        </w:tc>
        <w:tc>
          <w:tcPr>
            <w:tcW w:w="870" w:type="dxa"/>
            <w:tcBorders>
              <w:top w:val="single" w:color="auto" w:sz="8" w:space="0"/>
            </w:tcBorders>
            <w:noWrap w:val="0"/>
            <w:vAlign w:val="center"/>
          </w:tcPr>
          <w:p w14:paraId="3F689DD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毛色</w:t>
            </w:r>
          </w:p>
        </w:tc>
        <w:tc>
          <w:tcPr>
            <w:tcW w:w="1678" w:type="dxa"/>
            <w:gridSpan w:val="2"/>
            <w:tcBorders>
              <w:top w:val="single" w:color="auto" w:sz="8" w:space="0"/>
            </w:tcBorders>
            <w:noWrap w:val="0"/>
            <w:vAlign w:val="center"/>
          </w:tcPr>
          <w:p w14:paraId="3C1D914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出生日期</w:t>
            </w:r>
          </w:p>
        </w:tc>
        <w:tc>
          <w:tcPr>
            <w:tcW w:w="893" w:type="dxa"/>
            <w:tcBorders>
              <w:top w:val="single" w:color="auto" w:sz="8" w:space="0"/>
              <w:right w:val="single" w:color="auto" w:sz="8" w:space="0"/>
            </w:tcBorders>
            <w:noWrap w:val="0"/>
            <w:vAlign w:val="center"/>
          </w:tcPr>
          <w:p w14:paraId="58F1633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犬主人</w:t>
            </w:r>
          </w:p>
        </w:tc>
      </w:tr>
      <w:tr w14:paraId="57CA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06" w:type="dxa"/>
            <w:vMerge w:val="continue"/>
            <w:tcBorders>
              <w:left w:val="single" w:color="auto" w:sz="8" w:space="0"/>
            </w:tcBorders>
            <w:noWrap w:val="0"/>
            <w:vAlign w:val="top"/>
          </w:tcPr>
          <w:p w14:paraId="0F694C5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69" w:type="dxa"/>
            <w:noWrap w:val="0"/>
            <w:vAlign w:val="center"/>
          </w:tcPr>
          <w:p w14:paraId="38E846A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69" w:type="dxa"/>
            <w:noWrap w:val="0"/>
            <w:vAlign w:val="center"/>
          </w:tcPr>
          <w:p w14:paraId="6CDA412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677" w:type="dxa"/>
            <w:gridSpan w:val="2"/>
            <w:noWrap w:val="0"/>
            <w:vAlign w:val="center"/>
          </w:tcPr>
          <w:p w14:paraId="65B8D15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70" w:type="dxa"/>
            <w:noWrap w:val="0"/>
            <w:vAlign w:val="center"/>
          </w:tcPr>
          <w:p w14:paraId="4146A89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70" w:type="dxa"/>
            <w:noWrap w:val="0"/>
            <w:vAlign w:val="center"/>
          </w:tcPr>
          <w:p w14:paraId="5CC2596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678" w:type="dxa"/>
            <w:gridSpan w:val="2"/>
            <w:noWrap w:val="0"/>
            <w:vAlign w:val="center"/>
          </w:tcPr>
          <w:p w14:paraId="042789D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93" w:type="dxa"/>
            <w:tcBorders>
              <w:right w:val="single" w:color="auto" w:sz="8" w:space="0"/>
            </w:tcBorders>
            <w:noWrap w:val="0"/>
            <w:vAlign w:val="center"/>
          </w:tcPr>
          <w:p w14:paraId="588A732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r>
      <w:tr w14:paraId="4448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restart"/>
            <w:tcBorders>
              <w:left w:val="single" w:color="auto" w:sz="8" w:space="0"/>
              <w:right w:val="single" w:color="auto" w:sz="4" w:space="0"/>
            </w:tcBorders>
            <w:noWrap w:val="0"/>
            <w:vAlign w:val="center"/>
          </w:tcPr>
          <w:p w14:paraId="54D26F5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发育</w:t>
            </w:r>
          </w:p>
          <w:p w14:paraId="154E63D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状况</w:t>
            </w:r>
          </w:p>
        </w:tc>
        <w:tc>
          <w:tcPr>
            <w:tcW w:w="869" w:type="dxa"/>
            <w:tcBorders>
              <w:left w:val="single" w:color="auto" w:sz="4" w:space="0"/>
              <w:right w:val="single" w:color="auto" w:sz="4" w:space="0"/>
            </w:tcBorders>
            <w:noWrap w:val="0"/>
            <w:tcMar>
              <w:left w:w="0" w:type="dxa"/>
              <w:right w:w="0" w:type="dxa"/>
            </w:tcMar>
            <w:vAlign w:val="center"/>
          </w:tcPr>
          <w:p w14:paraId="1AAC22A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869" w:type="dxa"/>
            <w:tcBorders>
              <w:left w:val="single" w:color="auto" w:sz="4" w:space="0"/>
              <w:right w:val="single" w:color="auto" w:sz="4" w:space="0"/>
            </w:tcBorders>
            <w:noWrap w:val="0"/>
            <w:tcMar>
              <w:left w:w="0" w:type="dxa"/>
              <w:right w:w="0" w:type="dxa"/>
            </w:tcMar>
            <w:vAlign w:val="center"/>
          </w:tcPr>
          <w:p w14:paraId="45B8C69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体重</w:t>
            </w:r>
          </w:p>
        </w:tc>
        <w:tc>
          <w:tcPr>
            <w:tcW w:w="838" w:type="dxa"/>
            <w:tcBorders>
              <w:left w:val="single" w:color="auto" w:sz="4" w:space="0"/>
              <w:right w:val="single" w:color="auto" w:sz="4" w:space="0"/>
            </w:tcBorders>
            <w:noWrap w:val="0"/>
            <w:tcMar>
              <w:left w:w="0" w:type="dxa"/>
              <w:right w:w="0" w:type="dxa"/>
            </w:tcMar>
            <w:vAlign w:val="center"/>
          </w:tcPr>
          <w:p w14:paraId="2D1EE6F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体长</w:t>
            </w:r>
          </w:p>
        </w:tc>
        <w:tc>
          <w:tcPr>
            <w:tcW w:w="839" w:type="dxa"/>
            <w:tcBorders>
              <w:left w:val="single" w:color="auto" w:sz="4" w:space="0"/>
              <w:right w:val="single" w:color="auto" w:sz="4" w:space="0"/>
            </w:tcBorders>
            <w:noWrap w:val="0"/>
            <w:tcMar>
              <w:left w:w="0" w:type="dxa"/>
              <w:right w:w="0" w:type="dxa"/>
            </w:tcMar>
            <w:vAlign w:val="center"/>
          </w:tcPr>
          <w:p w14:paraId="46E093D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体高</w:t>
            </w:r>
          </w:p>
        </w:tc>
        <w:tc>
          <w:tcPr>
            <w:tcW w:w="870" w:type="dxa"/>
            <w:tcBorders>
              <w:left w:val="single" w:color="auto" w:sz="4" w:space="0"/>
              <w:right w:val="single" w:color="auto" w:sz="4" w:space="0"/>
            </w:tcBorders>
            <w:noWrap w:val="0"/>
            <w:tcMar>
              <w:left w:w="0" w:type="dxa"/>
              <w:right w:w="0" w:type="dxa"/>
            </w:tcMar>
            <w:vAlign w:val="center"/>
          </w:tcPr>
          <w:p w14:paraId="4F5ADE1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胸围</w:t>
            </w:r>
          </w:p>
        </w:tc>
        <w:tc>
          <w:tcPr>
            <w:tcW w:w="870" w:type="dxa"/>
            <w:tcBorders>
              <w:left w:val="single" w:color="auto" w:sz="4" w:space="0"/>
              <w:right w:val="single" w:color="auto" w:sz="4" w:space="0"/>
            </w:tcBorders>
            <w:noWrap w:val="0"/>
            <w:tcMar>
              <w:left w:w="0" w:type="dxa"/>
              <w:right w:w="0" w:type="dxa"/>
            </w:tcMar>
            <w:vAlign w:val="center"/>
          </w:tcPr>
          <w:p w14:paraId="39F2B83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胸深</w:t>
            </w:r>
          </w:p>
        </w:tc>
        <w:tc>
          <w:tcPr>
            <w:tcW w:w="839" w:type="dxa"/>
            <w:tcBorders>
              <w:left w:val="single" w:color="auto" w:sz="4" w:space="0"/>
              <w:right w:val="single" w:color="auto" w:sz="4" w:space="0"/>
            </w:tcBorders>
            <w:noWrap w:val="0"/>
            <w:tcMar>
              <w:left w:w="0" w:type="dxa"/>
              <w:right w:w="0" w:type="dxa"/>
            </w:tcMar>
            <w:vAlign w:val="center"/>
          </w:tcPr>
          <w:p w14:paraId="560AFFA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荐高</w:t>
            </w:r>
          </w:p>
        </w:tc>
        <w:tc>
          <w:tcPr>
            <w:tcW w:w="839" w:type="dxa"/>
            <w:tcBorders>
              <w:left w:val="single" w:color="auto" w:sz="4" w:space="0"/>
              <w:right w:val="single" w:color="auto" w:sz="4" w:space="0"/>
            </w:tcBorders>
            <w:noWrap w:val="0"/>
            <w:tcMar>
              <w:left w:w="0" w:type="dxa"/>
              <w:right w:w="0" w:type="dxa"/>
            </w:tcMar>
            <w:vAlign w:val="center"/>
          </w:tcPr>
          <w:p w14:paraId="5AD0C4E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头长</w:t>
            </w:r>
          </w:p>
        </w:tc>
        <w:tc>
          <w:tcPr>
            <w:tcW w:w="893" w:type="dxa"/>
            <w:tcBorders>
              <w:left w:val="single" w:color="auto" w:sz="4" w:space="0"/>
              <w:right w:val="single" w:color="auto" w:sz="8" w:space="0"/>
            </w:tcBorders>
            <w:noWrap w:val="0"/>
            <w:tcMar>
              <w:left w:w="0" w:type="dxa"/>
              <w:right w:w="0" w:type="dxa"/>
            </w:tcMar>
            <w:vAlign w:val="center"/>
          </w:tcPr>
          <w:p w14:paraId="5735145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小计</w:t>
            </w:r>
          </w:p>
        </w:tc>
      </w:tr>
      <w:tr w14:paraId="4E56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continue"/>
            <w:tcBorders>
              <w:left w:val="single" w:color="auto" w:sz="8" w:space="0"/>
              <w:right w:val="single" w:color="auto" w:sz="4" w:space="0"/>
            </w:tcBorders>
            <w:noWrap w:val="0"/>
            <w:vAlign w:val="top"/>
          </w:tcPr>
          <w:p w14:paraId="33C3ABC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69" w:type="dxa"/>
            <w:tcBorders>
              <w:left w:val="single" w:color="auto" w:sz="4" w:space="0"/>
              <w:right w:val="single" w:color="auto" w:sz="4" w:space="0"/>
            </w:tcBorders>
            <w:noWrap w:val="0"/>
            <w:tcMar>
              <w:left w:w="0" w:type="dxa"/>
              <w:right w:w="0" w:type="dxa"/>
            </w:tcMar>
            <w:vAlign w:val="center"/>
          </w:tcPr>
          <w:p w14:paraId="5E8B398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得分</w:t>
            </w:r>
          </w:p>
        </w:tc>
        <w:tc>
          <w:tcPr>
            <w:tcW w:w="869" w:type="dxa"/>
            <w:tcBorders>
              <w:left w:val="single" w:color="auto" w:sz="4" w:space="0"/>
              <w:right w:val="single" w:color="auto" w:sz="4" w:space="0"/>
            </w:tcBorders>
            <w:noWrap w:val="0"/>
            <w:tcMar>
              <w:left w:w="0" w:type="dxa"/>
              <w:right w:w="0" w:type="dxa"/>
            </w:tcMar>
            <w:vAlign w:val="center"/>
          </w:tcPr>
          <w:p w14:paraId="1B32405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38" w:type="dxa"/>
            <w:tcBorders>
              <w:left w:val="single" w:color="auto" w:sz="4" w:space="0"/>
              <w:right w:val="single" w:color="auto" w:sz="4" w:space="0"/>
            </w:tcBorders>
            <w:noWrap w:val="0"/>
            <w:vAlign w:val="center"/>
          </w:tcPr>
          <w:p w14:paraId="07624CB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39" w:type="dxa"/>
            <w:tcBorders>
              <w:left w:val="single" w:color="auto" w:sz="4" w:space="0"/>
              <w:right w:val="single" w:color="auto" w:sz="4" w:space="0"/>
            </w:tcBorders>
            <w:noWrap w:val="0"/>
            <w:vAlign w:val="center"/>
          </w:tcPr>
          <w:p w14:paraId="539CE32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70" w:type="dxa"/>
            <w:tcBorders>
              <w:left w:val="single" w:color="auto" w:sz="4" w:space="0"/>
              <w:right w:val="single" w:color="auto" w:sz="4" w:space="0"/>
            </w:tcBorders>
            <w:noWrap w:val="0"/>
            <w:vAlign w:val="center"/>
          </w:tcPr>
          <w:p w14:paraId="442BD97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70" w:type="dxa"/>
            <w:tcBorders>
              <w:left w:val="single" w:color="auto" w:sz="4" w:space="0"/>
              <w:right w:val="single" w:color="auto" w:sz="4" w:space="0"/>
            </w:tcBorders>
            <w:noWrap w:val="0"/>
            <w:vAlign w:val="center"/>
          </w:tcPr>
          <w:p w14:paraId="206FA29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39" w:type="dxa"/>
            <w:tcBorders>
              <w:left w:val="single" w:color="auto" w:sz="4" w:space="0"/>
              <w:right w:val="single" w:color="auto" w:sz="4" w:space="0"/>
            </w:tcBorders>
            <w:noWrap w:val="0"/>
            <w:vAlign w:val="center"/>
          </w:tcPr>
          <w:p w14:paraId="5CA125E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39" w:type="dxa"/>
            <w:tcBorders>
              <w:left w:val="single" w:color="auto" w:sz="4" w:space="0"/>
              <w:right w:val="single" w:color="auto" w:sz="4" w:space="0"/>
            </w:tcBorders>
            <w:noWrap w:val="0"/>
            <w:vAlign w:val="center"/>
          </w:tcPr>
          <w:p w14:paraId="15BE7E7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93" w:type="dxa"/>
            <w:tcBorders>
              <w:left w:val="single" w:color="auto" w:sz="4" w:space="0"/>
              <w:right w:val="single" w:color="auto" w:sz="8" w:space="0"/>
            </w:tcBorders>
            <w:noWrap w:val="0"/>
            <w:tcMar>
              <w:left w:w="0" w:type="dxa"/>
              <w:right w:w="0" w:type="dxa"/>
            </w:tcMar>
            <w:vAlign w:val="center"/>
          </w:tcPr>
          <w:p w14:paraId="7D3C285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r>
      <w:tr w14:paraId="2D8F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restart"/>
            <w:tcBorders>
              <w:left w:val="single" w:color="auto" w:sz="8" w:space="0"/>
              <w:right w:val="single" w:color="auto" w:sz="4" w:space="0"/>
            </w:tcBorders>
            <w:noWrap w:val="0"/>
            <w:vAlign w:val="center"/>
          </w:tcPr>
          <w:p w14:paraId="31A8FE9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　能</w:t>
            </w:r>
          </w:p>
        </w:tc>
        <w:tc>
          <w:tcPr>
            <w:tcW w:w="869" w:type="dxa"/>
            <w:tcBorders>
              <w:left w:val="single" w:color="auto" w:sz="4" w:space="0"/>
              <w:right w:val="single" w:color="auto" w:sz="4" w:space="0"/>
            </w:tcBorders>
            <w:noWrap w:val="0"/>
            <w:tcMar>
              <w:left w:w="0" w:type="dxa"/>
              <w:right w:w="0" w:type="dxa"/>
            </w:tcMar>
            <w:vAlign w:val="center"/>
          </w:tcPr>
          <w:p w14:paraId="0560B4F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1707" w:type="dxa"/>
            <w:gridSpan w:val="2"/>
            <w:tcBorders>
              <w:left w:val="single" w:color="auto" w:sz="4" w:space="0"/>
              <w:right w:val="single" w:color="auto" w:sz="4" w:space="0"/>
            </w:tcBorders>
            <w:noWrap w:val="0"/>
            <w:vAlign w:val="center"/>
          </w:tcPr>
          <w:p w14:paraId="3C80ED8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奔跑</w:t>
            </w:r>
          </w:p>
        </w:tc>
        <w:tc>
          <w:tcPr>
            <w:tcW w:w="1709" w:type="dxa"/>
            <w:gridSpan w:val="2"/>
            <w:tcBorders>
              <w:left w:val="single" w:color="auto" w:sz="4" w:space="0"/>
              <w:right w:val="single" w:color="auto" w:sz="4" w:space="0"/>
            </w:tcBorders>
            <w:noWrap w:val="0"/>
            <w:vAlign w:val="center"/>
          </w:tcPr>
          <w:p w14:paraId="2C9ECD6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通过自然障碍</w:t>
            </w:r>
          </w:p>
        </w:tc>
        <w:tc>
          <w:tcPr>
            <w:tcW w:w="2548" w:type="dxa"/>
            <w:gridSpan w:val="3"/>
            <w:tcBorders>
              <w:left w:val="single" w:color="auto" w:sz="4" w:space="0"/>
              <w:right w:val="single" w:color="auto" w:sz="4" w:space="0"/>
            </w:tcBorders>
            <w:noWrap w:val="0"/>
            <w:vAlign w:val="center"/>
          </w:tcPr>
          <w:p w14:paraId="5A279F8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步态特征</w:t>
            </w:r>
          </w:p>
        </w:tc>
        <w:tc>
          <w:tcPr>
            <w:tcW w:w="893" w:type="dxa"/>
            <w:tcBorders>
              <w:left w:val="single" w:color="auto" w:sz="4" w:space="0"/>
              <w:right w:val="single" w:color="auto" w:sz="8" w:space="0"/>
            </w:tcBorders>
            <w:noWrap w:val="0"/>
            <w:vAlign w:val="center"/>
          </w:tcPr>
          <w:p w14:paraId="6C833A9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小计</w:t>
            </w:r>
          </w:p>
        </w:tc>
      </w:tr>
      <w:tr w14:paraId="4987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continue"/>
            <w:tcBorders>
              <w:left w:val="single" w:color="auto" w:sz="8" w:space="0"/>
              <w:right w:val="single" w:color="auto" w:sz="4" w:space="0"/>
            </w:tcBorders>
            <w:noWrap w:val="0"/>
            <w:vAlign w:val="center"/>
          </w:tcPr>
          <w:p w14:paraId="4DA6AB0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69" w:type="dxa"/>
            <w:tcBorders>
              <w:left w:val="single" w:color="auto" w:sz="4" w:space="0"/>
              <w:right w:val="single" w:color="auto" w:sz="4" w:space="0"/>
            </w:tcBorders>
            <w:noWrap w:val="0"/>
            <w:tcMar>
              <w:left w:w="0" w:type="dxa"/>
              <w:right w:w="0" w:type="dxa"/>
            </w:tcMar>
            <w:vAlign w:val="center"/>
          </w:tcPr>
          <w:p w14:paraId="404A861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得分</w:t>
            </w:r>
          </w:p>
        </w:tc>
        <w:tc>
          <w:tcPr>
            <w:tcW w:w="1707" w:type="dxa"/>
            <w:gridSpan w:val="2"/>
            <w:tcBorders>
              <w:left w:val="single" w:color="auto" w:sz="4" w:space="0"/>
              <w:right w:val="single" w:color="auto" w:sz="4" w:space="0"/>
            </w:tcBorders>
            <w:noWrap w:val="0"/>
            <w:vAlign w:val="center"/>
          </w:tcPr>
          <w:p w14:paraId="57D6F09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09" w:type="dxa"/>
            <w:gridSpan w:val="2"/>
            <w:tcBorders>
              <w:left w:val="single" w:color="auto" w:sz="4" w:space="0"/>
              <w:right w:val="single" w:color="auto" w:sz="4" w:space="0"/>
            </w:tcBorders>
            <w:noWrap w:val="0"/>
            <w:vAlign w:val="center"/>
          </w:tcPr>
          <w:p w14:paraId="154A6A8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548" w:type="dxa"/>
            <w:gridSpan w:val="3"/>
            <w:tcBorders>
              <w:left w:val="single" w:color="auto" w:sz="4" w:space="0"/>
              <w:right w:val="single" w:color="auto" w:sz="4" w:space="0"/>
            </w:tcBorders>
            <w:noWrap w:val="0"/>
            <w:vAlign w:val="center"/>
          </w:tcPr>
          <w:p w14:paraId="31E3879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93" w:type="dxa"/>
            <w:tcBorders>
              <w:left w:val="single" w:color="auto" w:sz="4" w:space="0"/>
              <w:right w:val="single" w:color="auto" w:sz="8" w:space="0"/>
            </w:tcBorders>
            <w:noWrap w:val="0"/>
            <w:vAlign w:val="center"/>
          </w:tcPr>
          <w:p w14:paraId="0FE582A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r>
      <w:tr w14:paraId="62E9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jc w:val="center"/>
        </w:trPr>
        <w:tc>
          <w:tcPr>
            <w:tcW w:w="1006" w:type="dxa"/>
            <w:vMerge w:val="restart"/>
            <w:tcBorders>
              <w:left w:val="single" w:color="auto" w:sz="8" w:space="0"/>
              <w:right w:val="single" w:color="auto" w:sz="4" w:space="0"/>
            </w:tcBorders>
            <w:noWrap w:val="0"/>
            <w:vAlign w:val="center"/>
          </w:tcPr>
          <w:p w14:paraId="66CF332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服从性</w:t>
            </w:r>
          </w:p>
        </w:tc>
        <w:tc>
          <w:tcPr>
            <w:tcW w:w="869" w:type="dxa"/>
            <w:tcBorders>
              <w:left w:val="single" w:color="auto" w:sz="4" w:space="0"/>
              <w:right w:val="single" w:color="auto" w:sz="4" w:space="0"/>
            </w:tcBorders>
            <w:noWrap w:val="0"/>
            <w:tcMar>
              <w:left w:w="0" w:type="dxa"/>
              <w:right w:w="0" w:type="dxa"/>
            </w:tcMar>
            <w:vAlign w:val="center"/>
          </w:tcPr>
          <w:p w14:paraId="60A7D84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1707" w:type="dxa"/>
            <w:gridSpan w:val="2"/>
            <w:tcBorders>
              <w:left w:val="single" w:color="auto" w:sz="4" w:space="0"/>
              <w:right w:val="single" w:color="auto" w:sz="4" w:space="0"/>
            </w:tcBorders>
            <w:noWrap w:val="0"/>
            <w:vAlign w:val="center"/>
          </w:tcPr>
          <w:p w14:paraId="79ACBC40">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自然状态下</w:t>
            </w:r>
          </w:p>
          <w:p w14:paraId="6C45A77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犬前来</w:t>
            </w:r>
          </w:p>
        </w:tc>
        <w:tc>
          <w:tcPr>
            <w:tcW w:w="1709" w:type="dxa"/>
            <w:gridSpan w:val="2"/>
            <w:tcBorders>
              <w:left w:val="single" w:color="auto" w:sz="4" w:space="0"/>
              <w:right w:val="single" w:color="auto" w:sz="4" w:space="0"/>
            </w:tcBorders>
            <w:noWrap w:val="0"/>
            <w:vAlign w:val="center"/>
          </w:tcPr>
          <w:p w14:paraId="144C81A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牵引随行</w:t>
            </w:r>
          </w:p>
        </w:tc>
        <w:tc>
          <w:tcPr>
            <w:tcW w:w="2548" w:type="dxa"/>
            <w:gridSpan w:val="3"/>
            <w:tcBorders>
              <w:left w:val="single" w:color="auto" w:sz="4" w:space="0"/>
              <w:right w:val="single" w:color="auto" w:sz="4" w:space="0"/>
            </w:tcBorders>
            <w:noWrap w:val="0"/>
            <w:vAlign w:val="center"/>
          </w:tcPr>
          <w:p w14:paraId="6DA71B5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牵引状态下寻找主人</w:t>
            </w:r>
          </w:p>
        </w:tc>
        <w:tc>
          <w:tcPr>
            <w:tcW w:w="893" w:type="dxa"/>
            <w:tcBorders>
              <w:left w:val="single" w:color="auto" w:sz="4" w:space="0"/>
              <w:right w:val="single" w:color="auto" w:sz="8" w:space="0"/>
            </w:tcBorders>
            <w:noWrap w:val="0"/>
            <w:vAlign w:val="center"/>
          </w:tcPr>
          <w:p w14:paraId="178701B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小计</w:t>
            </w:r>
          </w:p>
        </w:tc>
      </w:tr>
      <w:tr w14:paraId="2C28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continue"/>
            <w:tcBorders>
              <w:left w:val="single" w:color="auto" w:sz="8" w:space="0"/>
              <w:right w:val="single" w:color="auto" w:sz="4" w:space="0"/>
            </w:tcBorders>
            <w:noWrap w:val="0"/>
            <w:vAlign w:val="top"/>
          </w:tcPr>
          <w:p w14:paraId="25CCCFF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69" w:type="dxa"/>
            <w:tcBorders>
              <w:left w:val="single" w:color="auto" w:sz="4" w:space="0"/>
              <w:right w:val="single" w:color="auto" w:sz="4" w:space="0"/>
            </w:tcBorders>
            <w:noWrap w:val="0"/>
            <w:tcMar>
              <w:left w:w="0" w:type="dxa"/>
              <w:right w:w="0" w:type="dxa"/>
            </w:tcMar>
            <w:vAlign w:val="center"/>
          </w:tcPr>
          <w:p w14:paraId="3C1A97E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得分</w:t>
            </w:r>
          </w:p>
        </w:tc>
        <w:tc>
          <w:tcPr>
            <w:tcW w:w="1707" w:type="dxa"/>
            <w:gridSpan w:val="2"/>
            <w:tcBorders>
              <w:left w:val="single" w:color="auto" w:sz="4" w:space="0"/>
              <w:right w:val="single" w:color="auto" w:sz="4" w:space="0"/>
            </w:tcBorders>
            <w:noWrap w:val="0"/>
            <w:vAlign w:val="center"/>
          </w:tcPr>
          <w:p w14:paraId="52065F3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09" w:type="dxa"/>
            <w:gridSpan w:val="2"/>
            <w:tcBorders>
              <w:left w:val="single" w:color="auto" w:sz="4" w:space="0"/>
              <w:right w:val="single" w:color="auto" w:sz="4" w:space="0"/>
            </w:tcBorders>
            <w:noWrap w:val="0"/>
            <w:vAlign w:val="center"/>
          </w:tcPr>
          <w:p w14:paraId="50A20FE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548" w:type="dxa"/>
            <w:gridSpan w:val="3"/>
            <w:tcBorders>
              <w:left w:val="single" w:color="auto" w:sz="4" w:space="0"/>
              <w:right w:val="single" w:color="auto" w:sz="4" w:space="0"/>
            </w:tcBorders>
            <w:noWrap w:val="0"/>
            <w:vAlign w:val="center"/>
          </w:tcPr>
          <w:p w14:paraId="6B51E02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93" w:type="dxa"/>
            <w:tcBorders>
              <w:left w:val="single" w:color="auto" w:sz="4" w:space="0"/>
              <w:right w:val="single" w:color="auto" w:sz="8" w:space="0"/>
            </w:tcBorders>
            <w:noWrap w:val="0"/>
            <w:vAlign w:val="center"/>
          </w:tcPr>
          <w:p w14:paraId="49BF0BC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r>
      <w:tr w14:paraId="5676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jc w:val="center"/>
        </w:trPr>
        <w:tc>
          <w:tcPr>
            <w:tcW w:w="1006" w:type="dxa"/>
            <w:vMerge w:val="restart"/>
            <w:tcBorders>
              <w:left w:val="single" w:color="auto" w:sz="8" w:space="0"/>
              <w:right w:val="single" w:color="auto" w:sz="4" w:space="0"/>
            </w:tcBorders>
            <w:noWrap w:val="0"/>
            <w:vAlign w:val="center"/>
          </w:tcPr>
          <w:p w14:paraId="38D92F7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衔取欲</w:t>
            </w:r>
          </w:p>
        </w:tc>
        <w:tc>
          <w:tcPr>
            <w:tcW w:w="869" w:type="dxa"/>
            <w:tcBorders>
              <w:left w:val="single" w:color="auto" w:sz="4" w:space="0"/>
              <w:right w:val="single" w:color="auto" w:sz="4" w:space="0"/>
            </w:tcBorders>
            <w:noWrap w:val="0"/>
            <w:tcMar>
              <w:left w:w="0" w:type="dxa"/>
              <w:right w:w="0" w:type="dxa"/>
            </w:tcMar>
            <w:vAlign w:val="center"/>
          </w:tcPr>
          <w:p w14:paraId="493A136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869" w:type="dxa"/>
            <w:tcBorders>
              <w:left w:val="single" w:color="auto" w:sz="4" w:space="0"/>
              <w:right w:val="single" w:color="auto" w:sz="4" w:space="0"/>
            </w:tcBorders>
            <w:noWrap w:val="0"/>
            <w:vAlign w:val="center"/>
          </w:tcPr>
          <w:p w14:paraId="7D1FABFB">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注意力</w:t>
            </w:r>
          </w:p>
        </w:tc>
        <w:tc>
          <w:tcPr>
            <w:tcW w:w="1677" w:type="dxa"/>
            <w:gridSpan w:val="2"/>
            <w:tcBorders>
              <w:left w:val="single" w:color="auto" w:sz="4" w:space="0"/>
              <w:right w:val="single" w:color="auto" w:sz="4" w:space="0"/>
            </w:tcBorders>
            <w:noWrap w:val="0"/>
            <w:vAlign w:val="center"/>
          </w:tcPr>
          <w:p w14:paraId="44BF3B9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抛物衔取（动态）</w:t>
            </w:r>
          </w:p>
        </w:tc>
        <w:tc>
          <w:tcPr>
            <w:tcW w:w="1740" w:type="dxa"/>
            <w:gridSpan w:val="2"/>
            <w:tcBorders>
              <w:left w:val="single" w:color="auto" w:sz="4" w:space="0"/>
              <w:right w:val="single" w:color="auto" w:sz="4" w:space="0"/>
            </w:tcBorders>
            <w:noWrap w:val="0"/>
            <w:vAlign w:val="center"/>
          </w:tcPr>
          <w:p w14:paraId="4905908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抛物衔取</w:t>
            </w:r>
          </w:p>
          <w:p w14:paraId="02E95B4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（静态）</w:t>
            </w:r>
          </w:p>
        </w:tc>
        <w:tc>
          <w:tcPr>
            <w:tcW w:w="1678" w:type="dxa"/>
            <w:gridSpan w:val="2"/>
            <w:tcBorders>
              <w:left w:val="single" w:color="auto" w:sz="4" w:space="0"/>
              <w:right w:val="single" w:color="auto" w:sz="4" w:space="0"/>
            </w:tcBorders>
            <w:noWrap w:val="0"/>
            <w:tcMar>
              <w:left w:w="28" w:type="dxa"/>
              <w:right w:w="28" w:type="dxa"/>
            </w:tcMar>
            <w:vAlign w:val="center"/>
          </w:tcPr>
          <w:p w14:paraId="6E15693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衔物前来</w:t>
            </w:r>
          </w:p>
        </w:tc>
        <w:tc>
          <w:tcPr>
            <w:tcW w:w="893" w:type="dxa"/>
            <w:tcBorders>
              <w:left w:val="single" w:color="auto" w:sz="4" w:space="0"/>
              <w:right w:val="single" w:color="auto" w:sz="8" w:space="0"/>
            </w:tcBorders>
            <w:noWrap w:val="0"/>
            <w:vAlign w:val="center"/>
          </w:tcPr>
          <w:p w14:paraId="1879731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小计</w:t>
            </w:r>
          </w:p>
        </w:tc>
      </w:tr>
      <w:tr w14:paraId="51E8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continue"/>
            <w:tcBorders>
              <w:left w:val="single" w:color="auto" w:sz="8" w:space="0"/>
              <w:right w:val="single" w:color="auto" w:sz="4" w:space="0"/>
            </w:tcBorders>
            <w:noWrap w:val="0"/>
            <w:vAlign w:val="center"/>
          </w:tcPr>
          <w:p w14:paraId="1A024FF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69" w:type="dxa"/>
            <w:tcBorders>
              <w:left w:val="single" w:color="auto" w:sz="4" w:space="0"/>
              <w:right w:val="single" w:color="auto" w:sz="4" w:space="0"/>
            </w:tcBorders>
            <w:noWrap w:val="0"/>
            <w:tcMar>
              <w:left w:w="0" w:type="dxa"/>
              <w:right w:w="0" w:type="dxa"/>
            </w:tcMar>
            <w:vAlign w:val="center"/>
          </w:tcPr>
          <w:p w14:paraId="7D206A6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得分</w:t>
            </w:r>
          </w:p>
        </w:tc>
        <w:tc>
          <w:tcPr>
            <w:tcW w:w="869" w:type="dxa"/>
            <w:tcBorders>
              <w:left w:val="single" w:color="auto" w:sz="4" w:space="0"/>
              <w:right w:val="single" w:color="auto" w:sz="4" w:space="0"/>
            </w:tcBorders>
            <w:noWrap w:val="0"/>
            <w:vAlign w:val="center"/>
          </w:tcPr>
          <w:p w14:paraId="77397CA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677" w:type="dxa"/>
            <w:gridSpan w:val="2"/>
            <w:tcBorders>
              <w:left w:val="single" w:color="auto" w:sz="4" w:space="0"/>
              <w:right w:val="single" w:color="auto" w:sz="4" w:space="0"/>
            </w:tcBorders>
            <w:noWrap w:val="0"/>
            <w:vAlign w:val="center"/>
          </w:tcPr>
          <w:p w14:paraId="7A4F353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40" w:type="dxa"/>
            <w:gridSpan w:val="2"/>
            <w:tcBorders>
              <w:left w:val="single" w:color="auto" w:sz="4" w:space="0"/>
              <w:right w:val="single" w:color="auto" w:sz="4" w:space="0"/>
            </w:tcBorders>
            <w:noWrap w:val="0"/>
            <w:vAlign w:val="center"/>
          </w:tcPr>
          <w:p w14:paraId="05A4A03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678" w:type="dxa"/>
            <w:gridSpan w:val="2"/>
            <w:tcBorders>
              <w:left w:val="single" w:color="auto" w:sz="4" w:space="0"/>
              <w:right w:val="single" w:color="auto" w:sz="4" w:space="0"/>
            </w:tcBorders>
            <w:noWrap w:val="0"/>
            <w:vAlign w:val="center"/>
          </w:tcPr>
          <w:p w14:paraId="2D834BE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93" w:type="dxa"/>
            <w:tcBorders>
              <w:left w:val="single" w:color="auto" w:sz="4" w:space="0"/>
              <w:right w:val="single" w:color="auto" w:sz="8" w:space="0"/>
            </w:tcBorders>
            <w:noWrap w:val="0"/>
            <w:vAlign w:val="center"/>
          </w:tcPr>
          <w:p w14:paraId="3B41CED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r>
      <w:tr w14:paraId="66BC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006" w:type="dxa"/>
            <w:vMerge w:val="restart"/>
            <w:tcBorders>
              <w:left w:val="single" w:color="auto" w:sz="8" w:space="0"/>
              <w:right w:val="single" w:color="auto" w:sz="4" w:space="0"/>
            </w:tcBorders>
            <w:noWrap w:val="0"/>
            <w:vAlign w:val="center"/>
          </w:tcPr>
          <w:p w14:paraId="39B8077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　量</w:t>
            </w:r>
          </w:p>
        </w:tc>
        <w:tc>
          <w:tcPr>
            <w:tcW w:w="869" w:type="dxa"/>
            <w:tcBorders>
              <w:left w:val="single" w:color="auto" w:sz="4" w:space="0"/>
              <w:right w:val="single" w:color="auto" w:sz="4" w:space="0"/>
            </w:tcBorders>
            <w:noWrap w:val="0"/>
            <w:tcMar>
              <w:left w:w="0" w:type="dxa"/>
              <w:right w:w="0" w:type="dxa"/>
            </w:tcMar>
            <w:vAlign w:val="center"/>
          </w:tcPr>
          <w:p w14:paraId="4B1EB8E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869" w:type="dxa"/>
            <w:tcBorders>
              <w:left w:val="single" w:color="auto" w:sz="4" w:space="0"/>
              <w:right w:val="single" w:color="auto" w:sz="4" w:space="0"/>
            </w:tcBorders>
            <w:noWrap w:val="0"/>
            <w:tcMar>
              <w:left w:w="0" w:type="dxa"/>
              <w:right w:w="0" w:type="dxa"/>
            </w:tcMar>
            <w:vAlign w:val="center"/>
          </w:tcPr>
          <w:p w14:paraId="5A2D32C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穿梭</w:t>
            </w:r>
          </w:p>
          <w:p w14:paraId="6F778EB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人群</w:t>
            </w:r>
          </w:p>
        </w:tc>
        <w:tc>
          <w:tcPr>
            <w:tcW w:w="1677" w:type="dxa"/>
            <w:gridSpan w:val="2"/>
            <w:tcBorders>
              <w:left w:val="single" w:color="auto" w:sz="4" w:space="0"/>
              <w:right w:val="single" w:color="auto" w:sz="4" w:space="0"/>
            </w:tcBorders>
            <w:noWrap w:val="0"/>
            <w:vAlign w:val="center"/>
          </w:tcPr>
          <w:p w14:paraId="25A3953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陌生人牵引、</w:t>
            </w:r>
          </w:p>
          <w:p w14:paraId="2653E61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抚摸</w:t>
            </w:r>
          </w:p>
        </w:tc>
        <w:tc>
          <w:tcPr>
            <w:tcW w:w="1740" w:type="dxa"/>
            <w:gridSpan w:val="2"/>
            <w:tcBorders>
              <w:left w:val="single" w:color="auto" w:sz="4" w:space="0"/>
              <w:right w:val="single" w:color="auto" w:sz="4" w:space="0"/>
            </w:tcBorders>
            <w:noWrap w:val="0"/>
            <w:vAlign w:val="center"/>
          </w:tcPr>
          <w:p w14:paraId="173B963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声响刺激</w:t>
            </w:r>
          </w:p>
        </w:tc>
        <w:tc>
          <w:tcPr>
            <w:tcW w:w="1678" w:type="dxa"/>
            <w:gridSpan w:val="2"/>
            <w:tcBorders>
              <w:left w:val="single" w:color="auto" w:sz="4" w:space="0"/>
              <w:right w:val="single" w:color="auto" w:sz="4" w:space="0"/>
            </w:tcBorders>
            <w:noWrap w:val="0"/>
            <w:vAlign w:val="center"/>
          </w:tcPr>
          <w:p w14:paraId="19047AC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适应车辆行人</w:t>
            </w:r>
          </w:p>
        </w:tc>
        <w:tc>
          <w:tcPr>
            <w:tcW w:w="893" w:type="dxa"/>
            <w:tcBorders>
              <w:left w:val="single" w:color="auto" w:sz="4" w:space="0"/>
              <w:right w:val="single" w:color="auto" w:sz="8" w:space="0"/>
            </w:tcBorders>
            <w:noWrap w:val="0"/>
            <w:vAlign w:val="center"/>
          </w:tcPr>
          <w:p w14:paraId="05FEC85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小计</w:t>
            </w:r>
          </w:p>
        </w:tc>
      </w:tr>
      <w:tr w14:paraId="5CB6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continue"/>
            <w:tcBorders>
              <w:left w:val="single" w:color="auto" w:sz="8" w:space="0"/>
              <w:bottom w:val="single" w:color="auto" w:sz="4" w:space="0"/>
              <w:right w:val="single" w:color="auto" w:sz="4" w:space="0"/>
            </w:tcBorders>
            <w:noWrap w:val="0"/>
            <w:vAlign w:val="center"/>
          </w:tcPr>
          <w:p w14:paraId="6C05BA6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69" w:type="dxa"/>
            <w:tcBorders>
              <w:left w:val="single" w:color="auto" w:sz="4" w:space="0"/>
              <w:bottom w:val="single" w:color="auto" w:sz="4" w:space="0"/>
              <w:right w:val="single" w:color="auto" w:sz="4" w:space="0"/>
            </w:tcBorders>
            <w:noWrap w:val="0"/>
            <w:tcMar>
              <w:left w:w="0" w:type="dxa"/>
              <w:right w:w="0" w:type="dxa"/>
            </w:tcMar>
            <w:vAlign w:val="center"/>
          </w:tcPr>
          <w:p w14:paraId="258F2DF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得分</w:t>
            </w:r>
          </w:p>
        </w:tc>
        <w:tc>
          <w:tcPr>
            <w:tcW w:w="869" w:type="dxa"/>
            <w:tcBorders>
              <w:left w:val="single" w:color="auto" w:sz="4" w:space="0"/>
              <w:bottom w:val="single" w:color="auto" w:sz="4" w:space="0"/>
              <w:right w:val="single" w:color="auto" w:sz="4" w:space="0"/>
            </w:tcBorders>
            <w:noWrap w:val="0"/>
            <w:vAlign w:val="center"/>
          </w:tcPr>
          <w:p w14:paraId="3BA60B8D">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677" w:type="dxa"/>
            <w:gridSpan w:val="2"/>
            <w:tcBorders>
              <w:left w:val="single" w:color="auto" w:sz="4" w:space="0"/>
              <w:bottom w:val="single" w:color="auto" w:sz="4" w:space="0"/>
              <w:right w:val="single" w:color="auto" w:sz="4" w:space="0"/>
            </w:tcBorders>
            <w:noWrap w:val="0"/>
            <w:vAlign w:val="center"/>
          </w:tcPr>
          <w:p w14:paraId="4082634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40" w:type="dxa"/>
            <w:gridSpan w:val="2"/>
            <w:tcBorders>
              <w:left w:val="single" w:color="auto" w:sz="4" w:space="0"/>
              <w:bottom w:val="single" w:color="auto" w:sz="4" w:space="0"/>
              <w:right w:val="single" w:color="auto" w:sz="4" w:space="0"/>
            </w:tcBorders>
            <w:noWrap w:val="0"/>
            <w:vAlign w:val="center"/>
          </w:tcPr>
          <w:p w14:paraId="71DB7605">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678" w:type="dxa"/>
            <w:gridSpan w:val="2"/>
            <w:tcBorders>
              <w:left w:val="single" w:color="auto" w:sz="4" w:space="0"/>
              <w:bottom w:val="single" w:color="auto" w:sz="4" w:space="0"/>
              <w:right w:val="single" w:color="auto" w:sz="4" w:space="0"/>
            </w:tcBorders>
            <w:noWrap w:val="0"/>
            <w:vAlign w:val="center"/>
          </w:tcPr>
          <w:p w14:paraId="498BBE5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93" w:type="dxa"/>
            <w:tcBorders>
              <w:left w:val="single" w:color="auto" w:sz="4" w:space="0"/>
              <w:bottom w:val="single" w:color="auto" w:sz="4" w:space="0"/>
              <w:right w:val="single" w:color="auto" w:sz="8" w:space="0"/>
            </w:tcBorders>
            <w:noWrap w:val="0"/>
            <w:vAlign w:val="center"/>
          </w:tcPr>
          <w:p w14:paraId="644CF09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r>
      <w:tr w14:paraId="6D22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restart"/>
            <w:tcBorders>
              <w:left w:val="single" w:color="auto" w:sz="8" w:space="0"/>
              <w:right w:val="single" w:color="auto" w:sz="4" w:space="0"/>
            </w:tcBorders>
            <w:noWrap w:val="0"/>
            <w:vAlign w:val="center"/>
          </w:tcPr>
          <w:p w14:paraId="4344A24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占有欲</w:t>
            </w:r>
          </w:p>
        </w:tc>
        <w:tc>
          <w:tcPr>
            <w:tcW w:w="869" w:type="dxa"/>
            <w:tcBorders>
              <w:left w:val="single" w:color="auto" w:sz="4" w:space="0"/>
              <w:bottom w:val="single" w:color="auto" w:sz="4" w:space="0"/>
              <w:right w:val="single" w:color="auto" w:sz="4" w:space="0"/>
            </w:tcBorders>
            <w:noWrap w:val="0"/>
            <w:tcMar>
              <w:left w:w="0" w:type="dxa"/>
              <w:right w:w="0" w:type="dxa"/>
            </w:tcMar>
            <w:vAlign w:val="center"/>
          </w:tcPr>
          <w:p w14:paraId="206945B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2546" w:type="dxa"/>
            <w:gridSpan w:val="3"/>
            <w:tcBorders>
              <w:left w:val="single" w:color="auto" w:sz="4" w:space="0"/>
              <w:bottom w:val="single" w:color="auto" w:sz="4" w:space="0"/>
              <w:right w:val="single" w:color="auto" w:sz="4" w:space="0"/>
            </w:tcBorders>
            <w:noWrap w:val="0"/>
            <w:vAlign w:val="center"/>
          </w:tcPr>
          <w:p w14:paraId="3181D1B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与主人进行拔河游戏</w:t>
            </w:r>
          </w:p>
        </w:tc>
        <w:tc>
          <w:tcPr>
            <w:tcW w:w="3418" w:type="dxa"/>
            <w:gridSpan w:val="4"/>
            <w:tcBorders>
              <w:left w:val="single" w:color="auto" w:sz="4" w:space="0"/>
              <w:bottom w:val="single" w:color="auto" w:sz="4" w:space="0"/>
              <w:right w:val="single" w:color="auto" w:sz="4" w:space="0"/>
            </w:tcBorders>
            <w:noWrap w:val="0"/>
            <w:vAlign w:val="center"/>
          </w:tcPr>
          <w:p w14:paraId="17A9E28F">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与陌生人进行拔河游戏</w:t>
            </w:r>
          </w:p>
        </w:tc>
        <w:tc>
          <w:tcPr>
            <w:tcW w:w="893" w:type="dxa"/>
            <w:tcBorders>
              <w:left w:val="single" w:color="auto" w:sz="4" w:space="0"/>
              <w:bottom w:val="single" w:color="auto" w:sz="4" w:space="0"/>
              <w:right w:val="single" w:color="auto" w:sz="8" w:space="0"/>
            </w:tcBorders>
            <w:noWrap w:val="0"/>
            <w:vAlign w:val="center"/>
          </w:tcPr>
          <w:p w14:paraId="7A62EA2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小计</w:t>
            </w:r>
          </w:p>
        </w:tc>
      </w:tr>
      <w:tr w14:paraId="2C23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continue"/>
            <w:tcBorders>
              <w:left w:val="single" w:color="auto" w:sz="8" w:space="0"/>
              <w:right w:val="single" w:color="auto" w:sz="4" w:space="0"/>
            </w:tcBorders>
            <w:noWrap w:val="0"/>
            <w:vAlign w:val="center"/>
          </w:tcPr>
          <w:p w14:paraId="200FA87C">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69" w:type="dxa"/>
            <w:tcBorders>
              <w:left w:val="single" w:color="auto" w:sz="4" w:space="0"/>
              <w:bottom w:val="single" w:color="auto" w:sz="4" w:space="0"/>
              <w:right w:val="single" w:color="auto" w:sz="4" w:space="0"/>
            </w:tcBorders>
            <w:noWrap w:val="0"/>
            <w:tcMar>
              <w:left w:w="0" w:type="dxa"/>
              <w:right w:w="0" w:type="dxa"/>
            </w:tcMar>
            <w:vAlign w:val="center"/>
          </w:tcPr>
          <w:p w14:paraId="13392617">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得分</w:t>
            </w:r>
          </w:p>
        </w:tc>
        <w:tc>
          <w:tcPr>
            <w:tcW w:w="2546" w:type="dxa"/>
            <w:gridSpan w:val="3"/>
            <w:tcBorders>
              <w:left w:val="single" w:color="auto" w:sz="4" w:space="0"/>
              <w:bottom w:val="single" w:color="auto" w:sz="4" w:space="0"/>
              <w:right w:val="single" w:color="auto" w:sz="4" w:space="0"/>
            </w:tcBorders>
            <w:noWrap w:val="0"/>
            <w:vAlign w:val="center"/>
          </w:tcPr>
          <w:p w14:paraId="4AC34EC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418" w:type="dxa"/>
            <w:gridSpan w:val="4"/>
            <w:tcBorders>
              <w:left w:val="single" w:color="auto" w:sz="4" w:space="0"/>
              <w:bottom w:val="single" w:color="auto" w:sz="4" w:space="0"/>
              <w:right w:val="single" w:color="auto" w:sz="4" w:space="0"/>
            </w:tcBorders>
            <w:noWrap w:val="0"/>
            <w:vAlign w:val="center"/>
          </w:tcPr>
          <w:p w14:paraId="7D38652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93" w:type="dxa"/>
            <w:tcBorders>
              <w:left w:val="single" w:color="auto" w:sz="4" w:space="0"/>
              <w:bottom w:val="single" w:color="auto" w:sz="4" w:space="0"/>
              <w:right w:val="single" w:color="auto" w:sz="8" w:space="0"/>
            </w:tcBorders>
            <w:noWrap w:val="0"/>
            <w:vAlign w:val="center"/>
          </w:tcPr>
          <w:p w14:paraId="67D214A9">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r>
      <w:tr w14:paraId="28A6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restart"/>
            <w:tcBorders>
              <w:left w:val="single" w:color="auto" w:sz="8" w:space="0"/>
              <w:right w:val="single" w:color="auto" w:sz="4" w:space="0"/>
            </w:tcBorders>
            <w:noWrap w:val="0"/>
            <w:vAlign w:val="center"/>
          </w:tcPr>
          <w:p w14:paraId="2B8C31B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搜索欲</w:t>
            </w:r>
          </w:p>
        </w:tc>
        <w:tc>
          <w:tcPr>
            <w:tcW w:w="869" w:type="dxa"/>
            <w:tcBorders>
              <w:left w:val="single" w:color="auto" w:sz="4" w:space="0"/>
              <w:bottom w:val="single" w:color="auto" w:sz="4" w:space="0"/>
              <w:right w:val="single" w:color="auto" w:sz="4" w:space="0"/>
            </w:tcBorders>
            <w:noWrap w:val="0"/>
            <w:tcMar>
              <w:left w:w="0" w:type="dxa"/>
              <w:right w:w="0" w:type="dxa"/>
            </w:tcMar>
            <w:vAlign w:val="center"/>
          </w:tcPr>
          <w:p w14:paraId="2AF7FFD4">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2546" w:type="dxa"/>
            <w:gridSpan w:val="3"/>
            <w:tcBorders>
              <w:left w:val="single" w:color="auto" w:sz="4" w:space="0"/>
              <w:bottom w:val="single" w:color="auto" w:sz="4" w:space="0"/>
              <w:right w:val="single" w:color="auto" w:sz="4" w:space="0"/>
            </w:tcBorders>
            <w:noWrap w:val="0"/>
            <w:vAlign w:val="center"/>
          </w:tcPr>
          <w:p w14:paraId="33B9645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搜索欲望</w:t>
            </w:r>
          </w:p>
        </w:tc>
        <w:tc>
          <w:tcPr>
            <w:tcW w:w="3418" w:type="dxa"/>
            <w:gridSpan w:val="4"/>
            <w:tcBorders>
              <w:left w:val="single" w:color="auto" w:sz="4" w:space="0"/>
              <w:bottom w:val="single" w:color="auto" w:sz="4" w:space="0"/>
              <w:right w:val="single" w:color="auto" w:sz="4" w:space="0"/>
            </w:tcBorders>
            <w:noWrap w:val="0"/>
            <w:vAlign w:val="center"/>
          </w:tcPr>
          <w:p w14:paraId="036BC47E">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搜索能力</w:t>
            </w:r>
          </w:p>
        </w:tc>
        <w:tc>
          <w:tcPr>
            <w:tcW w:w="893" w:type="dxa"/>
            <w:tcBorders>
              <w:left w:val="single" w:color="auto" w:sz="4" w:space="0"/>
              <w:bottom w:val="single" w:color="auto" w:sz="4" w:space="0"/>
              <w:right w:val="single" w:color="auto" w:sz="8" w:space="0"/>
            </w:tcBorders>
            <w:noWrap w:val="0"/>
            <w:vAlign w:val="center"/>
          </w:tcPr>
          <w:p w14:paraId="3AE0FD5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小计</w:t>
            </w:r>
          </w:p>
        </w:tc>
      </w:tr>
      <w:tr w14:paraId="1C7A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continue"/>
            <w:tcBorders>
              <w:left w:val="single" w:color="auto" w:sz="8" w:space="0"/>
              <w:bottom w:val="single" w:color="auto" w:sz="4" w:space="0"/>
              <w:right w:val="single" w:color="auto" w:sz="4" w:space="0"/>
            </w:tcBorders>
            <w:noWrap w:val="0"/>
            <w:vAlign w:val="center"/>
          </w:tcPr>
          <w:p w14:paraId="08060CE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69" w:type="dxa"/>
            <w:tcBorders>
              <w:left w:val="single" w:color="auto" w:sz="4" w:space="0"/>
              <w:bottom w:val="single" w:color="auto" w:sz="4" w:space="0"/>
              <w:right w:val="single" w:color="auto" w:sz="4" w:space="0"/>
            </w:tcBorders>
            <w:noWrap w:val="0"/>
            <w:tcMar>
              <w:left w:w="0" w:type="dxa"/>
              <w:right w:w="0" w:type="dxa"/>
            </w:tcMar>
            <w:vAlign w:val="center"/>
          </w:tcPr>
          <w:p w14:paraId="58269C28">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得分</w:t>
            </w:r>
          </w:p>
        </w:tc>
        <w:tc>
          <w:tcPr>
            <w:tcW w:w="2546" w:type="dxa"/>
            <w:gridSpan w:val="3"/>
            <w:tcBorders>
              <w:left w:val="single" w:color="auto" w:sz="4" w:space="0"/>
              <w:bottom w:val="single" w:color="auto" w:sz="4" w:space="0"/>
              <w:right w:val="single" w:color="auto" w:sz="4" w:space="0"/>
            </w:tcBorders>
            <w:noWrap w:val="0"/>
            <w:vAlign w:val="center"/>
          </w:tcPr>
          <w:p w14:paraId="5362B7E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418" w:type="dxa"/>
            <w:gridSpan w:val="4"/>
            <w:tcBorders>
              <w:left w:val="single" w:color="auto" w:sz="4" w:space="0"/>
              <w:bottom w:val="single" w:color="auto" w:sz="4" w:space="0"/>
              <w:right w:val="single" w:color="auto" w:sz="4" w:space="0"/>
            </w:tcBorders>
            <w:noWrap w:val="0"/>
            <w:vAlign w:val="center"/>
          </w:tcPr>
          <w:p w14:paraId="25173EE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93" w:type="dxa"/>
            <w:tcBorders>
              <w:left w:val="single" w:color="auto" w:sz="4" w:space="0"/>
              <w:bottom w:val="single" w:color="auto" w:sz="4" w:space="0"/>
              <w:right w:val="single" w:color="auto" w:sz="8" w:space="0"/>
            </w:tcBorders>
            <w:noWrap w:val="0"/>
            <w:vAlign w:val="center"/>
          </w:tcPr>
          <w:p w14:paraId="501B9B76">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r>
      <w:tr w14:paraId="0F30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tcBorders>
              <w:top w:val="single" w:color="auto" w:sz="4" w:space="0"/>
              <w:left w:val="single" w:color="auto" w:sz="8" w:space="0"/>
              <w:bottom w:val="single" w:color="auto" w:sz="4" w:space="0"/>
              <w:right w:val="single" w:color="auto" w:sz="4" w:space="0"/>
            </w:tcBorders>
            <w:noWrap w:val="0"/>
            <w:vAlign w:val="center"/>
          </w:tcPr>
          <w:p w14:paraId="08FE52B2">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总分</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31C3753">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建议训练方向</w:t>
            </w:r>
          </w:p>
        </w:tc>
        <w:tc>
          <w:tcPr>
            <w:tcW w:w="2547" w:type="dxa"/>
            <w:gridSpan w:val="3"/>
            <w:tcBorders>
              <w:top w:val="single" w:color="auto" w:sz="4" w:space="0"/>
              <w:left w:val="single" w:color="auto" w:sz="4" w:space="0"/>
              <w:bottom w:val="single" w:color="auto" w:sz="4" w:space="0"/>
              <w:right w:val="single" w:color="auto" w:sz="4" w:space="0"/>
            </w:tcBorders>
            <w:noWrap w:val="0"/>
            <w:vAlign w:val="center"/>
          </w:tcPr>
          <w:p w14:paraId="5127CBBA">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考核验收结果</w:t>
            </w:r>
          </w:p>
        </w:tc>
        <w:tc>
          <w:tcPr>
            <w:tcW w:w="3441" w:type="dxa"/>
            <w:gridSpan w:val="4"/>
            <w:vMerge w:val="restart"/>
            <w:tcBorders>
              <w:top w:val="single" w:color="auto" w:sz="4" w:space="0"/>
              <w:left w:val="single" w:color="auto" w:sz="4" w:space="0"/>
              <w:bottom w:val="single" w:color="auto" w:sz="8" w:space="0"/>
              <w:right w:val="single" w:color="auto" w:sz="8" w:space="0"/>
            </w:tcBorders>
            <w:noWrap w:val="0"/>
            <w:vAlign w:val="center"/>
          </w:tcPr>
          <w:p w14:paraId="4F703484">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考核人签字：</w:t>
            </w:r>
          </w:p>
        </w:tc>
      </w:tr>
      <w:tr w14:paraId="0CA8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tcBorders>
              <w:top w:val="single" w:color="auto" w:sz="4" w:space="0"/>
              <w:left w:val="single" w:color="auto" w:sz="8" w:space="0"/>
              <w:bottom w:val="single" w:color="auto" w:sz="8" w:space="0"/>
              <w:right w:val="single" w:color="auto" w:sz="4" w:space="0"/>
            </w:tcBorders>
            <w:noWrap w:val="0"/>
            <w:vAlign w:val="center"/>
          </w:tcPr>
          <w:p w14:paraId="72E67E2B">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38" w:type="dxa"/>
            <w:gridSpan w:val="2"/>
            <w:tcBorders>
              <w:top w:val="single" w:color="auto" w:sz="4" w:space="0"/>
              <w:left w:val="single" w:color="auto" w:sz="4" w:space="0"/>
              <w:bottom w:val="single" w:color="auto" w:sz="8" w:space="0"/>
              <w:right w:val="single" w:color="auto" w:sz="4" w:space="0"/>
            </w:tcBorders>
            <w:noWrap w:val="0"/>
            <w:vAlign w:val="center"/>
          </w:tcPr>
          <w:p w14:paraId="2932D2D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547" w:type="dxa"/>
            <w:gridSpan w:val="3"/>
            <w:tcBorders>
              <w:top w:val="single" w:color="auto" w:sz="4" w:space="0"/>
              <w:left w:val="single" w:color="auto" w:sz="4" w:space="0"/>
              <w:bottom w:val="single" w:color="auto" w:sz="8" w:space="0"/>
              <w:right w:val="single" w:color="auto" w:sz="4" w:space="0"/>
            </w:tcBorders>
            <w:noWrap w:val="0"/>
            <w:vAlign w:val="center"/>
          </w:tcPr>
          <w:p w14:paraId="201ED061">
            <w:pPr>
              <w:pageBreakBefore w:val="0"/>
              <w:numPr>
                <w:ilvl w:val="-1"/>
                <w:numId w:val="0"/>
              </w:numPr>
              <w:wordWrap/>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441" w:type="dxa"/>
            <w:gridSpan w:val="4"/>
            <w:vMerge w:val="continue"/>
            <w:tcBorders>
              <w:top w:val="single" w:color="auto" w:sz="8" w:space="0"/>
              <w:left w:val="single" w:color="auto" w:sz="4" w:space="0"/>
              <w:bottom w:val="single" w:color="auto" w:sz="8" w:space="0"/>
              <w:right w:val="single" w:color="auto" w:sz="8" w:space="0"/>
            </w:tcBorders>
            <w:noWrap w:val="0"/>
            <w:vAlign w:val="center"/>
          </w:tcPr>
          <w:p w14:paraId="77BC7527">
            <w:pPr>
              <w:pageBreakBefore w:val="0"/>
              <w:numPr>
                <w:ilvl w:val="-1"/>
                <w:numId w:val="0"/>
              </w:numPr>
              <w:wordWrap/>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r>
    </w:tbl>
    <w:p w14:paraId="07FEC835">
      <w:pPr>
        <w:pageBreakBefore w:val="0"/>
        <w:numPr>
          <w:ilvl w:val="-1"/>
          <w:numId w:val="0"/>
        </w:numPr>
        <w:wordWrap/>
        <w:overflowPunct/>
        <w:topLinePunct w:val="0"/>
        <w:bidi w:val="0"/>
        <w:adjustRightInd/>
        <w:spacing w:line="0" w:lineRule="atLeast"/>
        <w:ind w:firstLine="480" w:firstLineChars="200"/>
        <w:textAlignment w:val="auto"/>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kern w:val="2"/>
          <w:sz w:val="24"/>
          <w:szCs w:val="24"/>
          <w:highlight w:val="none"/>
        </w:rPr>
        <w:t>注：总分为100分。德国牧羊犬、马里努阿犬、昆明犬的发育状况、体能测试、服从性、衔取欲、胆量五部分考核分值各为20分。史宾格犬考核分值为：衔取欲、胆量各20分，发育状况、体能测试、服从性、占有欲或搜索欲各15分。考核验收结果判定标准为：考核总分59分以下为不合格，60—79分为基本合格，80分以上为合格。</w:t>
      </w:r>
    </w:p>
    <w:p w14:paraId="2CFC952C">
      <w:pPr>
        <w:pStyle w:val="21"/>
        <w:keepNext w:val="0"/>
        <w:keepLines w:val="0"/>
        <w:pageBreakBefore w:val="0"/>
        <w:wordWrap/>
        <w:overflowPunct/>
        <w:topLinePunct w:val="0"/>
        <w:autoSpaceDE w:val="0"/>
        <w:autoSpaceDN w:val="0"/>
        <w:bidi w:val="0"/>
        <w:snapToGrid w:val="0"/>
        <w:spacing w:line="0" w:lineRule="atLeast"/>
        <w:ind w:firstLine="482" w:firstLineChars="200"/>
        <w:jc w:val="both"/>
        <w:outlineLvl w:val="1"/>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rPr>
        <w:t>六</w:t>
      </w:r>
      <w:r>
        <w:rPr>
          <w:rFonts w:hint="eastAsia" w:ascii="仿宋" w:hAnsi="仿宋" w:eastAsia="仿宋" w:cs="仿宋"/>
          <w:b/>
          <w:bCs/>
          <w:color w:val="auto"/>
          <w:kern w:val="2"/>
          <w:sz w:val="24"/>
          <w:szCs w:val="24"/>
          <w:highlight w:val="none"/>
        </w:rPr>
        <w:t>、</w:t>
      </w:r>
      <w:r>
        <w:rPr>
          <w:rFonts w:hint="eastAsia" w:ascii="仿宋" w:hAnsi="仿宋" w:eastAsia="仿宋" w:cs="仿宋"/>
          <w:b/>
          <w:bCs/>
          <w:color w:val="auto"/>
          <w:kern w:val="2"/>
          <w:sz w:val="24"/>
          <w:szCs w:val="24"/>
          <w:highlight w:val="none"/>
          <w:lang w:val="en-US" w:eastAsia="zh-CN"/>
        </w:rPr>
        <w:t>履约</w:t>
      </w:r>
      <w:r>
        <w:rPr>
          <w:rFonts w:hint="eastAsia" w:ascii="仿宋" w:hAnsi="仿宋" w:eastAsia="仿宋" w:cs="仿宋"/>
          <w:b/>
          <w:bCs/>
          <w:color w:val="auto"/>
          <w:kern w:val="2"/>
          <w:sz w:val="24"/>
          <w:szCs w:val="24"/>
          <w:highlight w:val="none"/>
        </w:rPr>
        <w:t>验收方式、程序及</w:t>
      </w:r>
      <w:bookmarkEnd w:id="67"/>
      <w:r>
        <w:rPr>
          <w:rFonts w:hint="eastAsia" w:ascii="仿宋" w:hAnsi="仿宋" w:eastAsia="仿宋" w:cs="仿宋"/>
          <w:b/>
          <w:bCs/>
          <w:color w:val="auto"/>
          <w:kern w:val="2"/>
          <w:sz w:val="24"/>
          <w:szCs w:val="24"/>
          <w:highlight w:val="none"/>
        </w:rPr>
        <w:t>标准</w:t>
      </w:r>
    </w:p>
    <w:p w14:paraId="47FCCE9C">
      <w:pPr>
        <w:keepNext w:val="0"/>
        <w:keepLines w:val="0"/>
        <w:pageBreakBefore w:val="0"/>
        <w:widowControl w:val="0"/>
        <w:numPr>
          <w:ilvl w:val="0"/>
          <w:numId w:val="0"/>
        </w:numPr>
        <w:wordWrap/>
        <w:overflowPunct/>
        <w:topLinePunct w:val="0"/>
        <w:autoSpaceDE w:val="0"/>
        <w:autoSpaceDN w:val="0"/>
        <w:bidi w:val="0"/>
        <w:adjustRightInd/>
        <w:snapToGrid/>
        <w:spacing w:line="0" w:lineRule="atLeast"/>
        <w:ind w:firstLine="480" w:firstLineChars="200"/>
        <w:jc w:val="both"/>
        <w:textAlignment w:val="auto"/>
        <w:outlineLvl w:val="9"/>
        <w:rPr>
          <w:rFonts w:hint="default" w:ascii="仿宋" w:hAnsi="仿宋" w:eastAsia="仿宋" w:cs="仿宋"/>
          <w:b w:val="0"/>
          <w:bCs w:val="0"/>
          <w:snapToGrid/>
          <w:color w:val="auto"/>
          <w:kern w:val="2"/>
          <w:sz w:val="24"/>
          <w:szCs w:val="24"/>
          <w:highlight w:val="none"/>
          <w:lang w:val="en-US" w:eastAsia="zh-CN" w:bidi="ar-SA"/>
        </w:rPr>
      </w:pPr>
      <w:bookmarkStart w:id="68" w:name="_Toc31711"/>
      <w:r>
        <w:rPr>
          <w:rFonts w:hint="eastAsia" w:ascii="仿宋" w:hAnsi="仿宋" w:eastAsia="仿宋" w:cs="仿宋"/>
          <w:b w:val="0"/>
          <w:bCs w:val="0"/>
          <w:snapToGrid/>
          <w:color w:val="auto"/>
          <w:kern w:val="2"/>
          <w:sz w:val="24"/>
          <w:szCs w:val="24"/>
          <w:highlight w:val="none"/>
          <w:lang w:val="en-US" w:eastAsia="zh-CN" w:bidi="ar-SA"/>
        </w:rPr>
        <w:t>1</w:t>
      </w:r>
      <w:r>
        <w:rPr>
          <w:rFonts w:hint="default" w:ascii="仿宋" w:hAnsi="仿宋" w:eastAsia="仿宋" w:cs="仿宋"/>
          <w:b w:val="0"/>
          <w:bCs w:val="0"/>
          <w:snapToGrid/>
          <w:color w:val="auto"/>
          <w:kern w:val="2"/>
          <w:sz w:val="24"/>
          <w:szCs w:val="24"/>
          <w:highlight w:val="none"/>
          <w:lang w:val="en-US" w:eastAsia="zh-CN" w:bidi="ar-SA"/>
        </w:rPr>
        <w:t>.履约验收方式</w:t>
      </w:r>
    </w:p>
    <w:p w14:paraId="51ADFD94">
      <w:pPr>
        <w:keepNext w:val="0"/>
        <w:keepLines w:val="0"/>
        <w:pageBreakBefore w:val="0"/>
        <w:widowControl w:val="0"/>
        <w:numPr>
          <w:ilvl w:val="0"/>
          <w:numId w:val="0"/>
        </w:numPr>
        <w:wordWrap/>
        <w:overflowPunct/>
        <w:topLinePunct w:val="0"/>
        <w:autoSpaceDE w:val="0"/>
        <w:autoSpaceDN w:val="0"/>
        <w:bidi w:val="0"/>
        <w:adjustRightInd/>
        <w:snapToGrid/>
        <w:spacing w:line="0" w:lineRule="atLeast"/>
        <w:ind w:firstLine="480" w:firstLineChars="200"/>
        <w:jc w:val="both"/>
        <w:textAlignment w:val="auto"/>
        <w:rPr>
          <w:rFonts w:hint="default" w:ascii="仿宋" w:hAnsi="仿宋" w:eastAsia="仿宋" w:cs="仿宋"/>
          <w:b w:val="0"/>
          <w:bCs w:val="0"/>
          <w:snapToGrid/>
          <w:color w:val="auto"/>
          <w:kern w:val="2"/>
          <w:sz w:val="24"/>
          <w:szCs w:val="24"/>
          <w:highlight w:val="none"/>
          <w:lang w:val="en-US" w:eastAsia="zh-CN" w:bidi="ar-SA"/>
        </w:rPr>
      </w:pPr>
      <w:r>
        <w:rPr>
          <w:rFonts w:hint="default" w:ascii="仿宋" w:hAnsi="仿宋" w:eastAsia="仿宋" w:cs="仿宋"/>
          <w:b w:val="0"/>
          <w:bCs w:val="0"/>
          <w:snapToGrid/>
          <w:color w:val="auto"/>
          <w:kern w:val="2"/>
          <w:sz w:val="24"/>
          <w:szCs w:val="24"/>
          <w:highlight w:val="none"/>
          <w:lang w:val="en-US" w:eastAsia="zh-CN" w:bidi="ar-SA"/>
        </w:rPr>
        <w:t>启用一般程序由警犬训练基地牵头组织验收，按供货批次开展验收，验收由</w:t>
      </w:r>
      <w:r>
        <w:rPr>
          <w:rFonts w:hint="eastAsia" w:ascii="仿宋" w:hAnsi="仿宋" w:eastAsia="仿宋" w:cs="仿宋"/>
          <w:b w:val="0"/>
          <w:bCs w:val="0"/>
          <w:snapToGrid/>
          <w:color w:val="auto"/>
          <w:kern w:val="2"/>
          <w:sz w:val="24"/>
          <w:szCs w:val="24"/>
          <w:highlight w:val="none"/>
          <w:lang w:val="en-US" w:eastAsia="zh-CN" w:bidi="ar-SA"/>
        </w:rPr>
        <w:t>边境管理处</w:t>
      </w:r>
      <w:r>
        <w:rPr>
          <w:rFonts w:hint="default" w:ascii="仿宋" w:hAnsi="仿宋" w:eastAsia="仿宋" w:cs="仿宋"/>
          <w:b w:val="0"/>
          <w:bCs w:val="0"/>
          <w:snapToGrid/>
          <w:color w:val="auto"/>
          <w:kern w:val="2"/>
          <w:sz w:val="24"/>
          <w:szCs w:val="24"/>
          <w:highlight w:val="none"/>
          <w:lang w:val="en-US" w:eastAsia="zh-CN" w:bidi="ar-SA"/>
        </w:rPr>
        <w:t>牵头，</w:t>
      </w:r>
      <w:r>
        <w:rPr>
          <w:rFonts w:hint="eastAsia" w:ascii="仿宋" w:hAnsi="仿宋" w:eastAsia="仿宋" w:cs="仿宋"/>
          <w:b w:val="0"/>
          <w:bCs w:val="0"/>
          <w:snapToGrid/>
          <w:color w:val="auto"/>
          <w:kern w:val="2"/>
          <w:sz w:val="24"/>
          <w:szCs w:val="24"/>
          <w:highlight w:val="none"/>
          <w:lang w:val="en-US" w:eastAsia="zh-CN" w:bidi="ar-SA"/>
        </w:rPr>
        <w:t>警犬训练基地、</w:t>
      </w:r>
      <w:r>
        <w:rPr>
          <w:rFonts w:hint="default" w:ascii="仿宋" w:hAnsi="仿宋" w:eastAsia="仿宋" w:cs="仿宋"/>
          <w:b w:val="0"/>
          <w:bCs w:val="0"/>
          <w:snapToGrid/>
          <w:color w:val="auto"/>
          <w:kern w:val="2"/>
          <w:sz w:val="24"/>
          <w:szCs w:val="24"/>
          <w:highlight w:val="none"/>
          <w:lang w:val="en-US" w:eastAsia="zh-CN" w:bidi="ar-SA"/>
        </w:rPr>
        <w:t xml:space="preserve">督察队、法制处、后勤保障处采购组组成验收小组开展验收，期间对应合同约定要求实地核查核对代训警犬数量、品种、履约过程资料等内容。                                             </w:t>
      </w:r>
    </w:p>
    <w:p w14:paraId="6BF430E7">
      <w:pPr>
        <w:keepNext w:val="0"/>
        <w:keepLines w:val="0"/>
        <w:pageBreakBefore w:val="0"/>
        <w:widowControl w:val="0"/>
        <w:numPr>
          <w:ilvl w:val="0"/>
          <w:numId w:val="0"/>
        </w:numPr>
        <w:wordWrap/>
        <w:overflowPunct/>
        <w:topLinePunct w:val="0"/>
        <w:autoSpaceDE w:val="0"/>
        <w:autoSpaceDN w:val="0"/>
        <w:bidi w:val="0"/>
        <w:adjustRightInd/>
        <w:snapToGrid/>
        <w:spacing w:line="0" w:lineRule="atLeast"/>
        <w:ind w:firstLine="480" w:firstLineChars="200"/>
        <w:jc w:val="both"/>
        <w:textAlignment w:val="auto"/>
        <w:outlineLvl w:val="2"/>
        <w:rPr>
          <w:rFonts w:hint="default" w:ascii="仿宋" w:hAnsi="仿宋" w:eastAsia="仿宋" w:cs="仿宋"/>
          <w:b w:val="0"/>
          <w:bCs w:val="0"/>
          <w:snapToGrid/>
          <w:color w:val="auto"/>
          <w:kern w:val="2"/>
          <w:sz w:val="24"/>
          <w:szCs w:val="24"/>
          <w:highlight w:val="none"/>
          <w:lang w:val="en-US" w:eastAsia="zh-CN" w:bidi="ar-SA"/>
        </w:rPr>
      </w:pPr>
      <w:r>
        <w:rPr>
          <w:rFonts w:hint="eastAsia" w:ascii="仿宋" w:hAnsi="仿宋" w:eastAsia="仿宋" w:cs="仿宋"/>
          <w:b w:val="0"/>
          <w:bCs w:val="0"/>
          <w:snapToGrid/>
          <w:color w:val="auto"/>
          <w:kern w:val="2"/>
          <w:sz w:val="24"/>
          <w:szCs w:val="24"/>
          <w:highlight w:val="none"/>
          <w:lang w:val="en-US" w:eastAsia="zh-CN" w:bidi="ar-SA"/>
        </w:rPr>
        <w:t>2</w:t>
      </w:r>
      <w:r>
        <w:rPr>
          <w:rFonts w:hint="default" w:ascii="仿宋" w:hAnsi="仿宋" w:eastAsia="仿宋" w:cs="仿宋"/>
          <w:b w:val="0"/>
          <w:bCs w:val="0"/>
          <w:snapToGrid/>
          <w:color w:val="auto"/>
          <w:kern w:val="2"/>
          <w:sz w:val="24"/>
          <w:szCs w:val="24"/>
          <w:highlight w:val="none"/>
          <w:lang w:val="en-US" w:eastAsia="zh-CN" w:bidi="ar-SA"/>
        </w:rPr>
        <w:t xml:space="preserve">.履约验收程序                                         </w:t>
      </w:r>
    </w:p>
    <w:p w14:paraId="31C316B0">
      <w:pPr>
        <w:pStyle w:val="19"/>
        <w:keepNext w:val="0"/>
        <w:keepLines w:val="0"/>
        <w:pageBreakBefore w:val="0"/>
        <w:widowControl/>
        <w:kinsoku w:val="0"/>
        <w:wordWrap/>
        <w:overflowPunct/>
        <w:topLinePunct w:val="0"/>
        <w:autoSpaceDE w:val="0"/>
        <w:autoSpaceDN w:val="0"/>
        <w:bidi w:val="0"/>
        <w:adjustRightInd w:val="0"/>
        <w:snapToGrid w:val="0"/>
        <w:spacing w:before="38" w:line="0" w:lineRule="atLeast"/>
        <w:ind w:right="113" w:firstLine="240" w:firstLineChars="100"/>
        <w:jc w:val="both"/>
        <w:textAlignment w:val="baseline"/>
        <w:rPr>
          <w:rFonts w:hint="default" w:ascii="仿宋" w:hAnsi="仿宋" w:eastAsia="仿宋" w:cs="仿宋"/>
          <w:b w:val="0"/>
          <w:bCs w:val="0"/>
          <w:snapToGrid/>
          <w:color w:val="auto"/>
          <w:kern w:val="2"/>
          <w:sz w:val="24"/>
          <w:szCs w:val="24"/>
          <w:highlight w:val="none"/>
          <w:lang w:val="en-US" w:eastAsia="zh-CN" w:bidi="ar-SA"/>
        </w:rPr>
      </w:pPr>
      <w:r>
        <w:rPr>
          <w:rFonts w:hint="default" w:ascii="仿宋" w:hAnsi="仿宋" w:eastAsia="仿宋" w:cs="仿宋"/>
          <w:b w:val="0"/>
          <w:bCs w:val="0"/>
          <w:snapToGrid/>
          <w:color w:val="auto"/>
          <w:kern w:val="2"/>
          <w:sz w:val="24"/>
          <w:szCs w:val="24"/>
          <w:highlight w:val="none"/>
          <w:lang w:val="en-US" w:eastAsia="zh-CN" w:bidi="ar-SA"/>
        </w:rPr>
        <w:t>（1）提交验收申请。按照甲方要求完成第一批、第二批供货并度过犬只环境适应期后，乙方向甲方提出验收申请，甲方应收到验收申请后7个日历日内由</w:t>
      </w:r>
      <w:r>
        <w:rPr>
          <w:rFonts w:hint="eastAsia" w:ascii="仿宋" w:hAnsi="仿宋" w:eastAsia="仿宋" w:cs="仿宋"/>
          <w:b w:val="0"/>
          <w:bCs w:val="0"/>
          <w:snapToGrid/>
          <w:color w:val="auto"/>
          <w:kern w:val="2"/>
          <w:sz w:val="24"/>
          <w:szCs w:val="24"/>
          <w:highlight w:val="none"/>
          <w:lang w:val="en-US" w:eastAsia="zh-CN" w:bidi="ar-SA"/>
        </w:rPr>
        <w:t>边境管理处</w:t>
      </w:r>
      <w:r>
        <w:rPr>
          <w:rFonts w:hint="default" w:ascii="仿宋" w:hAnsi="仿宋" w:eastAsia="仿宋" w:cs="仿宋"/>
          <w:b w:val="0"/>
          <w:bCs w:val="0"/>
          <w:snapToGrid/>
          <w:color w:val="auto"/>
          <w:kern w:val="2"/>
          <w:sz w:val="24"/>
          <w:szCs w:val="24"/>
          <w:highlight w:val="none"/>
          <w:lang w:val="en-US" w:eastAsia="zh-CN" w:bidi="ar-SA"/>
        </w:rPr>
        <w:t>组织验收小组开展验收。</w:t>
      </w:r>
    </w:p>
    <w:p w14:paraId="45B80EA5">
      <w:pPr>
        <w:pStyle w:val="21"/>
        <w:keepNext w:val="0"/>
        <w:keepLines w:val="0"/>
        <w:pageBreakBefore w:val="0"/>
        <w:wordWrap/>
        <w:overflowPunct/>
        <w:topLinePunct w:val="0"/>
        <w:autoSpaceDE w:val="0"/>
        <w:autoSpaceDN w:val="0"/>
        <w:bidi w:val="0"/>
        <w:snapToGrid w:val="0"/>
        <w:spacing w:line="0" w:lineRule="atLeast"/>
        <w:ind w:firstLine="240" w:firstLineChars="100"/>
        <w:jc w:val="both"/>
        <w:rPr>
          <w:rFonts w:hint="default" w:ascii="仿宋" w:hAnsi="仿宋" w:eastAsia="仿宋" w:cs="仿宋"/>
          <w:b w:val="0"/>
          <w:bCs w:val="0"/>
          <w:snapToGrid/>
          <w:color w:val="auto"/>
          <w:kern w:val="2"/>
          <w:sz w:val="24"/>
          <w:szCs w:val="24"/>
          <w:highlight w:val="none"/>
          <w:lang w:val="en-US" w:eastAsia="zh-CN" w:bidi="ar-SA"/>
        </w:rPr>
      </w:pPr>
      <w:r>
        <w:rPr>
          <w:rFonts w:hint="default" w:ascii="仿宋" w:hAnsi="仿宋" w:eastAsia="仿宋" w:cs="仿宋"/>
          <w:b w:val="0"/>
          <w:bCs w:val="0"/>
          <w:snapToGrid/>
          <w:color w:val="auto"/>
          <w:kern w:val="2"/>
          <w:sz w:val="24"/>
          <w:szCs w:val="24"/>
          <w:highlight w:val="none"/>
          <w:lang w:val="en-US" w:eastAsia="zh-CN" w:bidi="ar-SA"/>
        </w:rPr>
        <w:t>（2）</w:t>
      </w:r>
      <w:r>
        <w:rPr>
          <w:rFonts w:hint="eastAsia" w:ascii="仿宋" w:hAnsi="仿宋" w:eastAsia="仿宋" w:cs="仿宋"/>
          <w:b w:val="0"/>
          <w:bCs w:val="0"/>
          <w:snapToGrid/>
          <w:color w:val="auto"/>
          <w:kern w:val="2"/>
          <w:sz w:val="24"/>
          <w:szCs w:val="24"/>
          <w:highlight w:val="none"/>
          <w:lang w:val="en-US" w:eastAsia="zh-CN" w:bidi="ar-SA"/>
        </w:rPr>
        <w:t>提供验收所需资料。乙方需在供货时一同准备齐全</w:t>
      </w:r>
      <w:r>
        <w:rPr>
          <w:rFonts w:hint="default" w:ascii="仿宋" w:hAnsi="仿宋" w:eastAsia="仿宋" w:cs="仿宋"/>
          <w:b w:val="0"/>
          <w:bCs w:val="0"/>
          <w:snapToGrid/>
          <w:color w:val="auto"/>
          <w:kern w:val="2"/>
          <w:sz w:val="24"/>
          <w:szCs w:val="24"/>
          <w:highlight w:val="none"/>
          <w:lang w:val="en-US" w:eastAsia="zh-CN" w:bidi="ar-SA"/>
        </w:rPr>
        <w:t>的验收资料，包括但不限于动物医院（具备动物诊疗许可证资质）合格的体检报告、档案、血统证书（中国工作犬管理协会出具）、犬只身份证明芯片</w:t>
      </w:r>
      <w:r>
        <w:rPr>
          <w:rFonts w:hint="eastAsia" w:ascii="仿宋" w:hAnsi="仿宋" w:eastAsia="仿宋" w:cs="仿宋"/>
          <w:b w:val="0"/>
          <w:bCs w:val="0"/>
          <w:snapToGrid/>
          <w:color w:val="auto"/>
          <w:kern w:val="2"/>
          <w:sz w:val="24"/>
          <w:szCs w:val="24"/>
          <w:highlight w:val="none"/>
          <w:lang w:val="en-US" w:eastAsia="zh-CN" w:bidi="ar-SA"/>
        </w:rPr>
        <w:t>（</w:t>
      </w:r>
      <w:r>
        <w:rPr>
          <w:rFonts w:hint="default" w:ascii="仿宋" w:hAnsi="仿宋" w:eastAsia="仿宋" w:cs="仿宋"/>
          <w:b w:val="0"/>
          <w:bCs w:val="0"/>
          <w:snapToGrid/>
          <w:color w:val="auto"/>
          <w:kern w:val="2"/>
          <w:sz w:val="24"/>
          <w:szCs w:val="24"/>
          <w:highlight w:val="none"/>
          <w:lang w:val="en-US" w:eastAsia="zh-CN" w:bidi="ar-SA"/>
        </w:rPr>
        <w:t>与血统证书信息相一致）、选犬记录、往来函件、供货履约时间说明或证明、适应期保障等相关资料。</w:t>
      </w:r>
    </w:p>
    <w:p w14:paraId="10537C5F">
      <w:pPr>
        <w:pStyle w:val="19"/>
        <w:keepNext w:val="0"/>
        <w:keepLines w:val="0"/>
        <w:pageBreakBefore w:val="0"/>
        <w:widowControl/>
        <w:kinsoku w:val="0"/>
        <w:wordWrap/>
        <w:overflowPunct/>
        <w:topLinePunct w:val="0"/>
        <w:autoSpaceDE w:val="0"/>
        <w:autoSpaceDN w:val="0"/>
        <w:bidi w:val="0"/>
        <w:adjustRightInd w:val="0"/>
        <w:snapToGrid w:val="0"/>
        <w:spacing w:before="38" w:line="0" w:lineRule="atLeast"/>
        <w:ind w:right="113" w:firstLine="240" w:firstLineChars="100"/>
        <w:jc w:val="both"/>
        <w:textAlignment w:val="baseline"/>
        <w:rPr>
          <w:rFonts w:hint="default" w:ascii="仿宋" w:hAnsi="仿宋" w:eastAsia="仿宋" w:cs="仿宋"/>
          <w:b w:val="0"/>
          <w:bCs w:val="0"/>
          <w:snapToGrid/>
          <w:color w:val="auto"/>
          <w:kern w:val="2"/>
          <w:sz w:val="24"/>
          <w:szCs w:val="24"/>
          <w:highlight w:val="none"/>
          <w:lang w:val="en-US" w:eastAsia="zh-CN" w:bidi="ar-SA"/>
        </w:rPr>
      </w:pPr>
      <w:r>
        <w:rPr>
          <w:rFonts w:hint="default" w:ascii="仿宋" w:hAnsi="仿宋" w:eastAsia="仿宋" w:cs="仿宋"/>
          <w:b w:val="0"/>
          <w:bCs w:val="0"/>
          <w:snapToGrid/>
          <w:color w:val="auto"/>
          <w:kern w:val="2"/>
          <w:sz w:val="24"/>
          <w:szCs w:val="24"/>
          <w:highlight w:val="none"/>
          <w:lang w:val="en-US" w:eastAsia="zh-CN" w:bidi="ar-SA"/>
        </w:rPr>
        <w:t>（3）开展验收。验收小组按照合同约定的内容对应乙方验收所供资料进行逐项核对开展项目验收。</w:t>
      </w:r>
    </w:p>
    <w:p w14:paraId="2AB09F72">
      <w:pPr>
        <w:pStyle w:val="19"/>
        <w:keepNext w:val="0"/>
        <w:keepLines w:val="0"/>
        <w:pageBreakBefore w:val="0"/>
        <w:widowControl/>
        <w:kinsoku w:val="0"/>
        <w:wordWrap/>
        <w:overflowPunct/>
        <w:topLinePunct w:val="0"/>
        <w:autoSpaceDE w:val="0"/>
        <w:autoSpaceDN w:val="0"/>
        <w:bidi w:val="0"/>
        <w:adjustRightInd w:val="0"/>
        <w:snapToGrid w:val="0"/>
        <w:spacing w:before="38" w:line="0" w:lineRule="atLeast"/>
        <w:ind w:right="113" w:firstLine="240" w:firstLineChars="100"/>
        <w:jc w:val="both"/>
        <w:textAlignment w:val="baseline"/>
        <w:rPr>
          <w:rFonts w:hint="default" w:ascii="仿宋" w:hAnsi="仿宋" w:eastAsia="仿宋" w:cs="仿宋"/>
          <w:b w:val="0"/>
          <w:bCs w:val="0"/>
          <w:snapToGrid/>
          <w:color w:val="auto"/>
          <w:kern w:val="2"/>
          <w:sz w:val="24"/>
          <w:szCs w:val="24"/>
          <w:highlight w:val="none"/>
          <w:lang w:val="en-US" w:eastAsia="zh-CN" w:bidi="ar-SA"/>
        </w:rPr>
      </w:pPr>
      <w:r>
        <w:rPr>
          <w:rFonts w:hint="default" w:ascii="仿宋" w:hAnsi="仿宋" w:eastAsia="仿宋" w:cs="仿宋"/>
          <w:b w:val="0"/>
          <w:bCs w:val="0"/>
          <w:snapToGrid/>
          <w:color w:val="auto"/>
          <w:kern w:val="2"/>
          <w:sz w:val="24"/>
          <w:szCs w:val="24"/>
          <w:highlight w:val="none"/>
          <w:lang w:val="en-US" w:eastAsia="zh-CN" w:bidi="ar-SA"/>
        </w:rPr>
        <w:t>（4）</w:t>
      </w:r>
      <w:r>
        <w:rPr>
          <w:rFonts w:hint="eastAsia" w:ascii="仿宋" w:hAnsi="仿宋" w:eastAsia="仿宋" w:cs="仿宋"/>
          <w:b w:val="0"/>
          <w:bCs w:val="0"/>
          <w:snapToGrid/>
          <w:color w:val="auto"/>
          <w:kern w:val="2"/>
          <w:sz w:val="24"/>
          <w:szCs w:val="24"/>
          <w:highlight w:val="none"/>
          <w:lang w:val="en-US" w:eastAsia="zh-CN" w:bidi="ar-SA"/>
        </w:rPr>
        <w:t>甲方应在7个日历日内完成验收，</w:t>
      </w:r>
      <w:r>
        <w:rPr>
          <w:rFonts w:hint="default" w:ascii="仿宋" w:hAnsi="仿宋" w:eastAsia="仿宋" w:cs="仿宋"/>
          <w:b w:val="0"/>
          <w:bCs w:val="0"/>
          <w:snapToGrid/>
          <w:color w:val="auto"/>
          <w:kern w:val="2"/>
          <w:sz w:val="24"/>
          <w:szCs w:val="24"/>
          <w:highlight w:val="none"/>
          <w:lang w:val="en-US" w:eastAsia="zh-CN" w:bidi="ar-SA"/>
        </w:rPr>
        <w:t>验收结束后，验收小组出具验收报告。验收小组成员根据验收情况明确验收意见，经甲乙双方确认后签字、盖章。</w:t>
      </w:r>
    </w:p>
    <w:p w14:paraId="1BEB4111">
      <w:pPr>
        <w:pStyle w:val="19"/>
        <w:keepNext w:val="0"/>
        <w:keepLines w:val="0"/>
        <w:pageBreakBefore w:val="0"/>
        <w:widowControl/>
        <w:kinsoku w:val="0"/>
        <w:wordWrap/>
        <w:overflowPunct/>
        <w:topLinePunct w:val="0"/>
        <w:autoSpaceDE w:val="0"/>
        <w:autoSpaceDN w:val="0"/>
        <w:bidi w:val="0"/>
        <w:adjustRightInd w:val="0"/>
        <w:snapToGrid w:val="0"/>
        <w:spacing w:before="38" w:line="0" w:lineRule="atLeast"/>
        <w:ind w:right="113" w:firstLine="240" w:firstLineChars="100"/>
        <w:jc w:val="both"/>
        <w:textAlignment w:val="baseline"/>
        <w:rPr>
          <w:rFonts w:hint="default" w:ascii="仿宋" w:hAnsi="仿宋" w:eastAsia="仿宋" w:cs="仿宋"/>
          <w:b w:val="0"/>
          <w:bCs w:val="0"/>
          <w:snapToGrid/>
          <w:color w:val="auto"/>
          <w:kern w:val="2"/>
          <w:sz w:val="24"/>
          <w:szCs w:val="24"/>
          <w:highlight w:val="none"/>
          <w:lang w:val="en-US" w:eastAsia="zh-CN" w:bidi="ar-SA"/>
        </w:rPr>
      </w:pPr>
      <w:r>
        <w:rPr>
          <w:rFonts w:hint="default" w:ascii="仿宋" w:hAnsi="仿宋" w:eastAsia="仿宋" w:cs="仿宋"/>
          <w:b w:val="0"/>
          <w:bCs w:val="0"/>
          <w:snapToGrid/>
          <w:color w:val="auto"/>
          <w:kern w:val="2"/>
          <w:sz w:val="24"/>
          <w:szCs w:val="24"/>
          <w:highlight w:val="none"/>
          <w:lang w:val="en-US" w:eastAsia="zh-CN" w:bidi="ar-SA"/>
        </w:rPr>
        <w:t>（5）验收不合格的处理。履约验收不合格的，</w:t>
      </w:r>
      <w:r>
        <w:rPr>
          <w:rFonts w:hint="eastAsia" w:ascii="仿宋" w:hAnsi="仿宋" w:eastAsia="仿宋" w:cs="仿宋"/>
          <w:b w:val="0"/>
          <w:bCs w:val="0"/>
          <w:snapToGrid/>
          <w:color w:val="auto"/>
          <w:kern w:val="2"/>
          <w:sz w:val="24"/>
          <w:szCs w:val="24"/>
          <w:highlight w:val="none"/>
          <w:lang w:val="en-US" w:eastAsia="zh-CN" w:bidi="ar-SA"/>
        </w:rPr>
        <w:t>边境管理处</w:t>
      </w:r>
      <w:r>
        <w:rPr>
          <w:rFonts w:hint="default" w:ascii="仿宋" w:hAnsi="仿宋" w:eastAsia="仿宋" w:cs="仿宋"/>
          <w:b w:val="0"/>
          <w:bCs w:val="0"/>
          <w:snapToGrid/>
          <w:color w:val="auto"/>
          <w:kern w:val="2"/>
          <w:sz w:val="24"/>
          <w:szCs w:val="24"/>
          <w:highlight w:val="none"/>
          <w:lang w:val="en-US" w:eastAsia="zh-CN" w:bidi="ar-SA"/>
        </w:rPr>
        <w:t>向供应商发出整改通知书，明确整改时限和整改要求，整改结束后由乙方对接甲方验收组织主体重新验收。</w:t>
      </w:r>
    </w:p>
    <w:p w14:paraId="5BA09A22">
      <w:pPr>
        <w:pStyle w:val="19"/>
        <w:keepNext w:val="0"/>
        <w:keepLines w:val="0"/>
        <w:pageBreakBefore w:val="0"/>
        <w:widowControl/>
        <w:kinsoku w:val="0"/>
        <w:wordWrap/>
        <w:overflowPunct/>
        <w:topLinePunct w:val="0"/>
        <w:autoSpaceDE w:val="0"/>
        <w:autoSpaceDN w:val="0"/>
        <w:bidi w:val="0"/>
        <w:adjustRightInd w:val="0"/>
        <w:snapToGrid w:val="0"/>
        <w:spacing w:before="38" w:line="0" w:lineRule="atLeast"/>
        <w:ind w:right="113" w:firstLine="240" w:firstLineChars="100"/>
        <w:jc w:val="both"/>
        <w:textAlignment w:val="baseline"/>
        <w:rPr>
          <w:rFonts w:hint="default" w:ascii="仿宋" w:hAnsi="仿宋" w:eastAsia="仿宋" w:cs="仿宋"/>
          <w:b w:val="0"/>
          <w:bCs w:val="0"/>
          <w:snapToGrid/>
          <w:color w:val="auto"/>
          <w:kern w:val="2"/>
          <w:sz w:val="24"/>
          <w:szCs w:val="24"/>
          <w:highlight w:val="none"/>
          <w:lang w:val="en-US" w:eastAsia="zh-CN" w:bidi="ar-SA"/>
        </w:rPr>
      </w:pPr>
      <w:r>
        <w:rPr>
          <w:rFonts w:hint="default" w:ascii="仿宋" w:hAnsi="仿宋" w:eastAsia="仿宋" w:cs="仿宋"/>
          <w:b w:val="0"/>
          <w:bCs w:val="0"/>
          <w:snapToGrid/>
          <w:color w:val="auto"/>
          <w:kern w:val="2"/>
          <w:sz w:val="24"/>
          <w:szCs w:val="24"/>
          <w:highlight w:val="none"/>
          <w:lang w:val="en-US" w:eastAsia="zh-CN" w:bidi="ar-SA"/>
        </w:rPr>
        <w:t>（6）验收档案收集及保存。履约验收完成后，由</w:t>
      </w:r>
      <w:r>
        <w:rPr>
          <w:rFonts w:hint="eastAsia" w:ascii="仿宋" w:hAnsi="仿宋" w:eastAsia="仿宋" w:cs="仿宋"/>
          <w:b w:val="0"/>
          <w:bCs w:val="0"/>
          <w:snapToGrid/>
          <w:color w:val="auto"/>
          <w:kern w:val="2"/>
          <w:sz w:val="24"/>
          <w:szCs w:val="24"/>
          <w:highlight w:val="none"/>
          <w:lang w:val="en-US" w:eastAsia="zh-CN" w:bidi="ar-SA"/>
        </w:rPr>
        <w:t>边境管理处</w:t>
      </w:r>
      <w:r>
        <w:rPr>
          <w:rFonts w:hint="default" w:ascii="仿宋" w:hAnsi="仿宋" w:eastAsia="仿宋" w:cs="仿宋"/>
          <w:b w:val="0"/>
          <w:bCs w:val="0"/>
          <w:snapToGrid/>
          <w:color w:val="auto"/>
          <w:kern w:val="2"/>
          <w:sz w:val="24"/>
          <w:szCs w:val="24"/>
          <w:highlight w:val="none"/>
          <w:lang w:val="en-US" w:eastAsia="zh-CN" w:bidi="ar-SA"/>
        </w:rPr>
        <w:t xml:space="preserve">收集验收报告留存备查。   </w:t>
      </w:r>
    </w:p>
    <w:p w14:paraId="0433E464">
      <w:pPr>
        <w:pStyle w:val="19"/>
        <w:keepNext w:val="0"/>
        <w:keepLines w:val="0"/>
        <w:pageBreakBefore w:val="0"/>
        <w:widowControl/>
        <w:kinsoku w:val="0"/>
        <w:wordWrap/>
        <w:overflowPunct/>
        <w:topLinePunct w:val="0"/>
        <w:autoSpaceDE w:val="0"/>
        <w:autoSpaceDN w:val="0"/>
        <w:bidi w:val="0"/>
        <w:adjustRightInd w:val="0"/>
        <w:snapToGrid w:val="0"/>
        <w:spacing w:before="38" w:line="0" w:lineRule="atLeast"/>
        <w:ind w:right="113" w:firstLine="480" w:firstLineChars="200"/>
        <w:jc w:val="both"/>
        <w:textAlignment w:val="baseline"/>
        <w:rPr>
          <w:rFonts w:hint="default" w:ascii="仿宋" w:hAnsi="仿宋" w:eastAsia="仿宋" w:cs="仿宋"/>
          <w:b w:val="0"/>
          <w:bCs w:val="0"/>
          <w:snapToGrid/>
          <w:color w:val="auto"/>
          <w:kern w:val="2"/>
          <w:sz w:val="24"/>
          <w:szCs w:val="24"/>
          <w:highlight w:val="none"/>
          <w:lang w:val="en-US" w:eastAsia="zh-CN" w:bidi="ar-SA"/>
        </w:rPr>
      </w:pPr>
      <w:r>
        <w:rPr>
          <w:rFonts w:hint="default" w:ascii="仿宋" w:hAnsi="仿宋" w:eastAsia="仿宋" w:cs="仿宋"/>
          <w:b w:val="0"/>
          <w:bCs w:val="0"/>
          <w:snapToGrid/>
          <w:color w:val="auto"/>
          <w:kern w:val="2"/>
          <w:sz w:val="24"/>
          <w:szCs w:val="24"/>
          <w:highlight w:val="none"/>
          <w:lang w:val="en-US" w:eastAsia="zh-CN" w:bidi="ar-SA"/>
        </w:rPr>
        <w:t>3、验收合格标准：</w:t>
      </w:r>
    </w:p>
    <w:p w14:paraId="67F85D93">
      <w:pPr>
        <w:keepNext w:val="0"/>
        <w:keepLines w:val="0"/>
        <w:pageBreakBefore w:val="0"/>
        <w:widowControl w:val="0"/>
        <w:numPr>
          <w:ilvl w:val="0"/>
          <w:numId w:val="0"/>
        </w:numPr>
        <w:wordWrap/>
        <w:overflowPunct/>
        <w:topLinePunct w:val="0"/>
        <w:autoSpaceDE w:val="0"/>
        <w:autoSpaceDN w:val="0"/>
        <w:bidi w:val="0"/>
        <w:adjustRightInd/>
        <w:snapToGrid/>
        <w:spacing w:line="0" w:lineRule="atLeast"/>
        <w:ind w:firstLine="480" w:firstLineChars="200"/>
        <w:jc w:val="both"/>
        <w:textAlignment w:val="auto"/>
        <w:rPr>
          <w:rFonts w:hint="default" w:ascii="仿宋" w:hAnsi="仿宋" w:eastAsia="仿宋" w:cs="仿宋"/>
          <w:b w:val="0"/>
          <w:bCs w:val="0"/>
          <w:snapToGrid/>
          <w:color w:val="auto"/>
          <w:kern w:val="2"/>
          <w:sz w:val="24"/>
          <w:szCs w:val="24"/>
          <w:highlight w:val="none"/>
          <w:lang w:val="en-US" w:eastAsia="zh-CN" w:bidi="ar-SA"/>
        </w:rPr>
      </w:pPr>
      <w:r>
        <w:rPr>
          <w:rFonts w:hint="default" w:ascii="仿宋" w:hAnsi="仿宋" w:eastAsia="仿宋" w:cs="仿宋"/>
          <w:b w:val="0"/>
          <w:bCs w:val="0"/>
          <w:snapToGrid/>
          <w:color w:val="auto"/>
          <w:kern w:val="2"/>
          <w:sz w:val="24"/>
          <w:szCs w:val="24"/>
          <w:highlight w:val="none"/>
          <w:lang w:val="en-US" w:eastAsia="zh-CN" w:bidi="ar-SA"/>
        </w:rPr>
        <w:t>待训警犬数量、品种等符合采购需求，动物医院（具备动物诊疗许可证资质）出具的体检报告、档案、选犬记录、往来函件、供货履约时间说明或证明、适应期保障等相关资料齐全且达到采购及响应要求视为验收合格。</w:t>
      </w:r>
    </w:p>
    <w:bookmarkEnd w:id="68"/>
    <w:p w14:paraId="4985D541">
      <w:pPr>
        <w:pStyle w:val="21"/>
        <w:pageBreakBefore w:val="0"/>
        <w:wordWrap/>
        <w:overflowPunct/>
        <w:topLinePunct w:val="0"/>
        <w:bidi w:val="0"/>
        <w:snapToGrid w:val="0"/>
        <w:spacing w:line="0" w:lineRule="atLeast"/>
        <w:ind w:firstLine="482" w:firstLineChars="200"/>
        <w:jc w:val="both"/>
        <w:outlineLvl w:val="1"/>
        <w:rPr>
          <w:rFonts w:hint="eastAsia" w:ascii="仿宋" w:hAnsi="仿宋" w:eastAsia="仿宋" w:cs="仿宋"/>
          <w:b/>
          <w:bCs/>
          <w:color w:val="auto"/>
          <w:kern w:val="2"/>
          <w:sz w:val="24"/>
          <w:szCs w:val="24"/>
          <w:highlight w:val="none"/>
        </w:rPr>
      </w:pPr>
      <w:bookmarkStart w:id="69" w:name="_Toc7990"/>
      <w:r>
        <w:rPr>
          <w:rFonts w:hint="eastAsia" w:ascii="仿宋" w:hAnsi="仿宋" w:eastAsia="仿宋" w:cs="仿宋"/>
          <w:b/>
          <w:bCs/>
          <w:color w:val="auto"/>
          <w:kern w:val="2"/>
          <w:sz w:val="24"/>
          <w:szCs w:val="24"/>
          <w:highlight w:val="none"/>
          <w:lang w:val="en-US" w:eastAsia="zh-CN"/>
        </w:rPr>
        <w:t>七</w:t>
      </w:r>
      <w:r>
        <w:rPr>
          <w:rFonts w:hint="eastAsia" w:ascii="仿宋" w:hAnsi="仿宋" w:eastAsia="仿宋" w:cs="仿宋"/>
          <w:b/>
          <w:bCs/>
          <w:color w:val="auto"/>
          <w:kern w:val="2"/>
          <w:sz w:val="24"/>
          <w:szCs w:val="24"/>
          <w:highlight w:val="none"/>
        </w:rPr>
        <w:t>、质保</w:t>
      </w:r>
      <w:r>
        <w:rPr>
          <w:rFonts w:hint="eastAsia" w:ascii="仿宋" w:hAnsi="仿宋" w:eastAsia="仿宋" w:cs="仿宋"/>
          <w:b/>
          <w:bCs/>
          <w:color w:val="auto"/>
          <w:kern w:val="2"/>
          <w:sz w:val="24"/>
          <w:szCs w:val="24"/>
          <w:highlight w:val="none"/>
          <w:lang w:val="en-US" w:eastAsia="zh-CN"/>
        </w:rPr>
        <w:t>期</w:t>
      </w:r>
      <w:bookmarkEnd w:id="69"/>
    </w:p>
    <w:p w14:paraId="21704B30">
      <w:pPr>
        <w:keepNext w:val="0"/>
        <w:keepLines w:val="0"/>
        <w:pageBreakBefore w:val="0"/>
        <w:widowControl/>
        <w:numPr>
          <w:ilvl w:val="0"/>
          <w:numId w:val="0"/>
        </w:numPr>
        <w:kinsoku/>
        <w:wordWrap/>
        <w:overflowPunct/>
        <w:topLinePunct w:val="0"/>
        <w:autoSpaceDE/>
        <w:autoSpaceDN/>
        <w:bidi w:val="0"/>
        <w:adjustRightInd/>
        <w:snapToGrid/>
        <w:spacing w:line="0" w:lineRule="atLeast"/>
        <w:ind w:firstLine="480" w:firstLineChars="200"/>
        <w:jc w:val="both"/>
        <w:textAlignment w:val="auto"/>
        <w:rPr>
          <w:rFonts w:hint="default"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1、</w:t>
      </w:r>
      <w:r>
        <w:rPr>
          <w:rFonts w:hint="default" w:ascii="仿宋" w:hAnsi="仿宋" w:eastAsia="仿宋" w:cs="仿宋"/>
          <w:b w:val="0"/>
          <w:bCs w:val="0"/>
          <w:snapToGrid w:val="0"/>
          <w:color w:val="auto"/>
          <w:kern w:val="2"/>
          <w:sz w:val="24"/>
          <w:szCs w:val="24"/>
          <w:highlight w:val="none"/>
          <w:lang w:val="en-US" w:eastAsia="zh-CN" w:bidi="ar-SA"/>
        </w:rPr>
        <w:t>繁育种犬：质保期自验收合格之日起12个月；须满足本项目对应犬种繁殖性能要求，成功完成配种并生育幼崽，且幼崽断奶成活率≥80%；乙方驻场繁育指导服务至上述要求全部达标后方可结束。</w:t>
      </w:r>
      <w:r>
        <w:rPr>
          <w:rFonts w:hint="eastAsia" w:ascii="仿宋" w:hAnsi="仿宋" w:eastAsia="仿宋" w:cs="仿宋"/>
          <w:b w:val="0"/>
          <w:bCs w:val="0"/>
          <w:snapToGrid w:val="0"/>
          <w:color w:val="auto"/>
          <w:kern w:val="2"/>
          <w:sz w:val="24"/>
          <w:szCs w:val="24"/>
          <w:highlight w:val="none"/>
          <w:lang w:val="en-US" w:eastAsia="zh-CN" w:bidi="ar-SA"/>
        </w:rPr>
        <w:t>2、</w:t>
      </w:r>
      <w:r>
        <w:rPr>
          <w:rFonts w:hint="default" w:ascii="仿宋" w:hAnsi="仿宋" w:eastAsia="仿宋" w:cs="仿宋"/>
          <w:b w:val="0"/>
          <w:bCs w:val="0"/>
          <w:snapToGrid w:val="0"/>
          <w:color w:val="auto"/>
          <w:kern w:val="2"/>
          <w:sz w:val="24"/>
          <w:szCs w:val="24"/>
          <w:highlight w:val="none"/>
          <w:lang w:val="en-US" w:eastAsia="zh-CN" w:bidi="ar-SA"/>
        </w:rPr>
        <w:t>待训警犬：质保期自验收合格之日起4个月，乙方按约定履行质保期内全部义务。</w:t>
      </w:r>
    </w:p>
    <w:p w14:paraId="35DB4460">
      <w:pPr>
        <w:pStyle w:val="21"/>
        <w:pageBreakBefore w:val="0"/>
        <w:wordWrap/>
        <w:overflowPunct/>
        <w:topLinePunct w:val="0"/>
        <w:bidi w:val="0"/>
        <w:snapToGrid w:val="0"/>
        <w:spacing w:line="0" w:lineRule="atLeast"/>
        <w:ind w:firstLine="482" w:firstLineChars="200"/>
        <w:jc w:val="both"/>
        <w:outlineLvl w:val="1"/>
        <w:rPr>
          <w:rFonts w:hint="eastAsia" w:ascii="仿宋" w:hAnsi="仿宋" w:eastAsia="仿宋" w:cs="仿宋"/>
          <w:b/>
          <w:bCs/>
          <w:color w:val="auto"/>
          <w:kern w:val="2"/>
          <w:sz w:val="24"/>
          <w:szCs w:val="24"/>
          <w:highlight w:val="none"/>
        </w:rPr>
      </w:pPr>
      <w:bookmarkStart w:id="70" w:name="_Toc7945"/>
      <w:r>
        <w:rPr>
          <w:rFonts w:hint="eastAsia" w:ascii="仿宋" w:hAnsi="仿宋" w:eastAsia="仿宋" w:cs="仿宋"/>
          <w:b/>
          <w:bCs/>
          <w:color w:val="auto"/>
          <w:kern w:val="2"/>
          <w:sz w:val="24"/>
          <w:szCs w:val="24"/>
          <w:highlight w:val="none"/>
        </w:rPr>
        <w:t>八、售后服务标准要求</w:t>
      </w:r>
      <w:bookmarkEnd w:id="70"/>
    </w:p>
    <w:p w14:paraId="76975362">
      <w:pPr>
        <w:pStyle w:val="7"/>
        <w:pageBreakBefore w:val="0"/>
        <w:wordWrap/>
        <w:overflowPunct/>
        <w:topLinePunct w:val="0"/>
        <w:bidi w:val="0"/>
        <w:spacing w:line="0" w:lineRule="atLeast"/>
        <w:ind w:firstLine="480" w:firstLineChars="200"/>
        <w:outlineLvl w:val="1"/>
        <w:rPr>
          <w:rFonts w:hint="eastAsia" w:ascii="仿宋" w:hAnsi="仿宋" w:eastAsia="仿宋" w:cs="仿宋"/>
          <w:b w:val="0"/>
          <w:bCs w:val="0"/>
          <w:color w:val="auto"/>
          <w:kern w:val="2"/>
          <w:sz w:val="24"/>
          <w:szCs w:val="24"/>
          <w:highlight w:val="none"/>
          <w:lang w:val="en-US" w:eastAsia="zh-CN"/>
        </w:rPr>
      </w:pPr>
      <w:bookmarkStart w:id="71" w:name="_Toc29623"/>
      <w:r>
        <w:rPr>
          <w:rFonts w:hint="eastAsia" w:ascii="仿宋" w:hAnsi="仿宋" w:eastAsia="仿宋" w:cs="仿宋"/>
          <w:b w:val="0"/>
          <w:bCs w:val="0"/>
          <w:color w:val="auto"/>
          <w:kern w:val="2"/>
          <w:sz w:val="24"/>
          <w:szCs w:val="24"/>
          <w:highlight w:val="none"/>
          <w:lang w:val="en-US" w:eastAsia="zh-CN"/>
        </w:rPr>
        <w:t>1.供应商应向甲方明确售后服务承诺，涵盖退换货政策、质保期限、专业培训等内容，使甲方清晰了解售后服务保障范围。</w:t>
      </w:r>
    </w:p>
    <w:p w14:paraId="11C42911">
      <w:pPr>
        <w:pStyle w:val="7"/>
        <w:pageBreakBefore w:val="0"/>
        <w:wordWrap/>
        <w:overflowPunct/>
        <w:topLinePunct w:val="0"/>
        <w:bidi w:val="0"/>
        <w:spacing w:line="0" w:lineRule="atLeast"/>
        <w:ind w:firstLine="480" w:firstLineChars="200"/>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在甲方遇到紧急情况时，提供紧急救援服务，如犬只突发疾病、意外受伤等，确保犬只能够得到及时有效的救治。自待训警犬进场培训直至培训结束，乙方对所售犬只售后质保期内，若犬只出现任何恶性传染病或者死亡的情况，乙方应在3日内无偿予以更换同等价值品种犬只。若乙方未按时更换犬只，扣除合同价格的1%；累计超过7日，甲方有权终止合同，所产生的一切后果由乙方承担。如因不可抗力导致延误，乙方需及时通知甲方并提供证明，双方协商顺延或更换时间。</w:t>
      </w:r>
    </w:p>
    <w:p w14:paraId="489789B3">
      <w:pPr>
        <w:pStyle w:val="7"/>
        <w:pageBreakBefore w:val="0"/>
        <w:wordWrap/>
        <w:overflowPunct/>
        <w:topLinePunct w:val="0"/>
        <w:bidi w:val="0"/>
        <w:spacing w:line="0" w:lineRule="atLeast"/>
        <w:ind w:firstLine="480" w:firstLineChars="200"/>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3.饲养指导。乙方需委托第三方机构委派1-2名具有警犬技术资质（具体指：中国工作犬管理协会颁发的警犬训练师资格证书、警犬评估师资格证书或同等权威机构出具的警犬技术相关执业资格证书）的专业人员协同监督指导。自待训警犬进场之日起，于现场开展为期15个日历日的饲养管理指导工作。相关费用由乙方承担。在此期间，乙方所派人员需全面负责解决犬只因环境变化等因素引发的应激障碍问题，包括但不限于观察犬只行为状态、调整饲养环境以减轻犬只应激反应、制定并执行适宜的饮食与运动计划，确保犬只能够平稳度过适应期，达到健康、良好的待训状态。</w:t>
      </w:r>
    </w:p>
    <w:p w14:paraId="1A7E17A7">
      <w:pPr>
        <w:pStyle w:val="7"/>
        <w:pageBreakBefore w:val="0"/>
        <w:wordWrap/>
        <w:overflowPunct/>
        <w:topLinePunct w:val="0"/>
        <w:bidi w:val="0"/>
        <w:spacing w:line="0" w:lineRule="atLeast"/>
        <w:ind w:firstLine="480" w:firstLineChars="200"/>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4.防疫驱虫。乙方所供应的犬只，应在甲方监督在场的情况下，严格按照专业宠物医疗流程完成如下防疫与驱虫操作：进行三次驱虫工作，其中两次为体内驱虫，一次为体外驱虫。驱虫药物需选用经市场验证、品质可靠的产品。同时，需完成英特威四联苗的注射，以预防犬瘟热、犬细小病毒病、犬传染性肝炎和犬副流感等常见传染病。在完成英特威四联苗注射14个自然日后，乙方应为待训警犬注射单狂犬疫苗1针，以有效预防狂犬病。上述所有防疫与驱虫操作所产生的费用，包括但不限于药品采购费用、专业宠物医疗机构的诊疗服务费用等，均由乙方承担。在操作完成后，乙方应及时向甲方提供详细的防疫与驱虫记录，包括操作时间、使用药品品牌及规格、执行机构等信息，以供甲方留存与查验。</w:t>
      </w:r>
    </w:p>
    <w:p w14:paraId="16A5D00F">
      <w:pPr>
        <w:pStyle w:val="7"/>
        <w:pageBreakBefore w:val="0"/>
        <w:wordWrap/>
        <w:overflowPunct/>
        <w:topLinePunct w:val="0"/>
        <w:bidi w:val="0"/>
        <w:spacing w:line="0" w:lineRule="atLeast"/>
        <w:ind w:firstLine="480" w:firstLineChars="200"/>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5.疾病处理。质保期内，若待训警犬出现普通疾病（普通疾病范畴界定为因日常饲养环境、常见病原体感染等引发的一般性病症，如感冒、轻度肠胃不适、体表寄生虫感染等，不包含因先天性遗传缺陷、烈性传染病以及甲方不当饲养等导致的疾病），乙方应无偿提供全面的医疗服务保障，包括但不限于诊断、治疗方案制定、药品供应及必要的护理指导。若待训警犬患病周期连续7个自然日仍无明显好转迹象（“无明显好转”以具备专业资质的兽医机构出具的诊断报告为判定依据），乙方需无偿为甲方更换一只在品种、年龄、健康状况、训练潜力等方面均与原待训警犬具有同等价值的犬只。更换过程中所产生的运输、检疫等相关费用，均由乙方承担。</w:t>
      </w:r>
    </w:p>
    <w:p w14:paraId="494CA1FD">
      <w:pPr>
        <w:pStyle w:val="7"/>
        <w:pageBreakBefore w:val="0"/>
        <w:wordWrap/>
        <w:overflowPunct/>
        <w:topLinePunct w:val="0"/>
        <w:bidi w:val="0"/>
        <w:spacing w:line="0" w:lineRule="atLeast"/>
        <w:ind w:firstLine="480" w:firstLineChars="200"/>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6.疾病预防与应急处理预案：供应商应制定严格的饲养环境卫生标准，犬舍温度保持在18-25摄氏度，湿度控制在40%-60%，每日对犬舍进行清洁消毒，消毒方式采用符合国家动物防疫标准的消毒剂进行喷雾消毒和紫外线照射消毒。应急处理预案方面，供应商在接到犬只疾病报告后，兽医人员须在2小时内到达现场。对于一般性疾病，3天内制定并实施治疗方案；对于烈性传染病，1小时内启动隔离措施，按照国家动物疫病防控中心发布的相关疫病防控技术规范进行处理，并及时向甲方及当地动物防疫部门报告疫情。</w:t>
      </w:r>
    </w:p>
    <w:p w14:paraId="5A40B65E">
      <w:pPr>
        <w:pStyle w:val="7"/>
        <w:pageBreakBefore w:val="0"/>
        <w:wordWrap/>
        <w:overflowPunct/>
        <w:topLinePunct w:val="0"/>
        <w:bidi w:val="0"/>
        <w:spacing w:line="0" w:lineRule="atLeast"/>
        <w:ind w:firstLine="480" w:firstLineChars="200"/>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7.乙方需月回访购买待训警犬的甲方，了解犬只训练进展、健康状况等信息，解答甲方在训练过程中遇到的问题，为甲方提供持续的技术支持和指导。</w:t>
      </w:r>
    </w:p>
    <w:p w14:paraId="711AE56B">
      <w:pPr>
        <w:pStyle w:val="7"/>
        <w:pageBreakBefore w:val="0"/>
        <w:wordWrap/>
        <w:overflowPunct/>
        <w:topLinePunct w:val="0"/>
        <w:bidi w:val="0"/>
        <w:spacing w:line="0" w:lineRule="atLeast"/>
        <w:ind w:firstLine="480" w:firstLineChars="200"/>
        <w:outlineLvl w:val="1"/>
        <w:rPr>
          <w:rFonts w:hint="eastAsia" w:ascii="仿宋" w:hAnsi="仿宋" w:eastAsia="仿宋" w:cs="仿宋"/>
          <w:b w:val="0"/>
          <w:bCs w:val="0"/>
          <w:color w:val="auto"/>
          <w:kern w:val="2"/>
          <w:sz w:val="24"/>
          <w:szCs w:val="24"/>
          <w:highlight w:val="none"/>
          <w:lang w:eastAsia="zh-CN"/>
        </w:rPr>
      </w:pPr>
      <w:r>
        <w:rPr>
          <w:rFonts w:hint="eastAsia" w:ascii="仿宋" w:hAnsi="仿宋" w:eastAsia="仿宋" w:cs="仿宋"/>
          <w:b w:val="0"/>
          <w:bCs w:val="0"/>
          <w:color w:val="auto"/>
          <w:kern w:val="2"/>
          <w:sz w:val="24"/>
          <w:szCs w:val="24"/>
          <w:highlight w:val="none"/>
          <w:lang w:val="en-US" w:eastAsia="zh-CN"/>
        </w:rPr>
        <w:t>8.根据甲方培训计划情况，乙方需配合甲方完成所供代训警犬工作证的办理工作，工作犬证需由中国工作犬管理协会出具。</w:t>
      </w:r>
    </w:p>
    <w:p w14:paraId="1DEABADD">
      <w:pPr>
        <w:pStyle w:val="7"/>
        <w:pageBreakBefore w:val="0"/>
        <w:wordWrap/>
        <w:overflowPunct/>
        <w:topLinePunct w:val="0"/>
        <w:bidi w:val="0"/>
        <w:spacing w:line="0" w:lineRule="atLeast"/>
        <w:ind w:firstLine="480" w:firstLineChars="200"/>
        <w:outlineLvl w:val="1"/>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9.</w:t>
      </w:r>
      <w:r>
        <w:rPr>
          <w:rFonts w:hint="default" w:ascii="仿宋" w:hAnsi="仿宋" w:eastAsia="仿宋" w:cs="仿宋"/>
          <w:b w:val="0"/>
          <w:bCs w:val="0"/>
          <w:color w:val="auto"/>
          <w:kern w:val="2"/>
          <w:sz w:val="24"/>
          <w:szCs w:val="24"/>
          <w:highlight w:val="none"/>
          <w:lang w:val="en-US" w:eastAsia="zh-CN"/>
        </w:rPr>
        <w:t>质保期内，犬只患普通疾病的，乙方全权负责诊疗直至犬只完全康复，由此产生的全部医疗费用均由乙方承担。犬只出现烈性传染病、非甲方原因导致的伤残/死亡，乙方须在3个日历日内无偿更换同品种、同价值合格犬只。未按约定时限更换犬只，乙方须向甲方支付合同总价1%违约金；逾期超过20日，甲方有权单方解除合同，乙方另行支付合同总价20%违约金。因不可抗力导致更换延误的，乙方及时通知甲方并提供有效证明，双方协商处置。</w:t>
      </w:r>
    </w:p>
    <w:bookmarkEnd w:id="71"/>
    <w:p w14:paraId="1EEFF199">
      <w:pPr>
        <w:pStyle w:val="21"/>
        <w:pageBreakBefore w:val="0"/>
        <w:wordWrap/>
        <w:overflowPunct/>
        <w:topLinePunct w:val="0"/>
        <w:bidi w:val="0"/>
        <w:snapToGrid w:val="0"/>
        <w:spacing w:line="0" w:lineRule="atLeast"/>
        <w:ind w:firstLine="482" w:firstLineChars="200"/>
        <w:jc w:val="both"/>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lang w:val="en-US" w:eastAsia="zh-CN"/>
        </w:rPr>
        <w:t>九、</w:t>
      </w:r>
      <w:r>
        <w:rPr>
          <w:rFonts w:hint="eastAsia" w:ascii="仿宋" w:hAnsi="仿宋" w:eastAsia="仿宋" w:cs="仿宋"/>
          <w:b/>
          <w:bCs/>
          <w:color w:val="auto"/>
          <w:kern w:val="2"/>
          <w:sz w:val="24"/>
          <w:szCs w:val="24"/>
          <w:highlight w:val="none"/>
        </w:rPr>
        <w:t>包装和运输要求</w:t>
      </w:r>
    </w:p>
    <w:p w14:paraId="5C527575">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运输箱的选择：应选用坚固耐用、透气性良好的材质制作运输箱，确保犬只在运输过程中的安全与舒适。运输箱尺寸要适当，为犬只提供足够的活动空间，避免运输过程中受伤或产生不必要的应激反应。箱内铺设柔软垫料，减少犬只颠簸与碰撞，同时设置固定绑带或栏杆，防止犬只跳跃或跌落。运输箱还应具备良好的通风性能，保证犬只运输过程中有充足的氧气供应。</w:t>
      </w:r>
    </w:p>
    <w:p w14:paraId="6C1D1A43">
      <w:pPr>
        <w:pStyle w:val="21"/>
        <w:pageBreakBefore w:val="0"/>
        <w:wordWrap/>
        <w:overflowPunct/>
        <w:topLinePunct w:val="0"/>
        <w:bidi w:val="0"/>
        <w:snapToGrid w:val="0"/>
        <w:spacing w:line="0" w:lineRule="atLeast"/>
        <w:ind w:firstLine="480" w:firstLineChars="200"/>
        <w:jc w:val="both"/>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2.运输要求：</w:t>
      </w:r>
      <w:r>
        <w:rPr>
          <w:rFonts w:hint="eastAsia" w:ascii="仿宋" w:hAnsi="仿宋" w:eastAsia="仿宋" w:cs="仿宋"/>
          <w:b w:val="0"/>
          <w:bCs w:val="0"/>
          <w:color w:val="auto"/>
          <w:kern w:val="2"/>
          <w:sz w:val="24"/>
          <w:szCs w:val="24"/>
          <w:highlight w:val="none"/>
        </w:rPr>
        <w:t>包装必须与运输方式相适应，包装方式的确定及包装费用均由乙方负责；由于不适当的包装而造成货物在运输过程中及经甲方验收合格前有任何损坏由乙方负责。运输费、保险费、装卸费已包含在合同价内。</w:t>
      </w:r>
      <w:r>
        <w:rPr>
          <w:rFonts w:hint="eastAsia" w:ascii="仿宋" w:hAnsi="仿宋" w:eastAsia="仿宋" w:cs="仿宋"/>
          <w:b w:val="0"/>
          <w:bCs w:val="0"/>
          <w:color w:val="auto"/>
          <w:kern w:val="2"/>
          <w:sz w:val="24"/>
          <w:szCs w:val="24"/>
          <w:highlight w:val="none"/>
          <w:lang w:val="en-US" w:eastAsia="zh-CN"/>
        </w:rPr>
        <w:t xml:space="preserve">    </w:t>
      </w:r>
    </w:p>
    <w:p w14:paraId="1692E13A">
      <w:pPr>
        <w:pStyle w:val="7"/>
        <w:spacing w:line="360" w:lineRule="auto"/>
        <w:rPr>
          <w:rFonts w:hint="eastAsia" w:ascii="仿宋" w:hAnsi="仿宋" w:eastAsia="仿宋" w:cs="仿宋"/>
          <w:color w:val="auto"/>
          <w:kern w:val="2"/>
          <w:sz w:val="24"/>
          <w:szCs w:val="24"/>
          <w:highlight w:val="none"/>
          <w:lang w:eastAsia="zh-CN"/>
        </w:rPr>
      </w:pPr>
    </w:p>
    <w:p w14:paraId="1494B94B">
      <w:pPr>
        <w:pStyle w:val="7"/>
        <w:spacing w:line="360" w:lineRule="auto"/>
        <w:rPr>
          <w:rFonts w:hint="eastAsia" w:ascii="仿宋" w:hAnsi="仿宋" w:eastAsia="仿宋" w:cs="仿宋"/>
          <w:color w:val="auto"/>
          <w:kern w:val="2"/>
          <w:sz w:val="24"/>
          <w:szCs w:val="24"/>
          <w:highlight w:val="none"/>
          <w:lang w:eastAsia="zh-CN"/>
        </w:rPr>
      </w:pPr>
    </w:p>
    <w:p w14:paraId="7CF8DBEE">
      <w:pPr>
        <w:spacing w:line="360" w:lineRule="auto"/>
        <w:ind w:firstLine="480" w:firstLineChars="20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br w:type="page"/>
      </w:r>
    </w:p>
    <w:bookmarkEnd w:id="64"/>
    <w:p w14:paraId="20060AB3">
      <w:pPr>
        <w:pStyle w:val="2"/>
        <w:pageBreakBefore w:val="0"/>
        <w:widowControl/>
        <w:kinsoku w:val="0"/>
        <w:wordWrap/>
        <w:overflowPunct/>
        <w:topLinePunct w:val="0"/>
        <w:autoSpaceDE w:val="0"/>
        <w:autoSpaceDN w:val="0"/>
        <w:bidi w:val="0"/>
        <w:adjustRightInd w:val="0"/>
        <w:snapToGrid w:val="0"/>
        <w:spacing w:before="110" w:line="0" w:lineRule="atLeast"/>
        <w:jc w:val="center"/>
        <w:textAlignment w:val="baseline"/>
        <w:rPr>
          <w:rFonts w:hint="eastAsia" w:ascii="仿宋" w:hAnsi="仿宋" w:eastAsia="仿宋" w:cs="仿宋"/>
          <w:color w:val="auto"/>
          <w:highlight w:val="none"/>
          <w:lang w:eastAsia="zh-CN"/>
        </w:rPr>
      </w:pPr>
      <w:bookmarkStart w:id="72" w:name="_Toc6109"/>
      <w:r>
        <w:rPr>
          <w:rFonts w:hint="eastAsia" w:ascii="仿宋" w:hAnsi="仿宋" w:eastAsia="仿宋" w:cs="仿宋"/>
          <w:color w:val="auto"/>
          <w:highlight w:val="none"/>
          <w:lang w:eastAsia="zh-CN"/>
        </w:rPr>
        <w:t>第四章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评审方法</w:t>
      </w:r>
      <w:bookmarkEnd w:id="72"/>
    </w:p>
    <w:p w14:paraId="0EE0816A">
      <w:pPr>
        <w:pageBreakBefore w:val="0"/>
        <w:widowControl/>
        <w:kinsoku w:val="0"/>
        <w:wordWrap/>
        <w:overflowPunct/>
        <w:topLinePunct w:val="0"/>
        <w:autoSpaceDE w:val="0"/>
        <w:autoSpaceDN w:val="0"/>
        <w:bidi w:val="0"/>
        <w:adjustRightInd w:val="0"/>
        <w:snapToGrid w:val="0"/>
        <w:spacing w:before="18" w:line="0" w:lineRule="atLeast"/>
        <w:ind w:left="4"/>
        <w:textAlignment w:val="baseline"/>
        <w:outlineLvl w:val="1"/>
        <w:rPr>
          <w:rFonts w:hint="eastAsia" w:ascii="仿宋" w:hAnsi="仿宋" w:eastAsia="仿宋" w:cs="仿宋"/>
          <w:color w:val="auto"/>
          <w:sz w:val="24"/>
          <w:szCs w:val="24"/>
          <w:highlight w:val="none"/>
          <w:lang w:eastAsia="zh-CN"/>
        </w:rPr>
      </w:pPr>
      <w:bookmarkStart w:id="73" w:name="_Toc13432"/>
      <w:r>
        <w:rPr>
          <w:rFonts w:hint="eastAsia" w:ascii="仿宋" w:hAnsi="仿宋" w:eastAsia="仿宋" w:cs="仿宋"/>
          <w:color w:val="auto"/>
          <w:spacing w:val="6"/>
          <w:sz w:val="24"/>
          <w:szCs w:val="24"/>
          <w:highlight w:val="none"/>
          <w:lang w:eastAsia="zh-CN"/>
          <w14:textOutline w14:w="4394" w14:cap="flat" w14:cmpd="sng" w14:algn="ctr">
            <w14:solidFill>
              <w14:srgbClr w14:val="000000"/>
            </w14:solidFill>
            <w14:prstDash w14:val="solid"/>
            <w14:miter w14:val="0"/>
          </w14:textOutline>
        </w:rPr>
        <w:t>一、评审</w:t>
      </w:r>
      <w:bookmarkEnd w:id="73"/>
    </w:p>
    <w:p w14:paraId="15A858EF">
      <w:pPr>
        <w:keepNext w:val="0"/>
        <w:keepLines w:val="0"/>
        <w:pageBreakBefore w:val="0"/>
        <w:widowControl/>
        <w:kinsoku w:val="0"/>
        <w:wordWrap/>
        <w:overflowPunct/>
        <w:topLinePunct w:val="0"/>
        <w:autoSpaceDE w:val="0"/>
        <w:autoSpaceDN w:val="0"/>
        <w:bidi w:val="0"/>
        <w:adjustRightInd w:val="0"/>
        <w:snapToGrid w:val="0"/>
        <w:spacing w:line="0" w:lineRule="atLeast"/>
        <w:ind w:left="0" w:right="0" w:firstLine="516"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1、谈判小组应当按评审标准对响应文件进行评审，并根据谈判</w:t>
      </w:r>
      <w:r>
        <w:rPr>
          <w:rFonts w:hint="eastAsia" w:ascii="仿宋" w:hAnsi="仿宋" w:eastAsia="仿宋" w:cs="仿宋"/>
          <w:color w:val="auto"/>
          <w:spacing w:val="8"/>
          <w:sz w:val="24"/>
          <w:szCs w:val="24"/>
          <w:highlight w:val="none"/>
          <w:lang w:eastAsia="zh-CN"/>
        </w:rPr>
        <w:t>文件规定的程序、评</w:t>
      </w:r>
      <w:r>
        <w:rPr>
          <w:rFonts w:hint="eastAsia" w:ascii="仿宋" w:hAnsi="仿宋" w:eastAsia="仿宋" w:cs="仿宋"/>
          <w:color w:val="auto"/>
          <w:spacing w:val="10"/>
          <w:sz w:val="24"/>
          <w:szCs w:val="24"/>
          <w:highlight w:val="none"/>
          <w:lang w:eastAsia="zh-CN"/>
        </w:rPr>
        <w:t>定成交的标准等事项与实质性响应谈判文件要求的供应商进行谈判。</w:t>
      </w:r>
      <w:r>
        <w:rPr>
          <w:rFonts w:hint="eastAsia" w:ascii="仿宋" w:hAnsi="仿宋" w:eastAsia="仿宋" w:cs="仿宋"/>
          <w:color w:val="auto"/>
          <w:spacing w:val="9"/>
          <w:sz w:val="24"/>
          <w:szCs w:val="24"/>
          <w:highlight w:val="none"/>
          <w:lang w:eastAsia="zh-CN"/>
        </w:rPr>
        <w:t>未实质性响应谈判文件</w:t>
      </w:r>
      <w:r>
        <w:rPr>
          <w:rFonts w:hint="eastAsia" w:ascii="仿宋" w:hAnsi="仿宋" w:eastAsia="仿宋" w:cs="仿宋"/>
          <w:color w:val="auto"/>
          <w:spacing w:val="10"/>
          <w:sz w:val="24"/>
          <w:szCs w:val="24"/>
          <w:highlight w:val="none"/>
          <w:lang w:eastAsia="zh-CN"/>
        </w:rPr>
        <w:t>或未通过</w:t>
      </w:r>
      <w:r>
        <w:rPr>
          <w:rFonts w:hint="eastAsia" w:ascii="仿宋" w:hAnsi="仿宋" w:eastAsia="仿宋" w:cs="仿宋"/>
          <w:color w:val="auto"/>
          <w:spacing w:val="9"/>
          <w:sz w:val="24"/>
          <w:szCs w:val="24"/>
          <w:highlight w:val="none"/>
          <w:lang w:eastAsia="zh-CN"/>
        </w:rPr>
        <w:t>评审标准的响应文件按无效处理，谈判小组应当告知有关</w:t>
      </w:r>
      <w:r>
        <w:rPr>
          <w:rFonts w:hint="eastAsia" w:ascii="仿宋" w:hAnsi="仿宋" w:eastAsia="仿宋" w:cs="仿宋"/>
          <w:color w:val="auto"/>
          <w:spacing w:val="8"/>
          <w:sz w:val="24"/>
          <w:szCs w:val="24"/>
          <w:highlight w:val="none"/>
          <w:lang w:eastAsia="zh-CN"/>
        </w:rPr>
        <w:t>供应商。</w:t>
      </w:r>
    </w:p>
    <w:p w14:paraId="0F7FFAB0">
      <w:pPr>
        <w:keepNext w:val="0"/>
        <w:keepLines w:val="0"/>
        <w:pageBreakBefore w:val="0"/>
        <w:widowControl/>
        <w:kinsoku w:val="0"/>
        <w:wordWrap/>
        <w:overflowPunct/>
        <w:topLinePunct w:val="0"/>
        <w:autoSpaceDE w:val="0"/>
        <w:autoSpaceDN w:val="0"/>
        <w:bidi w:val="0"/>
        <w:adjustRightInd w:val="0"/>
        <w:snapToGrid w:val="0"/>
        <w:spacing w:line="0" w:lineRule="atLeast"/>
        <w:ind w:left="0" w:right="0" w:firstLine="516" w:firstLineChars="200"/>
        <w:textAlignment w:val="baseline"/>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lang w:eastAsia="zh-CN"/>
        </w:rPr>
        <w:t>2、谈判小组所有成员应当集中与单一供应商分别进行谈判，并给予所有参加谈判的供应商平等的谈判机会。</w:t>
      </w:r>
    </w:p>
    <w:p w14:paraId="65607B42">
      <w:pPr>
        <w:keepNext w:val="0"/>
        <w:keepLines w:val="0"/>
        <w:pageBreakBefore w:val="0"/>
        <w:widowControl/>
        <w:kinsoku w:val="0"/>
        <w:wordWrap/>
        <w:overflowPunct/>
        <w:topLinePunct w:val="0"/>
        <w:autoSpaceDE w:val="0"/>
        <w:autoSpaceDN w:val="0"/>
        <w:bidi w:val="0"/>
        <w:adjustRightInd w:val="0"/>
        <w:snapToGrid w:val="0"/>
        <w:spacing w:line="0" w:lineRule="atLeast"/>
        <w:ind w:left="0" w:right="0" w:firstLine="516" w:firstLineChars="200"/>
        <w:textAlignment w:val="baseline"/>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lang w:eastAsia="zh-CN"/>
        </w:rPr>
        <w:t>3、在谈判过程中，谈判小组可以根据谈判文件和谈判情况实质性变动采购需求中的技术、服务要求以及合同草案条款，但不得变动谈判文件中的其他内容。实质性变动的内容，须经采购人代表确认。</w:t>
      </w:r>
    </w:p>
    <w:p w14:paraId="3F82A70D">
      <w:pPr>
        <w:keepNext w:val="0"/>
        <w:keepLines w:val="0"/>
        <w:pageBreakBefore w:val="0"/>
        <w:widowControl/>
        <w:kinsoku w:val="0"/>
        <w:wordWrap/>
        <w:overflowPunct/>
        <w:topLinePunct w:val="0"/>
        <w:autoSpaceDE w:val="0"/>
        <w:autoSpaceDN w:val="0"/>
        <w:bidi w:val="0"/>
        <w:adjustRightInd w:val="0"/>
        <w:snapToGrid w:val="0"/>
        <w:spacing w:line="0" w:lineRule="atLeast"/>
        <w:ind w:left="0" w:right="0" w:firstLine="516" w:firstLineChars="200"/>
        <w:textAlignment w:val="baseline"/>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lang w:eastAsia="zh-CN"/>
        </w:rPr>
        <w:t>4、对谈判文件作出的实质性变动是谈判文件的有效组成部分，谈判小组应当及时以书面形式同时通知所有参加谈判的供应商。</w:t>
      </w:r>
    </w:p>
    <w:p w14:paraId="24DCE199">
      <w:pPr>
        <w:keepNext w:val="0"/>
        <w:keepLines w:val="0"/>
        <w:pageBreakBefore w:val="0"/>
        <w:widowControl/>
        <w:kinsoku w:val="0"/>
        <w:wordWrap/>
        <w:overflowPunct/>
        <w:topLinePunct w:val="0"/>
        <w:autoSpaceDE w:val="0"/>
        <w:autoSpaceDN w:val="0"/>
        <w:bidi w:val="0"/>
        <w:adjustRightInd w:val="0"/>
        <w:snapToGrid w:val="0"/>
        <w:spacing w:line="0" w:lineRule="atLeast"/>
        <w:ind w:left="0" w:right="0" w:firstLine="516" w:firstLineChars="200"/>
        <w:textAlignment w:val="baseline"/>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lang w:eastAsia="zh-CN"/>
        </w:rPr>
        <w:t>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430CE311">
      <w:pPr>
        <w:keepNext w:val="0"/>
        <w:keepLines w:val="0"/>
        <w:pageBreakBefore w:val="0"/>
        <w:widowControl/>
        <w:kinsoku w:val="0"/>
        <w:wordWrap/>
        <w:overflowPunct/>
        <w:topLinePunct w:val="0"/>
        <w:autoSpaceDE w:val="0"/>
        <w:autoSpaceDN w:val="0"/>
        <w:bidi w:val="0"/>
        <w:adjustRightInd w:val="0"/>
        <w:snapToGrid w:val="0"/>
        <w:spacing w:line="0" w:lineRule="atLeast"/>
        <w:ind w:left="0" w:right="0" w:firstLine="516" w:firstLineChars="200"/>
        <w:textAlignment w:val="baseline"/>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lang w:eastAsia="zh-CN"/>
        </w:rPr>
        <w:t>6、谈判文件能够详细列明采购标的的技术、服务要求的，谈判结束后，谈判小组应当要求所有继续参加谈判的供应商在规定时间内提交最后报价，提交最后报价的供应商不得少于3家。</w:t>
      </w:r>
    </w:p>
    <w:p w14:paraId="55DB2E34">
      <w:pPr>
        <w:keepNext w:val="0"/>
        <w:keepLines w:val="0"/>
        <w:pageBreakBefore w:val="0"/>
        <w:widowControl/>
        <w:kinsoku w:val="0"/>
        <w:wordWrap/>
        <w:overflowPunct/>
        <w:topLinePunct w:val="0"/>
        <w:autoSpaceDE w:val="0"/>
        <w:autoSpaceDN w:val="0"/>
        <w:bidi w:val="0"/>
        <w:adjustRightInd w:val="0"/>
        <w:snapToGrid w:val="0"/>
        <w:spacing w:line="0" w:lineRule="atLeast"/>
        <w:ind w:left="0" w:right="0" w:firstLine="516" w:firstLineChars="200"/>
        <w:textAlignment w:val="baseline"/>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lang w:eastAsia="zh-CN"/>
        </w:rPr>
        <w:t>7、谈判文件不能详细列明采购标的的技术、服务要求，需经谈判由供应商提供最终方案的，谈判结束后，谈判小组应当按照少数服从多数的原则投票推荐3家以上供应商的方案，并要求其在规定时间内提交最后报价。</w:t>
      </w:r>
    </w:p>
    <w:p w14:paraId="64B4C86C">
      <w:pPr>
        <w:keepNext w:val="0"/>
        <w:keepLines w:val="0"/>
        <w:pageBreakBefore w:val="0"/>
        <w:widowControl/>
        <w:kinsoku w:val="0"/>
        <w:wordWrap/>
        <w:overflowPunct/>
        <w:topLinePunct w:val="0"/>
        <w:autoSpaceDE w:val="0"/>
        <w:autoSpaceDN w:val="0"/>
        <w:bidi w:val="0"/>
        <w:adjustRightInd w:val="0"/>
        <w:snapToGrid w:val="0"/>
        <w:spacing w:line="0" w:lineRule="atLeast"/>
        <w:ind w:left="0" w:right="0" w:firstLine="516" w:firstLineChars="200"/>
        <w:textAlignment w:val="baseline"/>
        <w:rPr>
          <w:rFonts w:hint="eastAsia" w:ascii="仿宋" w:hAnsi="仿宋" w:eastAsia="仿宋" w:cs="仿宋"/>
          <w:color w:val="auto"/>
          <w:spacing w:val="9"/>
          <w:sz w:val="24"/>
          <w:szCs w:val="24"/>
          <w:highlight w:val="none"/>
          <w:lang w:eastAsia="zh-CN"/>
        </w:rPr>
      </w:pPr>
      <w:bookmarkStart w:id="74" w:name="_Toc22400"/>
      <w:r>
        <w:rPr>
          <w:rFonts w:hint="eastAsia" w:ascii="仿宋" w:hAnsi="仿宋" w:eastAsia="仿宋" w:cs="仿宋"/>
          <w:color w:val="auto"/>
          <w:spacing w:val="9"/>
          <w:sz w:val="24"/>
          <w:szCs w:val="24"/>
          <w:highlight w:val="none"/>
          <w:lang w:eastAsia="zh-CN"/>
        </w:rPr>
        <w:t>8、最后报价是供应商响应文件的有效组成部分。</w:t>
      </w:r>
      <w:bookmarkEnd w:id="74"/>
    </w:p>
    <w:p w14:paraId="0D699DCB">
      <w:pPr>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sectPr>
          <w:headerReference r:id="rId6" w:type="default"/>
          <w:footerReference r:id="rId7" w:type="default"/>
          <w:pgSz w:w="11906" w:h="16838"/>
          <w:pgMar w:top="1116" w:right="1229" w:bottom="1369" w:left="1229" w:header="1097" w:footer="1201" w:gutter="0"/>
          <w:pgNumType w:fmt="decimal"/>
          <w:cols w:space="720" w:num="1"/>
        </w:sectPr>
      </w:pPr>
    </w:p>
    <w:p w14:paraId="6AF72F07">
      <w:pPr>
        <w:pStyle w:val="7"/>
        <w:spacing w:line="242" w:lineRule="auto"/>
        <w:rPr>
          <w:rFonts w:hint="eastAsia" w:ascii="仿宋" w:hAnsi="仿宋" w:eastAsia="仿宋" w:cs="仿宋"/>
          <w:color w:val="auto"/>
          <w:highlight w:val="none"/>
          <w:lang w:eastAsia="zh-CN"/>
        </w:rPr>
      </w:pPr>
    </w:p>
    <w:p w14:paraId="6DC4BD89">
      <w:pPr>
        <w:pStyle w:val="7"/>
        <w:spacing w:line="242" w:lineRule="auto"/>
        <w:rPr>
          <w:rFonts w:hint="eastAsia" w:ascii="仿宋" w:hAnsi="仿宋" w:eastAsia="仿宋" w:cs="仿宋"/>
          <w:color w:val="auto"/>
          <w:highlight w:val="none"/>
          <w:lang w:eastAsia="zh-CN"/>
        </w:rPr>
      </w:pPr>
    </w:p>
    <w:p w14:paraId="7CC77628">
      <w:pPr>
        <w:pStyle w:val="7"/>
        <w:spacing w:line="243" w:lineRule="auto"/>
        <w:rPr>
          <w:rFonts w:hint="eastAsia" w:ascii="仿宋" w:hAnsi="仿宋" w:eastAsia="仿宋" w:cs="仿宋"/>
          <w:color w:val="auto"/>
          <w:highlight w:val="none"/>
          <w:lang w:eastAsia="zh-CN"/>
        </w:rPr>
      </w:pPr>
    </w:p>
    <w:p w14:paraId="2CE77773">
      <w:pPr>
        <w:pStyle w:val="7"/>
        <w:spacing w:line="243" w:lineRule="auto"/>
        <w:rPr>
          <w:rFonts w:hint="eastAsia" w:ascii="仿宋" w:hAnsi="仿宋" w:eastAsia="仿宋" w:cs="仿宋"/>
          <w:color w:val="auto"/>
          <w:highlight w:val="none"/>
          <w:lang w:eastAsia="zh-CN"/>
        </w:rPr>
      </w:pPr>
    </w:p>
    <w:p w14:paraId="5796A1C5">
      <w:pPr>
        <w:numPr>
          <w:ilvl w:val="0"/>
          <w:numId w:val="2"/>
        </w:numPr>
        <w:spacing w:before="98" w:line="193" w:lineRule="auto"/>
        <w:ind w:left="85"/>
        <w:outlineLvl w:val="1"/>
        <w:rPr>
          <w:rFonts w:hint="eastAsia" w:ascii="仿宋" w:hAnsi="仿宋" w:eastAsia="仿宋" w:cs="仿宋"/>
          <w:color w:val="auto"/>
          <w:spacing w:val="9"/>
          <w:sz w:val="28"/>
          <w:szCs w:val="28"/>
          <w:highlight w:val="none"/>
          <w14:textOutline w14:w="4394" w14:cap="flat" w14:cmpd="sng" w14:algn="ctr">
            <w14:solidFill>
              <w14:srgbClr w14:val="000000"/>
            </w14:solidFill>
            <w14:prstDash w14:val="solid"/>
            <w14:miter w14:val="0"/>
          </w14:textOutline>
        </w:rPr>
      </w:pPr>
      <w:bookmarkStart w:id="75" w:name="_Toc1488"/>
      <w:r>
        <w:rPr>
          <w:rFonts w:hint="eastAsia" w:ascii="仿宋" w:hAnsi="仿宋" w:eastAsia="仿宋" w:cs="仿宋"/>
          <w:color w:val="auto"/>
          <w:spacing w:val="9"/>
          <w:sz w:val="28"/>
          <w:szCs w:val="28"/>
          <w:highlight w:val="none"/>
          <w14:textOutline w14:w="4394" w14:cap="flat" w14:cmpd="sng" w14:algn="ctr">
            <w14:solidFill>
              <w14:srgbClr w14:val="000000"/>
            </w14:solidFill>
            <w14:prstDash w14:val="solid"/>
            <w14:miter w14:val="0"/>
          </w14:textOutline>
        </w:rPr>
        <w:t>评审标准</w:t>
      </w:r>
      <w:bookmarkEnd w:id="75"/>
    </w:p>
    <w:p w14:paraId="05ED6A3D">
      <w:pPr>
        <w:pStyle w:val="9"/>
        <w:ind w:left="0"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资格审查</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548"/>
        <w:gridCol w:w="2784"/>
        <w:gridCol w:w="4733"/>
      </w:tblGrid>
      <w:tr w14:paraId="1132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88" w:type="pct"/>
            <w:vAlign w:val="center"/>
          </w:tcPr>
          <w:p w14:paraId="0852CD0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203" w:type="pct"/>
            <w:gridSpan w:val="2"/>
            <w:vAlign w:val="center"/>
          </w:tcPr>
          <w:p w14:paraId="16D822E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检查因素</w:t>
            </w:r>
          </w:p>
        </w:tc>
        <w:tc>
          <w:tcPr>
            <w:tcW w:w="2407" w:type="pct"/>
            <w:vAlign w:val="center"/>
          </w:tcPr>
          <w:p w14:paraId="3F71A11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检查内容</w:t>
            </w:r>
          </w:p>
        </w:tc>
      </w:tr>
      <w:tr w14:paraId="1A31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388" w:type="pct"/>
            <w:vMerge w:val="restart"/>
            <w:vAlign w:val="center"/>
          </w:tcPr>
          <w:p w14:paraId="550AD93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87" w:type="pct"/>
            <w:vMerge w:val="restart"/>
            <w:vAlign w:val="center"/>
          </w:tcPr>
          <w:p w14:paraId="6D831501">
            <w:pPr>
              <w:spacing w:line="26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《中华人民共和国政府采购法》第二十二条规定</w:t>
            </w:r>
          </w:p>
        </w:tc>
        <w:tc>
          <w:tcPr>
            <w:tcW w:w="1416" w:type="pct"/>
            <w:vAlign w:val="center"/>
          </w:tcPr>
          <w:p w14:paraId="02091C96">
            <w:pPr>
              <w:spacing w:line="26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具有独立承担民事责任的能力</w:t>
            </w:r>
          </w:p>
        </w:tc>
        <w:tc>
          <w:tcPr>
            <w:tcW w:w="2407" w:type="pct"/>
            <w:vAlign w:val="center"/>
          </w:tcPr>
          <w:p w14:paraId="242AB097">
            <w:pPr>
              <w:spacing w:line="26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一、如供应商是企业（包括合伙企业)，应提供在工商部门注册的有效“企业法人营业执照”或“营业执照”;</w:t>
            </w:r>
          </w:p>
          <w:p w14:paraId="1BD727B4">
            <w:pPr>
              <w:spacing w:line="26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二、如供应商是事业单位，应提供有效的“事业单位法人证书”;</w:t>
            </w:r>
          </w:p>
          <w:p w14:paraId="6AE82401">
            <w:pPr>
              <w:spacing w:line="26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三、供应商是非企业专业服务机构的，应提供执业许可证等证明文件;</w:t>
            </w:r>
          </w:p>
          <w:p w14:paraId="3BB3F51F">
            <w:pPr>
              <w:spacing w:line="26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四、如供应商是个体工商户，应提供有效的“个体工商户营业执照”;</w:t>
            </w:r>
          </w:p>
          <w:p w14:paraId="2C5D7C1D">
            <w:pPr>
              <w:spacing w:line="26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五、如供应商是自然人，应提供有效的自然人身份证明</w:t>
            </w:r>
          </w:p>
        </w:tc>
      </w:tr>
      <w:tr w14:paraId="2331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388" w:type="pct"/>
            <w:vMerge w:val="continue"/>
            <w:vAlign w:val="center"/>
          </w:tcPr>
          <w:p w14:paraId="3EE962E2">
            <w:pPr>
              <w:jc w:val="center"/>
              <w:rPr>
                <w:rFonts w:hint="eastAsia" w:ascii="仿宋" w:hAnsi="仿宋" w:eastAsia="仿宋" w:cs="仿宋"/>
                <w:color w:val="auto"/>
                <w:sz w:val="24"/>
                <w:szCs w:val="24"/>
                <w:highlight w:val="none"/>
                <w:lang w:eastAsia="zh-CN"/>
              </w:rPr>
            </w:pPr>
          </w:p>
        </w:tc>
        <w:tc>
          <w:tcPr>
            <w:tcW w:w="787" w:type="pct"/>
            <w:vMerge w:val="continue"/>
            <w:vAlign w:val="center"/>
          </w:tcPr>
          <w:p w14:paraId="7E7956B7">
            <w:pPr>
              <w:spacing w:line="260" w:lineRule="exact"/>
              <w:rPr>
                <w:rFonts w:hint="eastAsia" w:ascii="仿宋" w:hAnsi="仿宋" w:eastAsia="仿宋" w:cs="仿宋"/>
                <w:color w:val="auto"/>
                <w:sz w:val="24"/>
                <w:szCs w:val="24"/>
                <w:highlight w:val="none"/>
                <w:lang w:val="zh-CN" w:eastAsia="zh-CN"/>
              </w:rPr>
            </w:pPr>
          </w:p>
        </w:tc>
        <w:tc>
          <w:tcPr>
            <w:tcW w:w="1416" w:type="pct"/>
            <w:vAlign w:val="center"/>
          </w:tcPr>
          <w:p w14:paraId="1767C231">
            <w:pPr>
              <w:spacing w:line="26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具有良好的商业信誉和健全的财务会计制度</w:t>
            </w:r>
          </w:p>
        </w:tc>
        <w:tc>
          <w:tcPr>
            <w:tcW w:w="2407" w:type="pct"/>
            <w:vAlign w:val="center"/>
          </w:tcPr>
          <w:p w14:paraId="62443417">
            <w:pPr>
              <w:spacing w:line="2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提供202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eastAsia="zh-CN"/>
              </w:rPr>
              <w:t>年或</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zh-CN" w:eastAsia="zh-CN"/>
              </w:rPr>
              <w:t>度审计报告，成立不足一年的公司出具开户银行出具的资信证明</w:t>
            </w:r>
            <w:r>
              <w:rPr>
                <w:rFonts w:hint="eastAsia" w:ascii="仿宋" w:hAnsi="仿宋" w:eastAsia="仿宋" w:cs="仿宋"/>
                <w:color w:val="auto"/>
                <w:sz w:val="24"/>
                <w:szCs w:val="24"/>
                <w:highlight w:val="none"/>
                <w:lang w:eastAsia="zh-CN"/>
              </w:rPr>
              <w:t>或出具书面承诺函，</w:t>
            </w:r>
            <w:r>
              <w:rPr>
                <w:rFonts w:hint="eastAsia" w:ascii="仿宋" w:hAnsi="仿宋" w:eastAsia="仿宋" w:cs="仿宋"/>
                <w:color w:val="auto"/>
                <w:sz w:val="24"/>
                <w:szCs w:val="24"/>
                <w:highlight w:val="none"/>
                <w:lang w:val="zh-CN" w:eastAsia="zh-CN"/>
              </w:rPr>
              <w:t>自行提供。</w:t>
            </w:r>
          </w:p>
        </w:tc>
      </w:tr>
      <w:tr w14:paraId="0080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388" w:type="pct"/>
            <w:vMerge w:val="continue"/>
            <w:vAlign w:val="center"/>
          </w:tcPr>
          <w:p w14:paraId="2A334503">
            <w:pPr>
              <w:jc w:val="center"/>
              <w:rPr>
                <w:rFonts w:hint="eastAsia" w:ascii="仿宋" w:hAnsi="仿宋" w:eastAsia="仿宋" w:cs="仿宋"/>
                <w:color w:val="auto"/>
                <w:sz w:val="24"/>
                <w:szCs w:val="24"/>
                <w:highlight w:val="none"/>
                <w:lang w:eastAsia="zh-CN"/>
              </w:rPr>
            </w:pPr>
          </w:p>
        </w:tc>
        <w:tc>
          <w:tcPr>
            <w:tcW w:w="787" w:type="pct"/>
            <w:vMerge w:val="continue"/>
            <w:vAlign w:val="center"/>
          </w:tcPr>
          <w:p w14:paraId="3EC0FCFE">
            <w:pPr>
              <w:spacing w:line="260" w:lineRule="exact"/>
              <w:rPr>
                <w:rFonts w:hint="eastAsia" w:ascii="仿宋" w:hAnsi="仿宋" w:eastAsia="仿宋" w:cs="仿宋"/>
                <w:color w:val="auto"/>
                <w:sz w:val="24"/>
                <w:szCs w:val="24"/>
                <w:highlight w:val="none"/>
                <w:lang w:val="zh-CN" w:eastAsia="zh-CN"/>
              </w:rPr>
            </w:pPr>
          </w:p>
        </w:tc>
        <w:tc>
          <w:tcPr>
            <w:tcW w:w="1416" w:type="pct"/>
            <w:vAlign w:val="center"/>
          </w:tcPr>
          <w:p w14:paraId="197771E7">
            <w:pPr>
              <w:spacing w:line="26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具有履行合同所必须的设备和专业技术能力</w:t>
            </w:r>
          </w:p>
        </w:tc>
        <w:tc>
          <w:tcPr>
            <w:tcW w:w="2407" w:type="pct"/>
            <w:vAlign w:val="center"/>
          </w:tcPr>
          <w:p w14:paraId="73D1A47B">
            <w:pPr>
              <w:spacing w:line="26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根据项目需求提供履行合同所 必需的设备和专业技术能力的书面承诺函，按格式提供。</w:t>
            </w:r>
          </w:p>
        </w:tc>
      </w:tr>
      <w:tr w14:paraId="1473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388" w:type="pct"/>
            <w:vMerge w:val="continue"/>
            <w:vAlign w:val="center"/>
          </w:tcPr>
          <w:p w14:paraId="26F6FFFB">
            <w:pPr>
              <w:jc w:val="center"/>
              <w:rPr>
                <w:rFonts w:hint="eastAsia" w:ascii="仿宋" w:hAnsi="仿宋" w:eastAsia="仿宋" w:cs="仿宋"/>
                <w:color w:val="auto"/>
                <w:sz w:val="24"/>
                <w:szCs w:val="24"/>
                <w:highlight w:val="none"/>
                <w:lang w:eastAsia="zh-CN"/>
              </w:rPr>
            </w:pPr>
          </w:p>
        </w:tc>
        <w:tc>
          <w:tcPr>
            <w:tcW w:w="787" w:type="pct"/>
            <w:vMerge w:val="continue"/>
            <w:vAlign w:val="center"/>
          </w:tcPr>
          <w:p w14:paraId="34DA8603">
            <w:pPr>
              <w:spacing w:line="260" w:lineRule="exact"/>
              <w:rPr>
                <w:rFonts w:hint="eastAsia" w:ascii="仿宋" w:hAnsi="仿宋" w:eastAsia="仿宋" w:cs="仿宋"/>
                <w:color w:val="auto"/>
                <w:sz w:val="24"/>
                <w:szCs w:val="24"/>
                <w:highlight w:val="none"/>
                <w:lang w:val="zh-CN" w:eastAsia="zh-CN"/>
              </w:rPr>
            </w:pPr>
          </w:p>
        </w:tc>
        <w:tc>
          <w:tcPr>
            <w:tcW w:w="1416" w:type="pct"/>
            <w:vAlign w:val="center"/>
          </w:tcPr>
          <w:p w14:paraId="1B876BD6">
            <w:pPr>
              <w:spacing w:line="26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有依法缴纳税收和社会保障金的良好记录</w:t>
            </w:r>
          </w:p>
        </w:tc>
        <w:tc>
          <w:tcPr>
            <w:tcW w:w="2407" w:type="pct"/>
            <w:vAlign w:val="center"/>
          </w:tcPr>
          <w:p w14:paraId="4BE12195">
            <w:pPr>
              <w:spacing w:line="2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提供近三个月内任意一个月的依法缴纳税收和社会保障资金的证明</w:t>
            </w:r>
            <w:r>
              <w:rPr>
                <w:rFonts w:hint="eastAsia" w:ascii="仿宋" w:hAnsi="仿宋" w:eastAsia="仿宋" w:cs="仿宋"/>
                <w:color w:val="auto"/>
                <w:sz w:val="24"/>
                <w:szCs w:val="24"/>
                <w:highlight w:val="none"/>
                <w:lang w:eastAsia="zh-CN"/>
              </w:rPr>
              <w:t>或提供有依法缴纳税收和社会保障资金的良好记录的书面承诺函，自行提供</w:t>
            </w:r>
          </w:p>
        </w:tc>
      </w:tr>
      <w:tr w14:paraId="4178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88" w:type="pct"/>
            <w:vMerge w:val="continue"/>
            <w:vAlign w:val="center"/>
          </w:tcPr>
          <w:p w14:paraId="2B52588D">
            <w:pPr>
              <w:jc w:val="center"/>
              <w:rPr>
                <w:rFonts w:hint="eastAsia" w:ascii="仿宋" w:hAnsi="仿宋" w:eastAsia="仿宋" w:cs="仿宋"/>
                <w:color w:val="auto"/>
                <w:sz w:val="24"/>
                <w:szCs w:val="24"/>
                <w:highlight w:val="none"/>
                <w:lang w:eastAsia="zh-CN"/>
              </w:rPr>
            </w:pPr>
          </w:p>
        </w:tc>
        <w:tc>
          <w:tcPr>
            <w:tcW w:w="787" w:type="pct"/>
            <w:vMerge w:val="continue"/>
            <w:vAlign w:val="center"/>
          </w:tcPr>
          <w:p w14:paraId="780F60C9">
            <w:pPr>
              <w:spacing w:line="260" w:lineRule="exact"/>
              <w:rPr>
                <w:rFonts w:hint="eastAsia" w:ascii="仿宋" w:hAnsi="仿宋" w:eastAsia="仿宋" w:cs="仿宋"/>
                <w:color w:val="auto"/>
                <w:sz w:val="24"/>
                <w:szCs w:val="24"/>
                <w:highlight w:val="none"/>
                <w:lang w:val="zh-CN" w:eastAsia="zh-CN"/>
              </w:rPr>
            </w:pPr>
          </w:p>
        </w:tc>
        <w:tc>
          <w:tcPr>
            <w:tcW w:w="1416" w:type="pct"/>
            <w:vAlign w:val="center"/>
          </w:tcPr>
          <w:p w14:paraId="4A3DB4E1">
            <w:pPr>
              <w:spacing w:line="26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参加政府采购活动近3年内，在经营活动中没有重大违法记录</w:t>
            </w:r>
          </w:p>
        </w:tc>
        <w:tc>
          <w:tcPr>
            <w:tcW w:w="2407" w:type="pct"/>
            <w:vAlign w:val="center"/>
          </w:tcPr>
          <w:p w14:paraId="0EE1D2C3">
            <w:pPr>
              <w:spacing w:line="26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提供参加本次政府采购活动前 3 年内在经营活动中没有重大违法记录的书面承诺函，按格式提供</w:t>
            </w:r>
          </w:p>
        </w:tc>
      </w:tr>
      <w:tr w14:paraId="08F9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88" w:type="pct"/>
            <w:vMerge w:val="continue"/>
            <w:vAlign w:val="center"/>
          </w:tcPr>
          <w:p w14:paraId="6CB8FA09">
            <w:pPr>
              <w:jc w:val="center"/>
              <w:rPr>
                <w:rFonts w:hint="eastAsia" w:ascii="仿宋" w:hAnsi="仿宋" w:eastAsia="仿宋" w:cs="仿宋"/>
                <w:color w:val="auto"/>
                <w:sz w:val="24"/>
                <w:szCs w:val="24"/>
                <w:highlight w:val="none"/>
                <w:lang w:eastAsia="zh-CN"/>
              </w:rPr>
            </w:pPr>
          </w:p>
        </w:tc>
        <w:tc>
          <w:tcPr>
            <w:tcW w:w="787" w:type="pct"/>
            <w:vMerge w:val="continue"/>
            <w:vAlign w:val="center"/>
          </w:tcPr>
          <w:p w14:paraId="3F0F3963">
            <w:pPr>
              <w:spacing w:line="260" w:lineRule="exact"/>
              <w:rPr>
                <w:rFonts w:hint="eastAsia" w:ascii="仿宋" w:hAnsi="仿宋" w:eastAsia="仿宋" w:cs="仿宋"/>
                <w:color w:val="auto"/>
                <w:sz w:val="24"/>
                <w:szCs w:val="24"/>
                <w:highlight w:val="none"/>
                <w:lang w:val="zh-CN" w:eastAsia="zh-CN"/>
              </w:rPr>
            </w:pPr>
          </w:p>
        </w:tc>
        <w:tc>
          <w:tcPr>
            <w:tcW w:w="1416" w:type="pct"/>
            <w:vAlign w:val="center"/>
          </w:tcPr>
          <w:p w14:paraId="65D4264A">
            <w:pPr>
              <w:spacing w:line="26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法律、行政法规规定的其他条件</w:t>
            </w:r>
          </w:p>
        </w:tc>
        <w:tc>
          <w:tcPr>
            <w:tcW w:w="2407" w:type="pct"/>
            <w:vAlign w:val="center"/>
          </w:tcPr>
          <w:p w14:paraId="18B996A2">
            <w:pPr>
              <w:spacing w:line="2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符合法律、行政法规规定的其他条件</w:t>
            </w:r>
            <w:r>
              <w:rPr>
                <w:rFonts w:hint="eastAsia" w:ascii="仿宋" w:hAnsi="仿宋" w:eastAsia="仿宋" w:cs="仿宋"/>
                <w:color w:val="auto"/>
                <w:sz w:val="24"/>
                <w:szCs w:val="24"/>
                <w:highlight w:val="none"/>
                <w:lang w:eastAsia="zh-CN"/>
              </w:rPr>
              <w:t>承诺函，自行提供</w:t>
            </w:r>
          </w:p>
        </w:tc>
      </w:tr>
      <w:tr w14:paraId="7525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388" w:type="pct"/>
            <w:vAlign w:val="center"/>
          </w:tcPr>
          <w:p w14:paraId="1A911F15">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p>
        </w:tc>
        <w:tc>
          <w:tcPr>
            <w:tcW w:w="787" w:type="pct"/>
            <w:vAlign w:val="center"/>
          </w:tcPr>
          <w:p w14:paraId="66232F49">
            <w:pPr>
              <w:pStyle w:val="19"/>
              <w:spacing w:before="35" w:line="186" w:lineRule="auto"/>
              <w:ind w:left="129" w:right="138"/>
              <w:jc w:val="center"/>
              <w:rPr>
                <w:rFonts w:hint="eastAsia" w:ascii="仿宋" w:hAnsi="仿宋" w:eastAsia="仿宋" w:cs="仿宋"/>
                <w:color w:val="auto"/>
                <w:sz w:val="24"/>
                <w:szCs w:val="24"/>
                <w:highlight w:val="none"/>
                <w:lang w:eastAsia="zh-CN"/>
              </w:rPr>
            </w:pPr>
          </w:p>
          <w:p w14:paraId="453F9756">
            <w:pPr>
              <w:pStyle w:val="19"/>
              <w:spacing w:before="35" w:line="186" w:lineRule="auto"/>
              <w:ind w:left="129" w:right="138"/>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eastAsia="zh-CN"/>
              </w:rPr>
              <w:t>供应商为中小企业</w:t>
            </w:r>
          </w:p>
          <w:p w14:paraId="0A6348F5">
            <w:pPr>
              <w:jc w:val="center"/>
              <w:rPr>
                <w:rFonts w:hint="eastAsia" w:ascii="仿宋" w:hAnsi="仿宋" w:eastAsia="仿宋" w:cs="仿宋"/>
                <w:color w:val="auto"/>
                <w:sz w:val="24"/>
                <w:szCs w:val="24"/>
                <w:highlight w:val="none"/>
                <w:lang w:val="zh-CN"/>
              </w:rPr>
            </w:pPr>
          </w:p>
        </w:tc>
        <w:tc>
          <w:tcPr>
            <w:tcW w:w="3823" w:type="pct"/>
            <w:gridSpan w:val="2"/>
            <w:vAlign w:val="center"/>
          </w:tcPr>
          <w:p w14:paraId="68B0D652">
            <w:pPr>
              <w:spacing w:line="26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eastAsia="zh-CN"/>
              </w:rPr>
              <w:t>需提供中小企业声明函，</w:t>
            </w:r>
            <w:r>
              <w:rPr>
                <w:rFonts w:hint="eastAsia" w:ascii="仿宋" w:hAnsi="仿宋" w:eastAsia="仿宋" w:cs="仿宋"/>
                <w:color w:val="auto"/>
                <w:sz w:val="24"/>
                <w:szCs w:val="24"/>
                <w:highlight w:val="none"/>
                <w:lang w:val="zh-CN" w:eastAsia="zh-CN"/>
              </w:rPr>
              <w:t>按格式提供；</w:t>
            </w:r>
          </w:p>
        </w:tc>
      </w:tr>
      <w:tr w14:paraId="10E9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88" w:type="pct"/>
            <w:vMerge w:val="restart"/>
            <w:vAlign w:val="center"/>
          </w:tcPr>
          <w:p w14:paraId="2E97AEFD">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w:t>
            </w:r>
          </w:p>
        </w:tc>
        <w:tc>
          <w:tcPr>
            <w:tcW w:w="787" w:type="pct"/>
            <w:vMerge w:val="restart"/>
            <w:vAlign w:val="center"/>
          </w:tcPr>
          <w:p w14:paraId="02AB38D7">
            <w:pPr>
              <w:spacing w:line="26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资格要求</w:t>
            </w:r>
          </w:p>
        </w:tc>
        <w:tc>
          <w:tcPr>
            <w:tcW w:w="3823" w:type="pct"/>
            <w:gridSpan w:val="2"/>
            <w:vAlign w:val="center"/>
          </w:tcPr>
          <w:p w14:paraId="0A291E8A">
            <w:pPr>
              <w:spacing w:line="26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企业诚信信息未被行业主管部门通报；（提供网页截图等证明材料或承诺函）；</w:t>
            </w:r>
          </w:p>
        </w:tc>
      </w:tr>
      <w:tr w14:paraId="1220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388" w:type="pct"/>
            <w:vMerge w:val="continue"/>
            <w:vAlign w:val="center"/>
          </w:tcPr>
          <w:p w14:paraId="587A5A1E">
            <w:pPr>
              <w:jc w:val="center"/>
              <w:rPr>
                <w:rFonts w:hint="eastAsia" w:ascii="仿宋" w:hAnsi="仿宋" w:eastAsia="仿宋" w:cs="仿宋"/>
                <w:color w:val="auto"/>
                <w:sz w:val="24"/>
                <w:szCs w:val="24"/>
                <w:highlight w:val="none"/>
                <w:lang w:eastAsia="zh-CN"/>
              </w:rPr>
            </w:pPr>
          </w:p>
        </w:tc>
        <w:tc>
          <w:tcPr>
            <w:tcW w:w="787" w:type="pct"/>
            <w:vMerge w:val="continue"/>
            <w:vAlign w:val="center"/>
          </w:tcPr>
          <w:p w14:paraId="2E375490">
            <w:pPr>
              <w:spacing w:line="260" w:lineRule="exact"/>
              <w:rPr>
                <w:rFonts w:hint="eastAsia" w:ascii="仿宋" w:hAnsi="仿宋" w:eastAsia="仿宋" w:cs="仿宋"/>
                <w:color w:val="auto"/>
                <w:sz w:val="24"/>
                <w:szCs w:val="24"/>
                <w:highlight w:val="none"/>
                <w:lang w:val="zh-CN" w:eastAsia="zh-CN"/>
              </w:rPr>
            </w:pPr>
          </w:p>
        </w:tc>
        <w:tc>
          <w:tcPr>
            <w:tcW w:w="3823" w:type="pct"/>
            <w:gridSpan w:val="2"/>
            <w:vAlign w:val="center"/>
          </w:tcPr>
          <w:p w14:paraId="4B866DB5">
            <w:pPr>
              <w:spacing w:line="26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未在“信用中国”网站（www.creditchina.gov.cn）、中国政府采购网（www.ccgp.gov.cn）等渠道列入失信被执行人、重大税收违法案件当事人名单、政府采购严重违法失信行为记录名单；</w:t>
            </w:r>
          </w:p>
        </w:tc>
      </w:tr>
      <w:tr w14:paraId="63D3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trPr>
        <w:tc>
          <w:tcPr>
            <w:tcW w:w="388" w:type="pct"/>
            <w:vMerge w:val="continue"/>
            <w:vAlign w:val="center"/>
          </w:tcPr>
          <w:p w14:paraId="265FF100">
            <w:pPr>
              <w:jc w:val="center"/>
              <w:rPr>
                <w:rFonts w:hint="eastAsia" w:ascii="仿宋" w:hAnsi="仿宋" w:eastAsia="仿宋" w:cs="仿宋"/>
                <w:color w:val="auto"/>
                <w:sz w:val="24"/>
                <w:szCs w:val="24"/>
                <w:highlight w:val="none"/>
                <w:lang w:eastAsia="zh-CN"/>
              </w:rPr>
            </w:pPr>
          </w:p>
        </w:tc>
        <w:tc>
          <w:tcPr>
            <w:tcW w:w="787" w:type="pct"/>
            <w:vMerge w:val="continue"/>
            <w:vAlign w:val="center"/>
          </w:tcPr>
          <w:p w14:paraId="1E8AE072">
            <w:pPr>
              <w:spacing w:line="260" w:lineRule="exact"/>
              <w:rPr>
                <w:rFonts w:hint="eastAsia" w:ascii="仿宋" w:hAnsi="仿宋" w:eastAsia="仿宋" w:cs="仿宋"/>
                <w:color w:val="auto"/>
                <w:sz w:val="24"/>
                <w:szCs w:val="24"/>
                <w:highlight w:val="none"/>
                <w:lang w:val="zh-CN" w:eastAsia="zh-CN"/>
              </w:rPr>
            </w:pPr>
          </w:p>
        </w:tc>
        <w:tc>
          <w:tcPr>
            <w:tcW w:w="3823" w:type="pct"/>
            <w:gridSpan w:val="2"/>
            <w:vAlign w:val="center"/>
          </w:tcPr>
          <w:p w14:paraId="1C919B2C">
            <w:pPr>
              <w:spacing w:line="26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投标声明函。</w:t>
            </w:r>
          </w:p>
        </w:tc>
      </w:tr>
    </w:tbl>
    <w:p w14:paraId="59FC5894">
      <w:pPr>
        <w:spacing w:line="116" w:lineRule="exact"/>
        <w:rPr>
          <w:rFonts w:hint="eastAsia" w:ascii="仿宋" w:hAnsi="仿宋" w:eastAsia="仿宋" w:cs="仿宋"/>
          <w:color w:val="auto"/>
          <w:highlight w:val="none"/>
          <w:lang w:eastAsia="zh-CN"/>
        </w:rPr>
      </w:pPr>
    </w:p>
    <w:p w14:paraId="464A8A17">
      <w:pPr>
        <w:pStyle w:val="7"/>
        <w:rPr>
          <w:rFonts w:hint="eastAsia" w:ascii="仿宋" w:hAnsi="仿宋" w:eastAsia="仿宋" w:cs="仿宋"/>
          <w:color w:val="auto"/>
          <w:highlight w:val="none"/>
          <w:lang w:eastAsia="zh-CN"/>
        </w:rPr>
      </w:pPr>
    </w:p>
    <w:p w14:paraId="3FB63CFE">
      <w:pPr>
        <w:rPr>
          <w:rFonts w:hint="eastAsia" w:ascii="仿宋" w:hAnsi="仿宋" w:eastAsia="仿宋" w:cs="仿宋"/>
          <w:b/>
          <w:bCs/>
          <w:color w:val="auto"/>
          <w:sz w:val="36"/>
          <w:szCs w:val="36"/>
          <w:highlight w:val="none"/>
          <w:lang w:eastAsia="zh-CN"/>
        </w:rPr>
      </w:pPr>
      <w:r>
        <w:rPr>
          <w:rFonts w:hint="eastAsia" w:ascii="仿宋" w:hAnsi="仿宋" w:eastAsia="仿宋" w:cs="仿宋"/>
          <w:color w:val="auto"/>
          <w:spacing w:val="5"/>
          <w:highlight w:val="none"/>
          <w:lang w:eastAsia="zh-CN"/>
          <w14:textOutline w14:w="4394" w14:cap="flat" w14:cmpd="sng" w14:algn="ctr">
            <w14:solidFill>
              <w14:srgbClr w14:val="000000"/>
            </w14:solidFill>
            <w14:prstDash w14:val="solid"/>
            <w14:miter w14:val="0"/>
          </w14:textOutline>
        </w:rPr>
        <w:t>注：</w:t>
      </w:r>
      <w:r>
        <w:rPr>
          <w:rFonts w:hint="eastAsia" w:ascii="仿宋" w:hAnsi="仿宋" w:eastAsia="仿宋" w:cs="仿宋"/>
          <w:color w:val="auto"/>
          <w:spacing w:val="5"/>
          <w:highlight w:val="none"/>
          <w:lang w:eastAsia="zh-CN"/>
        </w:rPr>
        <w:t xml:space="preserve"> </w:t>
      </w:r>
      <w:r>
        <w:rPr>
          <w:rFonts w:hint="eastAsia" w:ascii="仿宋" w:hAnsi="仿宋" w:eastAsia="仿宋" w:cs="仿宋"/>
          <w:color w:val="auto"/>
          <w:spacing w:val="5"/>
          <w:highlight w:val="none"/>
          <w:lang w:eastAsia="zh-CN"/>
          <w14:textOutline w14:w="4394" w14:cap="flat" w14:cmpd="sng" w14:algn="ctr">
            <w14:solidFill>
              <w14:srgbClr w14:val="000000"/>
            </w14:solidFill>
            <w14:prstDash w14:val="solid"/>
            <w14:miter w14:val="0"/>
          </w14:textOutline>
        </w:rPr>
        <w:t>以上检查内容必须全部符合检查标准，否则为无效</w:t>
      </w:r>
      <w:r>
        <w:rPr>
          <w:rFonts w:hint="eastAsia" w:ascii="仿宋" w:hAnsi="仿宋" w:eastAsia="仿宋" w:cs="仿宋"/>
          <w:color w:val="auto"/>
          <w:spacing w:val="4"/>
          <w:highlight w:val="none"/>
          <w:lang w:eastAsia="zh-CN"/>
          <w14:textOutline w14:w="4394" w14:cap="flat" w14:cmpd="sng" w14:algn="ctr">
            <w14:solidFill>
              <w14:srgbClr w14:val="000000"/>
            </w14:solidFill>
            <w14:prstDash w14:val="solid"/>
            <w14:miter w14:val="0"/>
          </w14:textOutline>
        </w:rPr>
        <w:t>响应。</w:t>
      </w:r>
      <w:r>
        <w:rPr>
          <w:rFonts w:hint="eastAsia" w:ascii="仿宋" w:hAnsi="仿宋" w:eastAsia="仿宋" w:cs="仿宋"/>
          <w:b/>
          <w:bCs/>
          <w:color w:val="auto"/>
          <w:sz w:val="36"/>
          <w:szCs w:val="36"/>
          <w:highlight w:val="none"/>
          <w:lang w:eastAsia="zh-CN"/>
        </w:rPr>
        <w:br w:type="page"/>
      </w:r>
    </w:p>
    <w:p w14:paraId="530B485D">
      <w:pPr>
        <w:spacing w:line="5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符合性检查表</w:t>
      </w:r>
    </w:p>
    <w:tbl>
      <w:tblPr>
        <w:tblStyle w:val="18"/>
        <w:tblW w:w="95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6"/>
        <w:gridCol w:w="1727"/>
        <w:gridCol w:w="7065"/>
      </w:tblGrid>
      <w:tr w14:paraId="7822D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6" w:type="dxa"/>
          </w:tcPr>
          <w:p w14:paraId="03E4BF9A">
            <w:pPr>
              <w:pStyle w:val="19"/>
              <w:spacing w:before="75" w:line="218" w:lineRule="auto"/>
              <w:ind w:left="74" w:right="75" w:firstLine="5"/>
              <w:jc w:val="center"/>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序号</w:t>
            </w:r>
          </w:p>
        </w:tc>
        <w:tc>
          <w:tcPr>
            <w:tcW w:w="1727" w:type="dxa"/>
          </w:tcPr>
          <w:p w14:paraId="2D5BD0DF">
            <w:pPr>
              <w:pStyle w:val="19"/>
              <w:spacing w:before="75" w:line="218" w:lineRule="auto"/>
              <w:ind w:left="74" w:right="75" w:firstLine="5"/>
              <w:jc w:val="center"/>
              <w:rPr>
                <w:rFonts w:hint="eastAsia" w:ascii="仿宋" w:hAnsi="仿宋" w:eastAsia="仿宋" w:cs="仿宋"/>
                <w:color w:val="auto"/>
                <w:spacing w:val="7"/>
                <w:sz w:val="24"/>
                <w:szCs w:val="24"/>
                <w:highlight w:val="none"/>
              </w:rPr>
            </w:pPr>
            <w:r>
              <w:rPr>
                <w:rFonts w:hint="eastAsia" w:ascii="仿宋" w:hAnsi="仿宋" w:eastAsia="仿宋" w:cs="仿宋"/>
                <w:color w:val="auto"/>
                <w:sz w:val="24"/>
                <w:szCs w:val="24"/>
                <w:highlight w:val="none"/>
              </w:rPr>
              <w:t>检查因素</w:t>
            </w:r>
          </w:p>
        </w:tc>
        <w:tc>
          <w:tcPr>
            <w:tcW w:w="7065" w:type="dxa"/>
          </w:tcPr>
          <w:p w14:paraId="59E6C36D">
            <w:pPr>
              <w:pStyle w:val="19"/>
              <w:spacing w:before="89" w:line="211" w:lineRule="auto"/>
              <w:ind w:left="76" w:right="65" w:firstLine="18"/>
              <w:jc w:val="center"/>
              <w:rPr>
                <w:rFonts w:hint="eastAsia" w:ascii="仿宋" w:hAnsi="仿宋" w:eastAsia="仿宋" w:cs="仿宋"/>
                <w:color w:val="auto"/>
                <w:spacing w:val="19"/>
                <w:sz w:val="24"/>
                <w:szCs w:val="24"/>
                <w:highlight w:val="none"/>
              </w:rPr>
            </w:pPr>
            <w:r>
              <w:rPr>
                <w:rFonts w:hint="eastAsia" w:ascii="仿宋" w:hAnsi="仿宋" w:eastAsia="仿宋" w:cs="仿宋"/>
                <w:color w:val="auto"/>
                <w:sz w:val="24"/>
                <w:szCs w:val="24"/>
                <w:highlight w:val="none"/>
              </w:rPr>
              <w:t>检查内容</w:t>
            </w:r>
          </w:p>
        </w:tc>
      </w:tr>
      <w:tr w14:paraId="5FD88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806" w:type="dxa"/>
            <w:vAlign w:val="center"/>
          </w:tcPr>
          <w:p w14:paraId="7FF72331">
            <w:pPr>
              <w:pStyle w:val="19"/>
              <w:spacing w:before="75" w:line="218" w:lineRule="auto"/>
              <w:ind w:left="74" w:right="75" w:firstLine="5"/>
              <w:jc w:val="center"/>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1</w:t>
            </w:r>
          </w:p>
        </w:tc>
        <w:tc>
          <w:tcPr>
            <w:tcW w:w="1727" w:type="dxa"/>
          </w:tcPr>
          <w:p w14:paraId="2BFAC81D">
            <w:pPr>
              <w:spacing w:line="328" w:lineRule="auto"/>
              <w:rPr>
                <w:rFonts w:hint="eastAsia" w:ascii="仿宋" w:hAnsi="仿宋" w:eastAsia="仿宋" w:cs="仿宋"/>
                <w:color w:val="auto"/>
                <w:sz w:val="24"/>
                <w:szCs w:val="24"/>
                <w:highlight w:val="none"/>
                <w:lang w:eastAsia="zh-CN"/>
              </w:rPr>
            </w:pPr>
          </w:p>
          <w:p w14:paraId="6F17CE21">
            <w:pPr>
              <w:spacing w:line="328" w:lineRule="auto"/>
              <w:rPr>
                <w:rFonts w:hint="eastAsia" w:ascii="仿宋" w:hAnsi="仿宋" w:eastAsia="仿宋" w:cs="仿宋"/>
                <w:color w:val="auto"/>
                <w:sz w:val="24"/>
                <w:szCs w:val="24"/>
                <w:highlight w:val="none"/>
                <w:lang w:eastAsia="zh-CN"/>
              </w:rPr>
            </w:pPr>
          </w:p>
          <w:p w14:paraId="4038606B">
            <w:pPr>
              <w:pStyle w:val="19"/>
              <w:spacing w:before="75" w:line="218" w:lineRule="auto"/>
              <w:ind w:left="74" w:right="75" w:firstLine="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商务技术响应文</w:t>
            </w:r>
            <w:r>
              <w:rPr>
                <w:rFonts w:hint="eastAsia" w:ascii="仿宋" w:hAnsi="仿宋" w:eastAsia="仿宋" w:cs="仿宋"/>
                <w:color w:val="auto"/>
                <w:spacing w:val="5"/>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件--商务资信</w:t>
            </w:r>
          </w:p>
        </w:tc>
        <w:tc>
          <w:tcPr>
            <w:tcW w:w="7065" w:type="dxa"/>
          </w:tcPr>
          <w:p w14:paraId="737AE1DD">
            <w:pPr>
              <w:pStyle w:val="19"/>
              <w:numPr>
                <w:ilvl w:val="0"/>
                <w:numId w:val="3"/>
              </w:numPr>
              <w:spacing w:before="89" w:line="211" w:lineRule="auto"/>
              <w:ind w:left="76" w:right="65" w:firstLine="18"/>
              <w:jc w:val="both"/>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9"/>
                <w:sz w:val="24"/>
                <w:szCs w:val="24"/>
                <w:highlight w:val="none"/>
                <w:lang w:eastAsia="zh-CN"/>
              </w:rPr>
              <w:t>供应商名称是否与营业执照或事业单位法人证书一</w:t>
            </w:r>
            <w:r>
              <w:rPr>
                <w:rFonts w:hint="eastAsia" w:ascii="仿宋" w:hAnsi="仿宋" w:eastAsia="仿宋" w:cs="仿宋"/>
                <w:color w:val="auto"/>
                <w:spacing w:val="10"/>
                <w:sz w:val="24"/>
                <w:szCs w:val="24"/>
                <w:highlight w:val="none"/>
                <w:lang w:eastAsia="zh-CN"/>
              </w:rPr>
              <w:t>致；</w:t>
            </w:r>
          </w:p>
          <w:p w14:paraId="53C030CB">
            <w:pPr>
              <w:pStyle w:val="19"/>
              <w:numPr>
                <w:ilvl w:val="0"/>
                <w:numId w:val="3"/>
              </w:numPr>
              <w:spacing w:before="89" w:line="211" w:lineRule="auto"/>
              <w:ind w:left="76" w:right="65" w:firstLine="18"/>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供应商是否按谈判文件要求在规定区域加盖单位</w:t>
            </w:r>
            <w:r>
              <w:rPr>
                <w:rFonts w:hint="eastAsia" w:ascii="仿宋" w:hAnsi="仿宋" w:eastAsia="仿宋" w:cs="仿宋"/>
                <w:color w:val="auto"/>
                <w:spacing w:val="9"/>
                <w:sz w:val="24"/>
                <w:szCs w:val="24"/>
                <w:highlight w:val="none"/>
                <w:lang w:eastAsia="zh-CN"/>
              </w:rPr>
              <w:t xml:space="preserve"> </w:t>
            </w:r>
            <w:r>
              <w:rPr>
                <w:rFonts w:hint="eastAsia" w:ascii="仿宋" w:hAnsi="仿宋" w:eastAsia="仿宋" w:cs="仿宋"/>
                <w:color w:val="auto"/>
                <w:spacing w:val="10"/>
                <w:sz w:val="24"/>
                <w:szCs w:val="24"/>
                <w:highlight w:val="none"/>
                <w:lang w:eastAsia="zh-CN"/>
              </w:rPr>
              <w:t>公章和法定代表人签字或盖章；</w:t>
            </w:r>
          </w:p>
          <w:p w14:paraId="2C1BD250">
            <w:pPr>
              <w:pStyle w:val="19"/>
              <w:numPr>
                <w:ilvl w:val="0"/>
                <w:numId w:val="3"/>
              </w:numPr>
              <w:spacing w:before="89" w:line="211" w:lineRule="auto"/>
              <w:ind w:left="76" w:right="65" w:firstLine="18"/>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供应商是否按照响应</w:t>
            </w:r>
            <w:r>
              <w:rPr>
                <w:rFonts w:hint="eastAsia" w:ascii="仿宋" w:hAnsi="仿宋" w:eastAsia="仿宋" w:cs="仿宋"/>
                <w:color w:val="auto"/>
                <w:spacing w:val="11"/>
                <w:sz w:val="24"/>
                <w:szCs w:val="24"/>
                <w:highlight w:val="none"/>
                <w:lang w:eastAsia="zh-CN"/>
              </w:rPr>
              <w:t xml:space="preserve"> </w:t>
            </w:r>
            <w:r>
              <w:rPr>
                <w:rFonts w:hint="eastAsia" w:ascii="仿宋" w:hAnsi="仿宋" w:eastAsia="仿宋" w:cs="仿宋"/>
                <w:color w:val="auto"/>
                <w:spacing w:val="10"/>
                <w:sz w:val="24"/>
                <w:szCs w:val="24"/>
                <w:highlight w:val="none"/>
                <w:lang w:eastAsia="zh-CN"/>
              </w:rPr>
              <w:t>文件格式要求填写且无缺项漏项情况；</w:t>
            </w:r>
          </w:p>
          <w:p w14:paraId="3A4A8007">
            <w:pPr>
              <w:pStyle w:val="19"/>
              <w:numPr>
                <w:ilvl w:val="0"/>
                <w:numId w:val="3"/>
              </w:numPr>
              <w:spacing w:before="89" w:line="211" w:lineRule="auto"/>
              <w:ind w:left="76" w:right="65" w:firstLine="18"/>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供应商是否承</w:t>
            </w:r>
            <w:r>
              <w:rPr>
                <w:rFonts w:hint="eastAsia" w:ascii="仿宋" w:hAnsi="仿宋" w:eastAsia="仿宋" w:cs="仿宋"/>
                <w:color w:val="auto"/>
                <w:spacing w:val="11"/>
                <w:sz w:val="24"/>
                <w:szCs w:val="24"/>
                <w:highlight w:val="none"/>
                <w:lang w:eastAsia="zh-CN"/>
              </w:rPr>
              <w:t>诺了本谈判有效期为自首次递交响应文件截</w:t>
            </w:r>
            <w:r>
              <w:rPr>
                <w:rFonts w:hint="eastAsia" w:ascii="仿宋" w:hAnsi="仿宋" w:eastAsia="仿宋" w:cs="仿宋"/>
                <w:color w:val="auto"/>
                <w:spacing w:val="10"/>
                <w:sz w:val="24"/>
                <w:szCs w:val="24"/>
                <w:highlight w:val="none"/>
                <w:lang w:eastAsia="zh-CN"/>
              </w:rPr>
              <w:t>止时间起计</w:t>
            </w:r>
            <w:r>
              <w:rPr>
                <w:rFonts w:hint="eastAsia" w:ascii="仿宋" w:hAnsi="仿宋" w:eastAsia="仿宋" w:cs="仿宋"/>
                <w:color w:val="auto"/>
                <w:spacing w:val="9"/>
                <w:sz w:val="24"/>
                <w:szCs w:val="24"/>
                <w:highlight w:val="none"/>
                <w:lang w:eastAsia="zh-CN"/>
              </w:rPr>
              <w:t>算 90 个日历日；</w:t>
            </w:r>
          </w:p>
          <w:p w14:paraId="7C1797F4">
            <w:pPr>
              <w:pStyle w:val="19"/>
              <w:numPr>
                <w:ilvl w:val="0"/>
                <w:numId w:val="3"/>
              </w:numPr>
              <w:spacing w:before="89" w:line="211" w:lineRule="auto"/>
              <w:ind w:left="76" w:right="65" w:firstLine="18"/>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供应商响应文件未附有采购人不能</w:t>
            </w:r>
            <w:r>
              <w:rPr>
                <w:rFonts w:hint="eastAsia" w:ascii="仿宋" w:hAnsi="仿宋" w:eastAsia="仿宋" w:cs="仿宋"/>
                <w:color w:val="auto"/>
                <w:spacing w:val="6"/>
                <w:sz w:val="24"/>
                <w:szCs w:val="24"/>
                <w:highlight w:val="none"/>
                <w:lang w:eastAsia="zh-CN"/>
              </w:rPr>
              <w:t>接受或不符合谈判文件的商务要求。</w:t>
            </w:r>
          </w:p>
        </w:tc>
      </w:tr>
      <w:tr w14:paraId="3BA21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806" w:type="dxa"/>
            <w:vAlign w:val="center"/>
          </w:tcPr>
          <w:p w14:paraId="3F447F94">
            <w:pPr>
              <w:pStyle w:val="19"/>
              <w:spacing w:before="108" w:line="218" w:lineRule="auto"/>
              <w:ind w:left="74" w:right="75" w:firstLine="5"/>
              <w:jc w:val="center"/>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2</w:t>
            </w:r>
          </w:p>
        </w:tc>
        <w:tc>
          <w:tcPr>
            <w:tcW w:w="1727" w:type="dxa"/>
          </w:tcPr>
          <w:p w14:paraId="0050937A">
            <w:pPr>
              <w:pStyle w:val="19"/>
              <w:spacing w:before="108" w:line="218" w:lineRule="auto"/>
              <w:ind w:left="74" w:right="75" w:firstLine="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商务技术响应文</w:t>
            </w:r>
            <w:r>
              <w:rPr>
                <w:rFonts w:hint="eastAsia" w:ascii="仿宋" w:hAnsi="仿宋" w:eastAsia="仿宋" w:cs="仿宋"/>
                <w:color w:val="auto"/>
                <w:spacing w:val="5"/>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件--技术</w:t>
            </w:r>
          </w:p>
        </w:tc>
        <w:tc>
          <w:tcPr>
            <w:tcW w:w="7065" w:type="dxa"/>
          </w:tcPr>
          <w:p w14:paraId="5E381506">
            <w:pPr>
              <w:pStyle w:val="19"/>
              <w:spacing w:before="108" w:line="218" w:lineRule="auto"/>
              <w:ind w:left="76" w:right="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供应商响应文件未附有采购人不能接受或不符合谈判文</w:t>
            </w:r>
            <w:r>
              <w:rPr>
                <w:rFonts w:hint="eastAsia" w:ascii="仿宋" w:hAnsi="仿宋" w:eastAsia="仿宋" w:cs="仿宋"/>
                <w:color w:val="auto"/>
                <w:spacing w:val="3"/>
                <w:sz w:val="24"/>
                <w:szCs w:val="24"/>
                <w:highlight w:val="none"/>
                <w:lang w:eastAsia="zh-CN"/>
              </w:rPr>
              <w:t>件的技术要求。</w:t>
            </w:r>
          </w:p>
        </w:tc>
      </w:tr>
      <w:tr w14:paraId="6603E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806" w:type="dxa"/>
            <w:vAlign w:val="center"/>
          </w:tcPr>
          <w:p w14:paraId="4AE99747">
            <w:pPr>
              <w:pStyle w:val="19"/>
              <w:spacing w:before="142" w:line="226" w:lineRule="auto"/>
              <w:ind w:left="73"/>
              <w:jc w:val="center"/>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3</w:t>
            </w:r>
          </w:p>
        </w:tc>
        <w:tc>
          <w:tcPr>
            <w:tcW w:w="1727" w:type="dxa"/>
          </w:tcPr>
          <w:p w14:paraId="1F775EF8">
            <w:pPr>
              <w:pStyle w:val="19"/>
              <w:spacing w:before="142" w:line="226" w:lineRule="auto"/>
              <w:ind w:left="7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报价响应文件</w:t>
            </w:r>
          </w:p>
        </w:tc>
        <w:tc>
          <w:tcPr>
            <w:tcW w:w="7065" w:type="dxa"/>
          </w:tcPr>
          <w:p w14:paraId="06A98EB9">
            <w:pPr>
              <w:pStyle w:val="19"/>
              <w:spacing w:before="142" w:line="226" w:lineRule="auto"/>
              <w:ind w:left="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未超过项目采购预算价及单价限价的。</w:t>
            </w:r>
          </w:p>
        </w:tc>
      </w:tr>
      <w:tr w14:paraId="7A741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806" w:type="dxa"/>
            <w:vAlign w:val="center"/>
          </w:tcPr>
          <w:p w14:paraId="6335C5B9">
            <w:pPr>
              <w:pStyle w:val="19"/>
              <w:spacing w:before="142" w:line="226" w:lineRule="auto"/>
              <w:ind w:left="73"/>
              <w:jc w:val="center"/>
              <w:rPr>
                <w:rFonts w:hint="default"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4</w:t>
            </w:r>
          </w:p>
        </w:tc>
        <w:tc>
          <w:tcPr>
            <w:tcW w:w="1727" w:type="dxa"/>
            <w:vAlign w:val="center"/>
          </w:tcPr>
          <w:p w14:paraId="0F675353">
            <w:pPr>
              <w:pStyle w:val="19"/>
              <w:spacing w:before="142" w:line="226" w:lineRule="auto"/>
              <w:ind w:left="80"/>
              <w:jc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异常低价审查</w:t>
            </w:r>
          </w:p>
          <w:p w14:paraId="335C5186">
            <w:pPr>
              <w:pStyle w:val="19"/>
              <w:spacing w:before="142" w:line="226" w:lineRule="auto"/>
              <w:ind w:left="73"/>
              <w:jc w:val="center"/>
              <w:rPr>
                <w:rFonts w:hint="eastAsia" w:ascii="仿宋" w:hAnsi="仿宋" w:eastAsia="仿宋" w:cs="仿宋"/>
                <w:color w:val="auto"/>
                <w:spacing w:val="8"/>
                <w:sz w:val="24"/>
                <w:szCs w:val="24"/>
                <w:highlight w:val="none"/>
              </w:rPr>
            </w:pPr>
          </w:p>
        </w:tc>
        <w:tc>
          <w:tcPr>
            <w:tcW w:w="7065" w:type="dxa"/>
          </w:tcPr>
          <w:p w14:paraId="742B2B57">
            <w:pPr>
              <w:pStyle w:val="19"/>
              <w:spacing w:before="142" w:line="226" w:lineRule="auto"/>
              <w:ind w:left="80"/>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1、评审中未出现下列情形之一的，第2项不予审查，异常低价审查全部通过。</w:t>
            </w:r>
          </w:p>
          <w:p w14:paraId="7B4A034C">
            <w:pPr>
              <w:pStyle w:val="19"/>
              <w:spacing w:before="142" w:line="226" w:lineRule="auto"/>
              <w:ind w:left="8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val="en-US" w:eastAsia="zh-CN"/>
              </w:rPr>
              <w:t>（1）</w:t>
            </w:r>
            <w:r>
              <w:rPr>
                <w:rFonts w:hint="eastAsia" w:ascii="仿宋" w:hAnsi="仿宋" w:eastAsia="仿宋" w:cs="仿宋"/>
                <w:color w:val="auto"/>
                <w:spacing w:val="7"/>
                <w:sz w:val="24"/>
                <w:szCs w:val="24"/>
                <w:highlight w:val="none"/>
                <w:lang w:eastAsia="zh-CN"/>
              </w:rPr>
              <w:t>投标（响应）报价低于全部通过符合性审查供应商投标（响应）报价平均值50%的，即投标（响应）报价&lt;全部通过符合性审查供应商投标（响应）报价平均值×50%；</w:t>
            </w:r>
          </w:p>
          <w:p w14:paraId="1DC2BAD9">
            <w:pPr>
              <w:pStyle w:val="19"/>
              <w:spacing w:before="142" w:line="226" w:lineRule="auto"/>
              <w:ind w:left="8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val="en-US" w:eastAsia="zh-CN"/>
              </w:rPr>
              <w:t>（2）</w:t>
            </w:r>
            <w:r>
              <w:rPr>
                <w:rFonts w:hint="eastAsia" w:ascii="仿宋" w:hAnsi="仿宋" w:eastAsia="仿宋" w:cs="仿宋"/>
                <w:color w:val="auto"/>
                <w:spacing w:val="7"/>
                <w:sz w:val="24"/>
                <w:szCs w:val="24"/>
                <w:highlight w:val="none"/>
                <w:lang w:eastAsia="zh-CN"/>
              </w:rPr>
              <w:t>投标（响应）报价低于通过符合性审查的次低报价供应商投标（响应）报价50%的，即投标（响应）报价&lt;通过符合性审查的次低报价供应商投标（响应）报价×50%</w:t>
            </w:r>
          </w:p>
          <w:p w14:paraId="1721848A">
            <w:pPr>
              <w:pStyle w:val="19"/>
              <w:spacing w:before="142" w:line="226" w:lineRule="auto"/>
              <w:ind w:left="8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val="en-US" w:eastAsia="zh-CN"/>
              </w:rPr>
              <w:t>（3）</w:t>
            </w:r>
            <w:r>
              <w:rPr>
                <w:rFonts w:hint="eastAsia" w:ascii="仿宋" w:hAnsi="仿宋" w:eastAsia="仿宋" w:cs="仿宋"/>
                <w:color w:val="auto"/>
                <w:spacing w:val="7"/>
                <w:sz w:val="24"/>
                <w:szCs w:val="24"/>
                <w:highlight w:val="none"/>
                <w:lang w:eastAsia="zh-CN"/>
              </w:rPr>
              <w:t>投标（响应）报价低于采购项目最高限价45%的，即投标（响应）报价&lt;采购项目最高限价×45%；</w:t>
            </w:r>
          </w:p>
          <w:p w14:paraId="4E0CC10A">
            <w:pPr>
              <w:pStyle w:val="19"/>
              <w:spacing w:before="142" w:line="226" w:lineRule="auto"/>
              <w:ind w:left="8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lang w:val="en-US" w:eastAsia="zh-CN"/>
              </w:rPr>
              <w:t>4</w:t>
            </w: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lang w:val="en-US" w:eastAsia="zh-CN"/>
              </w:rPr>
              <w:t xml:space="preserve">评审委员会基于专业判断，认为供应商报价过低，有可能影响产品质量或者不能诚信履约的其 </w:t>
            </w:r>
          </w:p>
          <w:p w14:paraId="471553F2">
            <w:pPr>
              <w:pStyle w:val="19"/>
              <w:spacing w:before="142" w:line="226" w:lineRule="auto"/>
              <w:ind w:left="8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val="en-US" w:eastAsia="zh-CN"/>
              </w:rPr>
              <w:t>他情形；</w:t>
            </w:r>
          </w:p>
          <w:p w14:paraId="0B6A0647">
            <w:pPr>
              <w:pStyle w:val="19"/>
              <w:spacing w:before="142" w:line="226" w:lineRule="auto"/>
              <w:ind w:left="8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val="en-US" w:eastAsia="zh-CN"/>
              </w:rPr>
              <w:t>2、如果有第1项情形之一，评审委员会应当启动异常低价投标（响应）审查程序，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提供的书面说明、证明材料不能证明其报价合理性的，评审委员会应当将其作为无效投标（响应）处理。</w:t>
            </w:r>
          </w:p>
        </w:tc>
      </w:tr>
    </w:tbl>
    <w:p w14:paraId="69268841">
      <w:pPr>
        <w:rPr>
          <w:rFonts w:hint="eastAsia" w:ascii="仿宋" w:hAnsi="仿宋" w:eastAsia="仿宋" w:cs="仿宋"/>
          <w:color w:val="auto"/>
          <w:highlight w:val="none"/>
          <w:lang w:eastAsia="zh-CN"/>
        </w:rPr>
        <w:sectPr>
          <w:headerReference r:id="rId8" w:type="default"/>
          <w:footerReference r:id="rId9" w:type="default"/>
          <w:pgSz w:w="11906" w:h="16838"/>
          <w:pgMar w:top="400" w:right="1147" w:bottom="1117" w:left="1147" w:header="0" w:footer="949" w:gutter="0"/>
          <w:pgNumType w:fmt="decimal"/>
          <w:cols w:space="720" w:num="1"/>
        </w:sectPr>
      </w:pPr>
      <w:r>
        <w:rPr>
          <w:rFonts w:hint="eastAsia" w:ascii="仿宋" w:hAnsi="仿宋" w:eastAsia="仿宋" w:cs="仿宋"/>
          <w:color w:val="auto"/>
          <w:spacing w:val="5"/>
          <w:highlight w:val="none"/>
          <w:lang w:eastAsia="zh-CN"/>
          <w14:textOutline w14:w="4394" w14:cap="flat" w14:cmpd="sng" w14:algn="ctr">
            <w14:solidFill>
              <w14:srgbClr w14:val="000000"/>
            </w14:solidFill>
            <w14:prstDash w14:val="solid"/>
            <w14:miter w14:val="0"/>
          </w14:textOutline>
        </w:rPr>
        <w:t>注：</w:t>
      </w:r>
      <w:r>
        <w:rPr>
          <w:rFonts w:hint="eastAsia" w:ascii="仿宋" w:hAnsi="仿宋" w:eastAsia="仿宋" w:cs="仿宋"/>
          <w:color w:val="auto"/>
          <w:spacing w:val="5"/>
          <w:highlight w:val="none"/>
          <w:lang w:eastAsia="zh-CN"/>
        </w:rPr>
        <w:t xml:space="preserve"> </w:t>
      </w:r>
      <w:r>
        <w:rPr>
          <w:rFonts w:hint="eastAsia" w:ascii="仿宋" w:hAnsi="仿宋" w:eastAsia="仿宋" w:cs="仿宋"/>
          <w:color w:val="auto"/>
          <w:spacing w:val="5"/>
          <w:highlight w:val="none"/>
          <w:lang w:eastAsia="zh-CN"/>
          <w14:textOutline w14:w="4394" w14:cap="flat" w14:cmpd="sng" w14:algn="ctr">
            <w14:solidFill>
              <w14:srgbClr w14:val="000000"/>
            </w14:solidFill>
            <w14:prstDash w14:val="solid"/>
            <w14:miter w14:val="0"/>
          </w14:textOutline>
        </w:rPr>
        <w:t>以上检查内容必须全部符合检查标准，否则为无效</w:t>
      </w:r>
      <w:r>
        <w:rPr>
          <w:rFonts w:hint="eastAsia" w:ascii="仿宋" w:hAnsi="仿宋" w:eastAsia="仿宋" w:cs="仿宋"/>
          <w:color w:val="auto"/>
          <w:spacing w:val="4"/>
          <w:highlight w:val="none"/>
          <w:lang w:eastAsia="zh-CN"/>
          <w14:textOutline w14:w="4394" w14:cap="flat" w14:cmpd="sng" w14:algn="ctr">
            <w14:solidFill>
              <w14:srgbClr w14:val="000000"/>
            </w14:solidFill>
            <w14:prstDash w14:val="solid"/>
            <w14:miter w14:val="0"/>
          </w14:textOutline>
        </w:rPr>
        <w:t>响应。</w:t>
      </w:r>
    </w:p>
    <w:p w14:paraId="63D345DD">
      <w:pPr>
        <w:spacing w:before="150" w:line="190" w:lineRule="auto"/>
        <w:ind w:left="3190"/>
        <w:outlineLvl w:val="0"/>
        <w:rPr>
          <w:rFonts w:hint="eastAsia" w:ascii="仿宋" w:hAnsi="仿宋" w:eastAsia="仿宋" w:cs="仿宋"/>
          <w:color w:val="auto"/>
          <w:sz w:val="35"/>
          <w:szCs w:val="35"/>
          <w:highlight w:val="none"/>
          <w:lang w:eastAsia="zh-CN"/>
        </w:rPr>
      </w:pPr>
      <w:bookmarkStart w:id="76" w:name="_Toc28374"/>
      <w:bookmarkStart w:id="77" w:name="_Toc432684931"/>
      <w:bookmarkStart w:id="78" w:name="_Toc331685784"/>
      <w:r>
        <w:rPr>
          <w:rFonts w:hint="eastAsia" w:ascii="仿宋" w:hAnsi="仿宋" w:eastAsia="仿宋" w:cs="仿宋"/>
          <w:color w:val="auto"/>
          <w:spacing w:val="9"/>
          <w:sz w:val="34"/>
          <w:szCs w:val="34"/>
          <w:highlight w:val="none"/>
          <w:lang w:eastAsia="zh-CN"/>
          <w14:textOutline w14:w="6400" w14:cap="flat" w14:cmpd="sng" w14:algn="ctr">
            <w14:solidFill>
              <w14:srgbClr w14:val="000000"/>
            </w14:solidFill>
            <w14:prstDash w14:val="solid"/>
            <w14:miter w14:val="0"/>
          </w14:textOutline>
        </w:rPr>
        <w:t>第五章</w:t>
      </w:r>
      <w:r>
        <w:rPr>
          <w:rFonts w:hint="eastAsia" w:ascii="仿宋" w:hAnsi="仿宋" w:eastAsia="仿宋" w:cs="仿宋"/>
          <w:color w:val="auto"/>
          <w:spacing w:val="30"/>
          <w:sz w:val="34"/>
          <w:szCs w:val="34"/>
          <w:highlight w:val="none"/>
          <w:lang w:eastAsia="zh-CN"/>
        </w:rPr>
        <w:t xml:space="preserve"> </w:t>
      </w:r>
      <w:r>
        <w:rPr>
          <w:rFonts w:hint="eastAsia" w:ascii="仿宋" w:hAnsi="仿宋" w:eastAsia="仿宋" w:cs="仿宋"/>
          <w:color w:val="auto"/>
          <w:spacing w:val="9"/>
          <w:sz w:val="35"/>
          <w:szCs w:val="35"/>
          <w:highlight w:val="none"/>
          <w:lang w:eastAsia="zh-CN"/>
          <w14:textOutline w14:w="6578" w14:cap="flat" w14:cmpd="sng" w14:algn="ctr">
            <w14:solidFill>
              <w14:srgbClr w14:val="000000"/>
            </w14:solidFill>
            <w14:prstDash w14:val="solid"/>
            <w14:miter w14:val="0"/>
          </w14:textOutline>
        </w:rPr>
        <w:t>合同</w:t>
      </w:r>
      <w:bookmarkEnd w:id="76"/>
    </w:p>
    <w:p w14:paraId="5CD53FC3">
      <w:pPr>
        <w:spacing w:line="560" w:lineRule="exact"/>
        <w:jc w:val="both"/>
        <w:outlineLvl w:val="1"/>
        <w:rPr>
          <w:rFonts w:hint="eastAsia" w:ascii="仿宋" w:hAnsi="仿宋" w:eastAsia="仿宋" w:cs="仿宋"/>
          <w:b/>
          <w:color w:val="auto"/>
          <w:sz w:val="32"/>
          <w:highlight w:val="none"/>
          <w:u w:val="single"/>
          <w:lang w:eastAsia="zh-CN"/>
        </w:rPr>
      </w:pPr>
    </w:p>
    <w:p w14:paraId="5A7F1F45">
      <w:pPr>
        <w:pStyle w:val="5"/>
        <w:rPr>
          <w:rFonts w:hint="default" w:eastAsia="宋体"/>
          <w:color w:val="auto"/>
          <w:highlight w:val="none"/>
          <w:lang w:val="en-US" w:eastAsia="zh-CN"/>
        </w:rPr>
      </w:pPr>
      <w:r>
        <w:rPr>
          <w:rFonts w:hint="eastAsia"/>
          <w:color w:val="auto"/>
          <w:highlight w:val="none"/>
          <w:lang w:val="en-US" w:eastAsia="zh-CN"/>
        </w:rPr>
        <w:t>项目编号：</w:t>
      </w:r>
    </w:p>
    <w:p w14:paraId="55E0ACAA">
      <w:pPr>
        <w:spacing w:line="560" w:lineRule="exact"/>
        <w:jc w:val="center"/>
        <w:outlineLvl w:val="1"/>
        <w:rPr>
          <w:rFonts w:hint="eastAsia" w:ascii="仿宋" w:hAnsi="仿宋" w:eastAsia="仿宋" w:cs="仿宋"/>
          <w:b/>
          <w:color w:val="auto"/>
          <w:sz w:val="32"/>
          <w:highlight w:val="none"/>
          <w:u w:val="single"/>
          <w:lang w:eastAsia="zh-CN"/>
        </w:rPr>
      </w:pPr>
    </w:p>
    <w:p w14:paraId="2217B8E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1"/>
        <w:rPr>
          <w:rFonts w:hint="eastAsia" w:ascii="方正小标宋简体" w:hAnsi="方正小标宋简体" w:eastAsia="方正小标宋简体" w:cs="方正小标宋简体"/>
          <w:b/>
          <w:color w:val="auto"/>
          <w:sz w:val="44"/>
          <w:szCs w:val="44"/>
          <w:highlight w:val="none"/>
          <w:u w:val="none"/>
          <w:lang w:eastAsia="zh-CN"/>
        </w:rPr>
      </w:pPr>
    </w:p>
    <w:p w14:paraId="6C9A092A">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1"/>
        <w:rPr>
          <w:rFonts w:hint="eastAsia" w:ascii="方正小标宋简体" w:hAnsi="方正小标宋简体" w:eastAsia="方正小标宋简体" w:cs="方正小标宋简体"/>
          <w:b/>
          <w:color w:val="auto"/>
          <w:sz w:val="44"/>
          <w:szCs w:val="44"/>
          <w:highlight w:val="none"/>
          <w:u w:val="none"/>
          <w:lang w:eastAsia="zh-CN"/>
        </w:rPr>
      </w:pPr>
    </w:p>
    <w:p w14:paraId="28C16D7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1"/>
        <w:rPr>
          <w:rFonts w:hint="eastAsia" w:ascii="方正小标宋简体" w:hAnsi="方正小标宋简体" w:eastAsia="方正小标宋简体" w:cs="方正小标宋简体"/>
          <w:b/>
          <w:color w:val="auto"/>
          <w:sz w:val="44"/>
          <w:szCs w:val="44"/>
          <w:highlight w:val="none"/>
          <w:u w:val="none"/>
          <w:lang w:eastAsia="zh-CN"/>
        </w:rPr>
      </w:pPr>
      <w:r>
        <w:rPr>
          <w:rFonts w:hint="eastAsia" w:ascii="方正小标宋简体" w:hAnsi="方正小标宋简体" w:eastAsia="方正小标宋简体" w:cs="方正小标宋简体"/>
          <w:b/>
          <w:color w:val="auto"/>
          <w:sz w:val="44"/>
          <w:szCs w:val="44"/>
          <w:highlight w:val="none"/>
          <w:u w:val="none"/>
          <w:lang w:eastAsia="zh-CN"/>
        </w:rPr>
        <w:t>中华人民共和国新疆出入境边防检查总站繁育种犬及待训警犬项目采购合同</w:t>
      </w:r>
    </w:p>
    <w:p w14:paraId="2A2C4580">
      <w:pPr>
        <w:rPr>
          <w:rFonts w:hint="eastAsia" w:ascii="仿宋" w:hAnsi="仿宋" w:eastAsia="仿宋" w:cs="仿宋"/>
          <w:b/>
          <w:color w:val="auto"/>
          <w:sz w:val="28"/>
          <w:highlight w:val="none"/>
          <w:lang w:eastAsia="zh-CN"/>
        </w:rPr>
      </w:pPr>
    </w:p>
    <w:p w14:paraId="6D6D398B">
      <w:pPr>
        <w:rPr>
          <w:rFonts w:hint="eastAsia" w:ascii="仿宋" w:hAnsi="仿宋" w:eastAsia="仿宋" w:cs="仿宋"/>
          <w:b/>
          <w:color w:val="auto"/>
          <w:sz w:val="28"/>
          <w:highlight w:val="none"/>
          <w:lang w:eastAsia="zh-CN"/>
        </w:rPr>
      </w:pPr>
    </w:p>
    <w:p w14:paraId="76D0F801">
      <w:pPr>
        <w:pStyle w:val="9"/>
        <w:rPr>
          <w:rFonts w:hint="eastAsia" w:ascii="仿宋" w:hAnsi="仿宋" w:eastAsia="仿宋" w:cs="仿宋"/>
          <w:b/>
          <w:color w:val="auto"/>
          <w:sz w:val="28"/>
          <w:highlight w:val="none"/>
          <w:lang w:eastAsia="zh-CN"/>
        </w:rPr>
      </w:pPr>
    </w:p>
    <w:p w14:paraId="5808C2C9">
      <w:pPr>
        <w:rPr>
          <w:rFonts w:hint="eastAsia" w:ascii="仿宋" w:hAnsi="仿宋" w:eastAsia="仿宋" w:cs="仿宋"/>
          <w:b/>
          <w:color w:val="auto"/>
          <w:sz w:val="28"/>
          <w:highlight w:val="none"/>
          <w:lang w:eastAsia="zh-CN"/>
        </w:rPr>
      </w:pPr>
    </w:p>
    <w:p w14:paraId="2E1286FE">
      <w:pPr>
        <w:pStyle w:val="9"/>
        <w:rPr>
          <w:rFonts w:hint="eastAsia" w:ascii="仿宋" w:hAnsi="仿宋" w:eastAsia="仿宋" w:cs="仿宋"/>
          <w:b/>
          <w:color w:val="auto"/>
          <w:sz w:val="28"/>
          <w:highlight w:val="none"/>
          <w:lang w:eastAsia="zh-CN"/>
        </w:rPr>
      </w:pPr>
    </w:p>
    <w:p w14:paraId="38D61A42">
      <w:pPr>
        <w:rPr>
          <w:rFonts w:hint="eastAsia" w:ascii="仿宋" w:hAnsi="仿宋" w:eastAsia="仿宋" w:cs="仿宋"/>
          <w:b/>
          <w:color w:val="auto"/>
          <w:sz w:val="28"/>
          <w:highlight w:val="none"/>
          <w:lang w:eastAsia="zh-CN"/>
        </w:rPr>
      </w:pPr>
    </w:p>
    <w:p w14:paraId="0B431EF2">
      <w:pPr>
        <w:pStyle w:val="9"/>
        <w:rPr>
          <w:rFonts w:hint="eastAsia" w:ascii="仿宋" w:hAnsi="仿宋" w:eastAsia="仿宋" w:cs="仿宋"/>
          <w:b/>
          <w:color w:val="auto"/>
          <w:sz w:val="28"/>
          <w:highlight w:val="none"/>
          <w:lang w:eastAsia="zh-CN"/>
        </w:rPr>
      </w:pPr>
    </w:p>
    <w:p w14:paraId="5F8B4D8B">
      <w:pPr>
        <w:rPr>
          <w:rFonts w:hint="eastAsia" w:ascii="仿宋" w:hAnsi="仿宋" w:eastAsia="仿宋" w:cs="仿宋"/>
          <w:b/>
          <w:color w:val="auto"/>
          <w:sz w:val="28"/>
          <w:highlight w:val="none"/>
          <w:lang w:eastAsia="zh-CN"/>
        </w:rPr>
      </w:pPr>
    </w:p>
    <w:p w14:paraId="47041C8E">
      <w:pPr>
        <w:rPr>
          <w:rFonts w:hint="eastAsia" w:ascii="仿宋" w:hAnsi="仿宋" w:eastAsia="仿宋" w:cs="仿宋"/>
          <w:b/>
          <w:color w:val="auto"/>
          <w:sz w:val="28"/>
          <w:highlight w:val="none"/>
          <w:lang w:eastAsia="zh-CN"/>
        </w:rPr>
      </w:pPr>
    </w:p>
    <w:p w14:paraId="1E8A6ED8">
      <w:pPr>
        <w:pStyle w:val="9"/>
        <w:rPr>
          <w:rFonts w:hint="eastAsia" w:ascii="仿宋" w:hAnsi="仿宋" w:eastAsia="仿宋" w:cs="仿宋"/>
          <w:b/>
          <w:color w:val="auto"/>
          <w:sz w:val="28"/>
          <w:highlight w:val="none"/>
          <w:lang w:eastAsia="zh-CN"/>
        </w:rPr>
      </w:pPr>
    </w:p>
    <w:p w14:paraId="00355E89">
      <w:pPr>
        <w:rPr>
          <w:rFonts w:hint="eastAsia" w:ascii="仿宋" w:hAnsi="仿宋" w:eastAsia="仿宋" w:cs="仿宋"/>
          <w:color w:val="auto"/>
          <w:highlight w:val="none"/>
          <w:lang w:eastAsia="zh-CN"/>
        </w:rPr>
      </w:pPr>
    </w:p>
    <w:p w14:paraId="0AE5E92E">
      <w:pPr>
        <w:rPr>
          <w:rFonts w:hint="eastAsia" w:ascii="仿宋" w:hAnsi="仿宋" w:eastAsia="仿宋" w:cs="仿宋"/>
          <w:b/>
          <w:color w:val="auto"/>
          <w:sz w:val="28"/>
          <w:highlight w:val="none"/>
          <w:lang w:eastAsia="zh-CN"/>
        </w:rPr>
      </w:pPr>
    </w:p>
    <w:p w14:paraId="5BB1E510">
      <w:pPr>
        <w:rPr>
          <w:rFonts w:hint="eastAsia" w:ascii="仿宋" w:hAnsi="仿宋" w:eastAsia="仿宋" w:cs="仿宋"/>
          <w:color w:val="auto"/>
          <w:sz w:val="32"/>
          <w:highlight w:val="none"/>
          <w:lang w:eastAsia="zh-CN"/>
        </w:rPr>
      </w:pPr>
    </w:p>
    <w:p w14:paraId="1E98DF5D">
      <w:pPr>
        <w:spacing w:line="360" w:lineRule="auto"/>
        <w:rPr>
          <w:rFonts w:hint="eastAsia" w:ascii="仿宋" w:hAnsi="仿宋" w:eastAsia="仿宋" w:cs="仿宋"/>
          <w:color w:val="auto"/>
          <w:sz w:val="28"/>
          <w:highlight w:val="none"/>
          <w:u w:val="single"/>
          <w:lang w:eastAsia="zh-CN"/>
        </w:rPr>
      </w:pP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u w:val="single"/>
          <w:lang w:eastAsia="zh-CN"/>
        </w:rPr>
        <w:t>_中华人民共和国新疆出入境边防检查总站</w:t>
      </w:r>
    </w:p>
    <w:p w14:paraId="7E557385">
      <w:pPr>
        <w:spacing w:line="360" w:lineRule="auto"/>
        <w:ind w:firstLine="2100" w:firstLineChars="750"/>
        <w:rPr>
          <w:rFonts w:hint="eastAsia" w:ascii="仿宋" w:hAnsi="仿宋" w:eastAsia="仿宋" w:cs="仿宋"/>
          <w:color w:val="auto"/>
          <w:sz w:val="28"/>
          <w:highlight w:val="none"/>
          <w:lang w:eastAsia="zh-CN"/>
        </w:rPr>
      </w:pPr>
    </w:p>
    <w:p w14:paraId="49B92861">
      <w:pPr>
        <w:spacing w:line="360" w:lineRule="auto"/>
        <w:ind w:firstLine="2100" w:firstLineChars="750"/>
        <w:rPr>
          <w:rFonts w:hint="eastAsia" w:ascii="仿宋" w:hAnsi="仿宋" w:eastAsia="仿宋" w:cs="仿宋"/>
          <w:color w:val="auto"/>
          <w:sz w:val="28"/>
          <w:highlight w:val="none"/>
          <w:lang w:eastAsia="zh-CN"/>
        </w:rPr>
      </w:pPr>
    </w:p>
    <w:p w14:paraId="180587BF">
      <w:pPr>
        <w:spacing w:line="360" w:lineRule="auto"/>
        <w:rPr>
          <w:rFonts w:hint="eastAsia" w:ascii="仿宋" w:hAnsi="仿宋" w:eastAsia="仿宋" w:cs="仿宋"/>
          <w:color w:val="auto"/>
          <w:sz w:val="28"/>
          <w:highlight w:val="none"/>
          <w:u w:val="single"/>
          <w:lang w:eastAsia="zh-CN"/>
        </w:rPr>
      </w:pP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u w:val="single"/>
          <w:lang w:eastAsia="zh-CN"/>
        </w:rPr>
        <w:t xml:space="preserve">                  </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lang w:eastAsia="zh-CN"/>
        </w:rPr>
        <w:t xml:space="preserve">      </w:t>
      </w:r>
    </w:p>
    <w:p w14:paraId="3E559571">
      <w:pPr>
        <w:pStyle w:val="22"/>
        <w:ind w:firstLine="440"/>
        <w:rPr>
          <w:rFonts w:hint="eastAsia" w:ascii="仿宋" w:hAnsi="仿宋" w:eastAsia="仿宋" w:cs="仿宋"/>
          <w:color w:val="auto"/>
          <w:highlight w:val="none"/>
          <w:lang w:eastAsia="zh-CN"/>
        </w:rPr>
      </w:pPr>
    </w:p>
    <w:p w14:paraId="134895F3">
      <w:pPr>
        <w:rPr>
          <w:rFonts w:hint="eastAsia" w:ascii="仿宋" w:hAnsi="仿宋" w:eastAsia="仿宋" w:cs="仿宋"/>
          <w:color w:val="auto"/>
          <w:highlight w:val="none"/>
          <w:lang w:eastAsia="zh-CN"/>
        </w:rPr>
      </w:pPr>
    </w:p>
    <w:p w14:paraId="354DCE95">
      <w:pPr>
        <w:rPr>
          <w:rFonts w:hint="eastAsia" w:ascii="仿宋" w:hAnsi="仿宋" w:eastAsia="仿宋" w:cs="仿宋"/>
          <w:color w:val="auto"/>
          <w:sz w:val="28"/>
          <w:highlight w:val="none"/>
          <w:u w:val="single"/>
          <w:lang w:eastAsia="zh-CN"/>
        </w:rPr>
      </w:pPr>
    </w:p>
    <w:p w14:paraId="27894A8E">
      <w:pPr>
        <w:jc w:val="center"/>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202</w:t>
      </w:r>
      <w:r>
        <w:rPr>
          <w:rFonts w:hint="eastAsia" w:ascii="仿宋" w:hAnsi="仿宋" w:eastAsia="仿宋" w:cs="仿宋"/>
          <w:color w:val="auto"/>
          <w:sz w:val="28"/>
          <w:highlight w:val="none"/>
          <w:lang w:val="en-US" w:eastAsia="zh-CN"/>
        </w:rPr>
        <w:t>6</w:t>
      </w:r>
      <w:r>
        <w:rPr>
          <w:rFonts w:hint="eastAsia" w:ascii="仿宋" w:hAnsi="仿宋" w:eastAsia="仿宋" w:cs="仿宋"/>
          <w:color w:val="auto"/>
          <w:sz w:val="28"/>
          <w:highlight w:val="none"/>
          <w:lang w:eastAsia="zh-CN"/>
        </w:rPr>
        <w:t>年  月  日</w:t>
      </w:r>
    </w:p>
    <w:p w14:paraId="6E303E37">
      <w:pPr>
        <w:bidi w:val="0"/>
        <w:rPr>
          <w:rFonts w:hint="eastAsia" w:ascii="仿宋" w:hAnsi="仿宋" w:eastAsia="仿宋" w:cs="仿宋"/>
          <w:color w:val="auto"/>
          <w:highlight w:val="none"/>
          <w:lang w:eastAsia="zh-CN"/>
        </w:rPr>
      </w:pPr>
    </w:p>
    <w:p w14:paraId="493C2780">
      <w:pPr>
        <w:keepNext w:val="0"/>
        <w:keepLines w:val="0"/>
        <w:pageBreakBefore w:val="0"/>
        <w:overflowPunct/>
        <w:topLinePunct w:val="0"/>
        <w:bidi w:val="0"/>
        <w:spacing w:line="0" w:lineRule="atLeast"/>
        <w:jc w:val="center"/>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lang w:eastAsia="zh-CN"/>
        </w:rPr>
        <w:br w:type="page"/>
      </w:r>
    </w:p>
    <w:p w14:paraId="26905FB5">
      <w:pPr>
        <w:keepNext w:val="0"/>
        <w:keepLines w:val="0"/>
        <w:pageBreakBefore w:val="0"/>
        <w:overflowPunct/>
        <w:topLinePunct w:val="0"/>
        <w:bidi w:val="0"/>
        <w:spacing w:line="0" w:lineRule="atLeast"/>
        <w:jc w:val="center"/>
        <w:rPr>
          <w:rFonts w:hint="eastAsia" w:ascii="仿宋" w:hAnsi="仿宋" w:eastAsia="仿宋" w:cs="仿宋"/>
          <w:color w:val="auto"/>
          <w:kern w:val="28"/>
          <w:highlight w:val="none"/>
          <w:lang w:eastAsia="zh-CN"/>
        </w:rPr>
      </w:pPr>
      <w:r>
        <w:rPr>
          <w:rFonts w:hint="eastAsia" w:ascii="仿宋" w:hAnsi="仿宋" w:eastAsia="仿宋" w:cs="仿宋"/>
          <w:b/>
          <w:color w:val="auto"/>
          <w:sz w:val="28"/>
          <w:highlight w:val="none"/>
          <w:lang w:eastAsia="zh-CN"/>
        </w:rPr>
        <w:t>采购合同</w:t>
      </w:r>
      <w:bookmarkEnd w:id="77"/>
    </w:p>
    <w:p w14:paraId="28683AF7">
      <w:pPr>
        <w:keepNext w:val="0"/>
        <w:keepLines w:val="0"/>
        <w:pageBreakBefore w:val="0"/>
        <w:tabs>
          <w:tab w:val="left" w:pos="840"/>
        </w:tabs>
        <w:wordWrap w:val="0"/>
        <w:overflowPunct/>
        <w:topLinePunct w:val="0"/>
        <w:autoSpaceDE w:val="0"/>
        <w:autoSpaceDN w:val="0"/>
        <w:bidi w:val="0"/>
        <w:adjustRightInd w:val="0"/>
        <w:snapToGrid w:val="0"/>
        <w:spacing w:line="0" w:lineRule="atLeast"/>
        <w:rPr>
          <w:rFonts w:hint="eastAsia" w:ascii="仿宋" w:hAnsi="仿宋" w:eastAsia="仿宋" w:cs="仿宋"/>
          <w:color w:val="auto"/>
          <w:kern w:val="28"/>
          <w:sz w:val="24"/>
          <w:szCs w:val="24"/>
          <w:highlight w:val="none"/>
          <w:u w:val="single"/>
          <w:lang w:eastAsia="zh-CN"/>
        </w:rPr>
      </w:pPr>
      <w:r>
        <w:rPr>
          <w:rFonts w:hint="eastAsia" w:ascii="仿宋" w:hAnsi="仿宋" w:eastAsia="仿宋" w:cs="仿宋"/>
          <w:color w:val="auto"/>
          <w:kern w:val="28"/>
          <w:sz w:val="24"/>
          <w:szCs w:val="24"/>
          <w:highlight w:val="none"/>
          <w:lang w:eastAsia="zh-CN"/>
        </w:rPr>
        <w:t>甲方：</w:t>
      </w:r>
      <w:r>
        <w:rPr>
          <w:rFonts w:hint="eastAsia" w:ascii="仿宋" w:hAnsi="仿宋" w:eastAsia="仿宋" w:cs="仿宋"/>
          <w:color w:val="auto"/>
          <w:kern w:val="28"/>
          <w:sz w:val="24"/>
          <w:szCs w:val="24"/>
          <w:highlight w:val="none"/>
          <w:u w:val="single"/>
          <w:lang w:eastAsia="zh-CN"/>
        </w:rPr>
        <w:t>中华人民共和国新疆出入境边防检查总站</w:t>
      </w:r>
    </w:p>
    <w:p w14:paraId="4C97B779">
      <w:pPr>
        <w:keepNext w:val="0"/>
        <w:keepLines w:val="0"/>
        <w:pageBreakBefore w:val="0"/>
        <w:tabs>
          <w:tab w:val="left" w:pos="840"/>
        </w:tabs>
        <w:wordWrap w:val="0"/>
        <w:overflowPunct/>
        <w:topLinePunct w:val="0"/>
        <w:autoSpaceDE w:val="0"/>
        <w:autoSpaceDN w:val="0"/>
        <w:bidi w:val="0"/>
        <w:adjustRightInd w:val="0"/>
        <w:snapToGrid w:val="0"/>
        <w:spacing w:line="0" w:lineRule="atLeast"/>
        <w:rPr>
          <w:rFonts w:hint="eastAsia" w:ascii="仿宋" w:hAnsi="仿宋" w:eastAsia="仿宋" w:cs="仿宋"/>
          <w:color w:val="auto"/>
          <w:kern w:val="28"/>
          <w:sz w:val="24"/>
          <w:szCs w:val="24"/>
          <w:highlight w:val="none"/>
          <w:u w:val="single"/>
          <w:lang w:val="en-US" w:eastAsia="zh-CN"/>
        </w:rPr>
      </w:pPr>
      <w:r>
        <w:rPr>
          <w:rFonts w:hint="eastAsia" w:ascii="仿宋" w:hAnsi="仿宋" w:eastAsia="仿宋" w:cs="仿宋"/>
          <w:color w:val="auto"/>
          <w:kern w:val="28"/>
          <w:sz w:val="24"/>
          <w:szCs w:val="24"/>
          <w:highlight w:val="none"/>
          <w:lang w:eastAsia="zh-CN"/>
        </w:rPr>
        <w:t>乙方：</w:t>
      </w:r>
      <w:r>
        <w:rPr>
          <w:rFonts w:hint="eastAsia" w:ascii="仿宋" w:hAnsi="仿宋" w:eastAsia="仿宋" w:cs="仿宋"/>
          <w:color w:val="auto"/>
          <w:kern w:val="28"/>
          <w:sz w:val="24"/>
          <w:szCs w:val="24"/>
          <w:highlight w:val="none"/>
          <w:u w:val="single"/>
          <w:lang w:val="en-US" w:eastAsia="zh-CN"/>
        </w:rPr>
        <w:t xml:space="preserve">                                     </w:t>
      </w:r>
    </w:p>
    <w:p w14:paraId="2B651A25">
      <w:pPr>
        <w:keepNext w:val="0"/>
        <w:keepLines w:val="0"/>
        <w:pageBreakBefore w:val="0"/>
        <w:tabs>
          <w:tab w:val="left" w:pos="840"/>
        </w:tabs>
        <w:wordWrap w:val="0"/>
        <w:overflowPunct/>
        <w:topLinePunct w:val="0"/>
        <w:autoSpaceDE w:val="0"/>
        <w:autoSpaceDN w:val="0"/>
        <w:bidi w:val="0"/>
        <w:adjustRightInd w:val="0"/>
        <w:snapToGrid w:val="0"/>
        <w:spacing w:line="0" w:lineRule="atLeast"/>
        <w:ind w:firstLine="480" w:firstLineChars="200"/>
        <w:rPr>
          <w:rFonts w:hint="eastAsia" w:ascii="仿宋" w:hAnsi="仿宋" w:eastAsia="仿宋" w:cs="仿宋"/>
          <w:color w:val="auto"/>
          <w:kern w:val="28"/>
          <w:sz w:val="24"/>
          <w:szCs w:val="24"/>
          <w:highlight w:val="none"/>
          <w:u w:val="single"/>
          <w:lang w:eastAsia="zh-CN"/>
        </w:rPr>
      </w:pPr>
      <w:r>
        <w:rPr>
          <w:rFonts w:hint="eastAsia" w:ascii="仿宋" w:hAnsi="仿宋" w:eastAsia="仿宋" w:cs="仿宋"/>
          <w:color w:val="auto"/>
          <w:kern w:val="28"/>
          <w:sz w:val="24"/>
          <w:szCs w:val="24"/>
          <w:highlight w:val="none"/>
          <w:u w:val="single"/>
          <w:lang w:eastAsia="zh-CN"/>
        </w:rPr>
        <w:t xml:space="preserve">鉴于： </w:t>
      </w:r>
    </w:p>
    <w:p w14:paraId="13D15A91">
      <w:pPr>
        <w:keepNext w:val="0"/>
        <w:keepLines w:val="0"/>
        <w:pageBreakBefore w:val="0"/>
        <w:tabs>
          <w:tab w:val="left" w:pos="840"/>
        </w:tabs>
        <w:wordWrap w:val="0"/>
        <w:overflowPunct/>
        <w:topLinePunct w:val="0"/>
        <w:autoSpaceDE w:val="0"/>
        <w:autoSpaceDN w:val="0"/>
        <w:bidi w:val="0"/>
        <w:adjustRightInd w:val="0"/>
        <w:snapToGrid w:val="0"/>
        <w:spacing w:line="0" w:lineRule="atLeast"/>
        <w:ind w:firstLine="480" w:firstLineChars="200"/>
        <w:rPr>
          <w:rFonts w:hint="eastAsia" w:ascii="仿宋" w:hAnsi="仿宋" w:eastAsia="仿宋" w:cs="仿宋"/>
          <w:color w:val="auto"/>
          <w:kern w:val="28"/>
          <w:sz w:val="24"/>
          <w:szCs w:val="24"/>
          <w:highlight w:val="none"/>
          <w:u w:val="single"/>
          <w:lang w:eastAsia="zh-CN"/>
        </w:rPr>
      </w:pPr>
      <w:r>
        <w:rPr>
          <w:rFonts w:hint="eastAsia" w:ascii="仿宋" w:hAnsi="仿宋" w:eastAsia="仿宋" w:cs="仿宋"/>
          <w:color w:val="auto"/>
          <w:kern w:val="28"/>
          <w:sz w:val="24"/>
          <w:szCs w:val="24"/>
          <w:highlight w:val="none"/>
          <w:u w:val="single"/>
          <w:lang w:eastAsia="zh-CN"/>
        </w:rPr>
        <w:t>　　本合同双方当事人（1）均为依照中华人民共和国法律成立并有效存续的独立法人，（2）并且已经获得签署本合同的相应授权，（3）具备履行本合同所必须的资质和条件。</w:t>
      </w:r>
    </w:p>
    <w:p w14:paraId="69794D8D">
      <w:pPr>
        <w:keepNext w:val="0"/>
        <w:keepLines w:val="0"/>
        <w:pageBreakBefore w:val="0"/>
        <w:tabs>
          <w:tab w:val="left" w:pos="840"/>
        </w:tabs>
        <w:wordWrap w:val="0"/>
        <w:overflowPunct/>
        <w:topLinePunct w:val="0"/>
        <w:autoSpaceDE w:val="0"/>
        <w:autoSpaceDN w:val="0"/>
        <w:bidi w:val="0"/>
        <w:adjustRightInd w:val="0"/>
        <w:snapToGrid w:val="0"/>
        <w:spacing w:line="0" w:lineRule="atLeast"/>
        <w:ind w:firstLine="480" w:firstLineChars="200"/>
        <w:rPr>
          <w:rFonts w:hint="eastAsia" w:ascii="仿宋" w:hAnsi="仿宋" w:eastAsia="仿宋" w:cs="仿宋"/>
          <w:color w:val="auto"/>
          <w:kern w:val="28"/>
          <w:sz w:val="24"/>
          <w:szCs w:val="24"/>
          <w:highlight w:val="none"/>
          <w:lang w:eastAsia="zh-CN"/>
        </w:rPr>
      </w:pPr>
      <w:r>
        <w:rPr>
          <w:rFonts w:hint="eastAsia" w:ascii="仿宋" w:hAnsi="仿宋" w:eastAsia="仿宋" w:cs="仿宋"/>
          <w:color w:val="auto"/>
          <w:kern w:val="28"/>
          <w:sz w:val="24"/>
          <w:szCs w:val="24"/>
          <w:highlight w:val="none"/>
          <w:u w:val="single"/>
          <w:lang w:eastAsia="zh-CN"/>
        </w:rPr>
        <w:t>中华人民共和国新疆出入境边防检查总站</w:t>
      </w:r>
      <w:r>
        <w:rPr>
          <w:rFonts w:hint="eastAsia" w:ascii="仿宋" w:hAnsi="仿宋" w:eastAsia="仿宋" w:cs="仿宋"/>
          <w:color w:val="auto"/>
          <w:kern w:val="28"/>
          <w:sz w:val="24"/>
          <w:szCs w:val="24"/>
          <w:highlight w:val="none"/>
          <w:lang w:eastAsia="zh-CN"/>
        </w:rPr>
        <w:t>（以下简称甲方）与（以下简称乙方）就</w:t>
      </w:r>
      <w:r>
        <w:rPr>
          <w:rFonts w:hint="eastAsia" w:ascii="仿宋" w:hAnsi="仿宋" w:eastAsia="仿宋" w:cs="仿宋"/>
          <w:color w:val="auto"/>
          <w:kern w:val="28"/>
          <w:sz w:val="24"/>
          <w:szCs w:val="24"/>
          <w:highlight w:val="none"/>
          <w:u w:val="single"/>
          <w:lang w:eastAsia="zh-CN"/>
        </w:rPr>
        <w:t>采购项目</w:t>
      </w:r>
      <w:r>
        <w:rPr>
          <w:rFonts w:hint="eastAsia" w:ascii="仿宋" w:hAnsi="仿宋" w:eastAsia="仿宋" w:cs="仿宋"/>
          <w:color w:val="auto"/>
          <w:kern w:val="28"/>
          <w:sz w:val="24"/>
          <w:szCs w:val="24"/>
          <w:highlight w:val="none"/>
          <w:lang w:eastAsia="zh-CN"/>
        </w:rPr>
        <w:t>，经双方协商一致，签定本合同，共同遵守如下条款：</w:t>
      </w:r>
    </w:p>
    <w:p w14:paraId="03E53817">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sz w:val="24"/>
          <w:szCs w:val="24"/>
          <w:highlight w:val="none"/>
        </w:rPr>
      </w:pPr>
      <w:bookmarkStart w:id="79" w:name="_Toc479943851"/>
      <w:bookmarkStart w:id="80" w:name="_Toc25821"/>
      <w:bookmarkStart w:id="81" w:name="_Toc480316113"/>
      <w:bookmarkStart w:id="82" w:name="_Toc27898"/>
      <w:bookmarkStart w:id="83" w:name="_Toc432684932"/>
      <w:bookmarkStart w:id="84" w:name="_Toc427666520"/>
      <w:r>
        <w:rPr>
          <w:rFonts w:hint="eastAsia" w:ascii="仿宋" w:hAnsi="仿宋" w:eastAsia="仿宋" w:cs="仿宋"/>
          <w:color w:val="auto"/>
          <w:sz w:val="24"/>
          <w:szCs w:val="24"/>
          <w:highlight w:val="none"/>
        </w:rPr>
        <w:t>一、总则</w:t>
      </w:r>
      <w:bookmarkEnd w:id="79"/>
      <w:bookmarkEnd w:id="80"/>
      <w:bookmarkEnd w:id="81"/>
      <w:bookmarkEnd w:id="82"/>
      <w:bookmarkEnd w:id="83"/>
      <w:bookmarkEnd w:id="84"/>
    </w:p>
    <w:p w14:paraId="62644627">
      <w:pPr>
        <w:keepNext w:val="0"/>
        <w:keepLines w:val="0"/>
        <w:pageBreakBefore w:val="0"/>
        <w:numPr>
          <w:ilvl w:val="0"/>
          <w:numId w:val="4"/>
        </w:numPr>
        <w:tabs>
          <w:tab w:val="left" w:pos="425"/>
        </w:tabs>
        <w:wordWrap w:val="0"/>
        <w:overflowPunct/>
        <w:topLinePunct w:val="0"/>
        <w:autoSpaceDE w:val="0"/>
        <w:autoSpaceDN w:val="0"/>
        <w:bidi w:val="0"/>
        <w:adjustRightInd w:val="0"/>
        <w:snapToGrid w:val="0"/>
        <w:spacing w:line="0" w:lineRule="atLeast"/>
        <w:ind w:lef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本合同双方必</w:t>
      </w:r>
      <w:bookmarkStart w:id="85" w:name="_Toc345147197"/>
      <w:bookmarkStart w:id="86" w:name="_Toc399165008"/>
      <w:r>
        <w:rPr>
          <w:rFonts w:hint="eastAsia" w:ascii="仿宋" w:hAnsi="仿宋" w:eastAsia="仿宋" w:cs="仿宋"/>
          <w:color w:val="auto"/>
          <w:sz w:val="24"/>
          <w:szCs w:val="24"/>
          <w:highlight w:val="none"/>
          <w:lang w:eastAsia="zh-CN"/>
        </w:rPr>
        <w:t>须遵</w:t>
      </w:r>
      <w:bookmarkEnd w:id="85"/>
      <w:bookmarkEnd w:id="86"/>
      <w:r>
        <w:rPr>
          <w:rFonts w:hint="eastAsia" w:ascii="仿宋" w:hAnsi="仿宋" w:eastAsia="仿宋" w:cs="仿宋"/>
          <w:color w:val="auto"/>
          <w:sz w:val="24"/>
          <w:szCs w:val="24"/>
          <w:highlight w:val="none"/>
          <w:lang w:eastAsia="zh-CN"/>
        </w:rPr>
        <w:t>守《中华人民共和国民法典》及《中华人民共和国政府招标法》，并各自履行应负的全部义务。</w:t>
      </w:r>
    </w:p>
    <w:p w14:paraId="4E199B7F">
      <w:pPr>
        <w:keepNext w:val="0"/>
        <w:keepLines w:val="0"/>
        <w:pageBreakBefore w:val="0"/>
        <w:numPr>
          <w:ilvl w:val="0"/>
          <w:numId w:val="4"/>
        </w:numPr>
        <w:tabs>
          <w:tab w:val="left" w:pos="425"/>
        </w:tabs>
        <w:wordWrap w:val="0"/>
        <w:overflowPunct/>
        <w:topLinePunct w:val="0"/>
        <w:autoSpaceDE w:val="0"/>
        <w:autoSpaceDN w:val="0"/>
        <w:bidi w:val="0"/>
        <w:adjustRightInd w:val="0"/>
        <w:snapToGrid w:val="0"/>
        <w:spacing w:line="0" w:lineRule="atLeast"/>
        <w:ind w:left="0" w:firstLine="480" w:firstLineChars="200"/>
        <w:outlineLvl w:val="2"/>
        <w:rPr>
          <w:rFonts w:hint="eastAsia" w:ascii="仿宋" w:hAnsi="仿宋" w:eastAsia="仿宋" w:cs="仿宋"/>
          <w:color w:val="auto"/>
          <w:sz w:val="24"/>
          <w:szCs w:val="24"/>
          <w:highlight w:val="none"/>
          <w:lang w:eastAsia="zh-CN"/>
        </w:rPr>
      </w:pPr>
      <w:bookmarkStart w:id="87" w:name="_Toc20008"/>
      <w:r>
        <w:rPr>
          <w:rFonts w:hint="eastAsia" w:ascii="仿宋" w:hAnsi="仿宋" w:eastAsia="仿宋" w:cs="仿宋"/>
          <w:color w:val="auto"/>
          <w:sz w:val="24"/>
          <w:szCs w:val="24"/>
          <w:highlight w:val="none"/>
          <w:lang w:eastAsia="zh-CN"/>
        </w:rPr>
        <w:t>下列文件组成本合同的文件及作为解释的先后顺序：</w:t>
      </w:r>
      <w:bookmarkEnd w:id="87"/>
    </w:p>
    <w:p w14:paraId="2E58F4DD">
      <w:pPr>
        <w:keepNext w:val="0"/>
        <w:keepLines w:val="0"/>
        <w:pageBreakBefore w:val="0"/>
        <w:numPr>
          <w:ilvl w:val="1"/>
          <w:numId w:val="4"/>
        </w:numPr>
        <w:tabs>
          <w:tab w:val="left" w:pos="425"/>
        </w:tabs>
        <w:wordWrap w:val="0"/>
        <w:overflowPunct/>
        <w:topLinePunct w:val="0"/>
        <w:autoSpaceDE w:val="0"/>
        <w:autoSpaceDN w:val="0"/>
        <w:bidi w:val="0"/>
        <w:adjustRightInd w:val="0"/>
        <w:snapToGrid w:val="0"/>
        <w:spacing w:line="0" w:lineRule="atLeast"/>
        <w:ind w:lef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eastAsia="zh-CN"/>
        </w:rPr>
        <w:t>中华人民共和国新疆出入境边防检查总站繁育种犬及待训警犬采购项目</w:t>
      </w:r>
      <w:r>
        <w:rPr>
          <w:rFonts w:hint="eastAsia" w:ascii="仿宋" w:hAnsi="仿宋" w:eastAsia="仿宋" w:cs="仿宋"/>
          <w:color w:val="auto"/>
          <w:sz w:val="24"/>
          <w:szCs w:val="24"/>
          <w:highlight w:val="none"/>
          <w:lang w:eastAsia="zh-CN"/>
        </w:rPr>
        <w:t>（项目编号：          ）的</w:t>
      </w:r>
      <w:r>
        <w:rPr>
          <w:rFonts w:hint="eastAsia" w:ascii="仿宋" w:hAnsi="仿宋" w:eastAsia="仿宋" w:cs="仿宋"/>
          <w:color w:val="auto"/>
          <w:spacing w:val="7"/>
          <w:sz w:val="24"/>
          <w:szCs w:val="24"/>
          <w:highlight w:val="none"/>
          <w:lang w:eastAsia="zh-CN"/>
        </w:rPr>
        <w:t>谈判</w:t>
      </w:r>
      <w:r>
        <w:rPr>
          <w:rFonts w:hint="eastAsia" w:ascii="仿宋" w:hAnsi="仿宋" w:eastAsia="仿宋" w:cs="仿宋"/>
          <w:color w:val="auto"/>
          <w:sz w:val="24"/>
          <w:szCs w:val="24"/>
          <w:highlight w:val="none"/>
          <w:lang w:eastAsia="zh-CN"/>
        </w:rPr>
        <w:t>文件及招标答疑会议纪要（如有）；</w:t>
      </w:r>
    </w:p>
    <w:p w14:paraId="389C63B2">
      <w:pPr>
        <w:keepNext w:val="0"/>
        <w:keepLines w:val="0"/>
        <w:pageBreakBefore w:val="0"/>
        <w:numPr>
          <w:ilvl w:val="1"/>
          <w:numId w:val="4"/>
        </w:numPr>
        <w:tabs>
          <w:tab w:val="left" w:pos="425"/>
        </w:tabs>
        <w:wordWrap w:val="0"/>
        <w:overflowPunct/>
        <w:topLinePunct w:val="0"/>
        <w:autoSpaceDE w:val="0"/>
        <w:autoSpaceDN w:val="0"/>
        <w:bidi w:val="0"/>
        <w:adjustRightInd w:val="0"/>
        <w:snapToGrid w:val="0"/>
        <w:spacing w:line="0" w:lineRule="atLeas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本项目的成交通知书；</w:t>
      </w:r>
    </w:p>
    <w:p w14:paraId="7AEE4F51">
      <w:pPr>
        <w:keepNext w:val="0"/>
        <w:keepLines w:val="0"/>
        <w:pageBreakBefore w:val="0"/>
        <w:numPr>
          <w:ilvl w:val="1"/>
          <w:numId w:val="4"/>
        </w:numPr>
        <w:tabs>
          <w:tab w:val="left" w:pos="425"/>
        </w:tabs>
        <w:wordWrap w:val="0"/>
        <w:overflowPunct/>
        <w:topLinePunct w:val="0"/>
        <w:autoSpaceDE w:val="0"/>
        <w:autoSpaceDN w:val="0"/>
        <w:bidi w:val="0"/>
        <w:adjustRightInd w:val="0"/>
        <w:snapToGrid w:val="0"/>
        <w:spacing w:line="0" w:lineRule="atLeas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本合同及其附件；</w:t>
      </w:r>
    </w:p>
    <w:p w14:paraId="77686BF1">
      <w:pPr>
        <w:keepNext w:val="0"/>
        <w:keepLines w:val="0"/>
        <w:pageBreakBefore w:val="0"/>
        <w:numPr>
          <w:ilvl w:val="1"/>
          <w:numId w:val="4"/>
        </w:numPr>
        <w:tabs>
          <w:tab w:val="left" w:pos="425"/>
        </w:tabs>
        <w:wordWrap w:val="0"/>
        <w:overflowPunct/>
        <w:topLinePunct w:val="0"/>
        <w:autoSpaceDE w:val="0"/>
        <w:autoSpaceDN w:val="0"/>
        <w:bidi w:val="0"/>
        <w:adjustRightInd w:val="0"/>
        <w:snapToGrid w:val="0"/>
        <w:spacing w:line="0" w:lineRule="atLeast"/>
        <w:ind w:lef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乙方(中标人)的响应文件及其附件；</w:t>
      </w:r>
    </w:p>
    <w:p w14:paraId="1CCA6DE1">
      <w:pPr>
        <w:keepNext w:val="0"/>
        <w:keepLines w:val="0"/>
        <w:pageBreakBefore w:val="0"/>
        <w:numPr>
          <w:ilvl w:val="1"/>
          <w:numId w:val="4"/>
        </w:numPr>
        <w:tabs>
          <w:tab w:val="left" w:pos="425"/>
        </w:tabs>
        <w:wordWrap w:val="0"/>
        <w:overflowPunct/>
        <w:topLinePunct w:val="0"/>
        <w:autoSpaceDE w:val="0"/>
        <w:autoSpaceDN w:val="0"/>
        <w:bidi w:val="0"/>
        <w:adjustRightInd w:val="0"/>
        <w:snapToGrid w:val="0"/>
        <w:spacing w:line="0" w:lineRule="atLeast"/>
        <w:ind w:lef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行业标准、规范及有关技术文件等。 </w:t>
      </w:r>
    </w:p>
    <w:p w14:paraId="636766A9">
      <w:pPr>
        <w:keepNext w:val="0"/>
        <w:keepLines w:val="0"/>
        <w:pageBreakBefore w:val="0"/>
        <w:numPr>
          <w:ilvl w:val="0"/>
          <w:numId w:val="4"/>
        </w:numPr>
        <w:tabs>
          <w:tab w:val="left" w:pos="425"/>
        </w:tabs>
        <w:wordWrap w:val="0"/>
        <w:overflowPunct/>
        <w:topLinePunct w:val="0"/>
        <w:autoSpaceDE w:val="0"/>
        <w:autoSpaceDN w:val="0"/>
        <w:bidi w:val="0"/>
        <w:adjustRightInd w:val="0"/>
        <w:snapToGrid w:val="0"/>
        <w:spacing w:line="0" w:lineRule="atLeast"/>
        <w:ind w:lef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乙方保证全部按照合同条款的规定向甲方提供优质的产品和服务。</w:t>
      </w:r>
    </w:p>
    <w:p w14:paraId="2A3D5599">
      <w:pPr>
        <w:keepNext w:val="0"/>
        <w:keepLines w:val="0"/>
        <w:pageBreakBefore w:val="0"/>
        <w:numPr>
          <w:ilvl w:val="0"/>
          <w:numId w:val="4"/>
        </w:numPr>
        <w:tabs>
          <w:tab w:val="left" w:pos="425"/>
        </w:tabs>
        <w:wordWrap w:val="0"/>
        <w:overflowPunct/>
        <w:topLinePunct w:val="0"/>
        <w:autoSpaceDE w:val="0"/>
        <w:autoSpaceDN w:val="0"/>
        <w:bidi w:val="0"/>
        <w:adjustRightInd w:val="0"/>
        <w:snapToGrid w:val="0"/>
        <w:spacing w:line="0" w:lineRule="atLeast"/>
        <w:ind w:lef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甲方保证按照合同条款规定的时间和方式付给乙方到期应付的价款。</w:t>
      </w:r>
    </w:p>
    <w:p w14:paraId="09157996">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sz w:val="24"/>
          <w:szCs w:val="24"/>
          <w:highlight w:val="none"/>
          <w:lang w:eastAsia="zh-CN"/>
        </w:rPr>
      </w:pPr>
      <w:bookmarkStart w:id="88" w:name="_Toc8967"/>
      <w:bookmarkStart w:id="89" w:name="_Toc432684933"/>
      <w:bookmarkStart w:id="90" w:name="_Toc26558"/>
      <w:bookmarkStart w:id="91" w:name="_Toc479943852"/>
      <w:bookmarkStart w:id="92" w:name="_Toc427666521"/>
      <w:bookmarkStart w:id="93" w:name="_Toc480316114"/>
      <w:r>
        <w:rPr>
          <w:rFonts w:hint="eastAsia" w:ascii="仿宋" w:hAnsi="仿宋" w:eastAsia="仿宋" w:cs="仿宋"/>
          <w:color w:val="auto"/>
          <w:sz w:val="24"/>
          <w:szCs w:val="24"/>
          <w:highlight w:val="none"/>
          <w:lang w:eastAsia="zh-CN"/>
        </w:rPr>
        <w:t>二、定义</w:t>
      </w:r>
      <w:bookmarkEnd w:id="88"/>
      <w:bookmarkEnd w:id="89"/>
      <w:bookmarkEnd w:id="90"/>
      <w:bookmarkEnd w:id="91"/>
      <w:bookmarkEnd w:id="92"/>
      <w:bookmarkEnd w:id="93"/>
    </w:p>
    <w:p w14:paraId="77EC04B0">
      <w:pPr>
        <w:keepNext w:val="0"/>
        <w:keepLines w:val="0"/>
        <w:pageBreakBefore w:val="0"/>
        <w:wordWrap w:val="0"/>
        <w:overflowPunct/>
        <w:topLinePunct w:val="0"/>
        <w:autoSpaceDE w:val="0"/>
        <w:autoSpaceDN w:val="0"/>
        <w:bidi w:val="0"/>
        <w:adjustRightInd w:val="0"/>
        <w:snapToGrid w:val="0"/>
        <w:spacing w:line="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本合同下列术</w:t>
      </w:r>
      <w:bookmarkStart w:id="94" w:name="_Toc399165009"/>
      <w:r>
        <w:rPr>
          <w:rFonts w:hint="eastAsia" w:ascii="仿宋" w:hAnsi="仿宋" w:eastAsia="仿宋" w:cs="仿宋"/>
          <w:color w:val="auto"/>
          <w:sz w:val="24"/>
          <w:szCs w:val="24"/>
          <w:highlight w:val="none"/>
          <w:lang w:eastAsia="zh-CN"/>
        </w:rPr>
        <w:t>语应</w:t>
      </w:r>
      <w:bookmarkEnd w:id="94"/>
      <w:r>
        <w:rPr>
          <w:rFonts w:hint="eastAsia" w:ascii="仿宋" w:hAnsi="仿宋" w:eastAsia="仿宋" w:cs="仿宋"/>
          <w:color w:val="auto"/>
          <w:sz w:val="24"/>
          <w:szCs w:val="24"/>
          <w:highlight w:val="none"/>
          <w:lang w:eastAsia="zh-CN"/>
        </w:rPr>
        <w:t>解释为：</w:t>
      </w:r>
    </w:p>
    <w:p w14:paraId="3175FB3A">
      <w:pPr>
        <w:keepNext w:val="0"/>
        <w:keepLines w:val="0"/>
        <w:pageBreakBefore w:val="0"/>
        <w:numPr>
          <w:ilvl w:val="0"/>
          <w:numId w:val="0"/>
        </w:numPr>
        <w:tabs>
          <w:tab w:val="left" w:pos="425"/>
        </w:tabs>
        <w:wordWrap w:val="0"/>
        <w:overflowPunct/>
        <w:topLinePunct w:val="0"/>
        <w:autoSpaceDE w:val="0"/>
        <w:autoSpaceDN w:val="0"/>
        <w:bidi w:val="0"/>
        <w:adjustRightInd w:val="0"/>
        <w:snapToGrid w:val="0"/>
        <w:spacing w:line="0" w:lineRule="atLeast"/>
        <w:ind w:left="425" w:leftChars="0" w:hanging="425" w:firstLineChars="0"/>
        <w:outlineLvl w:val="2"/>
        <w:rPr>
          <w:rFonts w:hint="eastAsia" w:ascii="仿宋" w:hAnsi="仿宋" w:eastAsia="仿宋" w:cs="仿宋"/>
          <w:color w:val="auto"/>
          <w:sz w:val="24"/>
          <w:szCs w:val="24"/>
          <w:highlight w:val="none"/>
        </w:rPr>
      </w:pPr>
      <w:bookmarkStart w:id="95" w:name="_Toc8113"/>
      <w:r>
        <w:rPr>
          <w:rFonts w:hint="default" w:ascii="仿宋" w:hAnsi="仿宋" w:eastAsia="仿宋" w:cs="仿宋"/>
          <w:snapToGrid w:val="0"/>
          <w:color w:val="auto"/>
          <w:sz w:val="24"/>
          <w:szCs w:val="24"/>
          <w:highlight w:val="none"/>
          <w:lang w:val="en-US" w:eastAsia="en-US" w:bidi="ar-SA"/>
        </w:rPr>
        <w:t>1.</w:t>
      </w:r>
      <w:r>
        <w:rPr>
          <w:rFonts w:hint="eastAsia" w:ascii="仿宋" w:hAnsi="仿宋" w:eastAsia="仿宋" w:cs="仿宋"/>
          <w:color w:val="auto"/>
          <w:sz w:val="24"/>
          <w:szCs w:val="24"/>
          <w:highlight w:val="none"/>
        </w:rPr>
        <w:t>合同要素</w:t>
      </w:r>
      <w:bookmarkEnd w:id="95"/>
    </w:p>
    <w:p w14:paraId="0727D6E7">
      <w:pPr>
        <w:keepNext w:val="0"/>
        <w:keepLines w:val="0"/>
        <w:pageBreakBefore w:val="0"/>
        <w:numPr>
          <w:ilvl w:val="1"/>
          <w:numId w:val="0"/>
        </w:numPr>
        <w:tabs>
          <w:tab w:val="left" w:pos="425"/>
        </w:tabs>
        <w:wordWrap w:val="0"/>
        <w:overflowPunct/>
        <w:topLinePunct w:val="0"/>
        <w:autoSpaceDE w:val="0"/>
        <w:autoSpaceDN w:val="0"/>
        <w:bidi w:val="0"/>
        <w:adjustRightInd w:val="0"/>
        <w:snapToGrid w:val="0"/>
        <w:spacing w:line="0" w:lineRule="atLeast"/>
        <w:ind w:left="851" w:leftChars="0" w:hanging="426" w:firstLineChars="0"/>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bidi="ar-SA"/>
        </w:rPr>
        <w:t>1.1</w:t>
      </w:r>
      <w:r>
        <w:rPr>
          <w:rFonts w:hint="eastAsia" w:ascii="仿宋" w:hAnsi="仿宋" w:eastAsia="仿宋" w:cs="仿宋"/>
          <w:color w:val="auto"/>
          <w:sz w:val="24"/>
          <w:szCs w:val="24"/>
          <w:highlight w:val="none"/>
          <w:lang w:eastAsia="zh-CN"/>
        </w:rPr>
        <w:t>“合同”系指甲乙双方签署的、合同格式中载明的甲乙双方所达成的协议，包括所有的附件、附录和上述文件所提到的构成合同的所有文件，并按本合同第一条“总则”第2款的先后顺序解释。</w:t>
      </w:r>
    </w:p>
    <w:p w14:paraId="6E9B42A3">
      <w:pPr>
        <w:keepNext w:val="0"/>
        <w:keepLines w:val="0"/>
        <w:pageBreakBefore w:val="0"/>
        <w:numPr>
          <w:ilvl w:val="1"/>
          <w:numId w:val="0"/>
        </w:numPr>
        <w:tabs>
          <w:tab w:val="left" w:pos="425"/>
        </w:tabs>
        <w:wordWrap w:val="0"/>
        <w:overflowPunct/>
        <w:topLinePunct w:val="0"/>
        <w:autoSpaceDE w:val="0"/>
        <w:autoSpaceDN w:val="0"/>
        <w:bidi w:val="0"/>
        <w:adjustRightInd w:val="0"/>
        <w:snapToGrid w:val="0"/>
        <w:spacing w:line="0" w:lineRule="atLeast"/>
        <w:ind w:left="851" w:leftChars="0" w:hanging="426" w:firstLineChars="0"/>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bidi="ar-SA"/>
        </w:rPr>
        <w:t>1.2</w:t>
      </w:r>
      <w:r>
        <w:rPr>
          <w:rFonts w:hint="eastAsia" w:ascii="仿宋" w:hAnsi="仿宋" w:eastAsia="仿宋" w:cs="仿宋"/>
          <w:color w:val="auto"/>
          <w:sz w:val="24"/>
          <w:szCs w:val="24"/>
          <w:highlight w:val="none"/>
          <w:lang w:eastAsia="zh-CN"/>
        </w:rPr>
        <w:t>“合同价格”系指根据合同规定乙方在正确地完全履行合同义务后甲方应支付给乙方的价格。</w:t>
      </w:r>
    </w:p>
    <w:p w14:paraId="03B2D6F0">
      <w:pPr>
        <w:keepNext w:val="0"/>
        <w:keepLines w:val="0"/>
        <w:pageBreakBefore w:val="0"/>
        <w:numPr>
          <w:ilvl w:val="1"/>
          <w:numId w:val="0"/>
        </w:numPr>
        <w:tabs>
          <w:tab w:val="left" w:pos="425"/>
        </w:tabs>
        <w:wordWrap w:val="0"/>
        <w:overflowPunct/>
        <w:topLinePunct w:val="0"/>
        <w:autoSpaceDE w:val="0"/>
        <w:autoSpaceDN w:val="0"/>
        <w:bidi w:val="0"/>
        <w:adjustRightInd w:val="0"/>
        <w:snapToGrid w:val="0"/>
        <w:spacing w:line="0" w:lineRule="atLeast"/>
        <w:ind w:left="851" w:leftChars="0" w:hanging="426" w:firstLineChars="0"/>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bidi="ar-SA"/>
        </w:rPr>
        <w:t>1.3</w:t>
      </w:r>
      <w:r>
        <w:rPr>
          <w:rFonts w:hint="eastAsia" w:ascii="仿宋" w:hAnsi="仿宋" w:eastAsia="仿宋" w:cs="仿宋"/>
          <w:color w:val="auto"/>
          <w:sz w:val="24"/>
          <w:szCs w:val="24"/>
          <w:highlight w:val="none"/>
          <w:lang w:eastAsia="zh-CN"/>
        </w:rPr>
        <w:t>“合同条款”系指本合同条款。</w:t>
      </w:r>
    </w:p>
    <w:p w14:paraId="52F53E20">
      <w:pPr>
        <w:keepNext w:val="0"/>
        <w:keepLines w:val="0"/>
        <w:pageBreakBefore w:val="0"/>
        <w:numPr>
          <w:ilvl w:val="1"/>
          <w:numId w:val="0"/>
        </w:numPr>
        <w:tabs>
          <w:tab w:val="left" w:pos="425"/>
        </w:tabs>
        <w:wordWrap w:val="0"/>
        <w:overflowPunct/>
        <w:topLinePunct w:val="0"/>
        <w:autoSpaceDE w:val="0"/>
        <w:autoSpaceDN w:val="0"/>
        <w:bidi w:val="0"/>
        <w:adjustRightInd w:val="0"/>
        <w:snapToGrid w:val="0"/>
        <w:spacing w:line="0" w:lineRule="atLeast"/>
        <w:ind w:left="851" w:leftChars="0" w:hanging="426" w:firstLineChars="0"/>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bidi="ar-SA"/>
        </w:rPr>
        <w:t>1.4</w:t>
      </w:r>
      <w:r>
        <w:rPr>
          <w:rFonts w:hint="eastAsia" w:ascii="仿宋" w:hAnsi="仿宋" w:eastAsia="仿宋" w:cs="仿宋"/>
          <w:color w:val="auto"/>
          <w:sz w:val="24"/>
          <w:szCs w:val="24"/>
          <w:highlight w:val="none"/>
          <w:lang w:eastAsia="zh-CN"/>
        </w:rPr>
        <w:t>“技术需求”指的是</w:t>
      </w:r>
      <w:r>
        <w:rPr>
          <w:rFonts w:hint="eastAsia" w:ascii="仿宋" w:hAnsi="仿宋" w:eastAsia="仿宋" w:cs="仿宋"/>
          <w:color w:val="auto"/>
          <w:spacing w:val="7"/>
          <w:sz w:val="24"/>
          <w:szCs w:val="24"/>
          <w:highlight w:val="none"/>
          <w:lang w:eastAsia="zh-CN"/>
        </w:rPr>
        <w:t>谈判</w:t>
      </w:r>
      <w:r>
        <w:rPr>
          <w:rFonts w:hint="eastAsia" w:ascii="仿宋" w:hAnsi="仿宋" w:eastAsia="仿宋" w:cs="仿宋"/>
          <w:color w:val="auto"/>
          <w:sz w:val="24"/>
          <w:szCs w:val="24"/>
          <w:highlight w:val="none"/>
          <w:lang w:eastAsia="zh-CN"/>
        </w:rPr>
        <w:t>文件中第五章的技术需求。</w:t>
      </w:r>
    </w:p>
    <w:p w14:paraId="218E7986">
      <w:pPr>
        <w:keepNext w:val="0"/>
        <w:keepLines w:val="0"/>
        <w:pageBreakBefore w:val="0"/>
        <w:numPr>
          <w:ilvl w:val="0"/>
          <w:numId w:val="0"/>
        </w:numPr>
        <w:tabs>
          <w:tab w:val="left" w:pos="425"/>
        </w:tabs>
        <w:wordWrap w:val="0"/>
        <w:overflowPunct/>
        <w:topLinePunct w:val="0"/>
        <w:autoSpaceDE w:val="0"/>
        <w:autoSpaceDN w:val="0"/>
        <w:bidi w:val="0"/>
        <w:adjustRightInd w:val="0"/>
        <w:snapToGrid w:val="0"/>
        <w:spacing w:line="0" w:lineRule="atLeast"/>
        <w:ind w:left="425" w:leftChars="0" w:hanging="425" w:firstLineChars="0"/>
        <w:outlineLvl w:val="2"/>
        <w:rPr>
          <w:rFonts w:hint="eastAsia" w:ascii="仿宋" w:hAnsi="仿宋" w:eastAsia="仿宋" w:cs="仿宋"/>
          <w:color w:val="auto"/>
          <w:sz w:val="24"/>
          <w:szCs w:val="24"/>
          <w:highlight w:val="none"/>
        </w:rPr>
      </w:pPr>
      <w:bookmarkStart w:id="96" w:name="_Toc21006"/>
      <w:r>
        <w:rPr>
          <w:rFonts w:hint="default" w:ascii="仿宋" w:hAnsi="仿宋" w:eastAsia="仿宋" w:cs="仿宋"/>
          <w:snapToGrid w:val="0"/>
          <w:color w:val="auto"/>
          <w:sz w:val="24"/>
          <w:szCs w:val="24"/>
          <w:highlight w:val="none"/>
          <w:lang w:val="en-US" w:eastAsia="en-US" w:bidi="ar-SA"/>
        </w:rPr>
        <w:t>2.</w:t>
      </w:r>
      <w:r>
        <w:rPr>
          <w:rFonts w:hint="eastAsia" w:ascii="仿宋" w:hAnsi="仿宋" w:eastAsia="仿宋" w:cs="仿宋"/>
          <w:color w:val="auto"/>
          <w:sz w:val="24"/>
          <w:szCs w:val="24"/>
          <w:highlight w:val="none"/>
        </w:rPr>
        <w:t>实体</w:t>
      </w:r>
      <w:bookmarkEnd w:id="96"/>
    </w:p>
    <w:p w14:paraId="537C6602">
      <w:pPr>
        <w:keepNext w:val="0"/>
        <w:keepLines w:val="0"/>
        <w:pageBreakBefore w:val="0"/>
        <w:numPr>
          <w:ilvl w:val="1"/>
          <w:numId w:val="0"/>
        </w:numPr>
        <w:tabs>
          <w:tab w:val="left" w:pos="425"/>
        </w:tabs>
        <w:wordWrap w:val="0"/>
        <w:overflowPunct/>
        <w:topLinePunct w:val="0"/>
        <w:autoSpaceDE w:val="0"/>
        <w:autoSpaceDN w:val="0"/>
        <w:bidi w:val="0"/>
        <w:adjustRightInd w:val="0"/>
        <w:snapToGrid w:val="0"/>
        <w:spacing w:line="0" w:lineRule="atLeast"/>
        <w:ind w:left="851" w:leftChars="0" w:hanging="426" w:firstLineChars="0"/>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bidi="ar-SA"/>
        </w:rPr>
        <w:t>2.1</w:t>
      </w:r>
      <w:r>
        <w:rPr>
          <w:rFonts w:hint="eastAsia" w:ascii="仿宋" w:hAnsi="仿宋" w:eastAsia="仿宋" w:cs="仿宋"/>
          <w:color w:val="auto"/>
          <w:sz w:val="24"/>
          <w:szCs w:val="24"/>
          <w:highlight w:val="none"/>
          <w:lang w:eastAsia="zh-CN"/>
        </w:rPr>
        <w:t>“甲方”系指在合同中指明的购买货物和服务的单位。</w:t>
      </w:r>
    </w:p>
    <w:p w14:paraId="2394845C">
      <w:pPr>
        <w:keepNext w:val="0"/>
        <w:keepLines w:val="0"/>
        <w:pageBreakBefore w:val="0"/>
        <w:numPr>
          <w:ilvl w:val="1"/>
          <w:numId w:val="0"/>
        </w:numPr>
        <w:tabs>
          <w:tab w:val="left" w:pos="425"/>
        </w:tabs>
        <w:wordWrap w:val="0"/>
        <w:overflowPunct/>
        <w:topLinePunct w:val="0"/>
        <w:autoSpaceDE w:val="0"/>
        <w:autoSpaceDN w:val="0"/>
        <w:bidi w:val="0"/>
        <w:adjustRightInd w:val="0"/>
        <w:snapToGrid w:val="0"/>
        <w:spacing w:line="0" w:lineRule="atLeast"/>
        <w:ind w:left="851" w:leftChars="0" w:hanging="426" w:firstLineChars="0"/>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bidi="ar-SA"/>
        </w:rPr>
        <w:t>2.2</w:t>
      </w:r>
      <w:r>
        <w:rPr>
          <w:rFonts w:hint="eastAsia" w:ascii="仿宋" w:hAnsi="仿宋" w:eastAsia="仿宋" w:cs="仿宋"/>
          <w:color w:val="auto"/>
          <w:sz w:val="24"/>
          <w:szCs w:val="24"/>
          <w:highlight w:val="none"/>
          <w:lang w:eastAsia="zh-CN"/>
        </w:rPr>
        <w:t>“乙方”系指在合同中指明的提供本合同项下货物和服务的公司或实体。</w:t>
      </w:r>
    </w:p>
    <w:p w14:paraId="5493639F">
      <w:pPr>
        <w:keepNext w:val="0"/>
        <w:keepLines w:val="0"/>
        <w:pageBreakBefore w:val="0"/>
        <w:numPr>
          <w:ilvl w:val="1"/>
          <w:numId w:val="0"/>
        </w:numPr>
        <w:tabs>
          <w:tab w:val="left" w:pos="425"/>
        </w:tabs>
        <w:wordWrap w:val="0"/>
        <w:overflowPunct/>
        <w:topLinePunct w:val="0"/>
        <w:autoSpaceDE w:val="0"/>
        <w:autoSpaceDN w:val="0"/>
        <w:bidi w:val="0"/>
        <w:adjustRightInd w:val="0"/>
        <w:snapToGrid w:val="0"/>
        <w:spacing w:line="0" w:lineRule="atLeast"/>
        <w:ind w:left="851" w:leftChars="0" w:hanging="426" w:firstLineChars="0"/>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bidi="ar-SA"/>
        </w:rPr>
        <w:t>2.3</w:t>
      </w:r>
      <w:r>
        <w:rPr>
          <w:rFonts w:hint="eastAsia" w:ascii="仿宋" w:hAnsi="仿宋" w:eastAsia="仿宋" w:cs="仿宋"/>
          <w:color w:val="auto"/>
          <w:sz w:val="24"/>
          <w:szCs w:val="24"/>
          <w:highlight w:val="none"/>
          <w:lang w:eastAsia="zh-CN"/>
        </w:rPr>
        <w:t>“最终用户”系指在合同中指明的、授权甲方采购合同项下货物和服务的委托单位。</w:t>
      </w:r>
    </w:p>
    <w:p w14:paraId="3D686A1F">
      <w:pPr>
        <w:keepNext w:val="0"/>
        <w:keepLines w:val="0"/>
        <w:pageBreakBefore w:val="0"/>
        <w:numPr>
          <w:ilvl w:val="0"/>
          <w:numId w:val="0"/>
        </w:numPr>
        <w:tabs>
          <w:tab w:val="left" w:pos="425"/>
        </w:tabs>
        <w:wordWrap w:val="0"/>
        <w:overflowPunct/>
        <w:topLinePunct w:val="0"/>
        <w:autoSpaceDE w:val="0"/>
        <w:autoSpaceDN w:val="0"/>
        <w:bidi w:val="0"/>
        <w:adjustRightInd w:val="0"/>
        <w:snapToGrid w:val="0"/>
        <w:spacing w:line="0" w:lineRule="atLeast"/>
        <w:ind w:left="425" w:leftChars="0" w:hanging="425" w:firstLineChars="0"/>
        <w:outlineLvl w:val="2"/>
        <w:rPr>
          <w:rFonts w:hint="eastAsia" w:ascii="仿宋" w:hAnsi="仿宋" w:eastAsia="仿宋" w:cs="仿宋"/>
          <w:color w:val="auto"/>
          <w:sz w:val="24"/>
          <w:szCs w:val="24"/>
          <w:highlight w:val="none"/>
        </w:rPr>
      </w:pPr>
      <w:bookmarkStart w:id="97" w:name="_Toc26153"/>
      <w:r>
        <w:rPr>
          <w:rFonts w:hint="default" w:ascii="仿宋" w:hAnsi="仿宋" w:eastAsia="仿宋" w:cs="仿宋"/>
          <w:snapToGrid w:val="0"/>
          <w:color w:val="auto"/>
          <w:sz w:val="24"/>
          <w:szCs w:val="24"/>
          <w:highlight w:val="none"/>
          <w:lang w:val="en-US" w:eastAsia="en-US" w:bidi="ar-SA"/>
        </w:rPr>
        <w:t>3.</w:t>
      </w:r>
      <w:r>
        <w:rPr>
          <w:rFonts w:hint="eastAsia" w:ascii="仿宋" w:hAnsi="仿宋" w:eastAsia="仿宋" w:cs="仿宋"/>
          <w:color w:val="auto"/>
          <w:sz w:val="24"/>
          <w:szCs w:val="24"/>
          <w:highlight w:val="none"/>
        </w:rPr>
        <w:t>事项</w:t>
      </w:r>
      <w:bookmarkEnd w:id="97"/>
    </w:p>
    <w:p w14:paraId="082F01A7">
      <w:pPr>
        <w:keepNext w:val="0"/>
        <w:keepLines w:val="0"/>
        <w:pageBreakBefore w:val="0"/>
        <w:numPr>
          <w:ilvl w:val="1"/>
          <w:numId w:val="0"/>
        </w:numPr>
        <w:tabs>
          <w:tab w:val="left" w:pos="425"/>
        </w:tabs>
        <w:wordWrap w:val="0"/>
        <w:overflowPunct/>
        <w:topLinePunct w:val="0"/>
        <w:autoSpaceDE w:val="0"/>
        <w:autoSpaceDN w:val="0"/>
        <w:bidi w:val="0"/>
        <w:adjustRightInd w:val="0"/>
        <w:snapToGrid w:val="0"/>
        <w:spacing w:line="0" w:lineRule="atLeast"/>
        <w:ind w:left="851" w:leftChars="0" w:hanging="426" w:firstLineChars="0"/>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bidi="ar-SA"/>
        </w:rPr>
        <w:t>3.1</w:t>
      </w:r>
      <w:r>
        <w:rPr>
          <w:rFonts w:hint="eastAsia" w:ascii="仿宋" w:hAnsi="仿宋" w:eastAsia="仿宋" w:cs="仿宋"/>
          <w:color w:val="auto"/>
          <w:sz w:val="24"/>
          <w:szCs w:val="24"/>
          <w:highlight w:val="none"/>
          <w:lang w:eastAsia="zh-CN"/>
        </w:rPr>
        <w:t>“货物”系指乙方根据合同规定须向甲方提供的一切产品和／或其它材料。详见本合同第三条“合同标的”。</w:t>
      </w:r>
    </w:p>
    <w:p w14:paraId="41433CE0">
      <w:pPr>
        <w:keepNext w:val="0"/>
        <w:keepLines w:val="0"/>
        <w:pageBreakBefore w:val="0"/>
        <w:numPr>
          <w:ilvl w:val="1"/>
          <w:numId w:val="0"/>
        </w:numPr>
        <w:tabs>
          <w:tab w:val="left" w:pos="425"/>
        </w:tabs>
        <w:wordWrap w:val="0"/>
        <w:overflowPunct/>
        <w:topLinePunct w:val="0"/>
        <w:autoSpaceDE w:val="0"/>
        <w:autoSpaceDN w:val="0"/>
        <w:bidi w:val="0"/>
        <w:adjustRightInd w:val="0"/>
        <w:snapToGrid w:val="0"/>
        <w:spacing w:line="0" w:lineRule="atLeast"/>
        <w:ind w:left="851" w:leftChars="0" w:hanging="426" w:firstLineChars="0"/>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bidi="ar-SA"/>
        </w:rPr>
        <w:t>3.2</w:t>
      </w:r>
      <w:r>
        <w:rPr>
          <w:rFonts w:hint="eastAsia" w:ascii="仿宋" w:hAnsi="仿宋" w:eastAsia="仿宋" w:cs="仿宋"/>
          <w:color w:val="auto"/>
          <w:sz w:val="24"/>
          <w:szCs w:val="24"/>
          <w:highlight w:val="none"/>
          <w:lang w:eastAsia="zh-CN"/>
        </w:rPr>
        <w:t>“服务”系指根据合同规定，乙方应提供的技术、管理和其它服务，包括但不限于：安装、调试、检测、验收及技术服务等。详见本合同第三条“合同标的”。</w:t>
      </w:r>
    </w:p>
    <w:p w14:paraId="5D50710D">
      <w:pPr>
        <w:keepNext w:val="0"/>
        <w:keepLines w:val="0"/>
        <w:pageBreakBefore w:val="0"/>
        <w:numPr>
          <w:ilvl w:val="1"/>
          <w:numId w:val="0"/>
        </w:numPr>
        <w:tabs>
          <w:tab w:val="left" w:pos="425"/>
        </w:tabs>
        <w:wordWrap w:val="0"/>
        <w:overflowPunct/>
        <w:topLinePunct w:val="0"/>
        <w:autoSpaceDE w:val="0"/>
        <w:autoSpaceDN w:val="0"/>
        <w:bidi w:val="0"/>
        <w:adjustRightInd w:val="0"/>
        <w:snapToGrid w:val="0"/>
        <w:spacing w:line="0" w:lineRule="atLeast"/>
        <w:ind w:left="851" w:leftChars="0" w:hanging="426" w:firstLineChars="0"/>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bidi="ar-SA"/>
        </w:rPr>
        <w:t>3.3</w:t>
      </w:r>
      <w:r>
        <w:rPr>
          <w:rFonts w:hint="eastAsia" w:ascii="仿宋" w:hAnsi="仿宋" w:eastAsia="仿宋" w:cs="仿宋"/>
          <w:color w:val="auto"/>
          <w:sz w:val="24"/>
          <w:szCs w:val="24"/>
          <w:highlight w:val="none"/>
          <w:lang w:eastAsia="zh-CN"/>
        </w:rPr>
        <w:t>“资料”指乙方在合同项下，根据合同规定须向甲方提供的所有文件。</w:t>
      </w:r>
    </w:p>
    <w:p w14:paraId="3F64C5D3">
      <w:pPr>
        <w:keepNext w:val="0"/>
        <w:keepLines w:val="0"/>
        <w:pageBreakBefore w:val="0"/>
        <w:numPr>
          <w:ilvl w:val="0"/>
          <w:numId w:val="0"/>
        </w:numPr>
        <w:tabs>
          <w:tab w:val="left" w:pos="425"/>
        </w:tabs>
        <w:wordWrap w:val="0"/>
        <w:overflowPunct/>
        <w:topLinePunct w:val="0"/>
        <w:autoSpaceDE w:val="0"/>
        <w:autoSpaceDN w:val="0"/>
        <w:bidi w:val="0"/>
        <w:adjustRightInd w:val="0"/>
        <w:snapToGrid w:val="0"/>
        <w:spacing w:line="0" w:lineRule="atLeast"/>
        <w:ind w:left="425" w:leftChars="0" w:hanging="425" w:firstLineChars="0"/>
        <w:outlineLvl w:val="2"/>
        <w:rPr>
          <w:rFonts w:hint="eastAsia" w:ascii="仿宋" w:hAnsi="仿宋" w:eastAsia="仿宋" w:cs="仿宋"/>
          <w:color w:val="auto"/>
          <w:sz w:val="24"/>
          <w:szCs w:val="24"/>
          <w:highlight w:val="none"/>
        </w:rPr>
      </w:pPr>
      <w:bookmarkStart w:id="98" w:name="_Toc4017"/>
      <w:r>
        <w:rPr>
          <w:rFonts w:hint="default" w:ascii="仿宋" w:hAnsi="仿宋" w:eastAsia="仿宋" w:cs="仿宋"/>
          <w:snapToGrid w:val="0"/>
          <w:color w:val="auto"/>
          <w:sz w:val="24"/>
          <w:szCs w:val="24"/>
          <w:highlight w:val="none"/>
          <w:lang w:val="en-US" w:eastAsia="en-US" w:bidi="ar-SA"/>
        </w:rPr>
        <w:t>4.</w:t>
      </w:r>
      <w:r>
        <w:rPr>
          <w:rFonts w:hint="eastAsia" w:ascii="仿宋" w:hAnsi="仿宋" w:eastAsia="仿宋" w:cs="仿宋"/>
          <w:color w:val="auto"/>
          <w:sz w:val="24"/>
          <w:szCs w:val="24"/>
          <w:highlight w:val="none"/>
        </w:rPr>
        <w:t>活动</w:t>
      </w:r>
      <w:bookmarkEnd w:id="98"/>
    </w:p>
    <w:p w14:paraId="4E5CC668">
      <w:pPr>
        <w:keepNext w:val="0"/>
        <w:keepLines w:val="0"/>
        <w:pageBreakBefore w:val="0"/>
        <w:numPr>
          <w:ilvl w:val="1"/>
          <w:numId w:val="0"/>
        </w:numPr>
        <w:tabs>
          <w:tab w:val="left" w:pos="425"/>
        </w:tabs>
        <w:wordWrap w:val="0"/>
        <w:overflowPunct/>
        <w:topLinePunct w:val="0"/>
        <w:autoSpaceDE w:val="0"/>
        <w:autoSpaceDN w:val="0"/>
        <w:bidi w:val="0"/>
        <w:adjustRightInd w:val="0"/>
        <w:snapToGrid w:val="0"/>
        <w:spacing w:line="0" w:lineRule="atLeast"/>
        <w:ind w:left="851" w:leftChars="0" w:hanging="426" w:firstLineChars="0"/>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bidi="ar-SA"/>
        </w:rPr>
        <w:t>4.1</w:t>
      </w:r>
      <w:r>
        <w:rPr>
          <w:rFonts w:hint="eastAsia" w:ascii="仿宋" w:hAnsi="仿宋" w:eastAsia="仿宋" w:cs="仿宋"/>
          <w:color w:val="auto"/>
          <w:sz w:val="24"/>
          <w:szCs w:val="24"/>
          <w:highlight w:val="none"/>
          <w:lang w:eastAsia="zh-CN"/>
        </w:rPr>
        <w:t>“供货”是指乙方按照合同规定，向甲方提供货物。</w:t>
      </w:r>
    </w:p>
    <w:p w14:paraId="6127CD77">
      <w:pPr>
        <w:keepNext w:val="0"/>
        <w:keepLines w:val="0"/>
        <w:pageBreakBefore w:val="0"/>
        <w:numPr>
          <w:ilvl w:val="1"/>
          <w:numId w:val="0"/>
        </w:numPr>
        <w:tabs>
          <w:tab w:val="left" w:pos="425"/>
        </w:tabs>
        <w:wordWrap w:val="0"/>
        <w:overflowPunct/>
        <w:topLinePunct w:val="0"/>
        <w:autoSpaceDE w:val="0"/>
        <w:autoSpaceDN w:val="0"/>
        <w:bidi w:val="0"/>
        <w:adjustRightInd w:val="0"/>
        <w:snapToGrid w:val="0"/>
        <w:spacing w:line="0" w:lineRule="atLeast"/>
        <w:ind w:left="851" w:leftChars="0" w:hanging="426" w:firstLineChars="0"/>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bidi="ar-SA"/>
        </w:rPr>
        <w:t>4.2</w:t>
      </w:r>
      <w:r>
        <w:rPr>
          <w:rFonts w:hint="eastAsia" w:ascii="仿宋" w:hAnsi="仿宋" w:eastAsia="仿宋" w:cs="仿宋"/>
          <w:color w:val="auto"/>
          <w:sz w:val="24"/>
          <w:szCs w:val="24"/>
          <w:highlight w:val="none"/>
          <w:lang w:eastAsia="zh-CN"/>
        </w:rPr>
        <w:t xml:space="preserve"> “验收”是指所有合同项下所供货物在检测中达到合同规定的技术标准后，甲方予以接受。</w:t>
      </w:r>
    </w:p>
    <w:p w14:paraId="4FAF35D4">
      <w:pPr>
        <w:keepNext w:val="0"/>
        <w:keepLines w:val="0"/>
        <w:pageBreakBefore w:val="0"/>
        <w:numPr>
          <w:ilvl w:val="0"/>
          <w:numId w:val="0"/>
        </w:numPr>
        <w:tabs>
          <w:tab w:val="left" w:pos="425"/>
        </w:tabs>
        <w:wordWrap w:val="0"/>
        <w:overflowPunct/>
        <w:topLinePunct w:val="0"/>
        <w:autoSpaceDE w:val="0"/>
        <w:autoSpaceDN w:val="0"/>
        <w:bidi w:val="0"/>
        <w:adjustRightInd w:val="0"/>
        <w:snapToGrid w:val="0"/>
        <w:spacing w:line="0" w:lineRule="atLeast"/>
        <w:ind w:left="425" w:leftChars="0" w:hanging="425" w:firstLineChars="0"/>
        <w:outlineLvl w:val="2"/>
        <w:rPr>
          <w:rFonts w:hint="eastAsia" w:ascii="仿宋" w:hAnsi="仿宋" w:eastAsia="仿宋" w:cs="仿宋"/>
          <w:color w:val="auto"/>
          <w:sz w:val="24"/>
          <w:szCs w:val="24"/>
          <w:highlight w:val="none"/>
        </w:rPr>
      </w:pPr>
      <w:bookmarkStart w:id="99" w:name="_Toc27461"/>
      <w:r>
        <w:rPr>
          <w:rFonts w:hint="default" w:ascii="仿宋" w:hAnsi="仿宋" w:eastAsia="仿宋" w:cs="仿宋"/>
          <w:snapToGrid w:val="0"/>
          <w:color w:val="auto"/>
          <w:sz w:val="24"/>
          <w:szCs w:val="24"/>
          <w:highlight w:val="none"/>
          <w:lang w:val="en-US" w:eastAsia="en-US" w:bidi="ar-SA"/>
        </w:rPr>
        <w:t>5.</w:t>
      </w:r>
      <w:r>
        <w:rPr>
          <w:rFonts w:hint="eastAsia" w:ascii="仿宋" w:hAnsi="仿宋" w:eastAsia="仿宋" w:cs="仿宋"/>
          <w:color w:val="auto"/>
          <w:sz w:val="24"/>
          <w:szCs w:val="24"/>
          <w:highlight w:val="none"/>
        </w:rPr>
        <w:t>地点和时间</w:t>
      </w:r>
      <w:bookmarkEnd w:id="99"/>
    </w:p>
    <w:p w14:paraId="567AD808">
      <w:pPr>
        <w:keepNext w:val="0"/>
        <w:keepLines w:val="0"/>
        <w:pageBreakBefore w:val="0"/>
        <w:numPr>
          <w:ilvl w:val="1"/>
          <w:numId w:val="0"/>
        </w:numPr>
        <w:tabs>
          <w:tab w:val="left" w:pos="425"/>
        </w:tabs>
        <w:wordWrap w:val="0"/>
        <w:overflowPunct/>
        <w:topLinePunct w:val="0"/>
        <w:autoSpaceDE w:val="0"/>
        <w:autoSpaceDN w:val="0"/>
        <w:bidi w:val="0"/>
        <w:adjustRightInd w:val="0"/>
        <w:snapToGrid w:val="0"/>
        <w:spacing w:line="0" w:lineRule="atLeast"/>
        <w:ind w:left="851" w:leftChars="0" w:hanging="426" w:firstLineChars="0"/>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bidi="ar-SA"/>
        </w:rPr>
        <w:t>5.1</w:t>
      </w:r>
      <w:r>
        <w:rPr>
          <w:rFonts w:hint="eastAsia" w:ascii="仿宋" w:hAnsi="仿宋" w:eastAsia="仿宋" w:cs="仿宋"/>
          <w:color w:val="auto"/>
          <w:sz w:val="24"/>
          <w:szCs w:val="24"/>
          <w:highlight w:val="none"/>
          <w:lang w:eastAsia="zh-CN"/>
        </w:rPr>
        <w:t>“供货地点”指的是本合同第六条“供货”中标明的货物交付场所。</w:t>
      </w:r>
    </w:p>
    <w:p w14:paraId="107B7859">
      <w:pPr>
        <w:keepNext w:val="0"/>
        <w:keepLines w:val="0"/>
        <w:pageBreakBefore w:val="0"/>
        <w:numPr>
          <w:ilvl w:val="1"/>
          <w:numId w:val="0"/>
        </w:numPr>
        <w:tabs>
          <w:tab w:val="left" w:pos="425"/>
        </w:tabs>
        <w:wordWrap w:val="0"/>
        <w:overflowPunct/>
        <w:topLinePunct w:val="0"/>
        <w:autoSpaceDE w:val="0"/>
        <w:autoSpaceDN w:val="0"/>
        <w:bidi w:val="0"/>
        <w:adjustRightInd w:val="0"/>
        <w:snapToGrid w:val="0"/>
        <w:spacing w:line="0" w:lineRule="atLeast"/>
        <w:ind w:left="851" w:leftChars="0" w:hanging="426" w:firstLineChars="0"/>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bidi="ar-SA"/>
        </w:rPr>
        <w:t>5.2</w:t>
      </w:r>
      <w:r>
        <w:rPr>
          <w:rFonts w:hint="eastAsia" w:ascii="仿宋" w:hAnsi="仿宋" w:eastAsia="仿宋" w:cs="仿宋"/>
          <w:color w:val="auto"/>
          <w:sz w:val="24"/>
          <w:szCs w:val="24"/>
          <w:highlight w:val="none"/>
          <w:lang w:eastAsia="zh-CN"/>
        </w:rPr>
        <w:t>“质量保证期“是指自合同验收之日起一定时间内，乙方保证所供货物符合合同规定的质量、规格、设计等要求，并负责消除存在的任何缺陷。详见本合同第十五条“质量保证期及售后服务”。</w:t>
      </w:r>
    </w:p>
    <w:p w14:paraId="781E5E2B">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sz w:val="24"/>
          <w:szCs w:val="24"/>
          <w:highlight w:val="none"/>
        </w:rPr>
      </w:pPr>
      <w:bookmarkStart w:id="100" w:name="_Toc432684934"/>
      <w:bookmarkStart w:id="101" w:name="_Toc29720"/>
      <w:bookmarkStart w:id="102" w:name="_Toc479943853"/>
      <w:bookmarkStart w:id="103" w:name="_Toc427666522"/>
      <w:bookmarkStart w:id="104" w:name="_Toc480316115"/>
      <w:bookmarkStart w:id="105" w:name="_Toc29427"/>
      <w:r>
        <w:rPr>
          <w:rFonts w:hint="eastAsia" w:ascii="仿宋" w:hAnsi="仿宋" w:eastAsia="仿宋" w:cs="仿宋"/>
          <w:color w:val="auto"/>
          <w:sz w:val="24"/>
          <w:szCs w:val="24"/>
          <w:highlight w:val="none"/>
        </w:rPr>
        <w:t>三、合同标的</w:t>
      </w:r>
      <w:bookmarkEnd w:id="100"/>
      <w:bookmarkEnd w:id="101"/>
      <w:bookmarkEnd w:id="102"/>
      <w:bookmarkEnd w:id="103"/>
      <w:bookmarkEnd w:id="104"/>
      <w:bookmarkEnd w:id="105"/>
    </w:p>
    <w:p w14:paraId="6DE87BB1">
      <w:pPr>
        <w:keepNext w:val="0"/>
        <w:keepLines w:val="0"/>
        <w:pageBreakBefore w:val="0"/>
        <w:numPr>
          <w:ilvl w:val="0"/>
          <w:numId w:val="5"/>
        </w:numPr>
        <w:tabs>
          <w:tab w:val="left" w:pos="425"/>
        </w:tabs>
        <w:wordWrap w:val="0"/>
        <w:overflowPunct/>
        <w:topLinePunct w:val="0"/>
        <w:autoSpaceDE w:val="0"/>
        <w:autoSpaceDN w:val="0"/>
        <w:bidi w:val="0"/>
        <w:adjustRightInd w:val="0"/>
        <w:snapToGrid w:val="0"/>
        <w:spacing w:line="0" w:lineRule="atLeast"/>
        <w:ind w:left="158" w:leftChars="7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本合同标</w:t>
      </w:r>
      <w:bookmarkStart w:id="106" w:name="_Toc399165010"/>
      <w:r>
        <w:rPr>
          <w:rFonts w:hint="eastAsia" w:ascii="仿宋" w:hAnsi="仿宋" w:eastAsia="仿宋" w:cs="仿宋"/>
          <w:color w:val="auto"/>
          <w:sz w:val="24"/>
          <w:szCs w:val="24"/>
          <w:highlight w:val="none"/>
          <w:lang w:eastAsia="zh-CN"/>
        </w:rPr>
        <w:t>的为</w:t>
      </w:r>
      <w:bookmarkEnd w:id="106"/>
      <w:r>
        <w:rPr>
          <w:rFonts w:hint="eastAsia" w:ascii="仿宋" w:hAnsi="仿宋" w:eastAsia="仿宋" w:cs="仿宋"/>
          <w:color w:val="auto"/>
          <w:kern w:val="28"/>
          <w:sz w:val="24"/>
          <w:szCs w:val="24"/>
          <w:highlight w:val="none"/>
          <w:u w:val="single"/>
          <w:lang w:eastAsia="zh-CN"/>
        </w:rPr>
        <w:t>中华人民共和国新疆出入境边防检查总站繁育种犬及待训警犬采购项目</w:t>
      </w:r>
      <w:r>
        <w:rPr>
          <w:rFonts w:hint="eastAsia" w:ascii="仿宋" w:hAnsi="仿宋" w:eastAsia="仿宋" w:cs="仿宋"/>
          <w:color w:val="auto"/>
          <w:sz w:val="24"/>
          <w:szCs w:val="24"/>
          <w:highlight w:val="none"/>
          <w:lang w:eastAsia="zh-CN"/>
        </w:rPr>
        <w:t>，本合同价格为固定价。合同总价以货到甲方指定供货地点的全部费用为标准，包括货物及货物本身已缴纳或应缴纳的全部增值税、营业税、销售税和其他税费，货物交付至甲方指定</w:t>
      </w: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lang w:eastAsia="zh-CN"/>
        </w:rPr>
        <w:t>地点的运输费、保险费和伴随货物交运的有关费用以及与货物有关的培训及技术服务等所有费用。</w:t>
      </w:r>
    </w:p>
    <w:p w14:paraId="7A066CB2">
      <w:pPr>
        <w:keepNext w:val="0"/>
        <w:keepLines w:val="0"/>
        <w:pageBreakBefore w:val="0"/>
        <w:numPr>
          <w:ilvl w:val="0"/>
          <w:numId w:val="5"/>
        </w:numPr>
        <w:tabs>
          <w:tab w:val="left" w:pos="425"/>
        </w:tabs>
        <w:wordWrap w:val="0"/>
        <w:overflowPunct/>
        <w:topLinePunct w:val="0"/>
        <w:autoSpaceDE w:val="0"/>
        <w:autoSpaceDN w:val="0"/>
        <w:bidi w:val="0"/>
        <w:adjustRightInd w:val="0"/>
        <w:snapToGrid w:val="0"/>
        <w:spacing w:line="0" w:lineRule="atLeast"/>
        <w:ind w:left="158" w:leftChars="75"/>
        <w:outlineLvl w:val="2"/>
        <w:rPr>
          <w:rFonts w:hint="eastAsia" w:ascii="仿宋" w:hAnsi="仿宋" w:eastAsia="仿宋" w:cs="仿宋"/>
          <w:color w:val="auto"/>
          <w:sz w:val="24"/>
          <w:szCs w:val="24"/>
          <w:highlight w:val="none"/>
          <w:lang w:eastAsia="zh-CN"/>
        </w:rPr>
      </w:pPr>
      <w:bookmarkStart w:id="107" w:name="_Toc25557"/>
      <w:r>
        <w:rPr>
          <w:rFonts w:hint="eastAsia" w:ascii="仿宋" w:hAnsi="仿宋" w:eastAsia="仿宋" w:cs="仿宋"/>
          <w:color w:val="auto"/>
          <w:sz w:val="24"/>
          <w:szCs w:val="24"/>
          <w:highlight w:val="none"/>
          <w:lang w:eastAsia="zh-CN"/>
        </w:rPr>
        <w:t>供货货物名称、规格型号、单位、数量及金额：（人民币元）</w:t>
      </w:r>
      <w:bookmarkEnd w:id="107"/>
    </w:p>
    <w:tbl>
      <w:tblPr>
        <w:tblStyle w:val="13"/>
        <w:tblW w:w="91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98"/>
        <w:gridCol w:w="2211"/>
        <w:gridCol w:w="1203"/>
        <w:gridCol w:w="1805"/>
        <w:gridCol w:w="1041"/>
        <w:gridCol w:w="1041"/>
        <w:gridCol w:w="1036"/>
      </w:tblGrid>
      <w:tr w14:paraId="5E9A9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34" w:hRule="atLeast"/>
          <w:jc w:val="center"/>
        </w:trPr>
        <w:tc>
          <w:tcPr>
            <w:tcW w:w="798" w:type="dxa"/>
            <w:vAlign w:val="center"/>
          </w:tcPr>
          <w:p w14:paraId="02136D75">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序号</w:t>
            </w:r>
          </w:p>
        </w:tc>
        <w:tc>
          <w:tcPr>
            <w:tcW w:w="2211" w:type="dxa"/>
            <w:vAlign w:val="center"/>
          </w:tcPr>
          <w:p w14:paraId="7F681F50">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犬种</w:t>
            </w:r>
          </w:p>
        </w:tc>
        <w:tc>
          <w:tcPr>
            <w:tcW w:w="1203" w:type="dxa"/>
            <w:vAlign w:val="center"/>
          </w:tcPr>
          <w:p w14:paraId="048E748B">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性别</w:t>
            </w:r>
          </w:p>
        </w:tc>
        <w:tc>
          <w:tcPr>
            <w:tcW w:w="1805" w:type="dxa"/>
            <w:vAlign w:val="center"/>
          </w:tcPr>
          <w:p w14:paraId="0B7E3A9B">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年龄</w:t>
            </w:r>
          </w:p>
        </w:tc>
        <w:tc>
          <w:tcPr>
            <w:tcW w:w="1041" w:type="dxa"/>
            <w:vAlign w:val="center"/>
          </w:tcPr>
          <w:p w14:paraId="0A339BFA">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单价</w:t>
            </w:r>
          </w:p>
        </w:tc>
        <w:tc>
          <w:tcPr>
            <w:tcW w:w="1041" w:type="dxa"/>
            <w:vAlign w:val="center"/>
          </w:tcPr>
          <w:p w14:paraId="41EB3272">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数量</w:t>
            </w:r>
          </w:p>
        </w:tc>
        <w:tc>
          <w:tcPr>
            <w:tcW w:w="1036" w:type="dxa"/>
            <w:vAlign w:val="center"/>
          </w:tcPr>
          <w:p w14:paraId="044BE05B">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总价</w:t>
            </w:r>
          </w:p>
        </w:tc>
      </w:tr>
      <w:tr w14:paraId="508CD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34" w:hRule="atLeast"/>
          <w:jc w:val="center"/>
        </w:trPr>
        <w:tc>
          <w:tcPr>
            <w:tcW w:w="798" w:type="dxa"/>
            <w:vAlign w:val="center"/>
          </w:tcPr>
          <w:p w14:paraId="0C62016C">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1</w:t>
            </w:r>
          </w:p>
        </w:tc>
        <w:tc>
          <w:tcPr>
            <w:tcW w:w="2211" w:type="dxa"/>
            <w:vAlign w:val="center"/>
          </w:tcPr>
          <w:p w14:paraId="7462F25D">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德国牧羊犬</w:t>
            </w:r>
          </w:p>
        </w:tc>
        <w:tc>
          <w:tcPr>
            <w:tcW w:w="1203" w:type="dxa"/>
            <w:vAlign w:val="center"/>
          </w:tcPr>
          <w:p w14:paraId="1B85BA31">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母</w:t>
            </w:r>
          </w:p>
        </w:tc>
        <w:tc>
          <w:tcPr>
            <w:tcW w:w="1805" w:type="dxa"/>
            <w:vAlign w:val="center"/>
          </w:tcPr>
          <w:p w14:paraId="4E8DE496">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highlight w:val="none"/>
                <w:lang w:val="en-US" w:eastAsia="zh-CN"/>
              </w:rPr>
              <w:t>12</w:t>
            </w:r>
            <w:r>
              <w:rPr>
                <w:rFonts w:hint="eastAsia" w:ascii="仿宋" w:hAnsi="仿宋" w:eastAsia="仿宋" w:cs="仿宋"/>
                <w:color w:val="auto"/>
                <w:kern w:val="28"/>
                <w:highlight w:val="none"/>
              </w:rPr>
              <w:t>个月-</w:t>
            </w:r>
            <w:r>
              <w:rPr>
                <w:rFonts w:hint="eastAsia" w:ascii="仿宋" w:hAnsi="仿宋" w:eastAsia="仿宋" w:cs="仿宋"/>
                <w:color w:val="auto"/>
                <w:kern w:val="28"/>
                <w:highlight w:val="none"/>
                <w:lang w:val="en-US" w:eastAsia="zh-CN"/>
              </w:rPr>
              <w:t>30</w:t>
            </w:r>
            <w:r>
              <w:rPr>
                <w:rFonts w:hint="eastAsia" w:ascii="仿宋" w:hAnsi="仿宋" w:eastAsia="仿宋" w:cs="仿宋"/>
                <w:color w:val="auto"/>
                <w:kern w:val="28"/>
                <w:highlight w:val="none"/>
              </w:rPr>
              <w:t>个月</w:t>
            </w:r>
          </w:p>
        </w:tc>
        <w:tc>
          <w:tcPr>
            <w:tcW w:w="1041" w:type="dxa"/>
            <w:vAlign w:val="center"/>
          </w:tcPr>
          <w:p w14:paraId="130EC1D8">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p>
        </w:tc>
        <w:tc>
          <w:tcPr>
            <w:tcW w:w="1041" w:type="dxa"/>
            <w:vAlign w:val="center"/>
          </w:tcPr>
          <w:p w14:paraId="2CD7D64C">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lang w:val="en-US" w:eastAsia="zh-CN"/>
              </w:rPr>
              <w:t>1</w:t>
            </w:r>
            <w:r>
              <w:rPr>
                <w:rFonts w:hint="eastAsia" w:ascii="仿宋" w:hAnsi="仿宋" w:eastAsia="仿宋" w:cs="仿宋"/>
                <w:color w:val="auto"/>
                <w:kern w:val="28"/>
                <w:sz w:val="24"/>
                <w:szCs w:val="24"/>
                <w:highlight w:val="none"/>
              </w:rPr>
              <w:t>头</w:t>
            </w:r>
          </w:p>
        </w:tc>
        <w:tc>
          <w:tcPr>
            <w:tcW w:w="1036" w:type="dxa"/>
            <w:vAlign w:val="center"/>
          </w:tcPr>
          <w:p w14:paraId="478CEAFC">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p>
        </w:tc>
      </w:tr>
      <w:tr w14:paraId="04CAB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34" w:hRule="atLeast"/>
          <w:jc w:val="center"/>
        </w:trPr>
        <w:tc>
          <w:tcPr>
            <w:tcW w:w="798" w:type="dxa"/>
            <w:vAlign w:val="center"/>
          </w:tcPr>
          <w:p w14:paraId="239949C0">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2</w:t>
            </w:r>
          </w:p>
        </w:tc>
        <w:tc>
          <w:tcPr>
            <w:tcW w:w="2211" w:type="dxa"/>
            <w:vAlign w:val="center"/>
          </w:tcPr>
          <w:p w14:paraId="4021839B">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昆明犬</w:t>
            </w:r>
          </w:p>
        </w:tc>
        <w:tc>
          <w:tcPr>
            <w:tcW w:w="1203" w:type="dxa"/>
            <w:vAlign w:val="center"/>
          </w:tcPr>
          <w:p w14:paraId="38887384">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lang w:val="en-US" w:eastAsia="zh-CN"/>
              </w:rPr>
              <w:t>公</w:t>
            </w:r>
          </w:p>
        </w:tc>
        <w:tc>
          <w:tcPr>
            <w:tcW w:w="1805" w:type="dxa"/>
            <w:vAlign w:val="center"/>
          </w:tcPr>
          <w:p w14:paraId="7EDF6B2A">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highlight w:val="none"/>
                <w:lang w:val="en-US" w:eastAsia="zh-CN"/>
              </w:rPr>
              <w:t>1</w:t>
            </w:r>
            <w:r>
              <w:rPr>
                <w:rFonts w:hint="eastAsia" w:ascii="仿宋" w:hAnsi="仿宋" w:eastAsia="仿宋" w:cs="仿宋"/>
                <w:color w:val="auto"/>
                <w:kern w:val="28"/>
                <w:highlight w:val="none"/>
              </w:rPr>
              <w:t>8个月-</w:t>
            </w:r>
            <w:r>
              <w:rPr>
                <w:rFonts w:hint="eastAsia" w:ascii="仿宋" w:hAnsi="仿宋" w:eastAsia="仿宋" w:cs="仿宋"/>
                <w:color w:val="auto"/>
                <w:kern w:val="28"/>
                <w:highlight w:val="none"/>
                <w:lang w:val="en-US" w:eastAsia="zh-CN"/>
              </w:rPr>
              <w:t>36</w:t>
            </w:r>
            <w:r>
              <w:rPr>
                <w:rFonts w:hint="eastAsia" w:ascii="仿宋" w:hAnsi="仿宋" w:eastAsia="仿宋" w:cs="仿宋"/>
                <w:color w:val="auto"/>
                <w:kern w:val="28"/>
                <w:highlight w:val="none"/>
              </w:rPr>
              <w:t>个月</w:t>
            </w:r>
          </w:p>
        </w:tc>
        <w:tc>
          <w:tcPr>
            <w:tcW w:w="1041" w:type="dxa"/>
            <w:vAlign w:val="center"/>
          </w:tcPr>
          <w:p w14:paraId="754E78D6">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p>
        </w:tc>
        <w:tc>
          <w:tcPr>
            <w:tcW w:w="1041" w:type="dxa"/>
            <w:vAlign w:val="center"/>
          </w:tcPr>
          <w:p w14:paraId="5568D01B">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lang w:val="en-US" w:eastAsia="zh-CN"/>
              </w:rPr>
              <w:t>1</w:t>
            </w:r>
            <w:r>
              <w:rPr>
                <w:rFonts w:hint="eastAsia" w:ascii="仿宋" w:hAnsi="仿宋" w:eastAsia="仿宋" w:cs="仿宋"/>
                <w:color w:val="auto"/>
                <w:kern w:val="28"/>
                <w:sz w:val="24"/>
                <w:szCs w:val="24"/>
                <w:highlight w:val="none"/>
              </w:rPr>
              <w:t>头</w:t>
            </w:r>
          </w:p>
        </w:tc>
        <w:tc>
          <w:tcPr>
            <w:tcW w:w="1036" w:type="dxa"/>
            <w:vAlign w:val="center"/>
          </w:tcPr>
          <w:p w14:paraId="1BEB0452">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p>
        </w:tc>
      </w:tr>
      <w:tr w14:paraId="3C448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34" w:hRule="atLeast"/>
          <w:jc w:val="center"/>
        </w:trPr>
        <w:tc>
          <w:tcPr>
            <w:tcW w:w="798" w:type="dxa"/>
            <w:vAlign w:val="center"/>
          </w:tcPr>
          <w:p w14:paraId="71BE4F55">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3</w:t>
            </w:r>
          </w:p>
        </w:tc>
        <w:tc>
          <w:tcPr>
            <w:tcW w:w="2211" w:type="dxa"/>
            <w:vAlign w:val="center"/>
          </w:tcPr>
          <w:p w14:paraId="352AB87F">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昆明犬</w:t>
            </w:r>
          </w:p>
        </w:tc>
        <w:tc>
          <w:tcPr>
            <w:tcW w:w="1203" w:type="dxa"/>
            <w:vAlign w:val="center"/>
          </w:tcPr>
          <w:p w14:paraId="5B89627E">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default" w:ascii="仿宋" w:hAnsi="仿宋" w:eastAsia="仿宋" w:cs="仿宋"/>
                <w:color w:val="auto"/>
                <w:kern w:val="28"/>
                <w:sz w:val="24"/>
                <w:szCs w:val="24"/>
                <w:highlight w:val="none"/>
                <w:lang w:val="en-US" w:eastAsia="zh-CN"/>
              </w:rPr>
              <w:t>母</w:t>
            </w:r>
          </w:p>
        </w:tc>
        <w:tc>
          <w:tcPr>
            <w:tcW w:w="1805" w:type="dxa"/>
            <w:vAlign w:val="center"/>
          </w:tcPr>
          <w:p w14:paraId="54D06EFB">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highlight w:val="none"/>
                <w:lang w:val="en-US" w:eastAsia="zh-CN"/>
              </w:rPr>
              <w:t>12</w:t>
            </w:r>
            <w:r>
              <w:rPr>
                <w:rFonts w:hint="eastAsia" w:ascii="仿宋" w:hAnsi="仿宋" w:eastAsia="仿宋" w:cs="仿宋"/>
                <w:color w:val="auto"/>
                <w:kern w:val="28"/>
                <w:highlight w:val="none"/>
              </w:rPr>
              <w:t>个月-</w:t>
            </w:r>
            <w:r>
              <w:rPr>
                <w:rFonts w:hint="eastAsia" w:ascii="仿宋" w:hAnsi="仿宋" w:eastAsia="仿宋" w:cs="仿宋"/>
                <w:color w:val="auto"/>
                <w:kern w:val="28"/>
                <w:highlight w:val="none"/>
                <w:lang w:val="en-US" w:eastAsia="zh-CN"/>
              </w:rPr>
              <w:t>30</w:t>
            </w:r>
            <w:r>
              <w:rPr>
                <w:rFonts w:hint="eastAsia" w:ascii="仿宋" w:hAnsi="仿宋" w:eastAsia="仿宋" w:cs="仿宋"/>
                <w:color w:val="auto"/>
                <w:kern w:val="28"/>
                <w:highlight w:val="none"/>
              </w:rPr>
              <w:t>个月</w:t>
            </w:r>
          </w:p>
        </w:tc>
        <w:tc>
          <w:tcPr>
            <w:tcW w:w="1041" w:type="dxa"/>
            <w:vAlign w:val="center"/>
          </w:tcPr>
          <w:p w14:paraId="5AD253BA">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p>
        </w:tc>
        <w:tc>
          <w:tcPr>
            <w:tcW w:w="1041" w:type="dxa"/>
            <w:vAlign w:val="center"/>
          </w:tcPr>
          <w:p w14:paraId="726456BD">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lang w:val="en-US" w:eastAsia="zh-CN"/>
              </w:rPr>
              <w:t>3</w:t>
            </w:r>
            <w:r>
              <w:rPr>
                <w:rFonts w:hint="eastAsia" w:ascii="仿宋" w:hAnsi="仿宋" w:eastAsia="仿宋" w:cs="仿宋"/>
                <w:color w:val="auto"/>
                <w:kern w:val="28"/>
                <w:sz w:val="24"/>
                <w:szCs w:val="24"/>
                <w:highlight w:val="none"/>
              </w:rPr>
              <w:t>头</w:t>
            </w:r>
          </w:p>
        </w:tc>
        <w:tc>
          <w:tcPr>
            <w:tcW w:w="1036" w:type="dxa"/>
            <w:vAlign w:val="center"/>
          </w:tcPr>
          <w:p w14:paraId="7B54B4CC">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p>
        </w:tc>
      </w:tr>
      <w:tr w14:paraId="700FC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34" w:hRule="atLeast"/>
          <w:jc w:val="center"/>
        </w:trPr>
        <w:tc>
          <w:tcPr>
            <w:tcW w:w="798" w:type="dxa"/>
            <w:vAlign w:val="center"/>
          </w:tcPr>
          <w:p w14:paraId="5C1051D3">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4</w:t>
            </w:r>
          </w:p>
        </w:tc>
        <w:tc>
          <w:tcPr>
            <w:tcW w:w="2211" w:type="dxa"/>
            <w:vAlign w:val="center"/>
          </w:tcPr>
          <w:p w14:paraId="0A7B4C74">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史宾格犬</w:t>
            </w:r>
          </w:p>
        </w:tc>
        <w:tc>
          <w:tcPr>
            <w:tcW w:w="1203" w:type="dxa"/>
            <w:vAlign w:val="center"/>
          </w:tcPr>
          <w:p w14:paraId="6186E846">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rPr>
            </w:pPr>
            <w:r>
              <w:rPr>
                <w:rFonts w:hint="default" w:ascii="仿宋" w:hAnsi="仿宋" w:eastAsia="仿宋" w:cs="仿宋"/>
                <w:color w:val="auto"/>
                <w:kern w:val="28"/>
                <w:sz w:val="24"/>
                <w:szCs w:val="24"/>
                <w:highlight w:val="none"/>
                <w:lang w:val="en-US" w:eastAsia="zh-CN"/>
              </w:rPr>
              <w:t>母</w:t>
            </w:r>
          </w:p>
        </w:tc>
        <w:tc>
          <w:tcPr>
            <w:tcW w:w="1805" w:type="dxa"/>
            <w:vAlign w:val="center"/>
          </w:tcPr>
          <w:p w14:paraId="759E4BD5">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highlight w:val="none"/>
                <w:lang w:val="en-US" w:eastAsia="zh-CN"/>
              </w:rPr>
              <w:t>12</w:t>
            </w:r>
            <w:r>
              <w:rPr>
                <w:rFonts w:hint="eastAsia" w:ascii="仿宋" w:hAnsi="仿宋" w:eastAsia="仿宋" w:cs="仿宋"/>
                <w:color w:val="auto"/>
                <w:kern w:val="28"/>
                <w:highlight w:val="none"/>
              </w:rPr>
              <w:t>个月-</w:t>
            </w:r>
            <w:r>
              <w:rPr>
                <w:rFonts w:hint="eastAsia" w:ascii="仿宋" w:hAnsi="仿宋" w:eastAsia="仿宋" w:cs="仿宋"/>
                <w:color w:val="auto"/>
                <w:kern w:val="28"/>
                <w:highlight w:val="none"/>
                <w:lang w:val="en-US" w:eastAsia="zh-CN"/>
              </w:rPr>
              <w:t>30</w:t>
            </w:r>
            <w:r>
              <w:rPr>
                <w:rFonts w:hint="eastAsia" w:ascii="仿宋" w:hAnsi="仿宋" w:eastAsia="仿宋" w:cs="仿宋"/>
                <w:color w:val="auto"/>
                <w:kern w:val="28"/>
                <w:highlight w:val="none"/>
              </w:rPr>
              <w:t>个月</w:t>
            </w:r>
          </w:p>
        </w:tc>
        <w:tc>
          <w:tcPr>
            <w:tcW w:w="1041" w:type="dxa"/>
            <w:vAlign w:val="center"/>
          </w:tcPr>
          <w:p w14:paraId="5DFC3B66">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p>
        </w:tc>
        <w:tc>
          <w:tcPr>
            <w:tcW w:w="1041" w:type="dxa"/>
            <w:vAlign w:val="center"/>
          </w:tcPr>
          <w:p w14:paraId="3EB93FE0">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lang w:val="en-US" w:eastAsia="zh-CN"/>
              </w:rPr>
              <w:t>1</w:t>
            </w:r>
            <w:r>
              <w:rPr>
                <w:rFonts w:hint="eastAsia" w:ascii="仿宋" w:hAnsi="仿宋" w:eastAsia="仿宋" w:cs="仿宋"/>
                <w:color w:val="auto"/>
                <w:kern w:val="28"/>
                <w:sz w:val="24"/>
                <w:szCs w:val="24"/>
                <w:highlight w:val="none"/>
              </w:rPr>
              <w:t>头</w:t>
            </w:r>
          </w:p>
        </w:tc>
        <w:tc>
          <w:tcPr>
            <w:tcW w:w="1036" w:type="dxa"/>
            <w:vAlign w:val="center"/>
          </w:tcPr>
          <w:p w14:paraId="04BC3467">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p>
        </w:tc>
      </w:tr>
      <w:tr w14:paraId="444B4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34" w:hRule="atLeast"/>
          <w:jc w:val="center"/>
        </w:trPr>
        <w:tc>
          <w:tcPr>
            <w:tcW w:w="798" w:type="dxa"/>
            <w:vAlign w:val="center"/>
          </w:tcPr>
          <w:p w14:paraId="5B263CF1">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5</w:t>
            </w:r>
          </w:p>
        </w:tc>
        <w:tc>
          <w:tcPr>
            <w:tcW w:w="2211" w:type="dxa"/>
            <w:vAlign w:val="center"/>
          </w:tcPr>
          <w:p w14:paraId="0E29698E">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德国牧羊犬</w:t>
            </w:r>
          </w:p>
        </w:tc>
        <w:tc>
          <w:tcPr>
            <w:tcW w:w="1203" w:type="dxa"/>
            <w:vAlign w:val="center"/>
          </w:tcPr>
          <w:p w14:paraId="6CB9D3D1">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公</w:t>
            </w:r>
          </w:p>
        </w:tc>
        <w:tc>
          <w:tcPr>
            <w:tcW w:w="1805" w:type="dxa"/>
            <w:vAlign w:val="center"/>
          </w:tcPr>
          <w:p w14:paraId="2E23125F">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highlight w:val="none"/>
              </w:rPr>
              <w:t>8个月-</w:t>
            </w:r>
            <w:r>
              <w:rPr>
                <w:rFonts w:hint="eastAsia" w:ascii="仿宋" w:hAnsi="仿宋" w:eastAsia="仿宋" w:cs="仿宋"/>
                <w:color w:val="auto"/>
                <w:kern w:val="28"/>
                <w:highlight w:val="none"/>
                <w:lang w:val="en-US" w:eastAsia="zh-CN"/>
              </w:rPr>
              <w:t>18</w:t>
            </w:r>
            <w:r>
              <w:rPr>
                <w:rFonts w:hint="eastAsia" w:ascii="仿宋" w:hAnsi="仿宋" w:eastAsia="仿宋" w:cs="仿宋"/>
                <w:color w:val="auto"/>
                <w:kern w:val="28"/>
                <w:highlight w:val="none"/>
              </w:rPr>
              <w:t>个月</w:t>
            </w:r>
          </w:p>
        </w:tc>
        <w:tc>
          <w:tcPr>
            <w:tcW w:w="1041" w:type="dxa"/>
            <w:vAlign w:val="center"/>
          </w:tcPr>
          <w:p w14:paraId="6973EB90">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p>
        </w:tc>
        <w:tc>
          <w:tcPr>
            <w:tcW w:w="1041" w:type="dxa"/>
            <w:vAlign w:val="center"/>
          </w:tcPr>
          <w:p w14:paraId="700D94B4">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lang w:val="en-US" w:eastAsia="zh-CN"/>
              </w:rPr>
              <w:t>15</w:t>
            </w:r>
            <w:r>
              <w:rPr>
                <w:rFonts w:hint="eastAsia" w:ascii="仿宋" w:hAnsi="仿宋" w:eastAsia="仿宋" w:cs="仿宋"/>
                <w:color w:val="auto"/>
                <w:kern w:val="28"/>
                <w:sz w:val="24"/>
                <w:szCs w:val="24"/>
                <w:highlight w:val="none"/>
              </w:rPr>
              <w:t>头</w:t>
            </w:r>
          </w:p>
        </w:tc>
        <w:tc>
          <w:tcPr>
            <w:tcW w:w="1036" w:type="dxa"/>
            <w:vAlign w:val="center"/>
          </w:tcPr>
          <w:p w14:paraId="49B31EED">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p>
        </w:tc>
      </w:tr>
      <w:tr w14:paraId="56590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34" w:hRule="atLeast"/>
          <w:jc w:val="center"/>
        </w:trPr>
        <w:tc>
          <w:tcPr>
            <w:tcW w:w="798" w:type="dxa"/>
            <w:vAlign w:val="center"/>
          </w:tcPr>
          <w:p w14:paraId="21C811A6">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6</w:t>
            </w:r>
          </w:p>
        </w:tc>
        <w:tc>
          <w:tcPr>
            <w:tcW w:w="2211" w:type="dxa"/>
            <w:vAlign w:val="center"/>
          </w:tcPr>
          <w:p w14:paraId="27898056">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马里努阿犬</w:t>
            </w:r>
          </w:p>
        </w:tc>
        <w:tc>
          <w:tcPr>
            <w:tcW w:w="1203" w:type="dxa"/>
            <w:vAlign w:val="center"/>
          </w:tcPr>
          <w:p w14:paraId="289F929D">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公</w:t>
            </w:r>
          </w:p>
        </w:tc>
        <w:tc>
          <w:tcPr>
            <w:tcW w:w="1805" w:type="dxa"/>
            <w:vAlign w:val="center"/>
          </w:tcPr>
          <w:p w14:paraId="5DAE44D0">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highlight w:val="none"/>
              </w:rPr>
            </w:pPr>
            <w:r>
              <w:rPr>
                <w:rFonts w:hint="eastAsia" w:ascii="仿宋" w:hAnsi="仿宋" w:eastAsia="仿宋" w:cs="仿宋"/>
                <w:color w:val="auto"/>
                <w:kern w:val="28"/>
                <w:highlight w:val="none"/>
              </w:rPr>
              <w:t>8个月-</w:t>
            </w:r>
            <w:r>
              <w:rPr>
                <w:rFonts w:hint="eastAsia" w:ascii="仿宋" w:hAnsi="仿宋" w:eastAsia="仿宋" w:cs="仿宋"/>
                <w:color w:val="auto"/>
                <w:kern w:val="28"/>
                <w:highlight w:val="none"/>
                <w:lang w:val="en-US" w:eastAsia="zh-CN"/>
              </w:rPr>
              <w:t>18</w:t>
            </w:r>
            <w:r>
              <w:rPr>
                <w:rFonts w:hint="eastAsia" w:ascii="仿宋" w:hAnsi="仿宋" w:eastAsia="仿宋" w:cs="仿宋"/>
                <w:color w:val="auto"/>
                <w:kern w:val="28"/>
                <w:highlight w:val="none"/>
              </w:rPr>
              <w:t>个月</w:t>
            </w:r>
          </w:p>
        </w:tc>
        <w:tc>
          <w:tcPr>
            <w:tcW w:w="1041" w:type="dxa"/>
            <w:vAlign w:val="center"/>
          </w:tcPr>
          <w:p w14:paraId="45A1183A">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p>
        </w:tc>
        <w:tc>
          <w:tcPr>
            <w:tcW w:w="1041" w:type="dxa"/>
            <w:vAlign w:val="center"/>
          </w:tcPr>
          <w:p w14:paraId="5AE0818E">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default"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10</w:t>
            </w:r>
            <w:r>
              <w:rPr>
                <w:rFonts w:hint="eastAsia" w:ascii="仿宋" w:hAnsi="仿宋" w:eastAsia="仿宋" w:cs="仿宋"/>
                <w:color w:val="auto"/>
                <w:kern w:val="28"/>
                <w:sz w:val="24"/>
                <w:szCs w:val="24"/>
                <w:highlight w:val="none"/>
              </w:rPr>
              <w:t>头</w:t>
            </w:r>
          </w:p>
        </w:tc>
        <w:tc>
          <w:tcPr>
            <w:tcW w:w="1036" w:type="dxa"/>
            <w:vAlign w:val="center"/>
          </w:tcPr>
          <w:p w14:paraId="66CD7544">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p>
        </w:tc>
      </w:tr>
      <w:tr w14:paraId="47A45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34" w:hRule="atLeast"/>
          <w:jc w:val="center"/>
        </w:trPr>
        <w:tc>
          <w:tcPr>
            <w:tcW w:w="798" w:type="dxa"/>
            <w:vAlign w:val="center"/>
          </w:tcPr>
          <w:p w14:paraId="1082D556">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7</w:t>
            </w:r>
          </w:p>
        </w:tc>
        <w:tc>
          <w:tcPr>
            <w:tcW w:w="2211" w:type="dxa"/>
            <w:vAlign w:val="center"/>
          </w:tcPr>
          <w:p w14:paraId="05D99033">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昆明犬</w:t>
            </w:r>
          </w:p>
        </w:tc>
        <w:tc>
          <w:tcPr>
            <w:tcW w:w="1203" w:type="dxa"/>
            <w:vAlign w:val="center"/>
          </w:tcPr>
          <w:p w14:paraId="7829FCAD">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公</w:t>
            </w:r>
          </w:p>
        </w:tc>
        <w:tc>
          <w:tcPr>
            <w:tcW w:w="1805" w:type="dxa"/>
            <w:vAlign w:val="center"/>
          </w:tcPr>
          <w:p w14:paraId="539692ED">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highlight w:val="none"/>
              </w:rPr>
            </w:pPr>
            <w:r>
              <w:rPr>
                <w:rFonts w:hint="eastAsia" w:ascii="仿宋" w:hAnsi="仿宋" w:eastAsia="仿宋" w:cs="仿宋"/>
                <w:color w:val="auto"/>
                <w:kern w:val="28"/>
                <w:highlight w:val="none"/>
              </w:rPr>
              <w:t>8个月-</w:t>
            </w:r>
            <w:r>
              <w:rPr>
                <w:rFonts w:hint="eastAsia" w:ascii="仿宋" w:hAnsi="仿宋" w:eastAsia="仿宋" w:cs="仿宋"/>
                <w:color w:val="auto"/>
                <w:kern w:val="28"/>
                <w:highlight w:val="none"/>
                <w:lang w:val="en-US" w:eastAsia="zh-CN"/>
              </w:rPr>
              <w:t>18</w:t>
            </w:r>
            <w:r>
              <w:rPr>
                <w:rFonts w:hint="eastAsia" w:ascii="仿宋" w:hAnsi="仿宋" w:eastAsia="仿宋" w:cs="仿宋"/>
                <w:color w:val="auto"/>
                <w:kern w:val="28"/>
                <w:highlight w:val="none"/>
              </w:rPr>
              <w:t>个月</w:t>
            </w:r>
          </w:p>
        </w:tc>
        <w:tc>
          <w:tcPr>
            <w:tcW w:w="1041" w:type="dxa"/>
            <w:vAlign w:val="center"/>
          </w:tcPr>
          <w:p w14:paraId="6DCCFA08">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p>
        </w:tc>
        <w:tc>
          <w:tcPr>
            <w:tcW w:w="1041" w:type="dxa"/>
            <w:vAlign w:val="center"/>
          </w:tcPr>
          <w:p w14:paraId="3FE86B80">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15</w:t>
            </w:r>
            <w:r>
              <w:rPr>
                <w:rFonts w:hint="eastAsia" w:ascii="仿宋" w:hAnsi="仿宋" w:eastAsia="仿宋" w:cs="仿宋"/>
                <w:color w:val="auto"/>
                <w:kern w:val="28"/>
                <w:sz w:val="24"/>
                <w:szCs w:val="24"/>
                <w:highlight w:val="none"/>
              </w:rPr>
              <w:t>头</w:t>
            </w:r>
          </w:p>
        </w:tc>
        <w:tc>
          <w:tcPr>
            <w:tcW w:w="1036" w:type="dxa"/>
            <w:vAlign w:val="center"/>
          </w:tcPr>
          <w:p w14:paraId="37D53C83">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p>
        </w:tc>
      </w:tr>
      <w:tr w14:paraId="588CA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34" w:hRule="atLeast"/>
          <w:jc w:val="center"/>
        </w:trPr>
        <w:tc>
          <w:tcPr>
            <w:tcW w:w="798" w:type="dxa"/>
            <w:vAlign w:val="center"/>
          </w:tcPr>
          <w:p w14:paraId="0DB77D63">
            <w:pPr>
              <w:keepNext w:val="0"/>
              <w:keepLines w:val="0"/>
              <w:pageBreakBefore w:val="0"/>
              <w:wordWrap w:val="0"/>
              <w:overflowPunct/>
              <w:topLinePunct w:val="0"/>
              <w:autoSpaceDE w:val="0"/>
              <w:autoSpaceDN w:val="0"/>
              <w:bidi w:val="0"/>
              <w:adjustRightInd w:val="0"/>
              <w:snapToGrid w:val="0"/>
              <w:spacing w:line="0" w:lineRule="atLeast"/>
              <w:jc w:val="center"/>
              <w:rPr>
                <w:rFonts w:hint="default"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8</w:t>
            </w:r>
          </w:p>
        </w:tc>
        <w:tc>
          <w:tcPr>
            <w:tcW w:w="2211" w:type="dxa"/>
            <w:vAlign w:val="center"/>
          </w:tcPr>
          <w:p w14:paraId="1EC6083A">
            <w:pPr>
              <w:keepNext w:val="0"/>
              <w:keepLines w:val="0"/>
              <w:pageBreakBefore w:val="0"/>
              <w:wordWrap w:val="0"/>
              <w:overflowPunct/>
              <w:topLinePunct w:val="0"/>
              <w:autoSpaceDE w:val="0"/>
              <w:autoSpaceDN w:val="0"/>
              <w:bidi w:val="0"/>
              <w:adjustRightInd w:val="0"/>
              <w:snapToGrid w:val="0"/>
              <w:spacing w:line="0" w:lineRule="atLeast"/>
              <w:jc w:val="center"/>
              <w:rPr>
                <w:rFonts w:hint="default"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史宾格犬</w:t>
            </w:r>
          </w:p>
        </w:tc>
        <w:tc>
          <w:tcPr>
            <w:tcW w:w="1203" w:type="dxa"/>
            <w:vAlign w:val="center"/>
          </w:tcPr>
          <w:p w14:paraId="25FC82C0">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公</w:t>
            </w:r>
          </w:p>
        </w:tc>
        <w:tc>
          <w:tcPr>
            <w:tcW w:w="1805" w:type="dxa"/>
            <w:vAlign w:val="center"/>
          </w:tcPr>
          <w:p w14:paraId="76AB51BF">
            <w:pPr>
              <w:keepNext w:val="0"/>
              <w:keepLines w:val="0"/>
              <w:pageBreakBefore w:val="0"/>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highlight w:val="none"/>
              </w:rPr>
            </w:pPr>
            <w:r>
              <w:rPr>
                <w:rFonts w:hint="eastAsia" w:ascii="仿宋" w:hAnsi="仿宋" w:eastAsia="仿宋" w:cs="仿宋"/>
                <w:color w:val="auto"/>
                <w:kern w:val="28"/>
                <w:highlight w:val="none"/>
              </w:rPr>
              <w:t>8个月-</w:t>
            </w:r>
            <w:r>
              <w:rPr>
                <w:rFonts w:hint="eastAsia" w:ascii="仿宋" w:hAnsi="仿宋" w:eastAsia="仿宋" w:cs="仿宋"/>
                <w:color w:val="auto"/>
                <w:kern w:val="28"/>
                <w:highlight w:val="none"/>
                <w:lang w:val="en-US" w:eastAsia="zh-CN"/>
              </w:rPr>
              <w:t>18</w:t>
            </w:r>
            <w:r>
              <w:rPr>
                <w:rFonts w:hint="eastAsia" w:ascii="仿宋" w:hAnsi="仿宋" w:eastAsia="仿宋" w:cs="仿宋"/>
                <w:color w:val="auto"/>
                <w:kern w:val="28"/>
                <w:highlight w:val="none"/>
              </w:rPr>
              <w:t>个月</w:t>
            </w:r>
          </w:p>
        </w:tc>
        <w:tc>
          <w:tcPr>
            <w:tcW w:w="1041" w:type="dxa"/>
            <w:vAlign w:val="center"/>
          </w:tcPr>
          <w:p w14:paraId="5956E3B8">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p>
        </w:tc>
        <w:tc>
          <w:tcPr>
            <w:tcW w:w="1041" w:type="dxa"/>
            <w:vAlign w:val="center"/>
          </w:tcPr>
          <w:p w14:paraId="45707753">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5</w:t>
            </w:r>
            <w:r>
              <w:rPr>
                <w:rFonts w:hint="eastAsia" w:ascii="仿宋" w:hAnsi="仿宋" w:eastAsia="仿宋" w:cs="仿宋"/>
                <w:color w:val="auto"/>
                <w:kern w:val="28"/>
                <w:sz w:val="24"/>
                <w:szCs w:val="24"/>
                <w:highlight w:val="none"/>
              </w:rPr>
              <w:t>头</w:t>
            </w:r>
          </w:p>
        </w:tc>
        <w:tc>
          <w:tcPr>
            <w:tcW w:w="1036" w:type="dxa"/>
            <w:vAlign w:val="center"/>
          </w:tcPr>
          <w:p w14:paraId="30C4BEE3">
            <w:pPr>
              <w:keepNext w:val="0"/>
              <w:keepLines w:val="0"/>
              <w:pageBreakBefore w:val="0"/>
              <w:tabs>
                <w:tab w:val="left" w:pos="840"/>
              </w:tabs>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kern w:val="28"/>
                <w:sz w:val="24"/>
                <w:szCs w:val="24"/>
                <w:highlight w:val="none"/>
              </w:rPr>
            </w:pPr>
          </w:p>
        </w:tc>
      </w:tr>
      <w:tr w14:paraId="49DD9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52" w:hRule="atLeast"/>
          <w:jc w:val="center"/>
        </w:trPr>
        <w:tc>
          <w:tcPr>
            <w:tcW w:w="9135" w:type="dxa"/>
            <w:gridSpan w:val="7"/>
            <w:vAlign w:val="center"/>
          </w:tcPr>
          <w:p w14:paraId="1A505B34">
            <w:pPr>
              <w:keepNext w:val="0"/>
              <w:keepLines w:val="0"/>
              <w:pageBreakBefore w:val="0"/>
              <w:wordWrap w:val="0"/>
              <w:overflowPunct/>
              <w:topLinePunct w:val="0"/>
              <w:autoSpaceDE w:val="0"/>
              <w:autoSpaceDN w:val="0"/>
              <w:bidi w:val="0"/>
              <w:adjustRightInd w:val="0"/>
              <w:snapToGrid w:val="0"/>
              <w:spacing w:line="0" w:lineRule="atLeas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大写（人民币）： </w:t>
            </w:r>
          </w:p>
        </w:tc>
      </w:tr>
      <w:tr w14:paraId="64AF2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52" w:hRule="atLeast"/>
          <w:jc w:val="center"/>
        </w:trPr>
        <w:tc>
          <w:tcPr>
            <w:tcW w:w="9135" w:type="dxa"/>
            <w:gridSpan w:val="7"/>
            <w:vAlign w:val="center"/>
          </w:tcPr>
          <w:p w14:paraId="55D10709">
            <w:pPr>
              <w:keepNext w:val="0"/>
              <w:keepLines w:val="0"/>
              <w:pageBreakBefore w:val="0"/>
              <w:wordWrap w:val="0"/>
              <w:overflowPunct/>
              <w:topLinePunct w:val="0"/>
              <w:autoSpaceDE w:val="0"/>
              <w:autoSpaceDN w:val="0"/>
              <w:bidi w:val="0"/>
              <w:adjustRightInd w:val="0"/>
              <w:snapToGrid w:val="0"/>
              <w:spacing w:line="0" w:lineRule="atLeas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备注：</w:t>
            </w:r>
            <w:r>
              <w:rPr>
                <w:rFonts w:hint="eastAsia" w:ascii="仿宋" w:hAnsi="仿宋" w:eastAsia="仿宋" w:cs="仿宋"/>
                <w:color w:val="auto"/>
                <w:sz w:val="24"/>
                <w:szCs w:val="24"/>
                <w:highlight w:val="none"/>
                <w:lang w:eastAsia="zh-CN"/>
              </w:rPr>
              <w:t>所有货款以人民币进行结算，该价格中包括但不仅限于货款、运输、装卸、保险、税金、货到就位，以及售后、存储、调换、隔离观察、犬只体检、疫苗接种等一切税金和费用，甲方不承担任何费用。详见本合同附件：报价清单（包括：报价明细表、报价一览表）。</w:t>
            </w:r>
          </w:p>
        </w:tc>
      </w:tr>
    </w:tbl>
    <w:p w14:paraId="43118058">
      <w:pPr>
        <w:pStyle w:val="23"/>
        <w:keepNext w:val="0"/>
        <w:keepLines w:val="0"/>
        <w:pageBreakBefore w:val="0"/>
        <w:wordWrap w:val="0"/>
        <w:overflowPunct/>
        <w:topLinePunct w:val="0"/>
        <w:autoSpaceDE w:val="0"/>
        <w:autoSpaceDN w:val="0"/>
        <w:bidi w:val="0"/>
        <w:adjustRightInd w:val="0"/>
        <w:snapToGrid w:val="0"/>
        <w:spacing w:line="0" w:lineRule="atLeast"/>
        <w:ind w:firstLine="0" w:firstLineChars="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具体的供货范围、技术要求详见谈判文件、响应文件的技术部分及合同附件。</w:t>
      </w:r>
    </w:p>
    <w:p w14:paraId="22DC1DA2">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sz w:val="24"/>
          <w:szCs w:val="24"/>
          <w:highlight w:val="none"/>
        </w:rPr>
      </w:pPr>
      <w:bookmarkStart w:id="108" w:name="_Toc480316116"/>
      <w:bookmarkStart w:id="109" w:name="_Toc479943854"/>
      <w:bookmarkStart w:id="110" w:name="_Toc432684935"/>
      <w:bookmarkStart w:id="111" w:name="_Toc8553"/>
      <w:bookmarkStart w:id="112" w:name="_Toc13276"/>
      <w:bookmarkStart w:id="113" w:name="_Toc427666523"/>
      <w:r>
        <w:rPr>
          <w:rFonts w:hint="eastAsia" w:ascii="仿宋" w:hAnsi="仿宋" w:eastAsia="仿宋" w:cs="仿宋"/>
          <w:color w:val="auto"/>
          <w:sz w:val="24"/>
          <w:szCs w:val="24"/>
          <w:highlight w:val="none"/>
        </w:rPr>
        <w:t>四、货物标准</w:t>
      </w:r>
      <w:bookmarkEnd w:id="108"/>
      <w:bookmarkEnd w:id="109"/>
      <w:bookmarkEnd w:id="110"/>
      <w:bookmarkEnd w:id="111"/>
      <w:bookmarkEnd w:id="112"/>
      <w:bookmarkEnd w:id="113"/>
    </w:p>
    <w:p w14:paraId="622F91B7">
      <w:pPr>
        <w:keepNext w:val="0"/>
        <w:keepLines w:val="0"/>
        <w:pageBreakBefore w:val="0"/>
        <w:numPr>
          <w:ilvl w:val="0"/>
          <w:numId w:val="6"/>
        </w:numPr>
        <w:tabs>
          <w:tab w:val="left" w:pos="425"/>
        </w:tabs>
        <w:wordWrap w:val="0"/>
        <w:overflowPunct/>
        <w:topLinePunct w:val="0"/>
        <w:autoSpaceDE w:val="0"/>
        <w:autoSpaceDN w:val="0"/>
        <w:bidi w:val="0"/>
        <w:adjustRightInd w:val="0"/>
        <w:snapToGrid w:val="0"/>
        <w:spacing w:line="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货</w:t>
      </w:r>
      <w:bookmarkStart w:id="114" w:name="_Toc345147200"/>
      <w:bookmarkStart w:id="115" w:name="_Toc399165011"/>
      <w:r>
        <w:rPr>
          <w:rFonts w:hint="eastAsia" w:ascii="仿宋" w:hAnsi="仿宋" w:eastAsia="仿宋" w:cs="仿宋"/>
          <w:color w:val="auto"/>
          <w:sz w:val="24"/>
          <w:szCs w:val="24"/>
          <w:highlight w:val="none"/>
          <w:lang w:eastAsia="zh-CN"/>
        </w:rPr>
        <w:t>物为</w:t>
      </w:r>
      <w:bookmarkEnd w:id="114"/>
      <w:bookmarkEnd w:id="115"/>
      <w:r>
        <w:rPr>
          <w:rFonts w:hint="eastAsia" w:ascii="仿宋" w:hAnsi="仿宋" w:eastAsia="仿宋" w:cs="仿宋"/>
          <w:color w:val="auto"/>
          <w:sz w:val="24"/>
          <w:szCs w:val="24"/>
          <w:highlight w:val="none"/>
          <w:lang w:eastAsia="zh-CN"/>
        </w:rPr>
        <w:t>达到</w:t>
      </w:r>
      <w:r>
        <w:rPr>
          <w:rFonts w:hint="eastAsia" w:ascii="仿宋" w:hAnsi="仿宋" w:eastAsia="仿宋" w:cs="仿宋"/>
          <w:color w:val="auto"/>
          <w:sz w:val="24"/>
          <w:szCs w:val="24"/>
          <w:highlight w:val="none"/>
          <w:lang w:val="en-US" w:eastAsia="zh-CN"/>
        </w:rPr>
        <w:t>需求</w:t>
      </w:r>
      <w:r>
        <w:rPr>
          <w:rFonts w:hint="eastAsia" w:ascii="仿宋" w:hAnsi="仿宋" w:eastAsia="仿宋" w:cs="仿宋"/>
          <w:color w:val="auto"/>
          <w:sz w:val="24"/>
          <w:szCs w:val="24"/>
          <w:highlight w:val="none"/>
          <w:lang w:eastAsia="zh-CN"/>
        </w:rPr>
        <w:t xml:space="preserve">标准的 </w:t>
      </w:r>
      <w:r>
        <w:rPr>
          <w:rFonts w:hint="eastAsia" w:ascii="仿宋" w:hAnsi="仿宋" w:eastAsia="仿宋" w:cs="仿宋"/>
          <w:color w:val="auto"/>
          <w:sz w:val="24"/>
          <w:szCs w:val="24"/>
          <w:highlight w:val="none"/>
          <w:u w:val="single"/>
          <w:lang w:eastAsia="zh-CN"/>
        </w:rPr>
        <w:t xml:space="preserve">          犬 </w:t>
      </w:r>
      <w:r>
        <w:rPr>
          <w:rFonts w:hint="eastAsia" w:ascii="仿宋" w:hAnsi="仿宋" w:eastAsia="仿宋" w:cs="仿宋"/>
          <w:color w:val="auto"/>
          <w:sz w:val="24"/>
          <w:szCs w:val="24"/>
          <w:highlight w:val="none"/>
          <w:lang w:eastAsia="zh-CN"/>
        </w:rPr>
        <w:t>。</w:t>
      </w:r>
    </w:p>
    <w:p w14:paraId="51B00CCA">
      <w:pPr>
        <w:keepNext w:val="0"/>
        <w:keepLines w:val="0"/>
        <w:pageBreakBefore w:val="0"/>
        <w:numPr>
          <w:ilvl w:val="0"/>
          <w:numId w:val="6"/>
        </w:numPr>
        <w:tabs>
          <w:tab w:val="left" w:pos="425"/>
        </w:tabs>
        <w:wordWrap w:val="0"/>
        <w:overflowPunct/>
        <w:topLinePunct w:val="0"/>
        <w:autoSpaceDE w:val="0"/>
        <w:autoSpaceDN w:val="0"/>
        <w:bidi w:val="0"/>
        <w:adjustRightInd w:val="0"/>
        <w:snapToGrid w:val="0"/>
        <w:spacing w:line="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标准:本合同所指的货物及服务应符合合同附件的技术规格所述的标准：如果没有提及适用标准，则应符合中华人民共和国国家标准或行业标准。这些标准必须是有关机构发布的最新版本的标准。</w:t>
      </w:r>
    </w:p>
    <w:p w14:paraId="2416F65C">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sz w:val="24"/>
          <w:szCs w:val="24"/>
          <w:highlight w:val="none"/>
        </w:rPr>
      </w:pPr>
      <w:bookmarkStart w:id="116" w:name="_Toc2391"/>
      <w:bookmarkStart w:id="117" w:name="_Toc432684936"/>
      <w:bookmarkStart w:id="118" w:name="_Toc480316117"/>
      <w:bookmarkStart w:id="119" w:name="_Toc427666524"/>
      <w:bookmarkStart w:id="120" w:name="_Toc27763"/>
      <w:bookmarkStart w:id="121" w:name="_Toc479943855"/>
      <w:r>
        <w:rPr>
          <w:rFonts w:hint="eastAsia" w:ascii="仿宋" w:hAnsi="仿宋" w:eastAsia="仿宋" w:cs="仿宋"/>
          <w:color w:val="auto"/>
          <w:sz w:val="24"/>
          <w:szCs w:val="24"/>
          <w:highlight w:val="none"/>
        </w:rPr>
        <w:t>五、保密条款</w:t>
      </w:r>
      <w:bookmarkEnd w:id="116"/>
      <w:bookmarkEnd w:id="117"/>
      <w:bookmarkEnd w:id="118"/>
      <w:bookmarkEnd w:id="119"/>
      <w:bookmarkEnd w:id="120"/>
      <w:bookmarkEnd w:id="121"/>
    </w:p>
    <w:p w14:paraId="2A842DBB">
      <w:pPr>
        <w:keepNext w:val="0"/>
        <w:keepLines w:val="0"/>
        <w:pageBreakBefore w:val="0"/>
        <w:numPr>
          <w:ilvl w:val="0"/>
          <w:numId w:val="7"/>
        </w:numPr>
        <w:tabs>
          <w:tab w:val="left" w:pos="425"/>
        </w:tabs>
        <w:wordWrap w:val="0"/>
        <w:overflowPunct/>
        <w:topLinePunct w:val="0"/>
        <w:autoSpaceDE w:val="0"/>
        <w:autoSpaceDN w:val="0"/>
        <w:bidi w:val="0"/>
        <w:adjustRightInd w:val="0"/>
        <w:snapToGrid w:val="0"/>
        <w:spacing w:line="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对于在合同履行过程中所获得或了解的商业秘密，任何一方应承担保密义务。未经对方事先的书面许可，任何一方不得利用或披露这些信息。</w:t>
      </w:r>
    </w:p>
    <w:p w14:paraId="18F4B299">
      <w:pPr>
        <w:pStyle w:val="6"/>
        <w:keepNext w:val="0"/>
        <w:keepLines w:val="0"/>
        <w:pageBreakBefore w:val="0"/>
        <w:wordWrap w:val="0"/>
        <w:overflowPunct/>
        <w:topLinePunct w:val="0"/>
        <w:autoSpaceDE w:val="0"/>
        <w:autoSpaceDN w:val="0"/>
        <w:bidi w:val="0"/>
        <w:adjustRightInd w:val="0"/>
        <w:snapToGrid w:val="0"/>
        <w:spacing w:line="0" w:lineRule="atLeast"/>
        <w:rPr>
          <w:rFonts w:hint="eastAsia" w:ascii="仿宋" w:hAnsi="仿宋" w:eastAsia="仿宋" w:cs="仿宋"/>
          <w:color w:val="auto"/>
          <w:sz w:val="24"/>
          <w:szCs w:val="24"/>
          <w:highlight w:val="none"/>
          <w:lang w:eastAsia="zh-CN"/>
        </w:rPr>
      </w:pPr>
      <w:bookmarkStart w:id="122" w:name="_Toc22172"/>
      <w:r>
        <w:rPr>
          <w:rFonts w:hint="eastAsia" w:ascii="仿宋" w:hAnsi="仿宋" w:eastAsia="仿宋" w:cs="仿宋"/>
          <w:color w:val="auto"/>
          <w:sz w:val="24"/>
          <w:szCs w:val="24"/>
          <w:highlight w:val="none"/>
          <w:lang w:eastAsia="zh-CN"/>
        </w:rPr>
        <w:t>2. 乙方违反保密协议的具体违约责任，包括但不限于：违约金条款，甲方有权解除合同等</w:t>
      </w:r>
      <w:bookmarkEnd w:id="122"/>
      <w:r>
        <w:rPr>
          <w:rFonts w:hint="eastAsia" w:ascii="仿宋" w:hAnsi="仿宋" w:eastAsia="仿宋" w:cs="仿宋"/>
          <w:color w:val="auto"/>
          <w:sz w:val="24"/>
          <w:szCs w:val="24"/>
          <w:highlight w:val="none"/>
          <w:lang w:eastAsia="zh-CN"/>
        </w:rPr>
        <w:t>。</w:t>
      </w:r>
    </w:p>
    <w:p w14:paraId="22794889">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sz w:val="24"/>
          <w:szCs w:val="24"/>
          <w:highlight w:val="none"/>
          <w:lang w:eastAsia="zh-CN"/>
        </w:rPr>
      </w:pPr>
      <w:bookmarkStart w:id="123" w:name="_Toc19870"/>
      <w:bookmarkStart w:id="124" w:name="_Toc480316118"/>
      <w:bookmarkStart w:id="125" w:name="_Toc479943856"/>
      <w:bookmarkStart w:id="126" w:name="_Toc427666525"/>
      <w:bookmarkStart w:id="127" w:name="_Toc432684937"/>
      <w:bookmarkStart w:id="128" w:name="_Toc29315"/>
      <w:r>
        <w:rPr>
          <w:rFonts w:hint="eastAsia" w:ascii="仿宋" w:hAnsi="仿宋" w:eastAsia="仿宋" w:cs="仿宋"/>
          <w:color w:val="auto"/>
          <w:sz w:val="24"/>
          <w:szCs w:val="24"/>
          <w:highlight w:val="none"/>
          <w:lang w:eastAsia="zh-CN"/>
        </w:rPr>
        <w:t>六、付款方式、期限</w:t>
      </w:r>
      <w:bookmarkEnd w:id="123"/>
      <w:bookmarkEnd w:id="124"/>
      <w:bookmarkEnd w:id="125"/>
      <w:bookmarkEnd w:id="126"/>
      <w:bookmarkEnd w:id="127"/>
      <w:r>
        <w:rPr>
          <w:rFonts w:hint="eastAsia" w:ascii="仿宋" w:hAnsi="仿宋" w:eastAsia="仿宋" w:cs="仿宋"/>
          <w:color w:val="auto"/>
          <w:sz w:val="24"/>
          <w:szCs w:val="24"/>
          <w:highlight w:val="none"/>
          <w:lang w:eastAsia="zh-CN"/>
        </w:rPr>
        <w:t>及验收标准</w:t>
      </w:r>
      <w:bookmarkEnd w:id="128"/>
    </w:p>
    <w:p w14:paraId="06A2688C">
      <w:pPr>
        <w:pStyle w:val="21"/>
        <w:keepNext w:val="0"/>
        <w:keepLines w:val="0"/>
        <w:pageBreakBefore w:val="0"/>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1.付款方式：</w:t>
      </w:r>
      <w:r>
        <w:rPr>
          <w:rFonts w:hint="eastAsia" w:ascii="仿宋" w:hAnsi="仿宋" w:eastAsia="仿宋" w:cs="仿宋"/>
          <w:color w:val="auto"/>
          <w:sz w:val="24"/>
          <w:szCs w:val="24"/>
          <w:highlight w:val="none"/>
          <w:lang w:val="en-US" w:eastAsia="zh-CN"/>
        </w:rPr>
        <w:t>成交通知书下达后7个日历日内，乙方向甲方提供成交价格3%的</w:t>
      </w:r>
      <w:r>
        <w:rPr>
          <w:rFonts w:hint="eastAsia" w:ascii="仿宋" w:hAnsi="仿宋" w:eastAsia="仿宋" w:cs="仿宋"/>
          <w:color w:val="auto"/>
          <w:kern w:val="2"/>
          <w:sz w:val="24"/>
          <w:szCs w:val="24"/>
          <w:highlight w:val="none"/>
          <w:lang w:val="en-US" w:eastAsia="zh-CN"/>
        </w:rPr>
        <w:t>，见索即付、不可撤销的独立</w:t>
      </w:r>
      <w:r>
        <w:rPr>
          <w:rFonts w:hint="eastAsia" w:ascii="仿宋" w:hAnsi="仿宋" w:eastAsia="仿宋" w:cs="仿宋"/>
          <w:color w:val="auto"/>
          <w:sz w:val="24"/>
          <w:szCs w:val="24"/>
          <w:highlight w:val="none"/>
          <w:lang w:val="en-US" w:eastAsia="zh-CN"/>
        </w:rPr>
        <w:t>履约保函（期限90个日历日），</w:t>
      </w:r>
      <w:r>
        <w:rPr>
          <w:rFonts w:hint="eastAsia" w:ascii="仿宋" w:hAnsi="仿宋" w:eastAsia="仿宋" w:cs="仿宋"/>
          <w:color w:val="auto"/>
          <w:sz w:val="24"/>
          <w:szCs w:val="24"/>
          <w:highlight w:val="none"/>
          <w:lang w:eastAsia="zh-CN"/>
        </w:rPr>
        <w:t>履约保函缴纳后，后期如乙方无故不履行合同，</w:t>
      </w:r>
      <w:r>
        <w:rPr>
          <w:rFonts w:hint="eastAsia" w:ascii="仿宋" w:hAnsi="仿宋" w:eastAsia="仿宋" w:cs="仿宋"/>
          <w:color w:val="auto"/>
          <w:sz w:val="24"/>
          <w:szCs w:val="24"/>
          <w:highlight w:val="none"/>
          <w:lang w:val="en-US" w:eastAsia="zh-CN"/>
        </w:rPr>
        <w:t>甲方有权索兑保函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按要求分批次进行供货履约，其中，（1）繁育种犬：合同签订之日起75个日历日内，完成犬只筹备、隔离、选取、体检、防疫驱虫等验收前全部工作；（2）待训警犬：合同签订之日起20个日历日内，完成犬只筹备、隔离、选取、体检、防疫驱虫等验收前全部工作。履约完毕并验收合格后，</w:t>
      </w:r>
      <w:r>
        <w:rPr>
          <w:rFonts w:hint="eastAsia" w:ascii="仿宋" w:hAnsi="仿宋" w:eastAsia="仿宋" w:cs="仿宋"/>
          <w:color w:val="auto"/>
          <w:sz w:val="24"/>
          <w:szCs w:val="24"/>
          <w:highlight w:val="none"/>
          <w:lang w:eastAsia="zh-CN"/>
        </w:rPr>
        <w:t>乙方向甲方提供合同价款</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0%的发票，资料票据齐全后，在15个日历日内（除因甲方支付环节繁琐导致支付延误的情况除外）向乙方支付合同总额的</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0%；</w:t>
      </w:r>
    </w:p>
    <w:p w14:paraId="54FB0848">
      <w:pPr>
        <w:pStyle w:val="21"/>
        <w:keepNext w:val="0"/>
        <w:keepLines w:val="0"/>
        <w:pageBreakBefore w:val="0"/>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经甲方验收合格后，乙方所供产品及服务无质量问题且达到服务要求并无任何违约行为，甲方配合乙方</w:t>
      </w:r>
      <w:r>
        <w:rPr>
          <w:rFonts w:hint="eastAsia" w:ascii="仿宋" w:hAnsi="仿宋" w:eastAsia="仿宋" w:cs="仿宋"/>
          <w:color w:val="auto"/>
          <w:sz w:val="24"/>
          <w:szCs w:val="24"/>
          <w:highlight w:val="none"/>
          <w:lang w:val="en-US" w:eastAsia="zh-CN"/>
        </w:rPr>
        <w:t>完成履约保函退付（如需要）。</w:t>
      </w:r>
    </w:p>
    <w:p w14:paraId="6F833E4D">
      <w:pPr>
        <w:pStyle w:val="21"/>
        <w:keepNext w:val="0"/>
        <w:keepLines w:val="0"/>
        <w:pageBreakBefore w:val="0"/>
        <w:wordWrap w:val="0"/>
        <w:overflowPunct/>
        <w:topLinePunct w:val="0"/>
        <w:autoSpaceDE w:val="0"/>
        <w:autoSpaceDN w:val="0"/>
        <w:bidi w:val="0"/>
        <w:adjustRightInd w:val="0"/>
        <w:snapToGrid w:val="0"/>
        <w:spacing w:line="0" w:lineRule="atLeast"/>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w:t>
      </w:r>
      <w:r>
        <w:rPr>
          <w:rFonts w:hint="eastAsia" w:ascii="仿宋" w:hAnsi="仿宋" w:eastAsia="仿宋" w:cs="仿宋"/>
          <w:color w:val="auto"/>
          <w:sz w:val="24"/>
          <w:szCs w:val="24"/>
          <w:highlight w:val="none"/>
          <w:lang w:val="zh-TW" w:eastAsia="zh-CN"/>
        </w:rPr>
        <w:t>如</w:t>
      </w:r>
      <w:r>
        <w:rPr>
          <w:rFonts w:hint="eastAsia" w:ascii="仿宋" w:hAnsi="仿宋" w:eastAsia="仿宋" w:cs="仿宋"/>
          <w:color w:val="auto"/>
          <w:sz w:val="24"/>
          <w:szCs w:val="24"/>
          <w:highlight w:val="none"/>
          <w:lang w:val="en-US" w:eastAsia="zh-CN"/>
        </w:rPr>
        <w:t>供货履约</w:t>
      </w:r>
      <w:r>
        <w:rPr>
          <w:rFonts w:hint="eastAsia" w:ascii="仿宋" w:hAnsi="仿宋" w:eastAsia="仿宋" w:cs="仿宋"/>
          <w:color w:val="auto"/>
          <w:sz w:val="24"/>
          <w:szCs w:val="24"/>
          <w:highlight w:val="none"/>
          <w:lang w:val="zh-TW" w:eastAsia="zh-CN"/>
        </w:rPr>
        <w:t>服务周期内存在未按照合同履行服务部分，依据单价及数量在</w:t>
      </w:r>
      <w:r>
        <w:rPr>
          <w:rFonts w:hint="eastAsia" w:ascii="仿宋" w:hAnsi="仿宋" w:eastAsia="仿宋" w:cs="仿宋"/>
          <w:color w:val="auto"/>
          <w:sz w:val="24"/>
          <w:szCs w:val="24"/>
          <w:highlight w:val="none"/>
          <w:lang w:val="en-US" w:eastAsia="zh-CN"/>
        </w:rPr>
        <w:t>合同款</w:t>
      </w:r>
      <w:r>
        <w:rPr>
          <w:rFonts w:hint="eastAsia" w:ascii="仿宋" w:hAnsi="仿宋" w:eastAsia="仿宋" w:cs="仿宋"/>
          <w:color w:val="auto"/>
          <w:sz w:val="24"/>
          <w:szCs w:val="24"/>
          <w:highlight w:val="none"/>
          <w:lang w:val="zh-TW" w:eastAsia="zh-CN"/>
        </w:rPr>
        <w:t>中予以扣除。</w:t>
      </w:r>
      <w:r>
        <w:rPr>
          <w:rFonts w:hint="eastAsia" w:ascii="仿宋" w:hAnsi="仿宋" w:eastAsia="仿宋" w:cs="仿宋"/>
          <w:color w:val="auto"/>
          <w:sz w:val="24"/>
          <w:szCs w:val="24"/>
          <w:highlight w:val="none"/>
          <w:lang w:eastAsia="zh-CN"/>
        </w:rPr>
        <w:t xml:space="preserve">期间，甲方因支付环节繁琐导致支付延误的情况除外，上述款项支付前，乙方须按照甲方要求开具相应发票，若乙方延迟开具并交付相应发票或开具并交付的发票不符合税法或甲方的要求，则甲方付款时间顺延，由此造成的一切损失，乙方自行负责。乙方不得以此拒绝履行其合同义务，甲方不承担任何违约、赔偿责任。 </w:t>
      </w:r>
    </w:p>
    <w:p w14:paraId="39B9B4C6">
      <w:pPr>
        <w:pStyle w:val="21"/>
        <w:keepNext w:val="0"/>
        <w:keepLines w:val="0"/>
        <w:pageBreakBefore w:val="0"/>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highlight w:val="none"/>
        </w:rPr>
      </w:pPr>
      <w:r>
        <w:rPr>
          <w:rFonts w:hint="eastAsia" w:ascii="仿宋" w:hAnsi="仿宋" w:eastAsia="仿宋" w:cs="仿宋"/>
          <w:color w:val="auto"/>
          <w:highlight w:val="none"/>
        </w:rPr>
        <w:t>5.验收标准：</w:t>
      </w:r>
    </w:p>
    <w:p w14:paraId="4FE57DA7">
      <w:pPr>
        <w:keepNext w:val="0"/>
        <w:keepLines w:val="0"/>
        <w:pageBreakBefore w:val="0"/>
        <w:numPr>
          <w:ilvl w:val="0"/>
          <w:numId w:val="0"/>
        </w:numPr>
        <w:wordWrap w:val="0"/>
        <w:overflowPunct/>
        <w:topLinePunct w:val="0"/>
        <w:autoSpaceDE w:val="0"/>
        <w:autoSpaceDN w:val="0"/>
        <w:bidi w:val="0"/>
        <w:adjustRightInd w:val="0"/>
        <w:snapToGrid w:val="0"/>
        <w:spacing w:line="0" w:lineRule="atLeast"/>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（1）通用验收合格标准。</w:t>
      </w:r>
    </w:p>
    <w:p w14:paraId="2993C8ED">
      <w:pPr>
        <w:keepNext w:val="0"/>
        <w:keepLines w:val="0"/>
        <w:pageBreakBefore w:val="0"/>
        <w:numPr>
          <w:ilvl w:val="0"/>
          <w:numId w:val="0"/>
        </w:numPr>
        <w:wordWrap w:val="0"/>
        <w:overflowPunct/>
        <w:topLinePunct w:val="0"/>
        <w:autoSpaceDE w:val="0"/>
        <w:autoSpaceDN w:val="0"/>
        <w:bidi w:val="0"/>
        <w:adjustRightInd w:val="0"/>
        <w:snapToGrid w:val="0"/>
        <w:spacing w:line="0" w:lineRule="atLeast"/>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犬只数量、品种符合采购需求，验收资料齐全、真实有效，满足本项目采购及技术要求。</w:t>
      </w:r>
    </w:p>
    <w:p w14:paraId="134D29CA">
      <w:pPr>
        <w:keepNext w:val="0"/>
        <w:keepLines w:val="0"/>
        <w:pageBreakBefore w:val="0"/>
        <w:numPr>
          <w:ilvl w:val="0"/>
          <w:numId w:val="0"/>
        </w:numPr>
        <w:wordWrap w:val="0"/>
        <w:overflowPunct/>
        <w:topLinePunct w:val="0"/>
        <w:autoSpaceDE w:val="0"/>
        <w:autoSpaceDN w:val="0"/>
        <w:bidi w:val="0"/>
        <w:adjustRightInd w:val="0"/>
        <w:snapToGrid w:val="0"/>
        <w:spacing w:line="0" w:lineRule="atLeast"/>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（2）专项验收合格标准。</w:t>
      </w:r>
    </w:p>
    <w:p w14:paraId="680E0C0C">
      <w:pPr>
        <w:keepNext w:val="0"/>
        <w:keepLines w:val="0"/>
        <w:pageBreakBefore w:val="0"/>
        <w:numPr>
          <w:ilvl w:val="0"/>
          <w:numId w:val="0"/>
        </w:numPr>
        <w:wordWrap w:val="0"/>
        <w:overflowPunct/>
        <w:topLinePunct w:val="0"/>
        <w:autoSpaceDE w:val="0"/>
        <w:autoSpaceDN w:val="0"/>
        <w:bidi w:val="0"/>
        <w:adjustRightInd w:val="0"/>
        <w:snapToGrid w:val="0"/>
        <w:spacing w:line="0" w:lineRule="atLeast"/>
        <w:ind w:left="425" w:leftChars="0" w:hanging="425"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①繁育种犬：需提供血统证书、种犬档案、科目测试报告、专业动物医院体检报告、动物检疫部门检疫报告等资料。</w:t>
      </w:r>
    </w:p>
    <w:p w14:paraId="4FEDC822">
      <w:pPr>
        <w:keepNext w:val="0"/>
        <w:keepLines w:val="0"/>
        <w:pageBreakBefore w:val="0"/>
        <w:numPr>
          <w:ilvl w:val="0"/>
          <w:numId w:val="0"/>
        </w:numPr>
        <w:wordWrap w:val="0"/>
        <w:overflowPunct/>
        <w:topLinePunct w:val="0"/>
        <w:autoSpaceDE w:val="0"/>
        <w:autoSpaceDN w:val="0"/>
        <w:bidi w:val="0"/>
        <w:adjustRightInd w:val="0"/>
        <w:snapToGrid w:val="0"/>
        <w:spacing w:line="0" w:lineRule="atLeast"/>
        <w:ind w:left="425" w:leftChars="0" w:hanging="425"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②待训警犬：需提供体检报告、犬只档案、选犬记录、往来函件、履约时间证明等资料。</w:t>
      </w:r>
    </w:p>
    <w:p w14:paraId="250241F4">
      <w:pPr>
        <w:keepNext w:val="0"/>
        <w:keepLines w:val="0"/>
        <w:pageBreakBefore w:val="0"/>
        <w:numPr>
          <w:ilvl w:val="0"/>
          <w:numId w:val="0"/>
        </w:numPr>
        <w:wordWrap w:val="0"/>
        <w:overflowPunct/>
        <w:topLinePunct w:val="0"/>
        <w:autoSpaceDE w:val="0"/>
        <w:autoSpaceDN w:val="0"/>
        <w:bidi w:val="0"/>
        <w:adjustRightInd w:val="0"/>
        <w:snapToGrid w:val="0"/>
        <w:spacing w:line="0" w:lineRule="atLeast"/>
        <w:ind w:lef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供货地点：乌鲁木齐县水西沟镇南康大道乌鲁木齐警犬训练基地</w:t>
      </w:r>
    </w:p>
    <w:p w14:paraId="57778147">
      <w:pPr>
        <w:keepNext w:val="0"/>
        <w:keepLines w:val="0"/>
        <w:pageBreakBefore w:val="0"/>
        <w:numPr>
          <w:ilvl w:val="0"/>
          <w:numId w:val="0"/>
        </w:numPr>
        <w:wordWrap w:val="0"/>
        <w:overflowPunct/>
        <w:topLinePunct w:val="0"/>
        <w:autoSpaceDE w:val="0"/>
        <w:autoSpaceDN w:val="0"/>
        <w:bidi w:val="0"/>
        <w:adjustRightInd w:val="0"/>
        <w:snapToGrid w:val="0"/>
        <w:spacing w:line="0" w:lineRule="atLeast"/>
        <w:ind w:left="425" w:leftChars="0" w:hanging="425" w:firstLineChars="0"/>
        <w:rPr>
          <w:rFonts w:hint="eastAsia" w:ascii="仿宋" w:hAnsi="仿宋" w:eastAsia="仿宋" w:cs="仿宋"/>
          <w:color w:val="auto"/>
          <w:sz w:val="24"/>
          <w:szCs w:val="24"/>
          <w:highlight w:val="none"/>
          <w:lang w:eastAsia="zh-CN"/>
        </w:rPr>
      </w:pPr>
      <w:r>
        <w:rPr>
          <w:rFonts w:hint="default" w:ascii="仿宋" w:hAnsi="仿宋" w:eastAsia="仿宋" w:cs="仿宋"/>
          <w:snapToGrid w:val="0"/>
          <w:color w:val="auto"/>
          <w:sz w:val="24"/>
          <w:szCs w:val="24"/>
          <w:highlight w:val="none"/>
          <w:lang w:val="en-US" w:eastAsia="zh-CN" w:bidi="ar-SA"/>
        </w:rPr>
        <w:t>11.</w:t>
      </w:r>
      <w:r>
        <w:rPr>
          <w:rFonts w:hint="eastAsia" w:ascii="仿宋" w:hAnsi="仿宋" w:eastAsia="仿宋" w:cs="仿宋"/>
          <w:color w:val="auto"/>
          <w:sz w:val="24"/>
          <w:szCs w:val="24"/>
          <w:highlight w:val="none"/>
          <w:lang w:eastAsia="zh-CN"/>
        </w:rPr>
        <w:t>供货期及要求：</w:t>
      </w:r>
    </w:p>
    <w:p w14:paraId="7CAA0282">
      <w:pPr>
        <w:keepNext w:val="0"/>
        <w:keepLines w:val="0"/>
        <w:pageBreakBefore w:val="0"/>
        <w:numPr>
          <w:ilvl w:val="0"/>
          <w:numId w:val="0"/>
        </w:numPr>
        <w:wordWrap w:val="0"/>
        <w:overflowPunct/>
        <w:topLinePunct w:val="0"/>
        <w:autoSpaceDE w:val="0"/>
        <w:autoSpaceDN w:val="0"/>
        <w:bidi w:val="0"/>
        <w:adjustRightInd w:val="0"/>
        <w:snapToGrid w:val="0"/>
        <w:spacing w:line="0" w:lineRule="atLeast"/>
        <w:ind w:leftChars="0"/>
        <w:rPr>
          <w:rFonts w:hint="eastAsia" w:ascii="仿宋" w:hAnsi="仿宋" w:eastAsia="仿宋" w:cs="仿宋"/>
          <w:color w:val="auto"/>
          <w:kern w:val="2"/>
          <w:sz w:val="24"/>
          <w:szCs w:val="24"/>
          <w:highlight w:val="none"/>
          <w:lang w:eastAsia="zh-CN"/>
        </w:rPr>
      </w:pPr>
      <w:bookmarkStart w:id="129" w:name="_Toc479943858"/>
      <w:bookmarkStart w:id="130" w:name="_Toc1245"/>
      <w:bookmarkStart w:id="131" w:name="_Toc432684939"/>
      <w:bookmarkStart w:id="132" w:name="_Toc427666527"/>
      <w:bookmarkStart w:id="133" w:name="_Toc3356"/>
      <w:bookmarkStart w:id="134" w:name="_Toc480316120"/>
      <w:r>
        <w:rPr>
          <w:rFonts w:hint="default" w:ascii="仿宋" w:hAnsi="仿宋" w:eastAsia="仿宋" w:cs="仿宋"/>
          <w:color w:val="auto"/>
          <w:sz w:val="24"/>
          <w:szCs w:val="24"/>
          <w:highlight w:val="none"/>
          <w:lang w:val="en-US" w:eastAsia="zh-CN"/>
        </w:rPr>
        <w:t>合同签订后，乙方应按照甲方要求，分两批次</w:t>
      </w:r>
      <w:r>
        <w:rPr>
          <w:rFonts w:hint="default" w:ascii="仿宋" w:hAnsi="仿宋" w:eastAsia="仿宋" w:cs="仿宋"/>
          <w:color w:val="auto"/>
          <w:sz w:val="24"/>
          <w:szCs w:val="24"/>
          <w:highlight w:val="none"/>
          <w:lang w:eastAsia="zh-CN"/>
        </w:rPr>
        <w:t>进行</w:t>
      </w:r>
      <w:r>
        <w:rPr>
          <w:rFonts w:hint="default" w:ascii="仿宋" w:hAnsi="仿宋" w:eastAsia="仿宋" w:cs="仿宋"/>
          <w:color w:val="auto"/>
          <w:sz w:val="24"/>
          <w:szCs w:val="24"/>
          <w:highlight w:val="none"/>
          <w:lang w:val="en-US" w:eastAsia="zh-CN"/>
        </w:rPr>
        <w:t>供货，其中：（1）繁育种犬：合同签订之日起75个日历日内，完成犬只筹备、隔离、选取、体检、防疫驱虫等验收前全部工作；（2）待训警犬：合同签订之日起20个日历日内，完成犬只筹备、隔离、选取、体检、防疫驱虫等验收前全部工作。</w:t>
      </w:r>
    </w:p>
    <w:p w14:paraId="5F09E1D5">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八、装运和运输</w:t>
      </w:r>
      <w:bookmarkEnd w:id="129"/>
      <w:bookmarkEnd w:id="130"/>
      <w:bookmarkEnd w:id="131"/>
      <w:bookmarkEnd w:id="132"/>
      <w:bookmarkEnd w:id="133"/>
      <w:bookmarkEnd w:id="134"/>
    </w:p>
    <w:p w14:paraId="467712BA">
      <w:pPr>
        <w:keepNext w:val="0"/>
        <w:keepLines w:val="0"/>
        <w:pageBreakBefore w:val="0"/>
        <w:wordWrap w:val="0"/>
        <w:overflowPunct/>
        <w:topLinePunct w:val="0"/>
        <w:autoSpaceDE w:val="0"/>
        <w:autoSpaceDN w:val="0"/>
        <w:bidi w:val="0"/>
        <w:adjustRightInd w:val="0"/>
        <w:snapToGrid w:val="0"/>
        <w:spacing w:line="0" w:lineRule="atLeast"/>
        <w:ind w:firstLine="480" w:firstLineChars="200"/>
        <w:jc w:val="both"/>
        <w:rPr>
          <w:rFonts w:hint="eastAsia" w:ascii="仿宋" w:hAnsi="仿宋" w:eastAsia="仿宋" w:cs="仿宋"/>
          <w:color w:val="auto"/>
          <w:kern w:val="2"/>
          <w:sz w:val="24"/>
          <w:szCs w:val="24"/>
          <w:highlight w:val="none"/>
          <w:lang w:eastAsia="zh-CN"/>
        </w:rPr>
      </w:pPr>
      <w:bookmarkStart w:id="135" w:name="_Toc14870"/>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lang w:eastAsia="zh-CN"/>
        </w:rPr>
        <w:t>.包装和运输要求</w:t>
      </w:r>
    </w:p>
    <w:p w14:paraId="54E0DAB3">
      <w:pPr>
        <w:keepNext w:val="0"/>
        <w:keepLines w:val="0"/>
        <w:pageBreakBefore w:val="0"/>
        <w:wordWrap w:val="0"/>
        <w:overflowPunct/>
        <w:topLinePunct w:val="0"/>
        <w:autoSpaceDE w:val="0"/>
        <w:autoSpaceDN w:val="0"/>
        <w:bidi w:val="0"/>
        <w:adjustRightInd w:val="0"/>
        <w:snapToGrid w:val="0"/>
        <w:spacing w:line="0" w:lineRule="atLeast"/>
        <w:ind w:firstLine="480" w:firstLineChars="20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1.1运输箱的选择：应选用坚固耐用、透气性良好的材质制作运输箱，确保犬只在运输过程中的安全与舒适。运输箱尺寸要适当，为犬只提供足够的活动空间，避免运输过程中受伤或产生不必要的应激反应。箱内铺设柔软垫料，减少犬只颠簸与碰撞，同时设置固定绑带或栏杆，防止犬只跳跃或跌落。运输箱还应具备良好的通风性能，保证犬只运输过程中有充足的氧气供应。</w:t>
      </w:r>
    </w:p>
    <w:p w14:paraId="63658462">
      <w:pPr>
        <w:keepNext w:val="0"/>
        <w:keepLines w:val="0"/>
        <w:pageBreakBefore w:val="0"/>
        <w:wordWrap w:val="0"/>
        <w:overflowPunct/>
        <w:topLinePunct w:val="0"/>
        <w:autoSpaceDE w:val="0"/>
        <w:autoSpaceDN w:val="0"/>
        <w:bidi w:val="0"/>
        <w:adjustRightInd w:val="0"/>
        <w:snapToGrid w:val="0"/>
        <w:spacing w:line="0" w:lineRule="atLeast"/>
        <w:ind w:firstLine="480" w:firstLineChars="200"/>
        <w:jc w:val="both"/>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val="en-US" w:eastAsia="zh-CN"/>
        </w:rPr>
        <w:t>1.2运输要求：</w:t>
      </w:r>
      <w:r>
        <w:rPr>
          <w:rFonts w:hint="eastAsia" w:ascii="仿宋" w:hAnsi="仿宋" w:eastAsia="仿宋" w:cs="仿宋"/>
          <w:color w:val="auto"/>
          <w:kern w:val="2"/>
          <w:sz w:val="24"/>
          <w:szCs w:val="24"/>
          <w:highlight w:val="none"/>
          <w:lang w:eastAsia="zh-CN"/>
        </w:rPr>
        <w:t>包装必须与运输方式相适应，包装方式的确定及包装费用均由乙方负责；由于不适当的包装而造成货物在运输过程中及经甲方验收合格前有任何损坏由乙</w:t>
      </w:r>
      <w:r>
        <w:rPr>
          <w:rFonts w:hint="eastAsia" w:ascii="仿宋" w:hAnsi="仿宋" w:eastAsia="仿宋" w:cs="仿宋"/>
          <w:color w:val="auto"/>
          <w:kern w:val="2"/>
          <w:sz w:val="24"/>
          <w:szCs w:val="24"/>
          <w:highlight w:val="none"/>
          <w:lang w:val="en-US" w:eastAsia="zh-CN"/>
        </w:rPr>
        <w:t xml:space="preserve">  </w:t>
      </w:r>
      <w:r>
        <w:rPr>
          <w:rFonts w:hint="eastAsia" w:ascii="仿宋" w:hAnsi="仿宋" w:eastAsia="仿宋" w:cs="仿宋"/>
          <w:color w:val="auto"/>
          <w:kern w:val="2"/>
          <w:sz w:val="24"/>
          <w:szCs w:val="24"/>
          <w:highlight w:val="none"/>
          <w:lang w:eastAsia="zh-CN"/>
        </w:rPr>
        <w:t>方负责。运输费、保险费、装卸费已包含在合同价内。</w:t>
      </w:r>
      <w:r>
        <w:rPr>
          <w:rFonts w:hint="eastAsia" w:ascii="仿宋" w:hAnsi="仿宋" w:eastAsia="仿宋" w:cs="仿宋"/>
          <w:color w:val="auto"/>
          <w:kern w:val="2"/>
          <w:sz w:val="24"/>
          <w:szCs w:val="24"/>
          <w:highlight w:val="none"/>
          <w:lang w:val="en-US" w:eastAsia="zh-CN"/>
        </w:rPr>
        <w:t xml:space="preserve"> </w:t>
      </w:r>
    </w:p>
    <w:bookmarkEnd w:id="135"/>
    <w:p w14:paraId="1AE84FDB">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sz w:val="24"/>
          <w:szCs w:val="24"/>
          <w:highlight w:val="none"/>
          <w:lang w:eastAsia="zh-CN"/>
        </w:rPr>
      </w:pPr>
      <w:bookmarkStart w:id="136" w:name="_Toc4101"/>
      <w:r>
        <w:rPr>
          <w:rFonts w:hint="eastAsia" w:ascii="仿宋" w:hAnsi="仿宋" w:eastAsia="仿宋" w:cs="仿宋"/>
          <w:color w:val="auto"/>
          <w:sz w:val="24"/>
          <w:szCs w:val="24"/>
          <w:highlight w:val="none"/>
          <w:lang w:eastAsia="zh-CN"/>
        </w:rPr>
        <w:t>九、产品要求</w:t>
      </w:r>
      <w:bookmarkEnd w:id="136"/>
    </w:p>
    <w:p w14:paraId="32A4F863">
      <w:pPr>
        <w:pStyle w:val="21"/>
        <w:keepNext w:val="0"/>
        <w:keepLines w:val="0"/>
        <w:pageBreakBefore w:val="0"/>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bookmarkStart w:id="137" w:name="_Toc479943862"/>
      <w:bookmarkStart w:id="138" w:name="_Toc480316124"/>
      <w:bookmarkStart w:id="139" w:name="_Toc12410"/>
      <w:bookmarkStart w:id="140" w:name="_Toc31175"/>
      <w:bookmarkStart w:id="141" w:name="_Toc427666531"/>
      <w:bookmarkStart w:id="142" w:name="_Toc432684943"/>
      <w:r>
        <w:rPr>
          <w:rFonts w:hint="eastAsia" w:ascii="仿宋" w:hAnsi="仿宋" w:eastAsia="仿宋" w:cs="仿宋"/>
          <w:b w:val="0"/>
          <w:bCs w:val="0"/>
          <w:color w:val="auto"/>
          <w:kern w:val="2"/>
          <w:sz w:val="24"/>
          <w:szCs w:val="24"/>
          <w:highlight w:val="none"/>
          <w:lang w:val="en-US" w:eastAsia="zh-CN"/>
        </w:rPr>
        <w:t>合同签订后，乙方应按照甲方要求，分两批次</w:t>
      </w:r>
      <w:r>
        <w:rPr>
          <w:rFonts w:hint="eastAsia" w:ascii="仿宋" w:hAnsi="仿宋" w:eastAsia="仿宋" w:cs="仿宋"/>
          <w:b w:val="0"/>
          <w:bCs w:val="0"/>
          <w:color w:val="auto"/>
          <w:kern w:val="2"/>
          <w:sz w:val="24"/>
          <w:szCs w:val="24"/>
          <w:highlight w:val="none"/>
        </w:rPr>
        <w:t>进行</w:t>
      </w:r>
      <w:r>
        <w:rPr>
          <w:rFonts w:hint="eastAsia" w:ascii="仿宋" w:hAnsi="仿宋" w:eastAsia="仿宋" w:cs="仿宋"/>
          <w:b w:val="0"/>
          <w:bCs w:val="0"/>
          <w:color w:val="auto"/>
          <w:kern w:val="2"/>
          <w:sz w:val="24"/>
          <w:szCs w:val="24"/>
          <w:highlight w:val="none"/>
          <w:lang w:val="en-US" w:eastAsia="zh-CN"/>
        </w:rPr>
        <w:t>供货，其中：（1）繁育种犬：合同签订之日起75个日历日内，完成犬只筹备、隔离、选取、体检、防疫驱虫等验收前全部工作；（2）待训警犬：合同签订之日起20个日历日内，完成犬只筹备、隔离、选取、体检、防疫驱虫等验收前全部工作。</w:t>
      </w:r>
    </w:p>
    <w:p w14:paraId="03925527">
      <w:pPr>
        <w:pStyle w:val="21"/>
        <w:keepNext w:val="0"/>
        <w:keepLines w:val="0"/>
        <w:pageBreakBefore w:val="0"/>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具体情况如下：</w:t>
      </w:r>
    </w:p>
    <w:p w14:paraId="03E523B3">
      <w:pPr>
        <w:pStyle w:val="21"/>
        <w:keepNext w:val="0"/>
        <w:keepLines w:val="0"/>
        <w:pageBreakBefore w:val="0"/>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（1）繁育种犬：合同签订之日起75个日历日内，完成犬只筹备、隔离、选取、体检、防疫驱虫等验收前全部工作；</w:t>
      </w:r>
    </w:p>
    <w:p w14:paraId="0C3F2792">
      <w:pPr>
        <w:pStyle w:val="21"/>
        <w:keepNext w:val="0"/>
        <w:keepLines w:val="0"/>
        <w:pageBreakBefore w:val="0"/>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①犬只筹备：合同签订之日起45个日历日内，乙方需提供按不同种犬品种对应比例犬数量的3倍(18头)犬源送达至乌鲁木齐具备饲养管理条件的区域（区域由乙方自行确定）。</w:t>
      </w:r>
    </w:p>
    <w:p w14:paraId="4D6D82C6">
      <w:pPr>
        <w:pStyle w:val="21"/>
        <w:keepNext w:val="0"/>
        <w:keepLines w:val="0"/>
        <w:pageBreakBefore w:val="0"/>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②犬只隔离：繁育种犬全部送到后，乙方需以函件形式通知甲方（收到函件当日不计算在内），隔离开始时间以函件送达甲方并经甲方确认时间为准，甲方确认后，乙方负责对犬只进行15个日历日的隔离。隔离期间，乙方承担犬只饲养、饲料、人工、防疫、诊疗等所有费用，若隔离期间出现犬只患病、死亡，由乙方无偿补充符合标准的犬只，隔离期重新计算。隔离结束无质量问题后，甲方组织人员对犬只进行测试选取。</w:t>
      </w:r>
    </w:p>
    <w:p w14:paraId="2D32E236">
      <w:pPr>
        <w:pStyle w:val="21"/>
        <w:keepNext w:val="0"/>
        <w:keepLines w:val="0"/>
        <w:pageBreakBefore w:val="0"/>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③犬只测试选取：隔离结束且无质量问题后，乙方需以函件形式通知甲方进行犬只测试选取，甲方自收到函件后10个日历日内（收到函件当日不计算在内），由新疆总站边境管理处负责组织，乌鲁木齐警犬训练基地配合，乙方需委托第三方机构委派1-2名具有警犬技术资质（具体指：中国工作犬管理协会颁发的警犬训练师资格证书、警犬评估师资格证书或同等权威机构出具的警犬技术相关执业资格证书）的专业人员协同监督指导，参照《警犬繁育工作规则（试行）》通知要求，共同完成对18头繁育种犬的挑选并测试，选取符合条件的6头待训警繁育种犬。选犬工作期间产生费用由乙方全额承担。</w:t>
      </w:r>
    </w:p>
    <w:p w14:paraId="26784556">
      <w:pPr>
        <w:pStyle w:val="21"/>
        <w:keepNext w:val="0"/>
        <w:keepLines w:val="0"/>
        <w:pageBreakBefore w:val="0"/>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选取标准为：种犬等级评定采用百分制，其中体形外貌占20%、警用性能占30%、繁殖性能占20%、后裔品质占30%。合计总分70-79分为一级，80-89分为二级，90分以上为三级。必须达到90分以上为应标标准。（后附：种犬标准与等级评定办法）</w:t>
      </w:r>
    </w:p>
    <w:p w14:paraId="4F247C52">
      <w:pPr>
        <w:pStyle w:val="21"/>
        <w:keepNext w:val="0"/>
        <w:keepLines w:val="0"/>
        <w:pageBreakBefore w:val="0"/>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每头采购种犬均进行科目测试，具体包括：</w:t>
      </w:r>
    </w:p>
    <w:p w14:paraId="690C6479">
      <w:pPr>
        <w:pStyle w:val="21"/>
        <w:keepNext w:val="0"/>
        <w:keepLines w:val="0"/>
        <w:pageBreakBefore w:val="0"/>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1.服从科目：犬不能出现胆小、外抑制等现象，犬会完成坐、卧、立、随行等基本科目；</w:t>
      </w:r>
    </w:p>
    <w:p w14:paraId="59818A0E">
      <w:pPr>
        <w:pStyle w:val="21"/>
        <w:keepNext w:val="0"/>
        <w:keepLines w:val="0"/>
        <w:pageBreakBefore w:val="0"/>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2.衔取科目：犬对物品（球、麻棒等）衔取欲望和占有欲望必须强；</w:t>
      </w:r>
    </w:p>
    <w:p w14:paraId="6C9180A2">
      <w:pPr>
        <w:pStyle w:val="21"/>
        <w:keepNext w:val="0"/>
        <w:keepLines w:val="0"/>
        <w:pageBreakBefore w:val="0"/>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3.体型要求：公犬要求体型大（尽可能接近品种标准的上限身高），咬合正确、被毛类型正确、斑纹正确，眼色素合格、结构正确、生殖系统发育正常。母犬要求，体型大或适中（身体结构略长者优先）。不胆怯，物品占有欲高，咬合正确、被毛类型正确、斑纹正确、眼色素合格、结构正确、有效乳头数量正常、生殖系统发育正常。</w:t>
      </w:r>
    </w:p>
    <w:p w14:paraId="6CBBE86B">
      <w:pPr>
        <w:pStyle w:val="21"/>
        <w:keepNext w:val="0"/>
        <w:keepLines w:val="0"/>
        <w:pageBreakBefore w:val="0"/>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④体检：3个日历日内，甲方挑选出的犬只由乙方送至具备《动物诊疗许可证》及犬只专业体检资质的动物医院进行全面体检。</w:t>
      </w:r>
    </w:p>
    <w:p w14:paraId="262B6C4E">
      <w:pPr>
        <w:pStyle w:val="21"/>
        <w:keepNext w:val="0"/>
        <w:keepLines w:val="0"/>
        <w:pageBreakBefore w:val="0"/>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体检内容包括：体温检测，皮肤检查（真菌、螨虫等），耳道检查，心肺听诊（是否有不适合训练的心脏和肺部疾病），X线检查（检查脊椎、髋关节、肘关节以及骨骼是否有先天性关节变形，骨膜磨损严重或过薄，骨质疏松以及严重缺钙等），B超检查（心、肝、肺、脾、肾），细小病毒和犬瘟热检查，尿常规，血气检查，体温、脉搏、细小病毒、犬瘟热检测，以及对犬的体型骨骼、体态被毛、神经类型及衔取欲望，伍德氏灯皮肤病排查、五大淋巴结检查等。体检合格后，需出具详细的体检报告，并为犬只编制编号，建立一犬一档案。乙方对所有合格犬只完成体检和建档，以函件形式通知甲方，甲方在2个日历日内（收到函件当日不计算在内）对体检及建档情况进行核查核对，经甲（警犬训练基地组织人员）乙双方确认无误后，由乙方运送至甲方警犬训练基地指定地点。</w:t>
      </w:r>
    </w:p>
    <w:p w14:paraId="0161FC9F">
      <w:pPr>
        <w:pStyle w:val="21"/>
        <w:keepNext w:val="0"/>
        <w:keepLines w:val="0"/>
        <w:pageBreakBefore w:val="0"/>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4）防疫驱虫：最终选定犬只需在甲方的监督下，完成三次驱虫（2次体内，1次体外）以及英特威四联苗的注射，并在英特威四联苗的注射15个日历日后再注射1针单狂犬疫苗。以上产生的所有费用均由乙方承担。（本项工作不计入合同履约限定时间，乙方须在犬只质保期内完成全部防疫驱虫操作，并将完整操作记录纳入犬只一犬一档案，供甲方核查。）</w:t>
      </w:r>
    </w:p>
    <w:p w14:paraId="50E24702">
      <w:pPr>
        <w:pStyle w:val="21"/>
        <w:keepNext w:val="0"/>
        <w:keepLines w:val="0"/>
        <w:pageBreakBefore w:val="0"/>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5）芯片植入：所供犬只均需提供血统证明（中国工作犬管理协会出具）并植入身份证名芯片（芯片需可扫描并于血统证书信息相一致）。（本项工作不计入合同履约限定时间，乙方须在犬只质保期内完成并记录纳入犬只一犬一档案，供甲方核查。）</w:t>
      </w:r>
    </w:p>
    <w:p w14:paraId="290A95D6">
      <w:pPr>
        <w:pStyle w:val="21"/>
        <w:keepNext w:val="0"/>
        <w:keepLines w:val="0"/>
        <w:pageBreakBefore w:val="0"/>
        <w:overflowPunct/>
        <w:topLinePunct w:val="0"/>
        <w:bidi w:val="0"/>
        <w:snapToGrid w:val="0"/>
        <w:spacing w:line="0" w:lineRule="atLeast"/>
        <w:ind w:firstLine="480" w:firstLineChars="200"/>
        <w:jc w:val="both"/>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2.甲方最终确定种犬后，需提供完整种犬档案资料，包括：犬的基本情况；犬血统证书；犬生长发育记录；犬免疫记录；犬病历记录；幼犬考察记录；犬训练考核记录；种犬考核记录；同窝犬需标注。</w:t>
      </w:r>
    </w:p>
    <w:p w14:paraId="25440F03">
      <w:pPr>
        <w:keepNext w:val="0"/>
        <w:keepLines w:val="0"/>
        <w:pageBreakBefore w:val="0"/>
        <w:numPr>
          <w:ilvl w:val="-1"/>
          <w:numId w:val="0"/>
        </w:numPr>
        <w:overflowPunct/>
        <w:topLinePunct w:val="0"/>
        <w:bidi w:val="0"/>
        <w:adjustRightInd/>
        <w:spacing w:line="0" w:lineRule="atLeast"/>
        <w:ind w:firstLine="240" w:firstLineChars="10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三、</w:t>
      </w:r>
      <w:r>
        <w:rPr>
          <w:rFonts w:hint="eastAsia" w:ascii="仿宋" w:hAnsi="仿宋" w:eastAsia="仿宋" w:cs="仿宋"/>
          <w:color w:val="auto"/>
          <w:kern w:val="2"/>
          <w:sz w:val="24"/>
          <w:szCs w:val="24"/>
          <w:highlight w:val="none"/>
        </w:rPr>
        <w:t>警犬种犬标准与等级评定办法</w:t>
      </w:r>
    </w:p>
    <w:p w14:paraId="09640E0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w:t>
      </w: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rPr>
        <w:t>-1：德国牧羊犬体形外貌认证项目及评分标准</w:t>
      </w:r>
    </w:p>
    <w:tbl>
      <w:tblPr>
        <w:tblStyle w:val="13"/>
        <w:tblW w:w="87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5"/>
        <w:gridCol w:w="3986"/>
        <w:gridCol w:w="849"/>
        <w:gridCol w:w="3379"/>
      </w:tblGrid>
      <w:tr w14:paraId="74306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5" w:type="dxa"/>
            <w:noWrap w:val="0"/>
            <w:vAlign w:val="center"/>
          </w:tcPr>
          <w:p w14:paraId="3B3C086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3986" w:type="dxa"/>
            <w:noWrap w:val="0"/>
            <w:vAlign w:val="center"/>
          </w:tcPr>
          <w:p w14:paraId="326EE2C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849" w:type="dxa"/>
            <w:noWrap w:val="0"/>
            <w:tcMar>
              <w:left w:w="57" w:type="dxa"/>
              <w:right w:w="57" w:type="dxa"/>
            </w:tcMar>
            <w:vAlign w:val="center"/>
          </w:tcPr>
          <w:p w14:paraId="44208E0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w:t>
            </w:r>
          </w:p>
          <w:p w14:paraId="2189460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w:t>
            </w:r>
          </w:p>
        </w:tc>
        <w:tc>
          <w:tcPr>
            <w:tcW w:w="3379" w:type="dxa"/>
            <w:noWrap w:val="0"/>
            <w:vAlign w:val="center"/>
          </w:tcPr>
          <w:p w14:paraId="1C2EDD0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2A896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4" w:hRule="exact"/>
          <w:jc w:val="center"/>
        </w:trPr>
        <w:tc>
          <w:tcPr>
            <w:tcW w:w="515" w:type="dxa"/>
            <w:vMerge w:val="restart"/>
            <w:noWrap w:val="0"/>
            <w:vAlign w:val="center"/>
          </w:tcPr>
          <w:p w14:paraId="3996492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总体外貌</w:t>
            </w:r>
          </w:p>
        </w:tc>
        <w:tc>
          <w:tcPr>
            <w:tcW w:w="3986" w:type="dxa"/>
            <w:noWrap w:val="0"/>
            <w:vAlign w:val="top"/>
          </w:tcPr>
          <w:p w14:paraId="196C7F4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085D539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1.各部位匀称，身体结构紧凑、坚实，公母犬性特征明显，生殖器官发育正常。体尺比例恰当，体高与体长之比为8.3-9:10，胸深与体高比为47:100。</w:t>
            </w:r>
          </w:p>
          <w:p w14:paraId="49CDF6F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体尺标准（单位cm）：</w:t>
            </w:r>
          </w:p>
          <w:p w14:paraId="4C5829F1">
            <w:pPr>
              <w:keepNext w:val="0"/>
              <w:keepLines w:val="0"/>
              <w:pageBreakBefore w:val="0"/>
              <w:numPr>
                <w:ilvl w:val="-1"/>
                <w:numId w:val="0"/>
              </w:numPr>
              <w:overflowPunct/>
              <w:topLinePunct w:val="0"/>
              <w:bidi w:val="0"/>
              <w:adjustRightInd/>
              <w:spacing w:line="0" w:lineRule="atLeast"/>
              <w:ind w:firstLine="360" w:firstLineChars="15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体高体长荐高胸围胸深</w:t>
            </w:r>
          </w:p>
          <w:p w14:paraId="44C34A58">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公60-6568-7259-6369-7328-30</w:t>
            </w:r>
          </w:p>
          <w:p w14:paraId="34B25D8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母55-6063-6754-5864-6826-28</w:t>
            </w:r>
          </w:p>
        </w:tc>
        <w:tc>
          <w:tcPr>
            <w:tcW w:w="849" w:type="dxa"/>
            <w:noWrap w:val="0"/>
            <w:vAlign w:val="center"/>
          </w:tcPr>
          <w:p w14:paraId="6B97CD4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w:t>
            </w:r>
          </w:p>
        </w:tc>
        <w:tc>
          <w:tcPr>
            <w:tcW w:w="3379" w:type="dxa"/>
            <w:noWrap w:val="0"/>
            <w:vAlign w:val="top"/>
          </w:tcPr>
          <w:p w14:paraId="60478D04">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4863400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特征不明显为失格，公犬单、双侧隐睾为失格，母犬有效乳头少于四对为失格。身体不紧凑扣1分，胸深超出标准范围1cm、其它体尺任何一项超出标准2cm扣4分。体高低于荐高为失格。体高与体长比例不符扣4分，相反比例为失格。</w:t>
            </w:r>
          </w:p>
        </w:tc>
      </w:tr>
      <w:tr w14:paraId="5FC50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1" w:hRule="exact"/>
          <w:jc w:val="center"/>
        </w:trPr>
        <w:tc>
          <w:tcPr>
            <w:tcW w:w="515" w:type="dxa"/>
            <w:vMerge w:val="continue"/>
            <w:noWrap w:val="0"/>
            <w:vAlign w:val="center"/>
          </w:tcPr>
          <w:p w14:paraId="7FAB6AD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86" w:type="dxa"/>
            <w:noWrap w:val="0"/>
            <w:vAlign w:val="center"/>
          </w:tcPr>
          <w:p w14:paraId="03727E7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2.毛直而稠密，有光泽，有绒毛层，头部、腿背侧毛最短，毛色为黑色、黑背黄腹、狼青色。</w:t>
            </w:r>
          </w:p>
        </w:tc>
        <w:tc>
          <w:tcPr>
            <w:tcW w:w="849" w:type="dxa"/>
            <w:noWrap w:val="0"/>
            <w:vAlign w:val="center"/>
          </w:tcPr>
          <w:p w14:paraId="228B863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w:t>
            </w:r>
          </w:p>
        </w:tc>
        <w:tc>
          <w:tcPr>
            <w:tcW w:w="3379" w:type="dxa"/>
            <w:noWrap w:val="0"/>
            <w:vAlign w:val="center"/>
          </w:tcPr>
          <w:p w14:paraId="366E405D">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被毛超长为失格。卷毛扣3分。</w:t>
            </w:r>
          </w:p>
        </w:tc>
      </w:tr>
      <w:tr w14:paraId="74ACD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15" w:type="dxa"/>
            <w:vMerge w:val="restart"/>
            <w:noWrap w:val="0"/>
            <w:vAlign w:val="center"/>
          </w:tcPr>
          <w:p w14:paraId="053B86E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头</w:t>
            </w:r>
          </w:p>
          <w:p w14:paraId="478AEF2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0DBB21F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颈</w:t>
            </w:r>
          </w:p>
          <w:p w14:paraId="67BD4CA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381D30B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部</w:t>
            </w:r>
          </w:p>
        </w:tc>
        <w:tc>
          <w:tcPr>
            <w:tcW w:w="3986" w:type="dxa"/>
            <w:noWrap w:val="0"/>
            <w:vAlign w:val="center"/>
          </w:tcPr>
          <w:p w14:paraId="0D480DEF">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3.头呈楔型，额段适度，两耳间距适中，额与吻等长。</w:t>
            </w:r>
          </w:p>
        </w:tc>
        <w:tc>
          <w:tcPr>
            <w:tcW w:w="849" w:type="dxa"/>
            <w:noWrap w:val="0"/>
            <w:vAlign w:val="center"/>
          </w:tcPr>
          <w:p w14:paraId="2F65424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w:t>
            </w:r>
          </w:p>
        </w:tc>
        <w:tc>
          <w:tcPr>
            <w:tcW w:w="3379" w:type="dxa"/>
            <w:noWrap w:val="0"/>
            <w:vAlign w:val="center"/>
          </w:tcPr>
          <w:p w14:paraId="5FDA276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头超长为失格。耳间距过窄或过宽扣1分，额部与吻部比例不符扣1分，额阶不明显扣2分。</w:t>
            </w:r>
          </w:p>
        </w:tc>
      </w:tr>
      <w:tr w14:paraId="50B47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15" w:type="dxa"/>
            <w:vMerge w:val="continue"/>
            <w:noWrap w:val="0"/>
            <w:vAlign w:val="center"/>
          </w:tcPr>
          <w:p w14:paraId="2E28B41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86" w:type="dxa"/>
            <w:noWrap w:val="0"/>
            <w:vAlign w:val="center"/>
          </w:tcPr>
          <w:p w14:paraId="50C9F15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4.眼：大小适中，左右对称，呈杏仁形，为棕褐色。</w:t>
            </w:r>
          </w:p>
        </w:tc>
        <w:tc>
          <w:tcPr>
            <w:tcW w:w="849" w:type="dxa"/>
            <w:noWrap w:val="0"/>
            <w:vAlign w:val="center"/>
          </w:tcPr>
          <w:p w14:paraId="1ACD449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tc>
        <w:tc>
          <w:tcPr>
            <w:tcW w:w="3379" w:type="dxa"/>
            <w:noWrap w:val="0"/>
            <w:vAlign w:val="center"/>
          </w:tcPr>
          <w:p w14:paraId="2932943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不呈杏仁形或不对称为失格。眼睛小扣1分，眼色不正扣1分。</w:t>
            </w:r>
          </w:p>
        </w:tc>
      </w:tr>
      <w:tr w14:paraId="5B170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5" w:hRule="exact"/>
          <w:jc w:val="center"/>
        </w:trPr>
        <w:tc>
          <w:tcPr>
            <w:tcW w:w="515" w:type="dxa"/>
            <w:vMerge w:val="continue"/>
            <w:noWrap w:val="0"/>
            <w:vAlign w:val="center"/>
          </w:tcPr>
          <w:p w14:paraId="4156089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86" w:type="dxa"/>
            <w:noWrap w:val="0"/>
            <w:vAlign w:val="center"/>
          </w:tcPr>
          <w:p w14:paraId="6A682DCE">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5.耳：大小适中，直立向前，耳基部较厚，其它部位厚薄均匀。</w:t>
            </w:r>
          </w:p>
        </w:tc>
        <w:tc>
          <w:tcPr>
            <w:tcW w:w="849" w:type="dxa"/>
            <w:noWrap w:val="0"/>
            <w:vAlign w:val="center"/>
          </w:tcPr>
          <w:p w14:paraId="5CC55EB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w:t>
            </w:r>
          </w:p>
        </w:tc>
        <w:tc>
          <w:tcPr>
            <w:tcW w:w="3379" w:type="dxa"/>
            <w:noWrap w:val="0"/>
            <w:vAlign w:val="center"/>
          </w:tcPr>
          <w:p w14:paraId="209DEFA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耳半立、不立为失格。耳过大或过小扣1分，耳厚薄不匀扣1分，外倾或内靠扣2分。</w:t>
            </w:r>
          </w:p>
        </w:tc>
      </w:tr>
      <w:tr w14:paraId="0E6C7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15" w:type="dxa"/>
            <w:vMerge w:val="continue"/>
            <w:noWrap w:val="0"/>
            <w:vAlign w:val="center"/>
          </w:tcPr>
          <w:p w14:paraId="54BADA2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86" w:type="dxa"/>
            <w:noWrap w:val="0"/>
            <w:vAlign w:val="center"/>
          </w:tcPr>
          <w:p w14:paraId="70335FE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6.口鼻：鼻梁直，鼻头大小适中，鼻镜为黑色，嘴唇紧缩。</w:t>
            </w:r>
          </w:p>
        </w:tc>
        <w:tc>
          <w:tcPr>
            <w:tcW w:w="849" w:type="dxa"/>
            <w:noWrap w:val="0"/>
            <w:vAlign w:val="center"/>
          </w:tcPr>
          <w:p w14:paraId="2F122B8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w:t>
            </w:r>
          </w:p>
        </w:tc>
        <w:tc>
          <w:tcPr>
            <w:tcW w:w="3379" w:type="dxa"/>
            <w:noWrap w:val="0"/>
            <w:vAlign w:val="center"/>
          </w:tcPr>
          <w:p w14:paraId="029E65A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鼻镜非黑色失格。鼻梁不直扣3分，吻部过细扣1分，嘴唇不紧扣2分。</w:t>
            </w:r>
          </w:p>
        </w:tc>
      </w:tr>
      <w:tr w14:paraId="41952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3" w:hRule="exact"/>
          <w:jc w:val="center"/>
        </w:trPr>
        <w:tc>
          <w:tcPr>
            <w:tcW w:w="515" w:type="dxa"/>
            <w:vMerge w:val="continue"/>
            <w:noWrap w:val="0"/>
            <w:vAlign w:val="center"/>
          </w:tcPr>
          <w:p w14:paraId="35A687B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86" w:type="dxa"/>
            <w:noWrap w:val="0"/>
            <w:vAlign w:val="center"/>
          </w:tcPr>
          <w:p w14:paraId="430BBF94">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7.齿：齿42颗，位置正确，排列整齐，呈剪式咬合。齿式为：</w:t>
            </w:r>
          </w:p>
          <w:p w14:paraId="7061ED21">
            <w:pPr>
              <w:keepNext w:val="0"/>
              <w:keepLines w:val="0"/>
              <w:pageBreakBefore w:val="0"/>
              <w:numPr>
                <w:ilvl w:val="-1"/>
                <w:numId w:val="0"/>
              </w:numPr>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3.1.4.2</w:t>
            </w:r>
          </w:p>
          <w:p w14:paraId="12423B3B">
            <w:pPr>
              <w:keepNext w:val="0"/>
              <w:keepLines w:val="0"/>
              <w:pageBreakBefore w:val="0"/>
              <w:numPr>
                <w:ilvl w:val="-1"/>
                <w:numId w:val="0"/>
              </w:numPr>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p w14:paraId="01B2BF2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3.1.4.3</w:t>
            </w:r>
          </w:p>
        </w:tc>
        <w:tc>
          <w:tcPr>
            <w:tcW w:w="849" w:type="dxa"/>
            <w:noWrap w:val="0"/>
            <w:vAlign w:val="center"/>
          </w:tcPr>
          <w:p w14:paraId="6316C69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w:t>
            </w:r>
          </w:p>
        </w:tc>
        <w:tc>
          <w:tcPr>
            <w:tcW w:w="3379" w:type="dxa"/>
            <w:noWrap w:val="0"/>
            <w:vAlign w:val="center"/>
          </w:tcPr>
          <w:p w14:paraId="4A7CDAB4">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缺1颗犬齿或其它牙齿2颗以上为失格。上超下超咬合为失格。咬合不良扣2分，牙齿整齐度差扣1分。</w:t>
            </w:r>
          </w:p>
        </w:tc>
      </w:tr>
      <w:tr w14:paraId="64F207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15" w:type="dxa"/>
            <w:vMerge w:val="continue"/>
            <w:noWrap w:val="0"/>
            <w:vAlign w:val="center"/>
          </w:tcPr>
          <w:p w14:paraId="2C8CC94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86" w:type="dxa"/>
            <w:noWrap w:val="0"/>
            <w:vAlign w:val="center"/>
          </w:tcPr>
          <w:p w14:paraId="6E355DA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8.颈部：颈部长短适宜有力。</w:t>
            </w:r>
          </w:p>
        </w:tc>
        <w:tc>
          <w:tcPr>
            <w:tcW w:w="849" w:type="dxa"/>
            <w:noWrap w:val="0"/>
            <w:vAlign w:val="center"/>
          </w:tcPr>
          <w:p w14:paraId="460AB77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w:t>
            </w:r>
          </w:p>
        </w:tc>
        <w:tc>
          <w:tcPr>
            <w:tcW w:w="3379" w:type="dxa"/>
            <w:noWrap w:val="0"/>
            <w:vAlign w:val="center"/>
          </w:tcPr>
          <w:p w14:paraId="0BBE992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颈部肌肉不发达、颈部过短各扣1分。</w:t>
            </w:r>
          </w:p>
        </w:tc>
      </w:tr>
      <w:tr w14:paraId="0AD288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515" w:type="dxa"/>
            <w:noWrap w:val="0"/>
            <w:vAlign w:val="center"/>
          </w:tcPr>
          <w:p w14:paraId="304A658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躯干部</w:t>
            </w:r>
          </w:p>
        </w:tc>
        <w:tc>
          <w:tcPr>
            <w:tcW w:w="3986" w:type="dxa"/>
            <w:noWrap w:val="0"/>
            <w:vAlign w:val="center"/>
          </w:tcPr>
          <w:p w14:paraId="76E1212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9.背腰平直，肋骨形状适宜，荐部以23度微向下斜。</w:t>
            </w:r>
          </w:p>
        </w:tc>
        <w:tc>
          <w:tcPr>
            <w:tcW w:w="849" w:type="dxa"/>
            <w:noWrap w:val="0"/>
            <w:vAlign w:val="center"/>
          </w:tcPr>
          <w:p w14:paraId="74BA6BB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18</w:t>
            </w:r>
          </w:p>
        </w:tc>
        <w:tc>
          <w:tcPr>
            <w:tcW w:w="3379" w:type="dxa"/>
            <w:noWrap w:val="0"/>
            <w:vAlign w:val="center"/>
          </w:tcPr>
          <w:p w14:paraId="211C8E5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凹背、凸背为失格。肋骨扩张不良扣4分，背腰过窄扣2分。</w:t>
            </w:r>
          </w:p>
        </w:tc>
      </w:tr>
      <w:tr w14:paraId="09CA5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8" w:hRule="exact"/>
          <w:jc w:val="center"/>
        </w:trPr>
        <w:tc>
          <w:tcPr>
            <w:tcW w:w="515" w:type="dxa"/>
            <w:vMerge w:val="restart"/>
            <w:noWrap w:val="0"/>
            <w:vAlign w:val="center"/>
          </w:tcPr>
          <w:p w14:paraId="513EB43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四肢与步态</w:t>
            </w:r>
          </w:p>
        </w:tc>
        <w:tc>
          <w:tcPr>
            <w:tcW w:w="3986" w:type="dxa"/>
            <w:noWrap w:val="0"/>
            <w:vAlign w:val="center"/>
          </w:tcPr>
          <w:p w14:paraId="4082A48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四肢强健，趾部紧密。在前肢桡尺部和后肢跖部与地面垂直时，肩胛骨与肱骨角度为95—100度；肱骨与桡尺骨角度为135—145度；髋骨与股骨的角度为90—100度；股骨与胫腓骨角度为130度；胫腓骨与跖骨的角度为120度。</w:t>
            </w:r>
          </w:p>
        </w:tc>
        <w:tc>
          <w:tcPr>
            <w:tcW w:w="849" w:type="dxa"/>
            <w:noWrap w:val="0"/>
            <w:vAlign w:val="center"/>
          </w:tcPr>
          <w:p w14:paraId="224750F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3379" w:type="dxa"/>
            <w:noWrap w:val="0"/>
            <w:vAlign w:val="center"/>
          </w:tcPr>
          <w:p w14:paraId="6301B3C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关节角度偏差大于10%为失格。关节角偏差5%扣2分，偏差10%扣4分，趾松扣1分。</w:t>
            </w:r>
          </w:p>
        </w:tc>
      </w:tr>
      <w:tr w14:paraId="6631D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exact"/>
          <w:jc w:val="center"/>
        </w:trPr>
        <w:tc>
          <w:tcPr>
            <w:tcW w:w="515" w:type="dxa"/>
            <w:vMerge w:val="continue"/>
            <w:noWrap w:val="0"/>
            <w:vAlign w:val="center"/>
          </w:tcPr>
          <w:p w14:paraId="0715E92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86" w:type="dxa"/>
            <w:noWrap w:val="0"/>
            <w:vAlign w:val="center"/>
          </w:tcPr>
          <w:p w14:paraId="0D9276C8">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11.步态匀称、协调、轻松。</w:t>
            </w:r>
          </w:p>
        </w:tc>
        <w:tc>
          <w:tcPr>
            <w:tcW w:w="849" w:type="dxa"/>
            <w:noWrap w:val="0"/>
            <w:vAlign w:val="center"/>
          </w:tcPr>
          <w:p w14:paraId="7C03B8D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3379" w:type="dxa"/>
            <w:noWrap w:val="0"/>
            <w:vAlign w:val="center"/>
          </w:tcPr>
          <w:p w14:paraId="4649C69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跑步时四肢外展为失格。步态不协调扣3分。</w:t>
            </w:r>
          </w:p>
        </w:tc>
      </w:tr>
      <w:tr w14:paraId="1501F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515" w:type="dxa"/>
            <w:noWrap w:val="0"/>
            <w:vAlign w:val="center"/>
          </w:tcPr>
          <w:p w14:paraId="333F9DC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尾</w:t>
            </w:r>
          </w:p>
        </w:tc>
        <w:tc>
          <w:tcPr>
            <w:tcW w:w="3986" w:type="dxa"/>
            <w:noWrap w:val="0"/>
            <w:vAlign w:val="center"/>
          </w:tcPr>
          <w:p w14:paraId="7E197FBA">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12.呈马刀型，过飞节，大小适中，毛丰满，兴奋时弓状稍向上翘起。</w:t>
            </w:r>
          </w:p>
        </w:tc>
        <w:tc>
          <w:tcPr>
            <w:tcW w:w="849" w:type="dxa"/>
            <w:noWrap w:val="0"/>
            <w:vAlign w:val="center"/>
          </w:tcPr>
          <w:p w14:paraId="5F25483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tc>
        <w:tc>
          <w:tcPr>
            <w:tcW w:w="3379" w:type="dxa"/>
            <w:noWrap w:val="0"/>
            <w:vAlign w:val="center"/>
          </w:tcPr>
          <w:p w14:paraId="78FFE506">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尾过短或过长扣1分，卷尾扣1分。</w:t>
            </w:r>
          </w:p>
        </w:tc>
      </w:tr>
    </w:tbl>
    <w:p w14:paraId="189562C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3E4ED4F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w:t>
      </w: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rPr>
        <w:t>-2：德国牧羊犬种犬警用性能认证项目及评分标准</w:t>
      </w:r>
    </w:p>
    <w:tbl>
      <w:tblPr>
        <w:tblStyle w:val="13"/>
        <w:tblW w:w="870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571"/>
        <w:gridCol w:w="951"/>
        <w:gridCol w:w="4186"/>
      </w:tblGrid>
      <w:tr w14:paraId="27F70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exact"/>
          <w:jc w:val="center"/>
        </w:trPr>
        <w:tc>
          <w:tcPr>
            <w:tcW w:w="998" w:type="dxa"/>
            <w:noWrap w:val="0"/>
            <w:vAlign w:val="center"/>
          </w:tcPr>
          <w:p w14:paraId="2349D11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571" w:type="dxa"/>
            <w:noWrap w:val="0"/>
            <w:vAlign w:val="center"/>
          </w:tcPr>
          <w:p w14:paraId="57825A7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951" w:type="dxa"/>
            <w:noWrap w:val="0"/>
            <w:vAlign w:val="center"/>
          </w:tcPr>
          <w:p w14:paraId="45754EA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4186" w:type="dxa"/>
            <w:noWrap w:val="0"/>
            <w:vAlign w:val="center"/>
          </w:tcPr>
          <w:p w14:paraId="1F0600A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04C30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998" w:type="dxa"/>
            <w:noWrap w:val="0"/>
            <w:vAlign w:val="center"/>
          </w:tcPr>
          <w:p w14:paraId="09983A7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神经</w:t>
            </w:r>
          </w:p>
          <w:p w14:paraId="4A9BACA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类型</w:t>
            </w:r>
          </w:p>
        </w:tc>
        <w:tc>
          <w:tcPr>
            <w:tcW w:w="2571" w:type="dxa"/>
            <w:noWrap w:val="0"/>
            <w:vAlign w:val="center"/>
          </w:tcPr>
          <w:p w14:paraId="07B8D50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活泼、兴奋，转化快。</w:t>
            </w:r>
          </w:p>
        </w:tc>
        <w:tc>
          <w:tcPr>
            <w:tcW w:w="951" w:type="dxa"/>
            <w:noWrap w:val="0"/>
            <w:vAlign w:val="center"/>
          </w:tcPr>
          <w:p w14:paraId="02D9F7A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w:t>
            </w:r>
          </w:p>
        </w:tc>
        <w:tc>
          <w:tcPr>
            <w:tcW w:w="4186" w:type="dxa"/>
            <w:noWrap w:val="0"/>
            <w:vAlign w:val="center"/>
          </w:tcPr>
          <w:p w14:paraId="570D7196">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弱型为失格。兴奋性偏低扣5分，转化慢扣5分。</w:t>
            </w:r>
          </w:p>
        </w:tc>
      </w:tr>
      <w:tr w14:paraId="273E4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8" w:type="dxa"/>
            <w:noWrap w:val="0"/>
            <w:vAlign w:val="center"/>
          </w:tcPr>
          <w:p w14:paraId="1379FCE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胆量</w:t>
            </w:r>
          </w:p>
        </w:tc>
        <w:tc>
          <w:tcPr>
            <w:tcW w:w="2571" w:type="dxa"/>
            <w:noWrap w:val="0"/>
            <w:vAlign w:val="center"/>
          </w:tcPr>
          <w:p w14:paraId="55470C3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胆大，对环境适应强。</w:t>
            </w:r>
          </w:p>
        </w:tc>
        <w:tc>
          <w:tcPr>
            <w:tcW w:w="951" w:type="dxa"/>
            <w:noWrap w:val="0"/>
            <w:vAlign w:val="center"/>
          </w:tcPr>
          <w:p w14:paraId="7BC56C9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w:t>
            </w:r>
          </w:p>
        </w:tc>
        <w:tc>
          <w:tcPr>
            <w:tcW w:w="4186" w:type="dxa"/>
            <w:noWrap w:val="0"/>
            <w:vAlign w:val="center"/>
          </w:tcPr>
          <w:p w14:paraId="0E557A34">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胆小为失格。对环境适应性弱扣5—10分。</w:t>
            </w:r>
          </w:p>
        </w:tc>
      </w:tr>
      <w:tr w14:paraId="555C0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998" w:type="dxa"/>
            <w:noWrap w:val="0"/>
            <w:vAlign w:val="center"/>
          </w:tcPr>
          <w:p w14:paraId="546ACF1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攻击性</w:t>
            </w:r>
          </w:p>
        </w:tc>
        <w:tc>
          <w:tcPr>
            <w:tcW w:w="2571" w:type="dxa"/>
            <w:noWrap w:val="0"/>
            <w:vAlign w:val="center"/>
          </w:tcPr>
          <w:p w14:paraId="4121290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敢于攻击目标，具有凶猛性</w:t>
            </w:r>
          </w:p>
        </w:tc>
        <w:tc>
          <w:tcPr>
            <w:tcW w:w="951" w:type="dxa"/>
            <w:noWrap w:val="0"/>
            <w:vAlign w:val="center"/>
          </w:tcPr>
          <w:p w14:paraId="2BF9DA5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w:t>
            </w:r>
          </w:p>
        </w:tc>
        <w:tc>
          <w:tcPr>
            <w:tcW w:w="4186" w:type="dxa"/>
            <w:noWrap w:val="0"/>
            <w:vAlign w:val="center"/>
          </w:tcPr>
          <w:p w14:paraId="70EB779A">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不敢攻击目标为失格。有凶猛性但攻击目标为犹豫或胆怯表现扣8分，攻击目标凶猛性不高扣5分。</w:t>
            </w:r>
          </w:p>
        </w:tc>
      </w:tr>
      <w:tr w14:paraId="09DF18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5" w:hRule="exact"/>
          <w:jc w:val="center"/>
        </w:trPr>
        <w:tc>
          <w:tcPr>
            <w:tcW w:w="998" w:type="dxa"/>
            <w:noWrap w:val="0"/>
            <w:vAlign w:val="center"/>
          </w:tcPr>
          <w:p w14:paraId="642D6CB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衔取欲</w:t>
            </w:r>
          </w:p>
        </w:tc>
        <w:tc>
          <w:tcPr>
            <w:tcW w:w="2571" w:type="dxa"/>
            <w:noWrap w:val="0"/>
            <w:vAlign w:val="center"/>
          </w:tcPr>
          <w:p w14:paraId="5CB7D97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猎取反射强，占有欲望强。</w:t>
            </w:r>
          </w:p>
        </w:tc>
        <w:tc>
          <w:tcPr>
            <w:tcW w:w="951" w:type="dxa"/>
            <w:noWrap w:val="0"/>
            <w:vAlign w:val="center"/>
          </w:tcPr>
          <w:p w14:paraId="2469FFC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w:t>
            </w:r>
          </w:p>
        </w:tc>
        <w:tc>
          <w:tcPr>
            <w:tcW w:w="4186" w:type="dxa"/>
            <w:noWrap w:val="0"/>
            <w:vAlign w:val="center"/>
          </w:tcPr>
          <w:p w14:paraId="6D6290DF">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不衔物品为失格。衔取兴奋性不高扣3分，衔取不持久、中途吐物扣2分。占有欲弱扣5分。</w:t>
            </w:r>
          </w:p>
        </w:tc>
      </w:tr>
      <w:tr w14:paraId="1C454C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98" w:type="dxa"/>
            <w:noWrap w:val="0"/>
            <w:vAlign w:val="center"/>
          </w:tcPr>
          <w:p w14:paraId="3898B1A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服从性</w:t>
            </w:r>
          </w:p>
        </w:tc>
        <w:tc>
          <w:tcPr>
            <w:tcW w:w="2571" w:type="dxa"/>
            <w:noWrap w:val="0"/>
            <w:vAlign w:val="center"/>
          </w:tcPr>
          <w:p w14:paraId="419C53F7">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服从主人指挥。</w:t>
            </w:r>
          </w:p>
        </w:tc>
        <w:tc>
          <w:tcPr>
            <w:tcW w:w="951" w:type="dxa"/>
            <w:noWrap w:val="0"/>
            <w:vAlign w:val="center"/>
          </w:tcPr>
          <w:p w14:paraId="4E1B4BB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4186" w:type="dxa"/>
            <w:noWrap w:val="0"/>
            <w:vAlign w:val="center"/>
          </w:tcPr>
          <w:p w14:paraId="72D791F5">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重复指挥一次扣1分，重复指挥二次再扣2分。</w:t>
            </w:r>
          </w:p>
        </w:tc>
      </w:tr>
      <w:tr w14:paraId="33E732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998" w:type="dxa"/>
            <w:noWrap w:val="0"/>
            <w:vAlign w:val="center"/>
          </w:tcPr>
          <w:p w14:paraId="7129AD1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体能</w:t>
            </w:r>
          </w:p>
        </w:tc>
        <w:tc>
          <w:tcPr>
            <w:tcW w:w="2571" w:type="dxa"/>
            <w:noWrap w:val="0"/>
            <w:vAlign w:val="center"/>
          </w:tcPr>
          <w:p w14:paraId="6DFAF165">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能连续奔跑5千米以上。</w:t>
            </w:r>
          </w:p>
        </w:tc>
        <w:tc>
          <w:tcPr>
            <w:tcW w:w="951" w:type="dxa"/>
            <w:noWrap w:val="0"/>
            <w:vAlign w:val="center"/>
          </w:tcPr>
          <w:p w14:paraId="00DEC8E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w:t>
            </w:r>
          </w:p>
        </w:tc>
        <w:tc>
          <w:tcPr>
            <w:tcW w:w="4186" w:type="dxa"/>
            <w:noWrap w:val="0"/>
            <w:vAlign w:val="center"/>
          </w:tcPr>
          <w:p w14:paraId="30F8DBFA">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不能连续奔跑3千米不得分，不能连续奔跑4千米扣5分。</w:t>
            </w:r>
          </w:p>
        </w:tc>
      </w:tr>
    </w:tbl>
    <w:p w14:paraId="1E3F3B2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4ABFC32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w:t>
      </w: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rPr>
        <w:t>-3：德国牧羊犬种公犬繁殖性能认证项目及评分标准</w:t>
      </w:r>
    </w:p>
    <w:tbl>
      <w:tblPr>
        <w:tblStyle w:val="13"/>
        <w:tblW w:w="86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862"/>
        <w:gridCol w:w="951"/>
        <w:gridCol w:w="3854"/>
      </w:tblGrid>
      <w:tr w14:paraId="5F9BF6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26" w:type="dxa"/>
            <w:noWrap w:val="0"/>
            <w:vAlign w:val="center"/>
          </w:tcPr>
          <w:p w14:paraId="08A62CA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862" w:type="dxa"/>
            <w:noWrap w:val="0"/>
            <w:vAlign w:val="center"/>
          </w:tcPr>
          <w:p w14:paraId="751FB5E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951" w:type="dxa"/>
            <w:noWrap w:val="0"/>
            <w:vAlign w:val="center"/>
          </w:tcPr>
          <w:p w14:paraId="47C67C0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3854" w:type="dxa"/>
            <w:noWrap w:val="0"/>
            <w:vAlign w:val="center"/>
          </w:tcPr>
          <w:p w14:paraId="2AC70DE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3E0598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1026" w:type="dxa"/>
            <w:noWrap w:val="0"/>
            <w:vAlign w:val="center"/>
          </w:tcPr>
          <w:p w14:paraId="1802807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性反射</w:t>
            </w:r>
          </w:p>
          <w:p w14:paraId="3DB2D0C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能力</w:t>
            </w:r>
          </w:p>
        </w:tc>
        <w:tc>
          <w:tcPr>
            <w:tcW w:w="2862" w:type="dxa"/>
            <w:noWrap w:val="0"/>
            <w:vAlign w:val="center"/>
          </w:tcPr>
          <w:p w14:paraId="03701E17">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spacing w:val="-8"/>
                <w:kern w:val="2"/>
                <w:sz w:val="24"/>
                <w:szCs w:val="24"/>
                <w:highlight w:val="none"/>
              </w:rPr>
            </w:pPr>
            <w:r>
              <w:rPr>
                <w:rFonts w:hint="eastAsia" w:ascii="仿宋" w:hAnsi="仿宋" w:eastAsia="仿宋" w:cs="仿宋"/>
                <w:color w:val="auto"/>
                <w:spacing w:val="-8"/>
                <w:kern w:val="2"/>
                <w:sz w:val="24"/>
                <w:szCs w:val="24"/>
                <w:highlight w:val="none"/>
              </w:rPr>
              <w:t>对发情母犬产生强烈的性欲望。</w:t>
            </w:r>
          </w:p>
        </w:tc>
        <w:tc>
          <w:tcPr>
            <w:tcW w:w="951" w:type="dxa"/>
            <w:noWrap w:val="0"/>
            <w:vAlign w:val="center"/>
          </w:tcPr>
          <w:p w14:paraId="12D63E2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40</w:t>
            </w:r>
          </w:p>
        </w:tc>
        <w:tc>
          <w:tcPr>
            <w:tcW w:w="3854" w:type="dxa"/>
            <w:noWrap w:val="0"/>
            <w:vAlign w:val="center"/>
          </w:tcPr>
          <w:p w14:paraId="467F4114">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靠近最适交配期发情母犬，不嗅闻又不爬跨为失格。交配欲望较差扣5分，交配时爬跨5—10次后不再爬跨扣5分，爬跨2—3次后不再爬跨扣10分，对发情母犬只嗅闻完全不爬跨扣30分。</w:t>
            </w:r>
          </w:p>
        </w:tc>
      </w:tr>
      <w:tr w14:paraId="3107F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26" w:type="dxa"/>
            <w:noWrap w:val="0"/>
            <w:vAlign w:val="center"/>
          </w:tcPr>
          <w:p w14:paraId="45C5DA8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精子</w:t>
            </w:r>
          </w:p>
          <w:p w14:paraId="64C1EE1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活力</w:t>
            </w:r>
          </w:p>
        </w:tc>
        <w:tc>
          <w:tcPr>
            <w:tcW w:w="2862" w:type="dxa"/>
            <w:noWrap w:val="0"/>
            <w:vAlign w:val="center"/>
          </w:tcPr>
          <w:p w14:paraId="78E0F42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0.6以上</w:t>
            </w:r>
          </w:p>
        </w:tc>
        <w:tc>
          <w:tcPr>
            <w:tcW w:w="951" w:type="dxa"/>
            <w:noWrap w:val="0"/>
            <w:vAlign w:val="center"/>
          </w:tcPr>
          <w:p w14:paraId="3D24A80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60</w:t>
            </w:r>
          </w:p>
        </w:tc>
        <w:tc>
          <w:tcPr>
            <w:tcW w:w="3854" w:type="dxa"/>
            <w:noWrap w:val="0"/>
            <w:vAlign w:val="center"/>
          </w:tcPr>
          <w:p w14:paraId="00B8F7F5">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低于0.6为失格。0.8以上得满分，每少0.1扣9分。</w:t>
            </w:r>
          </w:p>
        </w:tc>
      </w:tr>
    </w:tbl>
    <w:p w14:paraId="4266DAA0">
      <w:pPr>
        <w:keepNext w:val="0"/>
        <w:keepLines w:val="0"/>
        <w:pageBreakBefore w:val="0"/>
        <w:numPr>
          <w:ilvl w:val="-1"/>
          <w:numId w:val="0"/>
        </w:numPr>
        <w:overflowPunct/>
        <w:topLinePunct w:val="0"/>
        <w:bidi w:val="0"/>
        <w:adjustRightInd/>
        <w:spacing w:line="0" w:lineRule="atLeast"/>
        <w:ind w:firstLine="0"/>
        <w:jc w:val="both"/>
        <w:textAlignment w:val="auto"/>
        <w:rPr>
          <w:rFonts w:hint="eastAsia" w:ascii="仿宋" w:hAnsi="仿宋" w:eastAsia="仿宋" w:cs="仿宋"/>
          <w:color w:val="auto"/>
          <w:kern w:val="2"/>
          <w:sz w:val="24"/>
          <w:szCs w:val="24"/>
          <w:highlight w:val="none"/>
        </w:rPr>
      </w:pPr>
    </w:p>
    <w:p w14:paraId="6958B9F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w:t>
      </w: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rPr>
        <w:t>-4：德国牧羊犬种母犬繁殖性能认证项目及评分标准</w:t>
      </w:r>
    </w:p>
    <w:tbl>
      <w:tblPr>
        <w:tblStyle w:val="13"/>
        <w:tblW w:w="86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2874"/>
        <w:gridCol w:w="951"/>
        <w:gridCol w:w="3854"/>
      </w:tblGrid>
      <w:tr w14:paraId="4881C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4" w:type="dxa"/>
            <w:noWrap w:val="0"/>
            <w:vAlign w:val="center"/>
          </w:tcPr>
          <w:p w14:paraId="24B72C4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874" w:type="dxa"/>
            <w:noWrap w:val="0"/>
            <w:vAlign w:val="center"/>
          </w:tcPr>
          <w:p w14:paraId="1414820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951" w:type="dxa"/>
            <w:noWrap w:val="0"/>
            <w:vAlign w:val="center"/>
          </w:tcPr>
          <w:p w14:paraId="77D4FA2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3854" w:type="dxa"/>
            <w:noWrap w:val="0"/>
            <w:vAlign w:val="center"/>
          </w:tcPr>
          <w:p w14:paraId="558E535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3B484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1014" w:type="dxa"/>
            <w:noWrap w:val="0"/>
            <w:vAlign w:val="center"/>
          </w:tcPr>
          <w:p w14:paraId="10A0CC0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窝产</w:t>
            </w:r>
          </w:p>
          <w:p w14:paraId="327EE23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仔数</w:t>
            </w:r>
          </w:p>
        </w:tc>
        <w:tc>
          <w:tcPr>
            <w:tcW w:w="2874" w:type="dxa"/>
            <w:noWrap w:val="0"/>
            <w:vAlign w:val="center"/>
          </w:tcPr>
          <w:p w14:paraId="65F1CDD4">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spacing w:val="-8"/>
                <w:kern w:val="2"/>
                <w:sz w:val="24"/>
                <w:szCs w:val="24"/>
                <w:highlight w:val="none"/>
              </w:rPr>
            </w:pPr>
            <w:r>
              <w:rPr>
                <w:rFonts w:hint="eastAsia" w:ascii="仿宋" w:hAnsi="仿宋" w:eastAsia="仿宋" w:cs="仿宋"/>
                <w:color w:val="auto"/>
                <w:spacing w:val="-8"/>
                <w:kern w:val="2"/>
                <w:sz w:val="24"/>
                <w:szCs w:val="24"/>
                <w:highlight w:val="none"/>
              </w:rPr>
              <w:t>累计2窝以上（含2窝）资料评定，平均窝产仔数达到6头以上。</w:t>
            </w:r>
          </w:p>
        </w:tc>
        <w:tc>
          <w:tcPr>
            <w:tcW w:w="951" w:type="dxa"/>
            <w:noWrap w:val="0"/>
            <w:vAlign w:val="center"/>
          </w:tcPr>
          <w:p w14:paraId="1DB57BA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30</w:t>
            </w:r>
          </w:p>
        </w:tc>
        <w:tc>
          <w:tcPr>
            <w:tcW w:w="3854" w:type="dxa"/>
            <w:noWrap w:val="0"/>
            <w:vAlign w:val="center"/>
          </w:tcPr>
          <w:p w14:paraId="5C2F59D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平均窝产仔数6头以上得满分，每少1头扣10分。</w:t>
            </w:r>
          </w:p>
        </w:tc>
      </w:tr>
      <w:tr w14:paraId="5724E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4" w:type="dxa"/>
            <w:noWrap w:val="0"/>
            <w:vAlign w:val="center"/>
          </w:tcPr>
          <w:p w14:paraId="7AC4BAE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初生重</w:t>
            </w:r>
          </w:p>
        </w:tc>
        <w:tc>
          <w:tcPr>
            <w:tcW w:w="2874" w:type="dxa"/>
            <w:noWrap w:val="0"/>
            <w:vAlign w:val="center"/>
          </w:tcPr>
          <w:p w14:paraId="362D32FF">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每头仔犬0.32kg以上</w:t>
            </w:r>
          </w:p>
        </w:tc>
        <w:tc>
          <w:tcPr>
            <w:tcW w:w="951" w:type="dxa"/>
            <w:noWrap w:val="0"/>
            <w:vAlign w:val="center"/>
          </w:tcPr>
          <w:p w14:paraId="12A0103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w:t>
            </w:r>
          </w:p>
        </w:tc>
        <w:tc>
          <w:tcPr>
            <w:tcW w:w="3854" w:type="dxa"/>
            <w:noWrap w:val="0"/>
            <w:vAlign w:val="center"/>
          </w:tcPr>
          <w:p w14:paraId="0AC80E6A">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每1头不达标扣4分，连续两窝仔犬超过半数不达标为失格。</w:t>
            </w:r>
          </w:p>
        </w:tc>
      </w:tr>
      <w:tr w14:paraId="431E0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4" w:type="dxa"/>
            <w:noWrap w:val="0"/>
            <w:vAlign w:val="center"/>
          </w:tcPr>
          <w:p w14:paraId="2B7E6AA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断奶成</w:t>
            </w:r>
          </w:p>
          <w:p w14:paraId="12B394C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活率</w:t>
            </w:r>
          </w:p>
        </w:tc>
        <w:tc>
          <w:tcPr>
            <w:tcW w:w="2874" w:type="dxa"/>
            <w:noWrap w:val="0"/>
            <w:vAlign w:val="center"/>
          </w:tcPr>
          <w:p w14:paraId="22935AD7">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累计2窝以上（含2窝）资料评定，断奶成活率80%以上。</w:t>
            </w:r>
          </w:p>
        </w:tc>
        <w:tc>
          <w:tcPr>
            <w:tcW w:w="951" w:type="dxa"/>
            <w:noWrap w:val="0"/>
            <w:vAlign w:val="center"/>
          </w:tcPr>
          <w:p w14:paraId="396559B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w:t>
            </w:r>
          </w:p>
        </w:tc>
        <w:tc>
          <w:tcPr>
            <w:tcW w:w="3854" w:type="dxa"/>
            <w:noWrap w:val="0"/>
            <w:vAlign w:val="center"/>
          </w:tcPr>
          <w:p w14:paraId="48121D2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断奶成活率90%以上为满分，每减少1%扣2分。</w:t>
            </w:r>
          </w:p>
        </w:tc>
      </w:tr>
      <w:tr w14:paraId="33FCCC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4" w:type="dxa"/>
            <w:noWrap w:val="0"/>
            <w:vAlign w:val="center"/>
          </w:tcPr>
          <w:p w14:paraId="0AF7102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2月龄</w:t>
            </w:r>
          </w:p>
          <w:p w14:paraId="41724AF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体重</w:t>
            </w:r>
          </w:p>
        </w:tc>
        <w:tc>
          <w:tcPr>
            <w:tcW w:w="2874" w:type="dxa"/>
            <w:noWrap w:val="0"/>
            <w:vAlign w:val="center"/>
          </w:tcPr>
          <w:p w14:paraId="123A205D">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每头幼犬4kg以上</w:t>
            </w:r>
          </w:p>
        </w:tc>
        <w:tc>
          <w:tcPr>
            <w:tcW w:w="951" w:type="dxa"/>
            <w:noWrap w:val="0"/>
            <w:vAlign w:val="center"/>
          </w:tcPr>
          <w:p w14:paraId="0598A78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w:t>
            </w:r>
          </w:p>
        </w:tc>
        <w:tc>
          <w:tcPr>
            <w:tcW w:w="3854" w:type="dxa"/>
            <w:noWrap w:val="0"/>
            <w:vAlign w:val="center"/>
          </w:tcPr>
          <w:p w14:paraId="1A4CE00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每1头不达标扣4分，连续两窝幼犬超过半数不达标为失格。</w:t>
            </w:r>
          </w:p>
        </w:tc>
      </w:tr>
    </w:tbl>
    <w:p w14:paraId="05B3D71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405BB7F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w:t>
      </w: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rPr>
        <w:t>-5：德国牧羊犬后裔品质认证项目及评分标准</w:t>
      </w:r>
    </w:p>
    <w:tbl>
      <w:tblPr>
        <w:tblStyle w:val="13"/>
        <w:tblW w:w="88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957"/>
        <w:gridCol w:w="879"/>
        <w:gridCol w:w="3991"/>
      </w:tblGrid>
      <w:tr w14:paraId="70C56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024" w:type="dxa"/>
            <w:noWrap w:val="0"/>
            <w:vAlign w:val="center"/>
          </w:tcPr>
          <w:p w14:paraId="2422256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957" w:type="dxa"/>
            <w:noWrap w:val="0"/>
            <w:vAlign w:val="center"/>
          </w:tcPr>
          <w:p w14:paraId="63E6D0F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879" w:type="dxa"/>
            <w:noWrap w:val="0"/>
            <w:vAlign w:val="center"/>
          </w:tcPr>
          <w:p w14:paraId="3F366D0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3991" w:type="dxa"/>
            <w:noWrap w:val="0"/>
            <w:vAlign w:val="center"/>
          </w:tcPr>
          <w:p w14:paraId="7BA8A74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1533D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1024" w:type="dxa"/>
            <w:noWrap w:val="0"/>
            <w:vAlign w:val="center"/>
          </w:tcPr>
          <w:p w14:paraId="059DEBA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同窝仔犬整齐度</w:t>
            </w:r>
          </w:p>
        </w:tc>
        <w:tc>
          <w:tcPr>
            <w:tcW w:w="2957" w:type="dxa"/>
            <w:noWrap w:val="0"/>
            <w:vAlign w:val="center"/>
          </w:tcPr>
          <w:p w14:paraId="7B9DE1FA">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同窝犬初生体重、2月龄体重离平均体重偏差不超过20%。</w:t>
            </w:r>
          </w:p>
        </w:tc>
        <w:tc>
          <w:tcPr>
            <w:tcW w:w="879" w:type="dxa"/>
            <w:noWrap w:val="0"/>
            <w:vAlign w:val="center"/>
          </w:tcPr>
          <w:p w14:paraId="0EE2BFE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40</w:t>
            </w:r>
          </w:p>
        </w:tc>
        <w:tc>
          <w:tcPr>
            <w:tcW w:w="3991" w:type="dxa"/>
            <w:noWrap w:val="0"/>
            <w:vAlign w:val="center"/>
          </w:tcPr>
          <w:p w14:paraId="04280596">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偏差小于10%计满分（产仔数8头以上，差率小于15%计满分）。每增加1%扣2分。</w:t>
            </w:r>
          </w:p>
        </w:tc>
      </w:tr>
      <w:tr w14:paraId="32CE43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024" w:type="dxa"/>
            <w:noWrap w:val="0"/>
            <w:vAlign w:val="center"/>
          </w:tcPr>
          <w:p w14:paraId="7D2DC95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幼训</w:t>
            </w:r>
          </w:p>
          <w:p w14:paraId="45DF055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合格率</w:t>
            </w:r>
          </w:p>
        </w:tc>
        <w:tc>
          <w:tcPr>
            <w:tcW w:w="2957" w:type="dxa"/>
            <w:noWrap w:val="0"/>
            <w:vAlign w:val="center"/>
          </w:tcPr>
          <w:p w14:paraId="39F03F9D">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不低于75%</w:t>
            </w:r>
          </w:p>
        </w:tc>
        <w:tc>
          <w:tcPr>
            <w:tcW w:w="879" w:type="dxa"/>
            <w:noWrap w:val="0"/>
            <w:vAlign w:val="center"/>
          </w:tcPr>
          <w:p w14:paraId="0405A99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30</w:t>
            </w:r>
          </w:p>
        </w:tc>
        <w:tc>
          <w:tcPr>
            <w:tcW w:w="3991" w:type="dxa"/>
            <w:noWrap w:val="0"/>
            <w:vAlign w:val="center"/>
          </w:tcPr>
          <w:p w14:paraId="2A0AB3D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合格率85%以上得满分，每减少1%扣3分。</w:t>
            </w:r>
          </w:p>
        </w:tc>
      </w:tr>
      <w:tr w14:paraId="0A314F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024" w:type="dxa"/>
            <w:noWrap w:val="0"/>
            <w:vAlign w:val="center"/>
          </w:tcPr>
          <w:p w14:paraId="6212596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训练</w:t>
            </w:r>
          </w:p>
          <w:p w14:paraId="329A417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合格率</w:t>
            </w:r>
          </w:p>
        </w:tc>
        <w:tc>
          <w:tcPr>
            <w:tcW w:w="2957" w:type="dxa"/>
            <w:noWrap w:val="0"/>
            <w:vAlign w:val="center"/>
          </w:tcPr>
          <w:p w14:paraId="3A5ED8E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不低于70%</w:t>
            </w:r>
          </w:p>
        </w:tc>
        <w:tc>
          <w:tcPr>
            <w:tcW w:w="879" w:type="dxa"/>
            <w:noWrap w:val="0"/>
            <w:vAlign w:val="center"/>
          </w:tcPr>
          <w:p w14:paraId="2078935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30</w:t>
            </w:r>
          </w:p>
        </w:tc>
        <w:tc>
          <w:tcPr>
            <w:tcW w:w="3991" w:type="dxa"/>
            <w:noWrap w:val="0"/>
            <w:vAlign w:val="center"/>
          </w:tcPr>
          <w:p w14:paraId="114C233F">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合格率80%以上得满分，每减少1%扣3分。</w:t>
            </w:r>
          </w:p>
        </w:tc>
      </w:tr>
    </w:tbl>
    <w:p w14:paraId="6F2A9EB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5FD68EA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表2-1：昆明犬种犬体形外貌认证项目及评分标准</w:t>
      </w:r>
    </w:p>
    <w:tbl>
      <w:tblPr>
        <w:tblStyle w:val="13"/>
        <w:tblW w:w="89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6"/>
        <w:gridCol w:w="3641"/>
        <w:gridCol w:w="707"/>
        <w:gridCol w:w="4094"/>
      </w:tblGrid>
      <w:tr w14:paraId="68AE9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16" w:type="dxa"/>
            <w:noWrap w:val="0"/>
            <w:vAlign w:val="center"/>
          </w:tcPr>
          <w:p w14:paraId="5461547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3641" w:type="dxa"/>
            <w:noWrap w:val="0"/>
            <w:vAlign w:val="center"/>
          </w:tcPr>
          <w:p w14:paraId="3004C6A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707" w:type="dxa"/>
            <w:noWrap w:val="0"/>
            <w:vAlign w:val="center"/>
          </w:tcPr>
          <w:p w14:paraId="32B84E7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4094" w:type="dxa"/>
            <w:noWrap w:val="0"/>
            <w:vAlign w:val="center"/>
          </w:tcPr>
          <w:p w14:paraId="14BC65A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30DD2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09" w:hRule="exact"/>
          <w:jc w:val="center"/>
        </w:trPr>
        <w:tc>
          <w:tcPr>
            <w:tcW w:w="516" w:type="dxa"/>
            <w:vMerge w:val="restart"/>
            <w:noWrap w:val="0"/>
            <w:vAlign w:val="center"/>
          </w:tcPr>
          <w:p w14:paraId="68BA240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总</w:t>
            </w:r>
          </w:p>
          <w:p w14:paraId="6801DFB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w:t>
            </w:r>
          </w:p>
          <w:p w14:paraId="4051A12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外</w:t>
            </w:r>
          </w:p>
          <w:p w14:paraId="385F2EB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貌</w:t>
            </w:r>
          </w:p>
        </w:tc>
        <w:tc>
          <w:tcPr>
            <w:tcW w:w="3641" w:type="dxa"/>
            <w:noWrap w:val="0"/>
            <w:vAlign w:val="center"/>
          </w:tcPr>
          <w:p w14:paraId="3005FA0A">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1.各部位匀称，身体结构紧凑、坚实。生殖器官发育正常，公母犬性特征明显。体尺比例恰当，体长略大于体高。</w:t>
            </w:r>
          </w:p>
          <w:p w14:paraId="0412783A">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体尺标准（单位cm）：</w:t>
            </w:r>
          </w:p>
          <w:p w14:paraId="7F5B158D">
            <w:pPr>
              <w:keepNext w:val="0"/>
              <w:keepLines w:val="0"/>
              <w:pageBreakBefore w:val="0"/>
              <w:numPr>
                <w:ilvl w:val="-1"/>
                <w:numId w:val="0"/>
              </w:numPr>
              <w:overflowPunct/>
              <w:topLinePunct w:val="0"/>
              <w:bidi w:val="0"/>
              <w:adjustRightInd/>
              <w:spacing w:line="0" w:lineRule="atLeast"/>
              <w:ind w:firstLine="532" w:firstLineChars="222"/>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体高体长荐高胸围胸深</w:t>
            </w:r>
          </w:p>
          <w:p w14:paraId="1811F8F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公65-7070-7663-6870-8030-34</w:t>
            </w:r>
          </w:p>
          <w:p w14:paraId="4593F51D">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母60-6565-7058-6365-7526-32</w:t>
            </w:r>
          </w:p>
        </w:tc>
        <w:tc>
          <w:tcPr>
            <w:tcW w:w="707" w:type="dxa"/>
            <w:noWrap w:val="0"/>
            <w:vAlign w:val="center"/>
          </w:tcPr>
          <w:p w14:paraId="1BBDE52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w:t>
            </w:r>
          </w:p>
        </w:tc>
        <w:tc>
          <w:tcPr>
            <w:tcW w:w="4094" w:type="dxa"/>
            <w:noWrap w:val="0"/>
            <w:vAlign w:val="center"/>
          </w:tcPr>
          <w:p w14:paraId="2A83253D">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性特征不明显，公犬单、双侧隐睾、体尺偏差超过5cm，荐高超过体高为失格，母犬乳头少于4对为失格。胸围较小，比例不相称扣2分，胸深超过体高的一半扣5分，荐高、体高每偏差1cm扣1分。</w:t>
            </w:r>
          </w:p>
        </w:tc>
      </w:tr>
      <w:tr w14:paraId="66294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52" w:hRule="exact"/>
          <w:jc w:val="center"/>
        </w:trPr>
        <w:tc>
          <w:tcPr>
            <w:tcW w:w="516" w:type="dxa"/>
            <w:vMerge w:val="continue"/>
            <w:noWrap w:val="0"/>
            <w:vAlign w:val="center"/>
          </w:tcPr>
          <w:p w14:paraId="0BF9618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641" w:type="dxa"/>
            <w:noWrap w:val="0"/>
            <w:vAlign w:val="center"/>
          </w:tcPr>
          <w:p w14:paraId="1593A48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2.毛短而紧密，针毛层密、毛直而粗糙，绒毛层较少。毛色有狼青色、草黄色和黑背黄腹。</w:t>
            </w:r>
          </w:p>
        </w:tc>
        <w:tc>
          <w:tcPr>
            <w:tcW w:w="707" w:type="dxa"/>
            <w:noWrap w:val="0"/>
            <w:vAlign w:val="center"/>
          </w:tcPr>
          <w:p w14:paraId="70989EC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w:t>
            </w:r>
          </w:p>
        </w:tc>
        <w:tc>
          <w:tcPr>
            <w:tcW w:w="4094" w:type="dxa"/>
            <w:noWrap w:val="0"/>
            <w:vAlign w:val="center"/>
          </w:tcPr>
          <w:p w14:paraId="6CBC8ED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明显白毛、银灰色、桔黄色、棕红色、中毛、长毛、趾间明显长毛等均为失格。狼青色含黄毛明显的扣1分，黑背但腹毛黄色不明显的扣1分，耳朵绒毛多者扣1分，背毛出现沙白的扣1分，脚趾间出现少量长毛的扣1分，除草黄犬外、背毛卷的扣2分。</w:t>
            </w:r>
          </w:p>
        </w:tc>
      </w:tr>
      <w:tr w14:paraId="25912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0" w:hRule="exact"/>
          <w:jc w:val="center"/>
        </w:trPr>
        <w:tc>
          <w:tcPr>
            <w:tcW w:w="516" w:type="dxa"/>
            <w:vMerge w:val="restart"/>
            <w:noWrap w:val="0"/>
            <w:vAlign w:val="center"/>
          </w:tcPr>
          <w:p w14:paraId="1A15678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头</w:t>
            </w:r>
          </w:p>
          <w:p w14:paraId="37A0E60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471283E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颈</w:t>
            </w:r>
          </w:p>
          <w:p w14:paraId="1535686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58F231A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部</w:t>
            </w:r>
          </w:p>
        </w:tc>
        <w:tc>
          <w:tcPr>
            <w:tcW w:w="3641" w:type="dxa"/>
            <w:noWrap w:val="0"/>
            <w:vAlign w:val="center"/>
          </w:tcPr>
          <w:p w14:paraId="073D970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3.头部呈楔形，外形轮廓明显，吻部比额部稍长或等长。</w:t>
            </w:r>
          </w:p>
        </w:tc>
        <w:tc>
          <w:tcPr>
            <w:tcW w:w="707" w:type="dxa"/>
            <w:noWrap w:val="0"/>
            <w:vAlign w:val="center"/>
          </w:tcPr>
          <w:p w14:paraId="72D5575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w:t>
            </w:r>
          </w:p>
        </w:tc>
        <w:tc>
          <w:tcPr>
            <w:tcW w:w="4094" w:type="dxa"/>
            <w:noWrap w:val="0"/>
            <w:vAlign w:val="center"/>
          </w:tcPr>
          <w:p w14:paraId="51F8B41A">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颈部皮肤明显松弛、眼眶外明显黑色形成四眼犬的均为失格。头部楔形不明显扣2分，外廓不明显扣1分，黑背犬头无蝴蝶斑或口吻非黑色分别扣2分。</w:t>
            </w:r>
          </w:p>
        </w:tc>
      </w:tr>
      <w:tr w14:paraId="3FCDF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516" w:type="dxa"/>
            <w:vMerge w:val="continue"/>
            <w:noWrap w:val="0"/>
            <w:vAlign w:val="center"/>
          </w:tcPr>
          <w:p w14:paraId="2F3FF7E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641" w:type="dxa"/>
            <w:noWrap w:val="0"/>
            <w:vAlign w:val="center"/>
          </w:tcPr>
          <w:p w14:paraId="0AD261E4">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4.眼：眼呈杏仁形，暗褐色或杏黄色。</w:t>
            </w:r>
          </w:p>
        </w:tc>
        <w:tc>
          <w:tcPr>
            <w:tcW w:w="707" w:type="dxa"/>
            <w:noWrap w:val="0"/>
            <w:vAlign w:val="center"/>
          </w:tcPr>
          <w:p w14:paraId="2A6AAA3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tc>
        <w:tc>
          <w:tcPr>
            <w:tcW w:w="4094" w:type="dxa"/>
            <w:noWrap w:val="0"/>
            <w:vAlign w:val="center"/>
          </w:tcPr>
          <w:p w14:paraId="22CEBDEA">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不呈杏形扣1分，白色或其它颜色均为失格。</w:t>
            </w:r>
          </w:p>
        </w:tc>
      </w:tr>
      <w:tr w14:paraId="59497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exact"/>
          <w:jc w:val="center"/>
        </w:trPr>
        <w:tc>
          <w:tcPr>
            <w:tcW w:w="516" w:type="dxa"/>
            <w:vMerge w:val="continue"/>
            <w:noWrap w:val="0"/>
            <w:vAlign w:val="center"/>
          </w:tcPr>
          <w:p w14:paraId="0B32DFB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641" w:type="dxa"/>
            <w:noWrap w:val="0"/>
            <w:vAlign w:val="center"/>
          </w:tcPr>
          <w:p w14:paraId="11E523C6">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5.耳：呈三角形，两耳自然直立，大小适中，活动灵活。</w:t>
            </w:r>
          </w:p>
        </w:tc>
        <w:tc>
          <w:tcPr>
            <w:tcW w:w="707" w:type="dxa"/>
            <w:noWrap w:val="0"/>
            <w:vAlign w:val="center"/>
          </w:tcPr>
          <w:p w14:paraId="3B7AAB2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w:t>
            </w:r>
          </w:p>
        </w:tc>
        <w:tc>
          <w:tcPr>
            <w:tcW w:w="4094" w:type="dxa"/>
            <w:noWrap w:val="0"/>
            <w:vAlign w:val="center"/>
          </w:tcPr>
          <w:p w14:paraId="37B5A6A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耳半立或不立为失格。耳过长、过大扣2分。</w:t>
            </w:r>
          </w:p>
        </w:tc>
      </w:tr>
      <w:tr w14:paraId="016FD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4" w:hRule="exact"/>
          <w:jc w:val="center"/>
        </w:trPr>
        <w:tc>
          <w:tcPr>
            <w:tcW w:w="516" w:type="dxa"/>
            <w:vMerge w:val="continue"/>
            <w:noWrap w:val="0"/>
            <w:vAlign w:val="center"/>
          </w:tcPr>
          <w:p w14:paraId="20934AC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641" w:type="dxa"/>
            <w:noWrap w:val="0"/>
            <w:vAlign w:val="center"/>
          </w:tcPr>
          <w:p w14:paraId="4A5BF694">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6.口鼻：鼻梁直，基部宽、鼻镜为黑色，吻粗短、嘴唇为黑色。</w:t>
            </w:r>
          </w:p>
        </w:tc>
        <w:tc>
          <w:tcPr>
            <w:tcW w:w="707" w:type="dxa"/>
            <w:noWrap w:val="0"/>
            <w:vAlign w:val="center"/>
          </w:tcPr>
          <w:p w14:paraId="76342A6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w:t>
            </w:r>
          </w:p>
        </w:tc>
        <w:tc>
          <w:tcPr>
            <w:tcW w:w="4094" w:type="dxa"/>
            <w:noWrap w:val="0"/>
            <w:vAlign w:val="center"/>
          </w:tcPr>
          <w:p w14:paraId="115F12B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鼻镜缺乏色素、红鼻镜、嘴唇粉红色为失格，吻部过细扣2分。</w:t>
            </w:r>
          </w:p>
        </w:tc>
      </w:tr>
      <w:tr w14:paraId="1FA92A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1" w:hRule="exact"/>
          <w:jc w:val="center"/>
        </w:trPr>
        <w:tc>
          <w:tcPr>
            <w:tcW w:w="516" w:type="dxa"/>
            <w:vMerge w:val="continue"/>
            <w:noWrap w:val="0"/>
            <w:vAlign w:val="center"/>
          </w:tcPr>
          <w:p w14:paraId="40C639D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641" w:type="dxa"/>
            <w:noWrap w:val="0"/>
            <w:vAlign w:val="center"/>
          </w:tcPr>
          <w:p w14:paraId="2733D83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7.齿：齿42颗，位置正确，排列整齐，剪式咬合。齿式为：</w:t>
            </w:r>
          </w:p>
          <w:p w14:paraId="35C5D18B">
            <w:pPr>
              <w:keepNext w:val="0"/>
              <w:keepLines w:val="0"/>
              <w:pageBreakBefore w:val="0"/>
              <w:numPr>
                <w:ilvl w:val="-1"/>
                <w:numId w:val="0"/>
              </w:numPr>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3.1.4.2</w:t>
            </w:r>
          </w:p>
          <w:p w14:paraId="34B6A6C2">
            <w:pPr>
              <w:keepNext w:val="0"/>
              <w:keepLines w:val="0"/>
              <w:pageBreakBefore w:val="0"/>
              <w:numPr>
                <w:ilvl w:val="-1"/>
                <w:numId w:val="0"/>
              </w:numPr>
              <w:overflowPunct/>
              <w:topLinePunct w:val="0"/>
              <w:bidi w:val="0"/>
              <w:adjustRightInd/>
              <w:spacing w:line="0" w:lineRule="atLeast"/>
              <w:ind w:firstLine="482"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b/>
                <w:color w:val="auto"/>
                <w:kern w:val="2"/>
                <w:sz w:val="24"/>
                <w:szCs w:val="24"/>
                <w:highlight w:val="none"/>
              </w:rPr>
              <w:t>———</w:t>
            </w:r>
            <w:r>
              <w:rPr>
                <w:rFonts w:hint="eastAsia" w:ascii="仿宋" w:hAnsi="仿宋" w:eastAsia="仿宋" w:cs="仿宋"/>
                <w:color w:val="auto"/>
                <w:kern w:val="2"/>
                <w:sz w:val="24"/>
                <w:szCs w:val="24"/>
                <w:highlight w:val="none"/>
              </w:rPr>
              <w:t>×2</w:t>
            </w:r>
          </w:p>
          <w:p w14:paraId="4572D578">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3.1.4.3</w:t>
            </w:r>
          </w:p>
        </w:tc>
        <w:tc>
          <w:tcPr>
            <w:tcW w:w="707" w:type="dxa"/>
            <w:noWrap w:val="0"/>
            <w:vAlign w:val="center"/>
          </w:tcPr>
          <w:p w14:paraId="41024EE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w:t>
            </w:r>
          </w:p>
        </w:tc>
        <w:tc>
          <w:tcPr>
            <w:tcW w:w="4094" w:type="dxa"/>
            <w:noWrap w:val="0"/>
            <w:vAlign w:val="center"/>
          </w:tcPr>
          <w:p w14:paraId="02799E6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缺犬齿、上超或下超咬合为失格。牙齿整齐度差扣1分，咬合不良扣2分。</w:t>
            </w:r>
          </w:p>
        </w:tc>
      </w:tr>
      <w:tr w14:paraId="5D412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4" w:hRule="exact"/>
          <w:jc w:val="center"/>
        </w:trPr>
        <w:tc>
          <w:tcPr>
            <w:tcW w:w="516" w:type="dxa"/>
            <w:vMerge w:val="continue"/>
            <w:noWrap w:val="0"/>
            <w:vAlign w:val="center"/>
          </w:tcPr>
          <w:p w14:paraId="35035A5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641" w:type="dxa"/>
            <w:noWrap w:val="0"/>
            <w:vAlign w:val="center"/>
          </w:tcPr>
          <w:p w14:paraId="5485FD3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8.颈部：颈部肌肉较少，无松弛皮肤。</w:t>
            </w:r>
          </w:p>
        </w:tc>
        <w:tc>
          <w:tcPr>
            <w:tcW w:w="707" w:type="dxa"/>
            <w:noWrap w:val="0"/>
            <w:vAlign w:val="center"/>
          </w:tcPr>
          <w:p w14:paraId="2D23225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w:t>
            </w:r>
          </w:p>
        </w:tc>
        <w:tc>
          <w:tcPr>
            <w:tcW w:w="4094" w:type="dxa"/>
            <w:noWrap w:val="0"/>
            <w:vAlign w:val="center"/>
          </w:tcPr>
          <w:p w14:paraId="1D2423D4">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颈部过短或肌肉过于发达扣1分，颈部皮肤松弛扣1分。</w:t>
            </w:r>
          </w:p>
        </w:tc>
      </w:tr>
      <w:tr w14:paraId="32607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16" w:type="dxa"/>
            <w:noWrap w:val="0"/>
            <w:vAlign w:val="center"/>
          </w:tcPr>
          <w:p w14:paraId="62FD727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躯</w:t>
            </w:r>
          </w:p>
          <w:p w14:paraId="197BA2C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干</w:t>
            </w:r>
          </w:p>
          <w:p w14:paraId="3E93261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部</w:t>
            </w:r>
          </w:p>
        </w:tc>
        <w:tc>
          <w:tcPr>
            <w:tcW w:w="3641" w:type="dxa"/>
            <w:noWrap w:val="0"/>
            <w:vAlign w:val="center"/>
          </w:tcPr>
          <w:p w14:paraId="23ED1E4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9.鬐甲突出，背腰平直，胸部向后经腹部升高而收腹，腹围较小、背腰线接近水平。</w:t>
            </w:r>
          </w:p>
        </w:tc>
        <w:tc>
          <w:tcPr>
            <w:tcW w:w="707" w:type="dxa"/>
            <w:noWrap w:val="0"/>
            <w:vAlign w:val="center"/>
          </w:tcPr>
          <w:p w14:paraId="57C9FC2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18</w:t>
            </w:r>
          </w:p>
        </w:tc>
        <w:tc>
          <w:tcPr>
            <w:tcW w:w="4094" w:type="dxa"/>
            <w:noWrap w:val="0"/>
            <w:vAlign w:val="center"/>
          </w:tcPr>
          <w:p w14:paraId="7404A2A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凹背、凸背为失格。收腹不明显扣2分，肋骨扩张不良或畸形扣2分，背腰过窄扣1分。</w:t>
            </w:r>
          </w:p>
        </w:tc>
      </w:tr>
      <w:tr w14:paraId="62DF0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98" w:hRule="exact"/>
          <w:jc w:val="center"/>
        </w:trPr>
        <w:tc>
          <w:tcPr>
            <w:tcW w:w="516" w:type="dxa"/>
            <w:vMerge w:val="restart"/>
            <w:noWrap w:val="0"/>
            <w:vAlign w:val="center"/>
          </w:tcPr>
          <w:p w14:paraId="4A7ECC3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四</w:t>
            </w:r>
          </w:p>
          <w:p w14:paraId="06369F1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肢</w:t>
            </w:r>
          </w:p>
          <w:p w14:paraId="1F674E5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与</w:t>
            </w:r>
          </w:p>
          <w:p w14:paraId="028D80A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步</w:t>
            </w:r>
          </w:p>
          <w:p w14:paraId="6F33927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态</w:t>
            </w:r>
          </w:p>
        </w:tc>
        <w:tc>
          <w:tcPr>
            <w:tcW w:w="3641" w:type="dxa"/>
            <w:noWrap w:val="0"/>
            <w:vAlign w:val="center"/>
          </w:tcPr>
          <w:p w14:paraId="468CE31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10.四肢强健，前肢直立，肘部不弯曲，掌部与垂直线形成角度小于20度，大腿部肌肉发达，股骨与胫腓骨成145度，跖骨与胫腓骨成156度。跗关节强有弹性、脚趾紧贴、脚垫厚结实，爪色深，趾间毛短，毛色一致。</w:t>
            </w:r>
          </w:p>
        </w:tc>
        <w:tc>
          <w:tcPr>
            <w:tcW w:w="707" w:type="dxa"/>
            <w:noWrap w:val="0"/>
            <w:vAlign w:val="center"/>
          </w:tcPr>
          <w:p w14:paraId="3A7D3F7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4094" w:type="dxa"/>
            <w:noWrap w:val="0"/>
            <w:vAlign w:val="center"/>
          </w:tcPr>
          <w:p w14:paraId="24810C3A">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爪白色为失格。脚趾松散扣1分，脚趾白色扣2分，关节角度偏差5%扣1分。</w:t>
            </w:r>
          </w:p>
        </w:tc>
      </w:tr>
      <w:tr w14:paraId="64397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6" w:hRule="exact"/>
          <w:jc w:val="center"/>
        </w:trPr>
        <w:tc>
          <w:tcPr>
            <w:tcW w:w="516" w:type="dxa"/>
            <w:vMerge w:val="continue"/>
            <w:noWrap w:val="0"/>
            <w:vAlign w:val="center"/>
          </w:tcPr>
          <w:p w14:paraId="67ED219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641" w:type="dxa"/>
            <w:noWrap w:val="0"/>
            <w:vAlign w:val="center"/>
          </w:tcPr>
          <w:p w14:paraId="05098A2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11.步态伸展有弹性，典雅起伏富有节奏，前后步幅均等，善疾步跑，无摇摆和扭动。</w:t>
            </w:r>
          </w:p>
        </w:tc>
        <w:tc>
          <w:tcPr>
            <w:tcW w:w="707" w:type="dxa"/>
            <w:noWrap w:val="0"/>
            <w:vAlign w:val="center"/>
          </w:tcPr>
          <w:p w14:paraId="01F4634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4094" w:type="dxa"/>
            <w:noWrap w:val="0"/>
            <w:vAlign w:val="center"/>
          </w:tcPr>
          <w:p w14:paraId="7EF25317">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步幅稍有差异扣1分，轻微摇摆扣2分，步态僵硬扣2分。</w:t>
            </w:r>
          </w:p>
        </w:tc>
      </w:tr>
      <w:tr w14:paraId="649E1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7" w:hRule="exact"/>
          <w:jc w:val="center"/>
        </w:trPr>
        <w:tc>
          <w:tcPr>
            <w:tcW w:w="516" w:type="dxa"/>
            <w:noWrap w:val="0"/>
            <w:vAlign w:val="center"/>
          </w:tcPr>
          <w:p w14:paraId="7392BCB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尾</w:t>
            </w:r>
          </w:p>
        </w:tc>
        <w:tc>
          <w:tcPr>
            <w:tcW w:w="3641" w:type="dxa"/>
            <w:noWrap w:val="0"/>
            <w:vAlign w:val="center"/>
          </w:tcPr>
          <w:p w14:paraId="31F4AAD5">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12.呈剑状或钩状，自然下垂。</w:t>
            </w:r>
          </w:p>
        </w:tc>
        <w:tc>
          <w:tcPr>
            <w:tcW w:w="707" w:type="dxa"/>
            <w:noWrap w:val="0"/>
            <w:vAlign w:val="center"/>
          </w:tcPr>
          <w:p w14:paraId="2609EFD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tc>
        <w:tc>
          <w:tcPr>
            <w:tcW w:w="4094" w:type="dxa"/>
            <w:noWrap w:val="0"/>
            <w:vAlign w:val="center"/>
          </w:tcPr>
          <w:p w14:paraId="1ED8FD15">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严重卷尾，扭尾均为失格。尾端无毛扣1分。</w:t>
            </w:r>
          </w:p>
        </w:tc>
      </w:tr>
    </w:tbl>
    <w:p w14:paraId="366F6983">
      <w:pPr>
        <w:keepNext w:val="0"/>
        <w:keepLines w:val="0"/>
        <w:pageBreakBefore w:val="0"/>
        <w:widowControl w:val="0"/>
        <w:overflowPunct/>
        <w:topLinePunct w:val="0"/>
        <w:bidi w:val="0"/>
        <w:snapToGrid w:val="0"/>
        <w:spacing w:line="0" w:lineRule="atLeast"/>
        <w:jc w:val="left"/>
        <w:rPr>
          <w:rFonts w:hint="eastAsia" w:ascii="仿宋" w:hAnsi="仿宋" w:eastAsia="仿宋" w:cs="仿宋"/>
          <w:color w:val="auto"/>
          <w:kern w:val="2"/>
          <w:sz w:val="24"/>
          <w:szCs w:val="24"/>
          <w:highlight w:val="none"/>
          <w:lang w:val="en-US" w:eastAsia="zh-CN" w:bidi="ar-SA"/>
        </w:rPr>
      </w:pPr>
    </w:p>
    <w:p w14:paraId="19919EF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表2-2：昆明犬种犬警用性能认证项目及评分标准</w:t>
      </w:r>
    </w:p>
    <w:tbl>
      <w:tblPr>
        <w:tblStyle w:val="13"/>
        <w:tblW w:w="90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350"/>
        <w:gridCol w:w="900"/>
        <w:gridCol w:w="4726"/>
      </w:tblGrid>
      <w:tr w14:paraId="1636EB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27" w:type="dxa"/>
            <w:noWrap w:val="0"/>
            <w:vAlign w:val="center"/>
          </w:tcPr>
          <w:p w14:paraId="6916E2B4">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2350" w:type="dxa"/>
            <w:noWrap w:val="0"/>
            <w:vAlign w:val="center"/>
          </w:tcPr>
          <w:p w14:paraId="6E5A3B08">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要求</w:t>
            </w:r>
          </w:p>
        </w:tc>
        <w:tc>
          <w:tcPr>
            <w:tcW w:w="900" w:type="dxa"/>
            <w:noWrap w:val="0"/>
            <w:vAlign w:val="center"/>
          </w:tcPr>
          <w:p w14:paraId="36BEF16A">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w:t>
            </w:r>
          </w:p>
          <w:p w14:paraId="1A6FCCDC">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w:t>
            </w:r>
          </w:p>
        </w:tc>
        <w:tc>
          <w:tcPr>
            <w:tcW w:w="4726" w:type="dxa"/>
            <w:noWrap w:val="0"/>
            <w:vAlign w:val="center"/>
          </w:tcPr>
          <w:p w14:paraId="41023030">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77020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027" w:type="dxa"/>
            <w:noWrap w:val="0"/>
            <w:vAlign w:val="center"/>
          </w:tcPr>
          <w:p w14:paraId="64868387">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神经类型</w:t>
            </w:r>
          </w:p>
        </w:tc>
        <w:tc>
          <w:tcPr>
            <w:tcW w:w="2350" w:type="dxa"/>
            <w:noWrap w:val="0"/>
            <w:vAlign w:val="center"/>
          </w:tcPr>
          <w:p w14:paraId="1B6A4344">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活泼、兴奋、转化快。</w:t>
            </w:r>
          </w:p>
        </w:tc>
        <w:tc>
          <w:tcPr>
            <w:tcW w:w="900" w:type="dxa"/>
            <w:noWrap w:val="0"/>
            <w:vAlign w:val="center"/>
          </w:tcPr>
          <w:p w14:paraId="5A18D16C">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w:t>
            </w:r>
          </w:p>
        </w:tc>
        <w:tc>
          <w:tcPr>
            <w:tcW w:w="4726" w:type="dxa"/>
            <w:noWrap w:val="0"/>
            <w:vAlign w:val="center"/>
          </w:tcPr>
          <w:p w14:paraId="60051416">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过分安静、神经质为失格。兴奋与抑制转化较慢扣2分，偏安静扣3分，过分好斗扣2分。</w:t>
            </w:r>
          </w:p>
        </w:tc>
      </w:tr>
      <w:tr w14:paraId="3CF3EB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7" w:type="dxa"/>
            <w:noWrap w:val="0"/>
            <w:vAlign w:val="center"/>
          </w:tcPr>
          <w:p w14:paraId="13481794">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胆量</w:t>
            </w:r>
          </w:p>
        </w:tc>
        <w:tc>
          <w:tcPr>
            <w:tcW w:w="2350" w:type="dxa"/>
            <w:noWrap w:val="0"/>
            <w:vAlign w:val="center"/>
          </w:tcPr>
          <w:p w14:paraId="333A1912">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胆大，对环境适应强。</w:t>
            </w:r>
          </w:p>
        </w:tc>
        <w:tc>
          <w:tcPr>
            <w:tcW w:w="900" w:type="dxa"/>
            <w:noWrap w:val="0"/>
            <w:vAlign w:val="center"/>
          </w:tcPr>
          <w:p w14:paraId="3B6C46F4">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w:t>
            </w:r>
          </w:p>
        </w:tc>
        <w:tc>
          <w:tcPr>
            <w:tcW w:w="4726" w:type="dxa"/>
            <w:noWrap w:val="0"/>
            <w:vAlign w:val="center"/>
          </w:tcPr>
          <w:p w14:paraId="3F3A4E5D">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胆小为失格。对环境适应性弱扣5—10分。</w:t>
            </w:r>
          </w:p>
        </w:tc>
      </w:tr>
      <w:tr w14:paraId="28C886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27" w:type="dxa"/>
            <w:noWrap w:val="0"/>
            <w:vAlign w:val="center"/>
          </w:tcPr>
          <w:p w14:paraId="6C81FBEF">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攻击性</w:t>
            </w:r>
          </w:p>
        </w:tc>
        <w:tc>
          <w:tcPr>
            <w:tcW w:w="2350" w:type="dxa"/>
            <w:noWrap w:val="0"/>
            <w:vAlign w:val="center"/>
          </w:tcPr>
          <w:p w14:paraId="0E249C76">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敢于攻击目标，具有凶猛性</w:t>
            </w:r>
          </w:p>
        </w:tc>
        <w:tc>
          <w:tcPr>
            <w:tcW w:w="900" w:type="dxa"/>
            <w:noWrap w:val="0"/>
            <w:vAlign w:val="center"/>
          </w:tcPr>
          <w:p w14:paraId="005F251F">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w:t>
            </w:r>
          </w:p>
        </w:tc>
        <w:tc>
          <w:tcPr>
            <w:tcW w:w="4726" w:type="dxa"/>
            <w:noWrap w:val="0"/>
            <w:vAlign w:val="center"/>
          </w:tcPr>
          <w:p w14:paraId="23B919DB">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textAlignment w:val="auto"/>
              <w:rPr>
                <w:rFonts w:hint="eastAsia"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不攻击目标为失格。有凶猛性但攻击目标有犹豫或胆怯表现扣8分，攻击目标凶猛性不强扣2分。</w:t>
            </w:r>
          </w:p>
        </w:tc>
      </w:tr>
      <w:tr w14:paraId="43EC4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1027" w:type="dxa"/>
            <w:noWrap w:val="0"/>
            <w:vAlign w:val="center"/>
          </w:tcPr>
          <w:p w14:paraId="0F3257CB">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衔取欲</w:t>
            </w:r>
          </w:p>
        </w:tc>
        <w:tc>
          <w:tcPr>
            <w:tcW w:w="2350" w:type="dxa"/>
            <w:noWrap w:val="0"/>
            <w:vAlign w:val="center"/>
          </w:tcPr>
          <w:p w14:paraId="51B050FE">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猎取反射强，占有欲望强。</w:t>
            </w:r>
          </w:p>
        </w:tc>
        <w:tc>
          <w:tcPr>
            <w:tcW w:w="900" w:type="dxa"/>
            <w:noWrap w:val="0"/>
            <w:vAlign w:val="center"/>
          </w:tcPr>
          <w:p w14:paraId="40FF6B42">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w:t>
            </w:r>
          </w:p>
        </w:tc>
        <w:tc>
          <w:tcPr>
            <w:tcW w:w="4726" w:type="dxa"/>
            <w:noWrap w:val="0"/>
            <w:vAlign w:val="center"/>
          </w:tcPr>
          <w:p w14:paraId="49FF1E2F">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不衔物品为失格。衔取兴奋性不高扣3分，衔取不持久或中途吐物扣2分。占有欲弱扣5分。</w:t>
            </w:r>
          </w:p>
        </w:tc>
      </w:tr>
      <w:tr w14:paraId="11C80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027" w:type="dxa"/>
            <w:noWrap w:val="0"/>
            <w:vAlign w:val="center"/>
          </w:tcPr>
          <w:p w14:paraId="12B932E3">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服从性</w:t>
            </w:r>
          </w:p>
        </w:tc>
        <w:tc>
          <w:tcPr>
            <w:tcW w:w="2350" w:type="dxa"/>
            <w:noWrap w:val="0"/>
            <w:vAlign w:val="center"/>
          </w:tcPr>
          <w:p w14:paraId="744C4C4C">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服从主人指挥。</w:t>
            </w:r>
          </w:p>
        </w:tc>
        <w:tc>
          <w:tcPr>
            <w:tcW w:w="900" w:type="dxa"/>
            <w:noWrap w:val="0"/>
            <w:vAlign w:val="center"/>
          </w:tcPr>
          <w:p w14:paraId="5FFA0267">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4726" w:type="dxa"/>
            <w:noWrap w:val="0"/>
            <w:vAlign w:val="center"/>
          </w:tcPr>
          <w:p w14:paraId="1B580752">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重复指挥一次扣1分，重复指挥二次再扣2分。</w:t>
            </w:r>
          </w:p>
        </w:tc>
      </w:tr>
      <w:tr w14:paraId="6FB8C0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27" w:type="dxa"/>
            <w:noWrap w:val="0"/>
            <w:vAlign w:val="center"/>
          </w:tcPr>
          <w:p w14:paraId="4E05A3EF">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体能</w:t>
            </w:r>
          </w:p>
        </w:tc>
        <w:tc>
          <w:tcPr>
            <w:tcW w:w="2350" w:type="dxa"/>
            <w:noWrap w:val="0"/>
            <w:vAlign w:val="center"/>
          </w:tcPr>
          <w:p w14:paraId="3013D04C">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能连续奔跑8千米以上。</w:t>
            </w:r>
          </w:p>
        </w:tc>
        <w:tc>
          <w:tcPr>
            <w:tcW w:w="900" w:type="dxa"/>
            <w:noWrap w:val="0"/>
            <w:vAlign w:val="center"/>
          </w:tcPr>
          <w:p w14:paraId="6F44A789">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w:t>
            </w:r>
          </w:p>
        </w:tc>
        <w:tc>
          <w:tcPr>
            <w:tcW w:w="4726" w:type="dxa"/>
            <w:noWrap w:val="0"/>
            <w:vAlign w:val="center"/>
          </w:tcPr>
          <w:p w14:paraId="5F6A6933">
            <w:pPr>
              <w:keepNext w:val="0"/>
              <w:keepLines w:val="0"/>
              <w:pageBreakBefore w:val="0"/>
              <w:numPr>
                <w:ilvl w:val="-1"/>
                <w:numId w:val="0"/>
              </w:numPr>
              <w:tabs>
                <w:tab w:val="center" w:pos="4153"/>
                <w:tab w:val="right" w:pos="8306"/>
              </w:tabs>
              <w:overflowPunct/>
              <w:topLinePunct w:val="0"/>
              <w:bidi w:val="0"/>
              <w:adjustRightInd/>
              <w:snapToGrid w:val="0"/>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不能连续奔跑3千米不得分，不能连续奔跑4千米扣5分。</w:t>
            </w:r>
          </w:p>
        </w:tc>
      </w:tr>
    </w:tbl>
    <w:p w14:paraId="7AD5C400">
      <w:pPr>
        <w:keepNext w:val="0"/>
        <w:keepLines w:val="0"/>
        <w:pageBreakBefore w:val="0"/>
        <w:numPr>
          <w:ilvl w:val="-1"/>
          <w:numId w:val="0"/>
        </w:numPr>
        <w:overflowPunct/>
        <w:topLinePunct w:val="0"/>
        <w:bidi w:val="0"/>
        <w:adjustRightInd/>
        <w:spacing w:line="0" w:lineRule="atLeast"/>
        <w:ind w:firstLine="0"/>
        <w:jc w:val="both"/>
        <w:textAlignment w:val="auto"/>
        <w:rPr>
          <w:rFonts w:hint="eastAsia" w:ascii="仿宋" w:hAnsi="仿宋" w:eastAsia="仿宋" w:cs="仿宋"/>
          <w:color w:val="auto"/>
          <w:kern w:val="2"/>
          <w:sz w:val="24"/>
          <w:szCs w:val="24"/>
          <w:highlight w:val="none"/>
        </w:rPr>
      </w:pPr>
    </w:p>
    <w:p w14:paraId="5B26DC1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表2-3：昆明犬种公犬繁殖性能认证项目及评分标准</w:t>
      </w:r>
    </w:p>
    <w:tbl>
      <w:tblPr>
        <w:tblStyle w:val="13"/>
        <w:tblW w:w="87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470"/>
        <w:gridCol w:w="986"/>
        <w:gridCol w:w="4382"/>
      </w:tblGrid>
      <w:tr w14:paraId="7A562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exact"/>
          <w:jc w:val="center"/>
        </w:trPr>
        <w:tc>
          <w:tcPr>
            <w:tcW w:w="894" w:type="dxa"/>
            <w:noWrap w:val="0"/>
            <w:vAlign w:val="center"/>
          </w:tcPr>
          <w:p w14:paraId="0FE683E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470" w:type="dxa"/>
            <w:noWrap w:val="0"/>
            <w:vAlign w:val="center"/>
          </w:tcPr>
          <w:p w14:paraId="7F5F461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986" w:type="dxa"/>
            <w:noWrap w:val="0"/>
            <w:vAlign w:val="center"/>
          </w:tcPr>
          <w:p w14:paraId="458ABEC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4382" w:type="dxa"/>
            <w:noWrap w:val="0"/>
            <w:vAlign w:val="center"/>
          </w:tcPr>
          <w:p w14:paraId="3F58CAA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7DC03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894" w:type="dxa"/>
            <w:noWrap w:val="0"/>
            <w:vAlign w:val="center"/>
          </w:tcPr>
          <w:p w14:paraId="3D9DE33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性反射能力</w:t>
            </w:r>
          </w:p>
        </w:tc>
        <w:tc>
          <w:tcPr>
            <w:tcW w:w="2470" w:type="dxa"/>
            <w:noWrap w:val="0"/>
            <w:vAlign w:val="center"/>
          </w:tcPr>
          <w:p w14:paraId="791A3F3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spacing w:val="-8"/>
                <w:kern w:val="2"/>
                <w:sz w:val="24"/>
                <w:szCs w:val="24"/>
                <w:highlight w:val="none"/>
              </w:rPr>
            </w:pPr>
            <w:r>
              <w:rPr>
                <w:rFonts w:hint="eastAsia" w:ascii="仿宋" w:hAnsi="仿宋" w:eastAsia="仿宋" w:cs="仿宋"/>
                <w:color w:val="auto"/>
                <w:spacing w:val="-8"/>
                <w:kern w:val="2"/>
                <w:sz w:val="24"/>
                <w:szCs w:val="24"/>
                <w:highlight w:val="none"/>
              </w:rPr>
              <w:t>对发情母犬产生强烈的性欲望。</w:t>
            </w:r>
          </w:p>
        </w:tc>
        <w:tc>
          <w:tcPr>
            <w:tcW w:w="986" w:type="dxa"/>
            <w:noWrap w:val="0"/>
            <w:vAlign w:val="center"/>
          </w:tcPr>
          <w:p w14:paraId="423CA78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40</w:t>
            </w:r>
          </w:p>
        </w:tc>
        <w:tc>
          <w:tcPr>
            <w:tcW w:w="4382" w:type="dxa"/>
            <w:noWrap w:val="0"/>
            <w:vAlign w:val="center"/>
          </w:tcPr>
          <w:p w14:paraId="1E2E7FC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靠近最适交配期发情母犬，不嗅闻又不爬跨为失格。交配欲较差扣5分，交配时爬跨5—10次后不再爬跨扣5分，爬跨2—3次后不再爬跨扣10分，只嗅闻完全不爬跨扣30分。</w:t>
            </w:r>
          </w:p>
        </w:tc>
      </w:tr>
      <w:tr w14:paraId="15468B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94" w:type="dxa"/>
            <w:noWrap w:val="0"/>
            <w:vAlign w:val="center"/>
          </w:tcPr>
          <w:p w14:paraId="192F09E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精子</w:t>
            </w:r>
          </w:p>
          <w:p w14:paraId="39BD8D7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活力</w:t>
            </w:r>
          </w:p>
        </w:tc>
        <w:tc>
          <w:tcPr>
            <w:tcW w:w="2470" w:type="dxa"/>
            <w:noWrap w:val="0"/>
            <w:vAlign w:val="center"/>
          </w:tcPr>
          <w:p w14:paraId="683C9478">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0.6以上</w:t>
            </w:r>
          </w:p>
        </w:tc>
        <w:tc>
          <w:tcPr>
            <w:tcW w:w="986" w:type="dxa"/>
            <w:noWrap w:val="0"/>
            <w:vAlign w:val="center"/>
          </w:tcPr>
          <w:p w14:paraId="48D8ED6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60</w:t>
            </w:r>
          </w:p>
        </w:tc>
        <w:tc>
          <w:tcPr>
            <w:tcW w:w="4382" w:type="dxa"/>
            <w:noWrap w:val="0"/>
            <w:vAlign w:val="center"/>
          </w:tcPr>
          <w:p w14:paraId="10314056">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低于0.6为失格。0.8以上得满分，每降0.1扣9分。</w:t>
            </w:r>
          </w:p>
        </w:tc>
      </w:tr>
    </w:tbl>
    <w:p w14:paraId="78CB765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5305594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表2-4：昆明犬种母犬繁殖性能认证项目及评分标准</w:t>
      </w:r>
    </w:p>
    <w:tbl>
      <w:tblPr>
        <w:tblStyle w:val="13"/>
        <w:tblW w:w="87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797"/>
        <w:gridCol w:w="951"/>
        <w:gridCol w:w="4104"/>
      </w:tblGrid>
      <w:tr w14:paraId="529B8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noWrap w:val="0"/>
            <w:vAlign w:val="center"/>
          </w:tcPr>
          <w:p w14:paraId="0F5130A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797" w:type="dxa"/>
            <w:noWrap w:val="0"/>
            <w:vAlign w:val="center"/>
          </w:tcPr>
          <w:p w14:paraId="2029C37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要求</w:t>
            </w:r>
          </w:p>
        </w:tc>
        <w:tc>
          <w:tcPr>
            <w:tcW w:w="951" w:type="dxa"/>
            <w:noWrap w:val="0"/>
            <w:vAlign w:val="center"/>
          </w:tcPr>
          <w:p w14:paraId="53E4FAE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w:t>
            </w:r>
          </w:p>
          <w:p w14:paraId="2E4E876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w:t>
            </w:r>
          </w:p>
        </w:tc>
        <w:tc>
          <w:tcPr>
            <w:tcW w:w="4104" w:type="dxa"/>
            <w:noWrap w:val="0"/>
            <w:vAlign w:val="center"/>
          </w:tcPr>
          <w:p w14:paraId="52DBD8D7">
            <w:pPr>
              <w:keepNext w:val="0"/>
              <w:keepLines w:val="0"/>
              <w:pageBreakBefore w:val="0"/>
              <w:numPr>
                <w:ilvl w:val="-1"/>
                <w:numId w:val="0"/>
              </w:numPr>
              <w:overflowPunct/>
              <w:topLinePunct w:val="0"/>
              <w:bidi w:val="0"/>
              <w:adjustRightInd/>
              <w:spacing w:line="0" w:lineRule="atLeast"/>
              <w:ind w:firstLine="648"/>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3CE99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880" w:type="dxa"/>
            <w:noWrap w:val="0"/>
            <w:vAlign w:val="center"/>
          </w:tcPr>
          <w:p w14:paraId="76CA421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窝产</w:t>
            </w:r>
          </w:p>
          <w:p w14:paraId="626B59B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仔数</w:t>
            </w:r>
          </w:p>
        </w:tc>
        <w:tc>
          <w:tcPr>
            <w:tcW w:w="2797" w:type="dxa"/>
            <w:noWrap w:val="0"/>
            <w:vAlign w:val="center"/>
          </w:tcPr>
          <w:p w14:paraId="7D30CA98">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累计2窝以上（含2窝）资料评定，产仔数不低于6头。</w:t>
            </w:r>
          </w:p>
        </w:tc>
        <w:tc>
          <w:tcPr>
            <w:tcW w:w="951" w:type="dxa"/>
            <w:noWrap w:val="0"/>
            <w:vAlign w:val="center"/>
          </w:tcPr>
          <w:p w14:paraId="3615873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55</w:t>
            </w:r>
          </w:p>
        </w:tc>
        <w:tc>
          <w:tcPr>
            <w:tcW w:w="4104" w:type="dxa"/>
            <w:noWrap w:val="0"/>
            <w:vAlign w:val="center"/>
          </w:tcPr>
          <w:p w14:paraId="12DF3AEA">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窝产仔数8头以上为满分，每少1头扣10分。</w:t>
            </w:r>
          </w:p>
        </w:tc>
      </w:tr>
      <w:tr w14:paraId="7F03F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noWrap w:val="0"/>
            <w:vAlign w:val="center"/>
          </w:tcPr>
          <w:p w14:paraId="1D0D3D7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断奶成活率</w:t>
            </w:r>
          </w:p>
        </w:tc>
        <w:tc>
          <w:tcPr>
            <w:tcW w:w="2797" w:type="dxa"/>
            <w:noWrap w:val="0"/>
            <w:vAlign w:val="center"/>
          </w:tcPr>
          <w:p w14:paraId="43B39B0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spacing w:val="-8"/>
                <w:kern w:val="2"/>
                <w:sz w:val="24"/>
                <w:szCs w:val="24"/>
                <w:highlight w:val="none"/>
              </w:rPr>
              <w:t>累计2窝以上（含2窝）资料评定，断奶成活率不低于</w:t>
            </w:r>
            <w:r>
              <w:rPr>
                <w:rFonts w:hint="eastAsia" w:ascii="仿宋" w:hAnsi="仿宋" w:eastAsia="仿宋" w:cs="仿宋"/>
                <w:color w:val="auto"/>
                <w:kern w:val="2"/>
                <w:sz w:val="24"/>
                <w:szCs w:val="24"/>
                <w:highlight w:val="none"/>
              </w:rPr>
              <w:t>80%。</w:t>
            </w:r>
          </w:p>
        </w:tc>
        <w:tc>
          <w:tcPr>
            <w:tcW w:w="951" w:type="dxa"/>
            <w:noWrap w:val="0"/>
            <w:vAlign w:val="center"/>
          </w:tcPr>
          <w:p w14:paraId="300FDBB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45</w:t>
            </w:r>
          </w:p>
        </w:tc>
        <w:tc>
          <w:tcPr>
            <w:tcW w:w="4104" w:type="dxa"/>
            <w:noWrap w:val="0"/>
            <w:vAlign w:val="center"/>
          </w:tcPr>
          <w:p w14:paraId="5EFA032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成活率90%以上为满分，每减少1%扣2分。</w:t>
            </w:r>
          </w:p>
        </w:tc>
      </w:tr>
    </w:tbl>
    <w:p w14:paraId="537C719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7171402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表2-5：昆明犬后裔品质认证项目及评分标准</w:t>
      </w:r>
    </w:p>
    <w:tbl>
      <w:tblPr>
        <w:tblStyle w:val="13"/>
        <w:tblW w:w="87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645"/>
        <w:gridCol w:w="958"/>
        <w:gridCol w:w="4112"/>
      </w:tblGrid>
      <w:tr w14:paraId="1FC82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dxa"/>
            <w:noWrap w:val="0"/>
            <w:vAlign w:val="center"/>
          </w:tcPr>
          <w:p w14:paraId="25DA7F0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645" w:type="dxa"/>
            <w:noWrap w:val="0"/>
            <w:vAlign w:val="center"/>
          </w:tcPr>
          <w:p w14:paraId="62C2084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要求</w:t>
            </w:r>
          </w:p>
        </w:tc>
        <w:tc>
          <w:tcPr>
            <w:tcW w:w="958" w:type="dxa"/>
            <w:noWrap w:val="0"/>
            <w:vAlign w:val="center"/>
          </w:tcPr>
          <w:p w14:paraId="352A3CC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w:t>
            </w:r>
          </w:p>
          <w:p w14:paraId="2B21D92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（100）</w:t>
            </w:r>
          </w:p>
        </w:tc>
        <w:tc>
          <w:tcPr>
            <w:tcW w:w="4112" w:type="dxa"/>
            <w:noWrap w:val="0"/>
            <w:vAlign w:val="center"/>
          </w:tcPr>
          <w:p w14:paraId="4ADBA1C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11B7C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1017" w:type="dxa"/>
            <w:noWrap w:val="0"/>
            <w:vAlign w:val="center"/>
          </w:tcPr>
          <w:p w14:paraId="74AC423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同窝仔</w:t>
            </w:r>
          </w:p>
          <w:p w14:paraId="130931A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犬整齐度</w:t>
            </w:r>
          </w:p>
        </w:tc>
        <w:tc>
          <w:tcPr>
            <w:tcW w:w="2645" w:type="dxa"/>
            <w:noWrap w:val="0"/>
            <w:vAlign w:val="center"/>
          </w:tcPr>
          <w:p w14:paraId="5F43174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spacing w:val="-8"/>
                <w:kern w:val="2"/>
                <w:sz w:val="24"/>
                <w:szCs w:val="24"/>
                <w:highlight w:val="none"/>
              </w:rPr>
            </w:pPr>
            <w:r>
              <w:rPr>
                <w:rFonts w:hint="eastAsia" w:ascii="仿宋" w:hAnsi="仿宋" w:eastAsia="仿宋" w:cs="仿宋"/>
                <w:color w:val="auto"/>
                <w:spacing w:val="-8"/>
                <w:kern w:val="2"/>
                <w:sz w:val="24"/>
                <w:szCs w:val="24"/>
                <w:highlight w:val="none"/>
              </w:rPr>
              <w:t>同窝犬初生体重、2月龄体重离平均体重偏差不超过20%。</w:t>
            </w:r>
          </w:p>
        </w:tc>
        <w:tc>
          <w:tcPr>
            <w:tcW w:w="958" w:type="dxa"/>
            <w:noWrap w:val="0"/>
            <w:vAlign w:val="center"/>
          </w:tcPr>
          <w:p w14:paraId="5A8BAE5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w:t>
            </w:r>
          </w:p>
        </w:tc>
        <w:tc>
          <w:tcPr>
            <w:tcW w:w="4112" w:type="dxa"/>
            <w:noWrap w:val="0"/>
            <w:vAlign w:val="center"/>
          </w:tcPr>
          <w:p w14:paraId="44C95978">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偏差小于10%为满分（窝产仔数8头以上，差率小于15%计满分），每增加1%扣1分。</w:t>
            </w:r>
          </w:p>
        </w:tc>
      </w:tr>
      <w:tr w14:paraId="2B357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dxa"/>
            <w:noWrap w:val="0"/>
            <w:vAlign w:val="center"/>
          </w:tcPr>
          <w:p w14:paraId="6F73CD7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幼训合</w:t>
            </w:r>
          </w:p>
          <w:p w14:paraId="39A1EDD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格率</w:t>
            </w:r>
          </w:p>
        </w:tc>
        <w:tc>
          <w:tcPr>
            <w:tcW w:w="2645" w:type="dxa"/>
            <w:noWrap w:val="0"/>
            <w:vAlign w:val="center"/>
          </w:tcPr>
          <w:p w14:paraId="6848FE07">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不低于70%。</w:t>
            </w:r>
          </w:p>
        </w:tc>
        <w:tc>
          <w:tcPr>
            <w:tcW w:w="958" w:type="dxa"/>
            <w:noWrap w:val="0"/>
            <w:vAlign w:val="center"/>
          </w:tcPr>
          <w:p w14:paraId="422688B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40</w:t>
            </w:r>
          </w:p>
        </w:tc>
        <w:tc>
          <w:tcPr>
            <w:tcW w:w="4112" w:type="dxa"/>
            <w:noWrap w:val="0"/>
            <w:vAlign w:val="center"/>
          </w:tcPr>
          <w:p w14:paraId="445ED7B7">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合格率80%以上为满分，每减少1%扣2分。</w:t>
            </w:r>
          </w:p>
        </w:tc>
      </w:tr>
      <w:tr w14:paraId="7EABA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dxa"/>
            <w:noWrap w:val="0"/>
            <w:vAlign w:val="center"/>
          </w:tcPr>
          <w:p w14:paraId="39303EE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训练合</w:t>
            </w:r>
          </w:p>
          <w:p w14:paraId="4A3EAD5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格率</w:t>
            </w:r>
          </w:p>
        </w:tc>
        <w:tc>
          <w:tcPr>
            <w:tcW w:w="2645" w:type="dxa"/>
            <w:noWrap w:val="0"/>
            <w:vAlign w:val="center"/>
          </w:tcPr>
          <w:p w14:paraId="1292ED4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不低于70%。</w:t>
            </w:r>
          </w:p>
        </w:tc>
        <w:tc>
          <w:tcPr>
            <w:tcW w:w="958" w:type="dxa"/>
            <w:noWrap w:val="0"/>
            <w:vAlign w:val="center"/>
          </w:tcPr>
          <w:p w14:paraId="1C043ED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35</w:t>
            </w:r>
          </w:p>
        </w:tc>
        <w:tc>
          <w:tcPr>
            <w:tcW w:w="4112" w:type="dxa"/>
            <w:noWrap w:val="0"/>
            <w:vAlign w:val="center"/>
          </w:tcPr>
          <w:p w14:paraId="169E6D54">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合格率80%以上为满分，每减少1%扣2分。</w:t>
            </w:r>
          </w:p>
        </w:tc>
      </w:tr>
    </w:tbl>
    <w:p w14:paraId="4F6EFADE">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6DCD203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表</w:t>
      </w:r>
      <w:r>
        <w:rPr>
          <w:rFonts w:hint="eastAsia" w:ascii="仿宋" w:hAnsi="仿宋" w:eastAsia="仿宋" w:cs="仿宋"/>
          <w:bCs/>
          <w:color w:val="auto"/>
          <w:kern w:val="2"/>
          <w:sz w:val="24"/>
          <w:szCs w:val="24"/>
          <w:highlight w:val="none"/>
          <w:lang w:val="en-US" w:eastAsia="zh-CN"/>
        </w:rPr>
        <w:t>3</w:t>
      </w:r>
      <w:r>
        <w:rPr>
          <w:rFonts w:hint="eastAsia" w:ascii="仿宋" w:hAnsi="仿宋" w:eastAsia="仿宋" w:cs="仿宋"/>
          <w:bCs/>
          <w:color w:val="auto"/>
          <w:kern w:val="2"/>
          <w:sz w:val="24"/>
          <w:szCs w:val="24"/>
          <w:highlight w:val="none"/>
        </w:rPr>
        <w:t>-1：史宾格犬种犬体形外貌认证项目及评分标准</w:t>
      </w:r>
    </w:p>
    <w:tbl>
      <w:tblPr>
        <w:tblStyle w:val="13"/>
        <w:tblW w:w="87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6"/>
        <w:gridCol w:w="3965"/>
        <w:gridCol w:w="951"/>
        <w:gridCol w:w="3380"/>
      </w:tblGrid>
      <w:tr w14:paraId="00FCE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765" w:hRule="exact"/>
          <w:jc w:val="center"/>
        </w:trPr>
        <w:tc>
          <w:tcPr>
            <w:tcW w:w="436" w:type="dxa"/>
            <w:noWrap w:val="0"/>
            <w:vAlign w:val="center"/>
          </w:tcPr>
          <w:p w14:paraId="6B56DF8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3965" w:type="dxa"/>
            <w:noWrap w:val="0"/>
            <w:vAlign w:val="center"/>
          </w:tcPr>
          <w:p w14:paraId="5303553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951" w:type="dxa"/>
            <w:noWrap w:val="0"/>
            <w:vAlign w:val="center"/>
          </w:tcPr>
          <w:p w14:paraId="3D94AC3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3380" w:type="dxa"/>
            <w:noWrap w:val="0"/>
            <w:vAlign w:val="center"/>
          </w:tcPr>
          <w:p w14:paraId="717FE1F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2FD7CD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09" w:hRule="exact"/>
          <w:jc w:val="center"/>
        </w:trPr>
        <w:tc>
          <w:tcPr>
            <w:tcW w:w="436" w:type="dxa"/>
            <w:vMerge w:val="restart"/>
            <w:noWrap w:val="0"/>
            <w:vAlign w:val="center"/>
          </w:tcPr>
          <w:p w14:paraId="6C3D29E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总体外貌</w:t>
            </w:r>
          </w:p>
        </w:tc>
        <w:tc>
          <w:tcPr>
            <w:tcW w:w="3965" w:type="dxa"/>
            <w:noWrap w:val="0"/>
            <w:vAlign w:val="center"/>
          </w:tcPr>
          <w:p w14:paraId="625F6E15">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1.性别特征、各部位轮廓明显，结合良好，外形匀称，骨骼紧密，肌肉发达，结实有力。长高比例适中。</w:t>
            </w:r>
          </w:p>
          <w:p w14:paraId="531A4A2D">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体尺标准（单位：cm）：</w:t>
            </w:r>
          </w:p>
          <w:p w14:paraId="037408E3">
            <w:pPr>
              <w:keepNext w:val="0"/>
              <w:keepLines w:val="0"/>
              <w:pageBreakBefore w:val="0"/>
              <w:numPr>
                <w:ilvl w:val="-1"/>
                <w:numId w:val="0"/>
              </w:numPr>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体高体长荐高胸围胸深</w:t>
            </w:r>
          </w:p>
          <w:p w14:paraId="29CC0F7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公42-4849-5440-4555-6019-22</w:t>
            </w:r>
          </w:p>
          <w:p w14:paraId="20C5469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母41-4644-5239-4353-5817-20</w:t>
            </w:r>
          </w:p>
        </w:tc>
        <w:tc>
          <w:tcPr>
            <w:tcW w:w="951" w:type="dxa"/>
            <w:noWrap w:val="0"/>
            <w:vAlign w:val="center"/>
          </w:tcPr>
          <w:p w14:paraId="3FE40C6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bCs/>
                <w:iCs/>
                <w:color w:val="auto"/>
                <w:kern w:val="2"/>
                <w:sz w:val="24"/>
                <w:szCs w:val="24"/>
                <w:highlight w:val="none"/>
              </w:rPr>
            </w:pPr>
            <w:r>
              <w:rPr>
                <w:rFonts w:hint="eastAsia" w:ascii="仿宋" w:hAnsi="仿宋" w:eastAsia="仿宋" w:cs="仿宋"/>
                <w:bCs/>
                <w:iCs/>
                <w:color w:val="auto"/>
                <w:kern w:val="2"/>
                <w:sz w:val="24"/>
                <w:szCs w:val="24"/>
                <w:highlight w:val="none"/>
              </w:rPr>
              <w:t>20</w:t>
            </w:r>
          </w:p>
        </w:tc>
        <w:tc>
          <w:tcPr>
            <w:tcW w:w="3380" w:type="dxa"/>
            <w:noWrap w:val="0"/>
            <w:vAlign w:val="center"/>
          </w:tcPr>
          <w:p w14:paraId="776AD49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性征不明显、公犬单侧或双侧隐睾、母犬有效乳头少于4对均为失格。外形不匀称，比例不协调扣2分，骨胳、肌肉不符合标准各扣2分。过肥过瘦扣2分，体高超出标准2cm扣4分。</w:t>
            </w:r>
          </w:p>
        </w:tc>
      </w:tr>
      <w:tr w14:paraId="2280C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87" w:hRule="exact"/>
          <w:jc w:val="center"/>
        </w:trPr>
        <w:tc>
          <w:tcPr>
            <w:tcW w:w="436" w:type="dxa"/>
            <w:vMerge w:val="continue"/>
            <w:noWrap w:val="0"/>
            <w:vAlign w:val="center"/>
          </w:tcPr>
          <w:p w14:paraId="3CCE7B4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65" w:type="dxa"/>
            <w:noWrap w:val="0"/>
            <w:vAlign w:val="center"/>
          </w:tcPr>
          <w:p w14:paraId="194BDD46">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2.毛密而直、耳、胸、四肢、腹下和尾有饰毛。皮肤富有弹性。毛色有褐色白斑或黑色白斑。不能有粗毛。</w:t>
            </w:r>
          </w:p>
        </w:tc>
        <w:tc>
          <w:tcPr>
            <w:tcW w:w="951" w:type="dxa"/>
            <w:noWrap w:val="0"/>
            <w:vAlign w:val="center"/>
          </w:tcPr>
          <w:p w14:paraId="7DFEE7A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w:t>
            </w:r>
          </w:p>
        </w:tc>
        <w:tc>
          <w:tcPr>
            <w:tcW w:w="3380" w:type="dxa"/>
            <w:noWrap w:val="0"/>
            <w:vAlign w:val="center"/>
          </w:tcPr>
          <w:p w14:paraId="07E3986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杂色毛扣2分，皮肤弹性较差的扣2分。</w:t>
            </w:r>
            <w:r>
              <w:rPr>
                <w:rFonts w:hint="eastAsia" w:ascii="仿宋" w:hAnsi="仿宋" w:eastAsia="仿宋" w:cs="仿宋"/>
                <w:bCs/>
                <w:iCs/>
                <w:color w:val="auto"/>
                <w:kern w:val="2"/>
                <w:sz w:val="24"/>
                <w:szCs w:val="24"/>
                <w:highlight w:val="none"/>
              </w:rPr>
              <w:t>背部毛色分布均匀的满分或加分。</w:t>
            </w:r>
          </w:p>
        </w:tc>
      </w:tr>
      <w:tr w14:paraId="0F36C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5" w:hRule="exact"/>
          <w:jc w:val="center"/>
        </w:trPr>
        <w:tc>
          <w:tcPr>
            <w:tcW w:w="436" w:type="dxa"/>
            <w:vMerge w:val="restart"/>
            <w:noWrap w:val="0"/>
            <w:vAlign w:val="center"/>
          </w:tcPr>
          <w:p w14:paraId="5A04156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头</w:t>
            </w:r>
          </w:p>
          <w:p w14:paraId="7619A68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12E753A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颈</w:t>
            </w:r>
          </w:p>
          <w:p w14:paraId="7A2E695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4A9370C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部</w:t>
            </w:r>
          </w:p>
        </w:tc>
        <w:tc>
          <w:tcPr>
            <w:tcW w:w="3965" w:type="dxa"/>
            <w:noWrap w:val="0"/>
            <w:vAlign w:val="center"/>
          </w:tcPr>
          <w:p w14:paraId="0F6F2B4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3.头大小适宜，外形轮廓明显，干燥，吻部长短适中，两眼之间凹槽明显。</w:t>
            </w:r>
          </w:p>
        </w:tc>
        <w:tc>
          <w:tcPr>
            <w:tcW w:w="951" w:type="dxa"/>
            <w:noWrap w:val="0"/>
            <w:vAlign w:val="center"/>
          </w:tcPr>
          <w:p w14:paraId="1E0B2B1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3380" w:type="dxa"/>
            <w:noWrap w:val="0"/>
            <w:vAlign w:val="center"/>
          </w:tcPr>
          <w:p w14:paraId="266B61FD">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spacing w:val="-6"/>
                <w:kern w:val="2"/>
                <w:sz w:val="24"/>
                <w:szCs w:val="24"/>
                <w:highlight w:val="none"/>
              </w:rPr>
            </w:pPr>
            <w:r>
              <w:rPr>
                <w:rFonts w:hint="eastAsia" w:ascii="仿宋" w:hAnsi="仿宋" w:eastAsia="仿宋" w:cs="仿宋"/>
                <w:bCs/>
                <w:iCs/>
                <w:color w:val="auto"/>
                <w:spacing w:val="-6"/>
                <w:kern w:val="2"/>
                <w:sz w:val="24"/>
                <w:szCs w:val="24"/>
                <w:highlight w:val="none"/>
              </w:rPr>
              <w:t>头有一道白杠的满分（白杠0.5cm为佳）</w:t>
            </w:r>
            <w:r>
              <w:rPr>
                <w:rFonts w:hint="eastAsia" w:ascii="仿宋" w:hAnsi="仿宋" w:eastAsia="仿宋" w:cs="仿宋"/>
                <w:bCs/>
                <w:color w:val="auto"/>
                <w:spacing w:val="-6"/>
                <w:kern w:val="2"/>
                <w:sz w:val="24"/>
                <w:szCs w:val="24"/>
                <w:highlight w:val="none"/>
              </w:rPr>
              <w:t>，</w:t>
            </w:r>
            <w:r>
              <w:rPr>
                <w:rFonts w:hint="eastAsia" w:ascii="仿宋" w:hAnsi="仿宋" w:eastAsia="仿宋" w:cs="仿宋"/>
                <w:color w:val="auto"/>
                <w:spacing w:val="-6"/>
                <w:kern w:val="2"/>
                <w:sz w:val="24"/>
                <w:szCs w:val="24"/>
                <w:highlight w:val="none"/>
              </w:rPr>
              <w:t>外形轮廓不明显扣2分，颈与头结合不好扣1分，颈皮明显松弛扣2分。</w:t>
            </w:r>
          </w:p>
        </w:tc>
      </w:tr>
      <w:tr w14:paraId="396AB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36" w:type="dxa"/>
            <w:vMerge w:val="continue"/>
            <w:noWrap w:val="0"/>
            <w:vAlign w:val="center"/>
          </w:tcPr>
          <w:p w14:paraId="65141B3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65" w:type="dxa"/>
            <w:noWrap w:val="0"/>
            <w:vAlign w:val="center"/>
          </w:tcPr>
          <w:p w14:paraId="745BFD1D">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4.眼：呈杏形，暗褐色或杏黄色。</w:t>
            </w:r>
          </w:p>
        </w:tc>
        <w:tc>
          <w:tcPr>
            <w:tcW w:w="951" w:type="dxa"/>
            <w:noWrap w:val="0"/>
            <w:vAlign w:val="center"/>
          </w:tcPr>
          <w:p w14:paraId="5F12313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w:t>
            </w:r>
          </w:p>
        </w:tc>
        <w:tc>
          <w:tcPr>
            <w:tcW w:w="3380" w:type="dxa"/>
            <w:noWrap w:val="0"/>
            <w:vAlign w:val="center"/>
          </w:tcPr>
          <w:p w14:paraId="3BE82987">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眼睛过小扣2分。</w:t>
            </w:r>
          </w:p>
        </w:tc>
      </w:tr>
      <w:tr w14:paraId="4B003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1" w:hRule="exact"/>
          <w:jc w:val="center"/>
        </w:trPr>
        <w:tc>
          <w:tcPr>
            <w:tcW w:w="436" w:type="dxa"/>
            <w:vMerge w:val="continue"/>
            <w:noWrap w:val="0"/>
            <w:vAlign w:val="center"/>
          </w:tcPr>
          <w:p w14:paraId="6C95B12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65" w:type="dxa"/>
            <w:noWrap w:val="0"/>
            <w:vAlign w:val="center"/>
          </w:tcPr>
          <w:p w14:paraId="4F6F58D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5.耳：两耳自然下垂，紧贴头部，大小适中，有丰富饰毛。</w:t>
            </w:r>
          </w:p>
        </w:tc>
        <w:tc>
          <w:tcPr>
            <w:tcW w:w="951" w:type="dxa"/>
            <w:noWrap w:val="0"/>
            <w:vAlign w:val="center"/>
          </w:tcPr>
          <w:p w14:paraId="0CEA589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w:t>
            </w:r>
          </w:p>
        </w:tc>
        <w:tc>
          <w:tcPr>
            <w:tcW w:w="3380" w:type="dxa"/>
            <w:noWrap w:val="0"/>
            <w:vAlign w:val="center"/>
          </w:tcPr>
          <w:p w14:paraId="005AD7F5">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耳不下垂为失格。</w:t>
            </w:r>
          </w:p>
          <w:p w14:paraId="553780FF">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过大或过小扣2分，饰毛不丰富扣2分。</w:t>
            </w:r>
          </w:p>
        </w:tc>
      </w:tr>
      <w:tr w14:paraId="675F5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36" w:type="dxa"/>
            <w:vMerge w:val="continue"/>
            <w:noWrap w:val="0"/>
            <w:vAlign w:val="center"/>
          </w:tcPr>
          <w:p w14:paraId="5B8177E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65" w:type="dxa"/>
            <w:noWrap w:val="0"/>
            <w:vAlign w:val="center"/>
          </w:tcPr>
          <w:p w14:paraId="17F0A37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6.鼻：鼻梁平直，鼻镜黑色或深褐色。</w:t>
            </w:r>
          </w:p>
        </w:tc>
        <w:tc>
          <w:tcPr>
            <w:tcW w:w="951" w:type="dxa"/>
            <w:noWrap w:val="0"/>
            <w:vAlign w:val="center"/>
          </w:tcPr>
          <w:p w14:paraId="1D505D1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w:t>
            </w:r>
          </w:p>
        </w:tc>
        <w:tc>
          <w:tcPr>
            <w:tcW w:w="3380" w:type="dxa"/>
            <w:noWrap w:val="0"/>
            <w:vAlign w:val="center"/>
          </w:tcPr>
          <w:p w14:paraId="5664A0E5">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鼻镜颜色与毛色不符扣1—3分。</w:t>
            </w:r>
          </w:p>
        </w:tc>
      </w:tr>
      <w:tr w14:paraId="05CD1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17" w:hRule="exact"/>
          <w:jc w:val="center"/>
        </w:trPr>
        <w:tc>
          <w:tcPr>
            <w:tcW w:w="436" w:type="dxa"/>
            <w:vMerge w:val="continue"/>
            <w:noWrap w:val="0"/>
            <w:vAlign w:val="center"/>
          </w:tcPr>
          <w:p w14:paraId="50DBDD7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65" w:type="dxa"/>
            <w:noWrap w:val="0"/>
            <w:vAlign w:val="center"/>
          </w:tcPr>
          <w:p w14:paraId="38E83204">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7.齿：42颗，剪式咬合。齿式：</w:t>
            </w:r>
          </w:p>
          <w:p w14:paraId="2618E1CA">
            <w:pPr>
              <w:keepNext w:val="0"/>
              <w:keepLines w:val="0"/>
              <w:pageBreakBefore w:val="0"/>
              <w:numPr>
                <w:ilvl w:val="-1"/>
                <w:numId w:val="0"/>
              </w:numPr>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3.1.4.2</w:t>
            </w:r>
          </w:p>
          <w:p w14:paraId="4DE02E3D">
            <w:pPr>
              <w:keepNext w:val="0"/>
              <w:keepLines w:val="0"/>
              <w:pageBreakBefore w:val="0"/>
              <w:numPr>
                <w:ilvl w:val="-1"/>
                <w:numId w:val="0"/>
              </w:numPr>
              <w:overflowPunct/>
              <w:topLinePunct w:val="0"/>
              <w:bidi w:val="0"/>
              <w:adjustRightInd/>
              <w:spacing w:line="0" w:lineRule="atLeast"/>
              <w:ind w:firstLine="482"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b/>
                <w:color w:val="auto"/>
                <w:kern w:val="2"/>
                <w:sz w:val="24"/>
                <w:szCs w:val="24"/>
                <w:highlight w:val="none"/>
              </w:rPr>
              <w:t>———</w:t>
            </w:r>
            <w:r>
              <w:rPr>
                <w:rFonts w:hint="eastAsia" w:ascii="仿宋" w:hAnsi="仿宋" w:eastAsia="仿宋" w:cs="仿宋"/>
                <w:color w:val="auto"/>
                <w:kern w:val="2"/>
                <w:sz w:val="24"/>
                <w:szCs w:val="24"/>
                <w:highlight w:val="none"/>
              </w:rPr>
              <w:t>×2</w:t>
            </w:r>
          </w:p>
          <w:p w14:paraId="4D6E3CD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3.1.4.3</w:t>
            </w:r>
          </w:p>
        </w:tc>
        <w:tc>
          <w:tcPr>
            <w:tcW w:w="951" w:type="dxa"/>
            <w:noWrap w:val="0"/>
            <w:vAlign w:val="center"/>
          </w:tcPr>
          <w:p w14:paraId="03303F7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w:t>
            </w:r>
          </w:p>
        </w:tc>
        <w:tc>
          <w:tcPr>
            <w:tcW w:w="3380" w:type="dxa"/>
            <w:noWrap w:val="0"/>
            <w:vAlign w:val="center"/>
          </w:tcPr>
          <w:p w14:paraId="3CBBAEF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缺犬齿或其他牙齿2颗为失格。咬合不良扣3分。</w:t>
            </w:r>
          </w:p>
        </w:tc>
      </w:tr>
      <w:tr w14:paraId="22CDA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exact"/>
          <w:jc w:val="center"/>
        </w:trPr>
        <w:tc>
          <w:tcPr>
            <w:tcW w:w="436" w:type="dxa"/>
            <w:vMerge w:val="continue"/>
            <w:noWrap w:val="0"/>
            <w:vAlign w:val="center"/>
          </w:tcPr>
          <w:p w14:paraId="351247D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65" w:type="dxa"/>
            <w:noWrap w:val="0"/>
            <w:vAlign w:val="center"/>
          </w:tcPr>
          <w:p w14:paraId="290C6648">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8.颈部：肌肉较少，无松弛皮褶。</w:t>
            </w:r>
          </w:p>
        </w:tc>
        <w:tc>
          <w:tcPr>
            <w:tcW w:w="951" w:type="dxa"/>
            <w:noWrap w:val="0"/>
            <w:vAlign w:val="center"/>
          </w:tcPr>
          <w:p w14:paraId="4347D8B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w:t>
            </w:r>
          </w:p>
        </w:tc>
        <w:tc>
          <w:tcPr>
            <w:tcW w:w="3380" w:type="dxa"/>
            <w:noWrap w:val="0"/>
            <w:vAlign w:val="center"/>
          </w:tcPr>
          <w:p w14:paraId="24F2437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过短或肌肉不发达，转动不灵活扣2分，皮肤松弛扣2分。</w:t>
            </w:r>
          </w:p>
        </w:tc>
      </w:tr>
      <w:tr w14:paraId="2EFF4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0" w:hRule="exact"/>
          <w:jc w:val="center"/>
        </w:trPr>
        <w:tc>
          <w:tcPr>
            <w:tcW w:w="436" w:type="dxa"/>
            <w:noWrap w:val="0"/>
            <w:vAlign w:val="center"/>
          </w:tcPr>
          <w:p w14:paraId="68385DF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躯干部</w:t>
            </w:r>
          </w:p>
        </w:tc>
        <w:tc>
          <w:tcPr>
            <w:tcW w:w="3965" w:type="dxa"/>
            <w:noWrap w:val="0"/>
            <w:vAlign w:val="center"/>
          </w:tcPr>
          <w:p w14:paraId="3692F38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9.胸宽而深、背腰平直，侧看背腰线接近水平，腰臀结合紧凑，平滑。</w:t>
            </w:r>
          </w:p>
        </w:tc>
        <w:tc>
          <w:tcPr>
            <w:tcW w:w="951" w:type="dxa"/>
            <w:noWrap w:val="0"/>
            <w:vAlign w:val="center"/>
          </w:tcPr>
          <w:p w14:paraId="1BA1F57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w:t>
            </w:r>
          </w:p>
        </w:tc>
        <w:tc>
          <w:tcPr>
            <w:tcW w:w="3380" w:type="dxa"/>
            <w:noWrap w:val="0"/>
            <w:vAlign w:val="center"/>
          </w:tcPr>
          <w:p w14:paraId="23A56BF6">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背腰过</w:t>
            </w:r>
            <w:r>
              <w:rPr>
                <w:rFonts w:hint="eastAsia" w:ascii="仿宋" w:hAnsi="仿宋" w:eastAsia="仿宋" w:cs="仿宋"/>
                <w:bCs/>
                <w:iCs/>
                <w:color w:val="auto"/>
                <w:kern w:val="2"/>
                <w:sz w:val="24"/>
                <w:szCs w:val="24"/>
                <w:highlight w:val="none"/>
              </w:rPr>
              <w:t>薄</w:t>
            </w:r>
            <w:r>
              <w:rPr>
                <w:rFonts w:hint="eastAsia" w:ascii="仿宋" w:hAnsi="仿宋" w:eastAsia="仿宋" w:cs="仿宋"/>
                <w:color w:val="auto"/>
                <w:kern w:val="2"/>
                <w:sz w:val="24"/>
                <w:szCs w:val="24"/>
                <w:highlight w:val="none"/>
              </w:rPr>
              <w:t>扣3分，腹围过大扣2分，腰臀结合不良扣1分</w:t>
            </w:r>
          </w:p>
        </w:tc>
      </w:tr>
      <w:tr w14:paraId="129C1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1" w:hRule="exact"/>
          <w:jc w:val="center"/>
        </w:trPr>
        <w:tc>
          <w:tcPr>
            <w:tcW w:w="436" w:type="dxa"/>
            <w:vMerge w:val="restart"/>
            <w:noWrap w:val="0"/>
            <w:vAlign w:val="center"/>
          </w:tcPr>
          <w:p w14:paraId="38FF34B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四肢与步态</w:t>
            </w:r>
          </w:p>
        </w:tc>
        <w:tc>
          <w:tcPr>
            <w:tcW w:w="3965" w:type="dxa"/>
            <w:noWrap w:val="0"/>
            <w:vAlign w:val="center"/>
          </w:tcPr>
          <w:p w14:paraId="0617DA6A">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10.四肢强健，前肢直立，大腿部肌肉发达，脚趾紧贴、脚垫厚结实，有丰富的饰毛。</w:t>
            </w:r>
          </w:p>
        </w:tc>
        <w:tc>
          <w:tcPr>
            <w:tcW w:w="951" w:type="dxa"/>
            <w:noWrap w:val="0"/>
            <w:vAlign w:val="center"/>
          </w:tcPr>
          <w:p w14:paraId="3D5C6CE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3380" w:type="dxa"/>
            <w:noWrap w:val="0"/>
            <w:vAlign w:val="center"/>
          </w:tcPr>
          <w:p w14:paraId="6CB36444">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bCs/>
                <w:iCs/>
                <w:color w:val="auto"/>
                <w:kern w:val="2"/>
                <w:sz w:val="24"/>
                <w:szCs w:val="24"/>
                <w:highlight w:val="none"/>
              </w:rPr>
              <w:t>前肢斑点分部均匀的满分或加分</w:t>
            </w:r>
            <w:r>
              <w:rPr>
                <w:rFonts w:hint="eastAsia" w:ascii="仿宋" w:hAnsi="仿宋" w:eastAsia="仿宋" w:cs="仿宋"/>
                <w:color w:val="auto"/>
                <w:kern w:val="2"/>
                <w:sz w:val="24"/>
                <w:szCs w:val="24"/>
                <w:highlight w:val="none"/>
              </w:rPr>
              <w:t>，严重佝偻后遗症或跛行为失格。</w:t>
            </w:r>
          </w:p>
          <w:p w14:paraId="1274AB0E">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脚趾松散扣3分，无饰毛或毛量不足扣2分。</w:t>
            </w:r>
          </w:p>
        </w:tc>
      </w:tr>
      <w:tr w14:paraId="0DAE58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5" w:hRule="exact"/>
          <w:jc w:val="center"/>
        </w:trPr>
        <w:tc>
          <w:tcPr>
            <w:tcW w:w="436" w:type="dxa"/>
            <w:vMerge w:val="continue"/>
            <w:noWrap w:val="0"/>
            <w:vAlign w:val="center"/>
          </w:tcPr>
          <w:p w14:paraId="558F704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965" w:type="dxa"/>
            <w:noWrap w:val="0"/>
            <w:vAlign w:val="center"/>
          </w:tcPr>
          <w:p w14:paraId="7930C10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11.步态：灵活伸展有弹性，前后步幅均等、善疾步跑，无摇摆和扭动。</w:t>
            </w:r>
          </w:p>
        </w:tc>
        <w:tc>
          <w:tcPr>
            <w:tcW w:w="951" w:type="dxa"/>
            <w:noWrap w:val="0"/>
            <w:vAlign w:val="center"/>
          </w:tcPr>
          <w:p w14:paraId="414B6E1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3380" w:type="dxa"/>
            <w:noWrap w:val="0"/>
            <w:vAlign w:val="center"/>
          </w:tcPr>
          <w:p w14:paraId="63A7817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步态不正扣3分，步幅轻微摇摆、僵硬扣4分。</w:t>
            </w:r>
          </w:p>
        </w:tc>
      </w:tr>
      <w:tr w14:paraId="4A1F81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436" w:type="dxa"/>
            <w:noWrap w:val="0"/>
            <w:vAlign w:val="center"/>
          </w:tcPr>
          <w:p w14:paraId="1184448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尾</w:t>
            </w:r>
          </w:p>
        </w:tc>
        <w:tc>
          <w:tcPr>
            <w:tcW w:w="3965" w:type="dxa"/>
            <w:noWrap w:val="0"/>
            <w:vAlign w:val="center"/>
          </w:tcPr>
          <w:p w14:paraId="0A63D8D7">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12.尾根低，兴奋时尾不超过背，有良好饰毛，好摆动，通常断尾。</w:t>
            </w:r>
          </w:p>
        </w:tc>
        <w:tc>
          <w:tcPr>
            <w:tcW w:w="951" w:type="dxa"/>
            <w:noWrap w:val="0"/>
            <w:vAlign w:val="center"/>
          </w:tcPr>
          <w:p w14:paraId="5A0F654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w:t>
            </w:r>
          </w:p>
        </w:tc>
        <w:tc>
          <w:tcPr>
            <w:tcW w:w="3380" w:type="dxa"/>
            <w:noWrap w:val="0"/>
            <w:vAlign w:val="center"/>
          </w:tcPr>
          <w:p w14:paraId="1D71264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bCs/>
                <w:iCs/>
                <w:color w:val="auto"/>
                <w:kern w:val="2"/>
                <w:sz w:val="24"/>
                <w:szCs w:val="24"/>
                <w:highlight w:val="none"/>
              </w:rPr>
              <w:t>严重卷尾、扭尾均匀为失格</w:t>
            </w:r>
            <w:r>
              <w:rPr>
                <w:rFonts w:hint="eastAsia" w:ascii="仿宋" w:hAnsi="仿宋" w:eastAsia="仿宋" w:cs="仿宋"/>
                <w:color w:val="auto"/>
                <w:kern w:val="2"/>
                <w:sz w:val="24"/>
                <w:szCs w:val="24"/>
                <w:highlight w:val="none"/>
              </w:rPr>
              <w:t>。</w:t>
            </w:r>
          </w:p>
          <w:p w14:paraId="1D79D0D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尾过短或过长扣2分，无饰毛扣1分。</w:t>
            </w:r>
          </w:p>
        </w:tc>
      </w:tr>
    </w:tbl>
    <w:p w14:paraId="736DE17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bCs/>
          <w:color w:val="auto"/>
          <w:kern w:val="2"/>
          <w:sz w:val="24"/>
          <w:szCs w:val="24"/>
          <w:highlight w:val="none"/>
        </w:rPr>
        <w:t>表</w:t>
      </w:r>
      <w:r>
        <w:rPr>
          <w:rFonts w:hint="eastAsia" w:ascii="仿宋" w:hAnsi="仿宋" w:eastAsia="仿宋" w:cs="仿宋"/>
          <w:bCs/>
          <w:color w:val="auto"/>
          <w:kern w:val="2"/>
          <w:sz w:val="24"/>
          <w:szCs w:val="24"/>
          <w:highlight w:val="none"/>
          <w:lang w:val="en-US" w:eastAsia="zh-CN"/>
        </w:rPr>
        <w:t>3</w:t>
      </w:r>
      <w:r>
        <w:rPr>
          <w:rFonts w:hint="eastAsia" w:ascii="仿宋" w:hAnsi="仿宋" w:eastAsia="仿宋" w:cs="仿宋"/>
          <w:bCs/>
          <w:color w:val="auto"/>
          <w:kern w:val="2"/>
          <w:sz w:val="24"/>
          <w:szCs w:val="24"/>
          <w:highlight w:val="none"/>
        </w:rPr>
        <w:t>-2：</w:t>
      </w:r>
      <w:r>
        <w:rPr>
          <w:rFonts w:hint="eastAsia" w:ascii="仿宋" w:hAnsi="仿宋" w:eastAsia="仿宋" w:cs="仿宋"/>
          <w:color w:val="auto"/>
          <w:kern w:val="2"/>
          <w:sz w:val="24"/>
          <w:szCs w:val="24"/>
          <w:highlight w:val="none"/>
        </w:rPr>
        <w:t>史宾格犬种犬警用性能认证项目及评分标准</w:t>
      </w:r>
    </w:p>
    <w:tbl>
      <w:tblPr>
        <w:tblStyle w:val="13"/>
        <w:tblW w:w="87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2555"/>
        <w:gridCol w:w="951"/>
        <w:gridCol w:w="4014"/>
      </w:tblGrid>
      <w:tr w14:paraId="4DC023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12" w:type="dxa"/>
            <w:noWrap w:val="0"/>
            <w:vAlign w:val="center"/>
          </w:tcPr>
          <w:p w14:paraId="748A58B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555" w:type="dxa"/>
            <w:noWrap w:val="0"/>
            <w:vAlign w:val="center"/>
          </w:tcPr>
          <w:p w14:paraId="4B2FC7D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951" w:type="dxa"/>
            <w:noWrap w:val="0"/>
            <w:vAlign w:val="center"/>
          </w:tcPr>
          <w:p w14:paraId="3B2E1FE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4014" w:type="dxa"/>
            <w:noWrap w:val="0"/>
            <w:vAlign w:val="center"/>
          </w:tcPr>
          <w:p w14:paraId="1A35D8B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5E180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1212" w:type="dxa"/>
            <w:noWrap w:val="0"/>
            <w:vAlign w:val="center"/>
          </w:tcPr>
          <w:p w14:paraId="56B4D33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神经类型</w:t>
            </w:r>
          </w:p>
        </w:tc>
        <w:tc>
          <w:tcPr>
            <w:tcW w:w="2555" w:type="dxa"/>
            <w:noWrap w:val="0"/>
            <w:vAlign w:val="center"/>
          </w:tcPr>
          <w:p w14:paraId="23A4414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活泼、兴奋、转化快。温顺友善，不应有攻击性</w:t>
            </w:r>
          </w:p>
        </w:tc>
        <w:tc>
          <w:tcPr>
            <w:tcW w:w="951" w:type="dxa"/>
            <w:noWrap w:val="0"/>
            <w:vAlign w:val="center"/>
          </w:tcPr>
          <w:p w14:paraId="38A2F20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40</w:t>
            </w:r>
          </w:p>
        </w:tc>
        <w:tc>
          <w:tcPr>
            <w:tcW w:w="4014" w:type="dxa"/>
            <w:noWrap w:val="0"/>
            <w:vAlign w:val="center"/>
          </w:tcPr>
          <w:p w14:paraId="365A9BF5">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spacing w:val="-8"/>
                <w:kern w:val="2"/>
                <w:sz w:val="24"/>
                <w:szCs w:val="24"/>
                <w:highlight w:val="none"/>
              </w:rPr>
            </w:pPr>
            <w:r>
              <w:rPr>
                <w:rFonts w:hint="eastAsia" w:ascii="仿宋" w:hAnsi="仿宋" w:eastAsia="仿宋" w:cs="仿宋"/>
                <w:color w:val="auto"/>
                <w:spacing w:val="-8"/>
                <w:kern w:val="2"/>
                <w:sz w:val="24"/>
                <w:szCs w:val="24"/>
                <w:highlight w:val="none"/>
              </w:rPr>
              <w:t>过分安静、神经质为失格。偏安静扣5分，好斗扣8分。有攻击性扣25分，攻击性过强为失格。</w:t>
            </w:r>
          </w:p>
        </w:tc>
      </w:tr>
      <w:tr w14:paraId="6D860B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12" w:type="dxa"/>
            <w:noWrap w:val="0"/>
            <w:vAlign w:val="center"/>
          </w:tcPr>
          <w:p w14:paraId="75F410E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胆量</w:t>
            </w:r>
          </w:p>
        </w:tc>
        <w:tc>
          <w:tcPr>
            <w:tcW w:w="2555" w:type="dxa"/>
            <w:noWrap w:val="0"/>
            <w:vAlign w:val="center"/>
          </w:tcPr>
          <w:p w14:paraId="4E50D007">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胆大，对环境适应强。</w:t>
            </w:r>
          </w:p>
        </w:tc>
        <w:tc>
          <w:tcPr>
            <w:tcW w:w="951" w:type="dxa"/>
            <w:noWrap w:val="0"/>
            <w:vAlign w:val="center"/>
          </w:tcPr>
          <w:p w14:paraId="7E89E56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w:t>
            </w:r>
          </w:p>
        </w:tc>
        <w:tc>
          <w:tcPr>
            <w:tcW w:w="4014" w:type="dxa"/>
            <w:noWrap w:val="0"/>
            <w:vAlign w:val="center"/>
          </w:tcPr>
          <w:p w14:paraId="128458B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明显胆小为失格。稍有胆怯表现的扣7分。对环境适应性弱扣5—10分。</w:t>
            </w:r>
          </w:p>
        </w:tc>
      </w:tr>
      <w:tr w14:paraId="4B132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12" w:type="dxa"/>
            <w:noWrap w:val="0"/>
            <w:vAlign w:val="center"/>
          </w:tcPr>
          <w:p w14:paraId="550E07B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衔取欲</w:t>
            </w:r>
          </w:p>
        </w:tc>
        <w:tc>
          <w:tcPr>
            <w:tcW w:w="2555" w:type="dxa"/>
            <w:noWrap w:val="0"/>
            <w:vAlign w:val="center"/>
          </w:tcPr>
          <w:p w14:paraId="0D52B76E">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猎取反射强，占有欲望强。</w:t>
            </w:r>
          </w:p>
        </w:tc>
        <w:tc>
          <w:tcPr>
            <w:tcW w:w="951" w:type="dxa"/>
            <w:noWrap w:val="0"/>
            <w:vAlign w:val="center"/>
          </w:tcPr>
          <w:p w14:paraId="28DCAAB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w:t>
            </w:r>
          </w:p>
        </w:tc>
        <w:tc>
          <w:tcPr>
            <w:tcW w:w="4014" w:type="dxa"/>
            <w:noWrap w:val="0"/>
            <w:vAlign w:val="center"/>
          </w:tcPr>
          <w:p w14:paraId="46871CBE">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不衔取为失格。衔取兴奋性不高扣15分。占有欲弱扣5分。</w:t>
            </w:r>
          </w:p>
        </w:tc>
      </w:tr>
      <w:tr w14:paraId="7F579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212" w:type="dxa"/>
            <w:noWrap w:val="0"/>
            <w:vAlign w:val="center"/>
          </w:tcPr>
          <w:p w14:paraId="01E079D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服从性</w:t>
            </w:r>
          </w:p>
        </w:tc>
        <w:tc>
          <w:tcPr>
            <w:tcW w:w="2555" w:type="dxa"/>
            <w:noWrap w:val="0"/>
            <w:vAlign w:val="center"/>
          </w:tcPr>
          <w:p w14:paraId="66412405">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服从主人指挥。</w:t>
            </w:r>
          </w:p>
        </w:tc>
        <w:tc>
          <w:tcPr>
            <w:tcW w:w="951" w:type="dxa"/>
            <w:noWrap w:val="0"/>
            <w:vAlign w:val="center"/>
          </w:tcPr>
          <w:p w14:paraId="768FA52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4014" w:type="dxa"/>
            <w:noWrap w:val="0"/>
            <w:vAlign w:val="center"/>
          </w:tcPr>
          <w:p w14:paraId="446B7696">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重复指挥一次扣1分，重复指挥二次再扣2分。</w:t>
            </w:r>
          </w:p>
        </w:tc>
      </w:tr>
      <w:tr w14:paraId="4654C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1212" w:type="dxa"/>
            <w:noWrap w:val="0"/>
            <w:vAlign w:val="center"/>
          </w:tcPr>
          <w:p w14:paraId="456BF70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体能</w:t>
            </w:r>
          </w:p>
        </w:tc>
        <w:tc>
          <w:tcPr>
            <w:tcW w:w="2555" w:type="dxa"/>
            <w:noWrap w:val="0"/>
            <w:vAlign w:val="center"/>
          </w:tcPr>
          <w:p w14:paraId="7AD0CDB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连续疾跑运动30分钟或跑1500米后没有疲劳表现。</w:t>
            </w:r>
          </w:p>
        </w:tc>
        <w:tc>
          <w:tcPr>
            <w:tcW w:w="951" w:type="dxa"/>
            <w:noWrap w:val="0"/>
            <w:vAlign w:val="center"/>
          </w:tcPr>
          <w:p w14:paraId="79AD944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10</w:t>
            </w:r>
          </w:p>
        </w:tc>
        <w:tc>
          <w:tcPr>
            <w:tcW w:w="4014" w:type="dxa"/>
            <w:noWrap w:val="0"/>
            <w:vAlign w:val="center"/>
          </w:tcPr>
          <w:p w14:paraId="45D3991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有疲劳表现或运动能力较差者扣5分。</w:t>
            </w:r>
          </w:p>
        </w:tc>
      </w:tr>
    </w:tbl>
    <w:p w14:paraId="345E682C">
      <w:pPr>
        <w:keepNext w:val="0"/>
        <w:keepLines w:val="0"/>
        <w:pageBreakBefore w:val="0"/>
        <w:widowControl w:val="0"/>
        <w:overflowPunct/>
        <w:topLinePunct w:val="0"/>
        <w:bidi w:val="0"/>
        <w:snapToGrid w:val="0"/>
        <w:spacing w:line="0" w:lineRule="atLeast"/>
        <w:jc w:val="left"/>
        <w:rPr>
          <w:rFonts w:hint="eastAsia" w:ascii="仿宋" w:hAnsi="仿宋" w:eastAsia="仿宋" w:cs="仿宋"/>
          <w:color w:val="auto"/>
          <w:kern w:val="2"/>
          <w:sz w:val="24"/>
          <w:szCs w:val="24"/>
          <w:highlight w:val="none"/>
          <w:lang w:val="en-US" w:eastAsia="zh-CN" w:bidi="ar-SA"/>
        </w:rPr>
      </w:pPr>
    </w:p>
    <w:p w14:paraId="68BEE7A4">
      <w:pPr>
        <w:keepNext w:val="0"/>
        <w:keepLines w:val="0"/>
        <w:pageBreakBefore w:val="0"/>
        <w:widowControl w:val="0"/>
        <w:overflowPunct/>
        <w:topLinePunct w:val="0"/>
        <w:bidi w:val="0"/>
        <w:snapToGrid w:val="0"/>
        <w:spacing w:line="0" w:lineRule="atLeast"/>
        <w:jc w:val="left"/>
        <w:rPr>
          <w:rFonts w:hint="eastAsia" w:ascii="仿宋" w:hAnsi="仿宋" w:eastAsia="仿宋" w:cs="仿宋"/>
          <w:color w:val="auto"/>
          <w:kern w:val="2"/>
          <w:sz w:val="24"/>
          <w:szCs w:val="24"/>
          <w:highlight w:val="none"/>
          <w:lang w:val="en-US" w:eastAsia="zh-CN" w:bidi="ar-SA"/>
        </w:rPr>
      </w:pPr>
    </w:p>
    <w:p w14:paraId="1A31EE1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bCs/>
          <w:color w:val="auto"/>
          <w:kern w:val="2"/>
          <w:sz w:val="24"/>
          <w:szCs w:val="24"/>
          <w:highlight w:val="none"/>
        </w:rPr>
        <w:t>表</w:t>
      </w:r>
      <w:r>
        <w:rPr>
          <w:rFonts w:hint="eastAsia" w:ascii="仿宋" w:hAnsi="仿宋" w:eastAsia="仿宋" w:cs="仿宋"/>
          <w:bCs/>
          <w:color w:val="auto"/>
          <w:kern w:val="2"/>
          <w:sz w:val="24"/>
          <w:szCs w:val="24"/>
          <w:highlight w:val="none"/>
          <w:lang w:val="en-US" w:eastAsia="zh-CN"/>
        </w:rPr>
        <w:t>3</w:t>
      </w:r>
      <w:r>
        <w:rPr>
          <w:rFonts w:hint="eastAsia" w:ascii="仿宋" w:hAnsi="仿宋" w:eastAsia="仿宋" w:cs="仿宋"/>
          <w:bCs/>
          <w:color w:val="auto"/>
          <w:kern w:val="2"/>
          <w:sz w:val="24"/>
          <w:szCs w:val="24"/>
          <w:highlight w:val="none"/>
        </w:rPr>
        <w:t>-3：史宾格犬种公犬繁殖性能认证项目及评分标准</w:t>
      </w:r>
    </w:p>
    <w:tbl>
      <w:tblPr>
        <w:tblStyle w:val="13"/>
        <w:tblW w:w="87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2539"/>
        <w:gridCol w:w="951"/>
        <w:gridCol w:w="4028"/>
      </w:tblGrid>
      <w:tr w14:paraId="11F3A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214" w:type="dxa"/>
            <w:noWrap w:val="0"/>
            <w:vAlign w:val="center"/>
          </w:tcPr>
          <w:p w14:paraId="5A21E43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539" w:type="dxa"/>
            <w:noWrap w:val="0"/>
            <w:vAlign w:val="center"/>
          </w:tcPr>
          <w:p w14:paraId="5D20387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951" w:type="dxa"/>
            <w:noWrap w:val="0"/>
            <w:vAlign w:val="center"/>
          </w:tcPr>
          <w:p w14:paraId="63154F5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4028" w:type="dxa"/>
            <w:noWrap w:val="0"/>
            <w:vAlign w:val="center"/>
          </w:tcPr>
          <w:p w14:paraId="57CE828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15E89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7" w:hRule="exact"/>
          <w:jc w:val="center"/>
        </w:trPr>
        <w:tc>
          <w:tcPr>
            <w:tcW w:w="1214" w:type="dxa"/>
            <w:noWrap w:val="0"/>
            <w:vAlign w:val="center"/>
          </w:tcPr>
          <w:p w14:paraId="68164F5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性反射能力</w:t>
            </w:r>
          </w:p>
        </w:tc>
        <w:tc>
          <w:tcPr>
            <w:tcW w:w="2539" w:type="dxa"/>
            <w:noWrap w:val="0"/>
            <w:vAlign w:val="center"/>
          </w:tcPr>
          <w:p w14:paraId="1D8A113A">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对发情母犬产生强烈的性欲望</w:t>
            </w:r>
          </w:p>
        </w:tc>
        <w:tc>
          <w:tcPr>
            <w:tcW w:w="951" w:type="dxa"/>
            <w:noWrap w:val="0"/>
            <w:vAlign w:val="center"/>
          </w:tcPr>
          <w:p w14:paraId="564BCAF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40</w:t>
            </w:r>
          </w:p>
        </w:tc>
        <w:tc>
          <w:tcPr>
            <w:tcW w:w="4028" w:type="dxa"/>
            <w:noWrap w:val="0"/>
            <w:vAlign w:val="center"/>
          </w:tcPr>
          <w:p w14:paraId="334D306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靠近最适交配期发情母犬，不嗅闻又不爬跨为失格。交配欲望较差扣5分，交配5—10次后不爬跨扣5分，爬跨2—3次后不爬者扣10分，只嗅闻完全不爬跨扣30分。</w:t>
            </w:r>
          </w:p>
        </w:tc>
      </w:tr>
      <w:tr w14:paraId="0CE87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214" w:type="dxa"/>
            <w:noWrap w:val="0"/>
            <w:vAlign w:val="center"/>
          </w:tcPr>
          <w:p w14:paraId="5E918CB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精子活力</w:t>
            </w:r>
          </w:p>
        </w:tc>
        <w:tc>
          <w:tcPr>
            <w:tcW w:w="2539" w:type="dxa"/>
            <w:noWrap w:val="0"/>
            <w:vAlign w:val="center"/>
          </w:tcPr>
          <w:p w14:paraId="6E72390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bCs/>
                <w:iCs/>
                <w:color w:val="auto"/>
                <w:kern w:val="2"/>
                <w:sz w:val="24"/>
                <w:szCs w:val="24"/>
                <w:highlight w:val="none"/>
              </w:rPr>
              <w:t>0.6</w:t>
            </w:r>
            <w:r>
              <w:rPr>
                <w:rFonts w:hint="eastAsia" w:ascii="仿宋" w:hAnsi="仿宋" w:eastAsia="仿宋" w:cs="仿宋"/>
                <w:color w:val="auto"/>
                <w:kern w:val="2"/>
                <w:sz w:val="24"/>
                <w:szCs w:val="24"/>
                <w:highlight w:val="none"/>
              </w:rPr>
              <w:t>以上</w:t>
            </w:r>
          </w:p>
        </w:tc>
        <w:tc>
          <w:tcPr>
            <w:tcW w:w="951" w:type="dxa"/>
            <w:noWrap w:val="0"/>
            <w:vAlign w:val="center"/>
          </w:tcPr>
          <w:p w14:paraId="087726D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60</w:t>
            </w:r>
          </w:p>
        </w:tc>
        <w:tc>
          <w:tcPr>
            <w:tcW w:w="4028" w:type="dxa"/>
            <w:noWrap w:val="0"/>
            <w:vAlign w:val="center"/>
          </w:tcPr>
          <w:p w14:paraId="41849B7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低于0.6为失格，</w:t>
            </w:r>
            <w:r>
              <w:rPr>
                <w:rFonts w:hint="eastAsia" w:ascii="仿宋" w:hAnsi="仿宋" w:eastAsia="仿宋" w:cs="仿宋"/>
                <w:bCs/>
                <w:iCs/>
                <w:color w:val="auto"/>
                <w:kern w:val="0"/>
                <w:sz w:val="24"/>
                <w:szCs w:val="24"/>
                <w:highlight w:val="none"/>
              </w:rPr>
              <w:t>0.8</w:t>
            </w:r>
            <w:r>
              <w:rPr>
                <w:rFonts w:hint="eastAsia" w:ascii="仿宋" w:hAnsi="仿宋" w:eastAsia="仿宋" w:cs="仿宋"/>
                <w:color w:val="auto"/>
                <w:kern w:val="0"/>
                <w:sz w:val="24"/>
                <w:szCs w:val="24"/>
                <w:highlight w:val="none"/>
              </w:rPr>
              <w:t>以上得满分，每少</w:t>
            </w:r>
            <w:r>
              <w:rPr>
                <w:rFonts w:hint="eastAsia" w:ascii="仿宋" w:hAnsi="仿宋" w:eastAsia="仿宋" w:cs="仿宋"/>
                <w:bCs/>
                <w:iCs/>
                <w:color w:val="auto"/>
                <w:kern w:val="0"/>
                <w:sz w:val="24"/>
                <w:szCs w:val="24"/>
                <w:highlight w:val="none"/>
              </w:rPr>
              <w:t>0.1扣9分</w:t>
            </w:r>
          </w:p>
        </w:tc>
      </w:tr>
    </w:tbl>
    <w:p w14:paraId="74029FE6">
      <w:pPr>
        <w:keepNext w:val="0"/>
        <w:keepLines w:val="0"/>
        <w:pageBreakBefore w:val="0"/>
        <w:widowControl w:val="0"/>
        <w:overflowPunct/>
        <w:topLinePunct w:val="0"/>
        <w:bidi w:val="0"/>
        <w:snapToGrid w:val="0"/>
        <w:spacing w:line="0" w:lineRule="atLeast"/>
        <w:jc w:val="left"/>
        <w:rPr>
          <w:rFonts w:hint="eastAsia" w:ascii="仿宋" w:hAnsi="仿宋" w:eastAsia="仿宋" w:cs="仿宋"/>
          <w:bCs/>
          <w:color w:val="auto"/>
          <w:kern w:val="2"/>
          <w:sz w:val="24"/>
          <w:szCs w:val="24"/>
          <w:highlight w:val="none"/>
          <w:lang w:val="en-US" w:eastAsia="zh-CN" w:bidi="ar-SA"/>
        </w:rPr>
      </w:pPr>
    </w:p>
    <w:p w14:paraId="530A8C0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bCs/>
          <w:color w:val="auto"/>
          <w:kern w:val="2"/>
          <w:sz w:val="24"/>
          <w:szCs w:val="24"/>
          <w:highlight w:val="none"/>
        </w:rPr>
        <w:t>表</w:t>
      </w:r>
      <w:r>
        <w:rPr>
          <w:rFonts w:hint="eastAsia" w:ascii="仿宋" w:hAnsi="仿宋" w:eastAsia="仿宋" w:cs="仿宋"/>
          <w:bCs/>
          <w:color w:val="auto"/>
          <w:kern w:val="2"/>
          <w:sz w:val="24"/>
          <w:szCs w:val="24"/>
          <w:highlight w:val="none"/>
          <w:lang w:val="en-US" w:eastAsia="zh-CN"/>
        </w:rPr>
        <w:t>3</w:t>
      </w:r>
      <w:r>
        <w:rPr>
          <w:rFonts w:hint="eastAsia" w:ascii="仿宋" w:hAnsi="仿宋" w:eastAsia="仿宋" w:cs="仿宋"/>
          <w:bCs/>
          <w:color w:val="auto"/>
          <w:kern w:val="2"/>
          <w:sz w:val="24"/>
          <w:szCs w:val="24"/>
          <w:highlight w:val="none"/>
        </w:rPr>
        <w:t>-4：史宾格犬种母犬繁殖性能认证项目及评分标准</w:t>
      </w:r>
    </w:p>
    <w:tbl>
      <w:tblPr>
        <w:tblStyle w:val="13"/>
        <w:tblW w:w="873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12"/>
        <w:gridCol w:w="2550"/>
        <w:gridCol w:w="951"/>
        <w:gridCol w:w="4019"/>
      </w:tblGrid>
      <w:tr w14:paraId="593F69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24" w:hRule="exact"/>
          <w:jc w:val="center"/>
        </w:trPr>
        <w:tc>
          <w:tcPr>
            <w:tcW w:w="1212" w:type="dxa"/>
            <w:noWrap w:val="0"/>
            <w:vAlign w:val="center"/>
          </w:tcPr>
          <w:p w14:paraId="472A6A6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550" w:type="dxa"/>
            <w:noWrap w:val="0"/>
            <w:vAlign w:val="center"/>
          </w:tcPr>
          <w:p w14:paraId="38637E3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951" w:type="dxa"/>
            <w:noWrap w:val="0"/>
            <w:vAlign w:val="center"/>
          </w:tcPr>
          <w:p w14:paraId="38CE85B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4019" w:type="dxa"/>
            <w:noWrap w:val="0"/>
            <w:vAlign w:val="center"/>
          </w:tcPr>
          <w:p w14:paraId="2BE0E96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2960CA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31" w:hRule="exact"/>
          <w:jc w:val="center"/>
        </w:trPr>
        <w:tc>
          <w:tcPr>
            <w:tcW w:w="1212" w:type="dxa"/>
            <w:noWrap w:val="0"/>
            <w:vAlign w:val="center"/>
          </w:tcPr>
          <w:p w14:paraId="3C12D70C">
            <w:pPr>
              <w:keepNext w:val="0"/>
              <w:keepLines w:val="0"/>
              <w:pageBreakBefore w:val="0"/>
              <w:numPr>
                <w:ilvl w:val="-1"/>
                <w:numId w:val="0"/>
              </w:numPr>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窝产仔数</w:t>
            </w:r>
          </w:p>
        </w:tc>
        <w:tc>
          <w:tcPr>
            <w:tcW w:w="2550" w:type="dxa"/>
            <w:noWrap w:val="0"/>
            <w:vAlign w:val="center"/>
          </w:tcPr>
          <w:p w14:paraId="2C31C392">
            <w:pPr>
              <w:keepNext w:val="0"/>
              <w:keepLines w:val="0"/>
              <w:pageBreakBefore w:val="0"/>
              <w:numPr>
                <w:ilvl w:val="-1"/>
                <w:numId w:val="0"/>
              </w:numPr>
              <w:overflowPunct/>
              <w:topLinePunct w:val="0"/>
              <w:autoSpaceDE w:val="0"/>
              <w:autoSpaceDN w:val="0"/>
              <w:bidi w:val="0"/>
              <w:adjustRightInd/>
              <w:spacing w:line="0" w:lineRule="atLeast"/>
              <w:ind w:firstLine="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累计2窝以上（含2窝），资料评定，要求平均窝产仔数达到7头以上。</w:t>
            </w:r>
          </w:p>
        </w:tc>
        <w:tc>
          <w:tcPr>
            <w:tcW w:w="951" w:type="dxa"/>
            <w:noWrap w:val="0"/>
            <w:vAlign w:val="center"/>
          </w:tcPr>
          <w:p w14:paraId="62FEF56E">
            <w:pPr>
              <w:keepNext w:val="0"/>
              <w:keepLines w:val="0"/>
              <w:pageBreakBefore w:val="0"/>
              <w:numPr>
                <w:ilvl w:val="-1"/>
                <w:numId w:val="0"/>
              </w:numPr>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55</w:t>
            </w:r>
          </w:p>
        </w:tc>
        <w:tc>
          <w:tcPr>
            <w:tcW w:w="4019" w:type="dxa"/>
            <w:noWrap w:val="0"/>
            <w:vAlign w:val="center"/>
          </w:tcPr>
          <w:p w14:paraId="746EFBFF">
            <w:pPr>
              <w:keepNext w:val="0"/>
              <w:keepLines w:val="0"/>
              <w:pageBreakBefore w:val="0"/>
              <w:numPr>
                <w:ilvl w:val="-1"/>
                <w:numId w:val="0"/>
              </w:numPr>
              <w:overflowPunct/>
              <w:topLinePunct w:val="0"/>
              <w:autoSpaceDE w:val="0"/>
              <w:autoSpaceDN w:val="0"/>
              <w:bidi w:val="0"/>
              <w:adjustRightInd/>
              <w:spacing w:line="0" w:lineRule="atLeast"/>
              <w:ind w:firstLine="0"/>
              <w:textAlignment w:val="auto"/>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平均窝产仔数</w:t>
            </w:r>
            <w:r>
              <w:rPr>
                <w:rFonts w:hint="eastAsia" w:ascii="仿宋" w:hAnsi="仿宋" w:eastAsia="仿宋" w:cs="仿宋"/>
                <w:bCs/>
                <w:iCs/>
                <w:color w:val="auto"/>
                <w:spacing w:val="-6"/>
                <w:kern w:val="0"/>
                <w:sz w:val="24"/>
                <w:szCs w:val="24"/>
                <w:highlight w:val="none"/>
              </w:rPr>
              <w:t>7</w:t>
            </w:r>
            <w:r>
              <w:rPr>
                <w:rFonts w:hint="eastAsia" w:ascii="仿宋" w:hAnsi="仿宋" w:eastAsia="仿宋" w:cs="仿宋"/>
                <w:color w:val="auto"/>
                <w:spacing w:val="-6"/>
                <w:kern w:val="0"/>
                <w:sz w:val="24"/>
                <w:szCs w:val="24"/>
                <w:highlight w:val="none"/>
              </w:rPr>
              <w:t>头以上得满分，每少1头扣10分。</w:t>
            </w:r>
          </w:p>
        </w:tc>
      </w:tr>
      <w:tr w14:paraId="679993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208" w:hRule="exact"/>
          <w:jc w:val="center"/>
        </w:trPr>
        <w:tc>
          <w:tcPr>
            <w:tcW w:w="1212" w:type="dxa"/>
            <w:noWrap w:val="0"/>
            <w:vAlign w:val="center"/>
          </w:tcPr>
          <w:p w14:paraId="22BDD94B">
            <w:pPr>
              <w:keepNext w:val="0"/>
              <w:keepLines w:val="0"/>
              <w:pageBreakBefore w:val="0"/>
              <w:numPr>
                <w:ilvl w:val="-1"/>
                <w:numId w:val="0"/>
              </w:numPr>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断奶仔犬</w:t>
            </w:r>
          </w:p>
          <w:p w14:paraId="332A52B9">
            <w:pPr>
              <w:keepNext w:val="0"/>
              <w:keepLines w:val="0"/>
              <w:pageBreakBefore w:val="0"/>
              <w:numPr>
                <w:ilvl w:val="-1"/>
                <w:numId w:val="0"/>
              </w:numPr>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成活率</w:t>
            </w:r>
          </w:p>
        </w:tc>
        <w:tc>
          <w:tcPr>
            <w:tcW w:w="2550" w:type="dxa"/>
            <w:noWrap w:val="0"/>
            <w:vAlign w:val="center"/>
          </w:tcPr>
          <w:p w14:paraId="3A2A667B">
            <w:pPr>
              <w:keepNext w:val="0"/>
              <w:keepLines w:val="0"/>
              <w:pageBreakBefore w:val="0"/>
              <w:numPr>
                <w:ilvl w:val="-1"/>
                <w:numId w:val="0"/>
              </w:numPr>
              <w:overflowPunct/>
              <w:topLinePunct w:val="0"/>
              <w:autoSpaceDE w:val="0"/>
              <w:autoSpaceDN w:val="0"/>
              <w:bidi w:val="0"/>
              <w:adjustRightInd/>
              <w:spacing w:line="0" w:lineRule="atLeast"/>
              <w:ind w:firstLine="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累计2窝以上（含2窝）资料评定，要求断奶仔犬成活率达到80%以上。</w:t>
            </w:r>
          </w:p>
        </w:tc>
        <w:tc>
          <w:tcPr>
            <w:tcW w:w="951" w:type="dxa"/>
            <w:noWrap w:val="0"/>
            <w:vAlign w:val="center"/>
          </w:tcPr>
          <w:p w14:paraId="7B41FD23">
            <w:pPr>
              <w:keepNext w:val="0"/>
              <w:keepLines w:val="0"/>
              <w:pageBreakBefore w:val="0"/>
              <w:numPr>
                <w:ilvl w:val="-1"/>
                <w:numId w:val="0"/>
              </w:numPr>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45</w:t>
            </w:r>
          </w:p>
        </w:tc>
        <w:tc>
          <w:tcPr>
            <w:tcW w:w="4019" w:type="dxa"/>
            <w:noWrap w:val="0"/>
            <w:vAlign w:val="center"/>
          </w:tcPr>
          <w:p w14:paraId="31041682">
            <w:pPr>
              <w:keepNext w:val="0"/>
              <w:keepLines w:val="0"/>
              <w:pageBreakBefore w:val="0"/>
              <w:numPr>
                <w:ilvl w:val="-1"/>
                <w:numId w:val="0"/>
              </w:numPr>
              <w:overflowPunct/>
              <w:topLinePunct w:val="0"/>
              <w:autoSpaceDE w:val="0"/>
              <w:autoSpaceDN w:val="0"/>
              <w:bidi w:val="0"/>
              <w:adjustRightInd/>
              <w:spacing w:line="0" w:lineRule="atLeast"/>
              <w:ind w:firstLine="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断奶成活率80%以上为满分，每少1%扣2分</w:t>
            </w:r>
          </w:p>
        </w:tc>
      </w:tr>
    </w:tbl>
    <w:p w14:paraId="685AA1A2">
      <w:pPr>
        <w:keepNext w:val="0"/>
        <w:keepLines w:val="0"/>
        <w:pageBreakBefore w:val="0"/>
        <w:widowControl w:val="0"/>
        <w:overflowPunct/>
        <w:topLinePunct w:val="0"/>
        <w:bidi w:val="0"/>
        <w:snapToGrid w:val="0"/>
        <w:spacing w:line="0" w:lineRule="atLeast"/>
        <w:jc w:val="left"/>
        <w:rPr>
          <w:rFonts w:hint="eastAsia" w:ascii="仿宋" w:hAnsi="仿宋" w:eastAsia="仿宋" w:cs="仿宋"/>
          <w:color w:val="auto"/>
          <w:kern w:val="2"/>
          <w:sz w:val="24"/>
          <w:szCs w:val="24"/>
          <w:highlight w:val="none"/>
          <w:lang w:val="en-US" w:eastAsia="zh-CN" w:bidi="ar-SA"/>
        </w:rPr>
      </w:pPr>
    </w:p>
    <w:p w14:paraId="4EEECCD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bCs/>
          <w:color w:val="auto"/>
          <w:kern w:val="2"/>
          <w:sz w:val="24"/>
          <w:szCs w:val="24"/>
          <w:highlight w:val="none"/>
        </w:rPr>
        <w:t>表</w:t>
      </w:r>
      <w:r>
        <w:rPr>
          <w:rFonts w:hint="eastAsia" w:ascii="仿宋" w:hAnsi="仿宋" w:eastAsia="仿宋" w:cs="仿宋"/>
          <w:bCs/>
          <w:color w:val="auto"/>
          <w:kern w:val="2"/>
          <w:sz w:val="24"/>
          <w:szCs w:val="24"/>
          <w:highlight w:val="none"/>
          <w:lang w:val="en-US" w:eastAsia="zh-CN"/>
        </w:rPr>
        <w:t>3</w:t>
      </w:r>
      <w:r>
        <w:rPr>
          <w:rFonts w:hint="eastAsia" w:ascii="仿宋" w:hAnsi="仿宋" w:eastAsia="仿宋" w:cs="仿宋"/>
          <w:bCs/>
          <w:color w:val="auto"/>
          <w:kern w:val="2"/>
          <w:sz w:val="24"/>
          <w:szCs w:val="24"/>
          <w:highlight w:val="none"/>
        </w:rPr>
        <w:t>-5：史宾格犬后裔品质认证项目及评分标准</w:t>
      </w:r>
    </w:p>
    <w:tbl>
      <w:tblPr>
        <w:tblStyle w:val="13"/>
        <w:tblW w:w="873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146"/>
        <w:gridCol w:w="2614"/>
        <w:gridCol w:w="869"/>
        <w:gridCol w:w="4103"/>
      </w:tblGrid>
      <w:tr w14:paraId="145CF7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24" w:hRule="exact"/>
          <w:jc w:val="center"/>
        </w:trPr>
        <w:tc>
          <w:tcPr>
            <w:tcW w:w="1146" w:type="dxa"/>
            <w:noWrap w:val="0"/>
            <w:vAlign w:val="center"/>
          </w:tcPr>
          <w:p w14:paraId="55FB741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　目</w:t>
            </w:r>
          </w:p>
        </w:tc>
        <w:tc>
          <w:tcPr>
            <w:tcW w:w="2614" w:type="dxa"/>
            <w:noWrap w:val="0"/>
            <w:vAlign w:val="center"/>
          </w:tcPr>
          <w:p w14:paraId="2A15E68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要　　　　求</w:t>
            </w:r>
          </w:p>
        </w:tc>
        <w:tc>
          <w:tcPr>
            <w:tcW w:w="869" w:type="dxa"/>
            <w:noWrap w:val="0"/>
            <w:vAlign w:val="center"/>
          </w:tcPr>
          <w:p w14:paraId="1F1CEBC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标准分（100）</w:t>
            </w:r>
          </w:p>
        </w:tc>
        <w:tc>
          <w:tcPr>
            <w:tcW w:w="4103" w:type="dxa"/>
            <w:noWrap w:val="0"/>
            <w:vAlign w:val="center"/>
          </w:tcPr>
          <w:p w14:paraId="583662B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扣分标准</w:t>
            </w:r>
          </w:p>
        </w:tc>
      </w:tr>
      <w:tr w14:paraId="23CBC6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36" w:hRule="exact"/>
          <w:jc w:val="center"/>
        </w:trPr>
        <w:tc>
          <w:tcPr>
            <w:tcW w:w="1146" w:type="dxa"/>
            <w:noWrap w:val="0"/>
            <w:vAlign w:val="center"/>
          </w:tcPr>
          <w:p w14:paraId="1DFED092">
            <w:pPr>
              <w:keepNext w:val="0"/>
              <w:keepLines w:val="0"/>
              <w:pageBreakBefore w:val="0"/>
              <w:numPr>
                <w:ilvl w:val="-1"/>
                <w:numId w:val="0"/>
              </w:numPr>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同窝仔犬</w:t>
            </w:r>
          </w:p>
          <w:p w14:paraId="56CC76B2">
            <w:pPr>
              <w:keepNext w:val="0"/>
              <w:keepLines w:val="0"/>
              <w:pageBreakBefore w:val="0"/>
              <w:numPr>
                <w:ilvl w:val="-1"/>
                <w:numId w:val="0"/>
              </w:numPr>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整齐度</w:t>
            </w:r>
          </w:p>
        </w:tc>
        <w:tc>
          <w:tcPr>
            <w:tcW w:w="2614" w:type="dxa"/>
            <w:noWrap w:val="0"/>
            <w:vAlign w:val="center"/>
          </w:tcPr>
          <w:p w14:paraId="58BA2ACF">
            <w:pPr>
              <w:keepNext w:val="0"/>
              <w:keepLines w:val="0"/>
              <w:pageBreakBefore w:val="0"/>
              <w:numPr>
                <w:ilvl w:val="-1"/>
                <w:numId w:val="0"/>
              </w:numPr>
              <w:overflowPunct/>
              <w:topLinePunct w:val="0"/>
              <w:autoSpaceDE w:val="0"/>
              <w:autoSpaceDN w:val="0"/>
              <w:bidi w:val="0"/>
              <w:adjustRightInd/>
              <w:spacing w:line="0" w:lineRule="atLeast"/>
              <w:ind w:firstLine="0"/>
              <w:textAlignment w:val="auto"/>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以同窝犬初生体重、2月龄离平均体重偏差不超过20%。</w:t>
            </w:r>
          </w:p>
        </w:tc>
        <w:tc>
          <w:tcPr>
            <w:tcW w:w="869" w:type="dxa"/>
            <w:noWrap w:val="0"/>
            <w:vAlign w:val="center"/>
          </w:tcPr>
          <w:p w14:paraId="0454711E">
            <w:pPr>
              <w:keepNext w:val="0"/>
              <w:keepLines w:val="0"/>
              <w:pageBreakBefore w:val="0"/>
              <w:numPr>
                <w:ilvl w:val="-1"/>
                <w:numId w:val="0"/>
              </w:numPr>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40</w:t>
            </w:r>
          </w:p>
        </w:tc>
        <w:tc>
          <w:tcPr>
            <w:tcW w:w="4103" w:type="dxa"/>
            <w:noWrap w:val="0"/>
            <w:vAlign w:val="center"/>
          </w:tcPr>
          <w:p w14:paraId="36A96C84">
            <w:pPr>
              <w:keepNext w:val="0"/>
              <w:keepLines w:val="0"/>
              <w:pageBreakBefore w:val="0"/>
              <w:numPr>
                <w:ilvl w:val="-1"/>
                <w:numId w:val="0"/>
              </w:numPr>
              <w:overflowPunct/>
              <w:topLinePunct w:val="0"/>
              <w:autoSpaceDE w:val="0"/>
              <w:autoSpaceDN w:val="0"/>
              <w:bidi w:val="0"/>
              <w:adjustRightInd/>
              <w:spacing w:line="0" w:lineRule="atLeast"/>
              <w:ind w:firstLine="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偏差小于10%为满分（窝产仔数7头以上，偏差小于15%计满分），每增加1%扣2分。</w:t>
            </w:r>
          </w:p>
        </w:tc>
      </w:tr>
      <w:tr w14:paraId="5E7BDE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81" w:hRule="exact"/>
          <w:jc w:val="center"/>
        </w:trPr>
        <w:tc>
          <w:tcPr>
            <w:tcW w:w="1146" w:type="dxa"/>
            <w:noWrap w:val="0"/>
            <w:vAlign w:val="center"/>
          </w:tcPr>
          <w:p w14:paraId="646A9395">
            <w:pPr>
              <w:keepNext w:val="0"/>
              <w:keepLines w:val="0"/>
              <w:pageBreakBefore w:val="0"/>
              <w:numPr>
                <w:ilvl w:val="-1"/>
                <w:numId w:val="0"/>
              </w:numPr>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幼训合格率</w:t>
            </w:r>
          </w:p>
        </w:tc>
        <w:tc>
          <w:tcPr>
            <w:tcW w:w="2614" w:type="dxa"/>
            <w:noWrap w:val="0"/>
            <w:vAlign w:val="center"/>
          </w:tcPr>
          <w:p w14:paraId="5820BBC4">
            <w:pPr>
              <w:keepNext w:val="0"/>
              <w:keepLines w:val="0"/>
              <w:pageBreakBefore w:val="0"/>
              <w:numPr>
                <w:ilvl w:val="-1"/>
                <w:numId w:val="0"/>
              </w:numPr>
              <w:overflowPunct/>
              <w:topLinePunct w:val="0"/>
              <w:autoSpaceDE w:val="0"/>
              <w:autoSpaceDN w:val="0"/>
              <w:bidi w:val="0"/>
              <w:adjustRightInd/>
              <w:spacing w:line="0" w:lineRule="atLeast"/>
              <w:ind w:firstLine="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不低于</w:t>
            </w:r>
            <w:r>
              <w:rPr>
                <w:rFonts w:hint="eastAsia" w:ascii="仿宋" w:hAnsi="仿宋" w:eastAsia="仿宋" w:cs="仿宋"/>
                <w:bCs/>
                <w:iCs/>
                <w:color w:val="auto"/>
                <w:kern w:val="0"/>
                <w:sz w:val="24"/>
                <w:szCs w:val="24"/>
                <w:highlight w:val="none"/>
              </w:rPr>
              <w:t>75%</w:t>
            </w:r>
          </w:p>
        </w:tc>
        <w:tc>
          <w:tcPr>
            <w:tcW w:w="869" w:type="dxa"/>
            <w:noWrap w:val="0"/>
            <w:vAlign w:val="center"/>
          </w:tcPr>
          <w:p w14:paraId="56888D09">
            <w:pPr>
              <w:keepNext w:val="0"/>
              <w:keepLines w:val="0"/>
              <w:pageBreakBefore w:val="0"/>
              <w:numPr>
                <w:ilvl w:val="-1"/>
                <w:numId w:val="0"/>
              </w:numPr>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w:t>
            </w:r>
          </w:p>
        </w:tc>
        <w:tc>
          <w:tcPr>
            <w:tcW w:w="4103" w:type="dxa"/>
            <w:noWrap w:val="0"/>
            <w:vAlign w:val="center"/>
          </w:tcPr>
          <w:p w14:paraId="42CB3FAE">
            <w:pPr>
              <w:keepNext w:val="0"/>
              <w:keepLines w:val="0"/>
              <w:pageBreakBefore w:val="0"/>
              <w:numPr>
                <w:ilvl w:val="-1"/>
                <w:numId w:val="0"/>
              </w:numPr>
              <w:overflowPunct/>
              <w:topLinePunct w:val="0"/>
              <w:autoSpaceDE w:val="0"/>
              <w:autoSpaceDN w:val="0"/>
              <w:bidi w:val="0"/>
              <w:adjustRightInd/>
              <w:spacing w:line="0" w:lineRule="atLeast"/>
              <w:ind w:firstLine="0"/>
              <w:textAlignment w:val="auto"/>
              <w:rPr>
                <w:rFonts w:hint="eastAsia" w:ascii="仿宋" w:hAnsi="仿宋" w:eastAsia="仿宋" w:cs="仿宋"/>
                <w:color w:val="auto"/>
                <w:spacing w:val="-8"/>
                <w:kern w:val="0"/>
                <w:sz w:val="24"/>
                <w:szCs w:val="24"/>
                <w:highlight w:val="none"/>
              </w:rPr>
            </w:pPr>
            <w:r>
              <w:rPr>
                <w:rFonts w:hint="eastAsia" w:ascii="仿宋" w:hAnsi="仿宋" w:eastAsia="仿宋" w:cs="仿宋"/>
                <w:color w:val="auto"/>
                <w:spacing w:val="-8"/>
                <w:kern w:val="0"/>
                <w:sz w:val="24"/>
                <w:szCs w:val="24"/>
                <w:highlight w:val="none"/>
              </w:rPr>
              <w:t>平均合格率75</w:t>
            </w:r>
            <w:r>
              <w:rPr>
                <w:rFonts w:hint="eastAsia" w:ascii="仿宋" w:hAnsi="仿宋" w:eastAsia="仿宋" w:cs="仿宋"/>
                <w:bCs/>
                <w:iCs/>
                <w:color w:val="auto"/>
                <w:spacing w:val="-8"/>
                <w:kern w:val="0"/>
                <w:sz w:val="24"/>
                <w:szCs w:val="24"/>
                <w:highlight w:val="none"/>
              </w:rPr>
              <w:t>%</w:t>
            </w:r>
            <w:r>
              <w:rPr>
                <w:rFonts w:hint="eastAsia" w:ascii="仿宋" w:hAnsi="仿宋" w:eastAsia="仿宋" w:cs="仿宋"/>
                <w:color w:val="auto"/>
                <w:spacing w:val="-8"/>
                <w:kern w:val="0"/>
                <w:sz w:val="24"/>
                <w:szCs w:val="24"/>
                <w:highlight w:val="none"/>
              </w:rPr>
              <w:t>以上得满分，每减少1%扣1分。</w:t>
            </w:r>
          </w:p>
        </w:tc>
      </w:tr>
      <w:tr w14:paraId="4D690D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74" w:hRule="exact"/>
          <w:jc w:val="center"/>
        </w:trPr>
        <w:tc>
          <w:tcPr>
            <w:tcW w:w="1146" w:type="dxa"/>
            <w:noWrap w:val="0"/>
            <w:vAlign w:val="center"/>
          </w:tcPr>
          <w:p w14:paraId="44609B7A">
            <w:pPr>
              <w:keepNext w:val="0"/>
              <w:keepLines w:val="0"/>
              <w:pageBreakBefore w:val="0"/>
              <w:numPr>
                <w:ilvl w:val="-1"/>
                <w:numId w:val="0"/>
              </w:numPr>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训练合格率</w:t>
            </w:r>
          </w:p>
        </w:tc>
        <w:tc>
          <w:tcPr>
            <w:tcW w:w="2614" w:type="dxa"/>
            <w:noWrap w:val="0"/>
            <w:vAlign w:val="center"/>
          </w:tcPr>
          <w:p w14:paraId="10994CBE">
            <w:pPr>
              <w:keepNext w:val="0"/>
              <w:keepLines w:val="0"/>
              <w:pageBreakBefore w:val="0"/>
              <w:numPr>
                <w:ilvl w:val="-1"/>
                <w:numId w:val="0"/>
              </w:numPr>
              <w:overflowPunct/>
              <w:topLinePunct w:val="0"/>
              <w:autoSpaceDE w:val="0"/>
              <w:autoSpaceDN w:val="0"/>
              <w:bidi w:val="0"/>
              <w:adjustRightInd/>
              <w:spacing w:line="0" w:lineRule="atLeast"/>
              <w:ind w:firstLine="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不低于</w:t>
            </w:r>
            <w:r>
              <w:rPr>
                <w:rFonts w:hint="eastAsia" w:ascii="仿宋" w:hAnsi="仿宋" w:eastAsia="仿宋" w:cs="仿宋"/>
                <w:bCs/>
                <w:iCs/>
                <w:color w:val="auto"/>
                <w:kern w:val="0"/>
                <w:sz w:val="24"/>
                <w:szCs w:val="24"/>
                <w:highlight w:val="none"/>
              </w:rPr>
              <w:t>80%</w:t>
            </w:r>
          </w:p>
        </w:tc>
        <w:tc>
          <w:tcPr>
            <w:tcW w:w="869" w:type="dxa"/>
            <w:noWrap w:val="0"/>
            <w:vAlign w:val="center"/>
          </w:tcPr>
          <w:p w14:paraId="4CBD38BC">
            <w:pPr>
              <w:keepNext w:val="0"/>
              <w:keepLines w:val="0"/>
              <w:pageBreakBefore w:val="0"/>
              <w:numPr>
                <w:ilvl w:val="-1"/>
                <w:numId w:val="0"/>
              </w:numPr>
              <w:overflowPunct/>
              <w:topLinePunct w:val="0"/>
              <w:autoSpaceDE w:val="0"/>
              <w:autoSpaceDN w:val="0"/>
              <w:bidi w:val="0"/>
              <w:adjustRightInd/>
              <w:spacing w:line="0" w:lineRule="atLeast"/>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w:t>
            </w:r>
          </w:p>
        </w:tc>
        <w:tc>
          <w:tcPr>
            <w:tcW w:w="4103" w:type="dxa"/>
            <w:noWrap w:val="0"/>
            <w:vAlign w:val="center"/>
          </w:tcPr>
          <w:p w14:paraId="4069BF8B">
            <w:pPr>
              <w:keepNext w:val="0"/>
              <w:keepLines w:val="0"/>
              <w:pageBreakBefore w:val="0"/>
              <w:numPr>
                <w:ilvl w:val="-1"/>
                <w:numId w:val="0"/>
              </w:numPr>
              <w:overflowPunct/>
              <w:topLinePunct w:val="0"/>
              <w:autoSpaceDE w:val="0"/>
              <w:autoSpaceDN w:val="0"/>
              <w:bidi w:val="0"/>
              <w:adjustRightInd/>
              <w:spacing w:line="0" w:lineRule="atLeast"/>
              <w:ind w:firstLine="0"/>
              <w:textAlignment w:val="auto"/>
              <w:rPr>
                <w:rFonts w:hint="eastAsia" w:ascii="仿宋" w:hAnsi="仿宋" w:eastAsia="仿宋" w:cs="仿宋"/>
                <w:color w:val="auto"/>
                <w:spacing w:val="-8"/>
                <w:kern w:val="0"/>
                <w:sz w:val="24"/>
                <w:szCs w:val="24"/>
                <w:highlight w:val="none"/>
              </w:rPr>
            </w:pPr>
            <w:r>
              <w:rPr>
                <w:rFonts w:hint="eastAsia" w:ascii="仿宋" w:hAnsi="仿宋" w:eastAsia="仿宋" w:cs="仿宋"/>
                <w:color w:val="auto"/>
                <w:spacing w:val="-8"/>
                <w:kern w:val="0"/>
                <w:sz w:val="24"/>
                <w:szCs w:val="24"/>
                <w:highlight w:val="none"/>
              </w:rPr>
              <w:t>平均合格率</w:t>
            </w:r>
            <w:r>
              <w:rPr>
                <w:rFonts w:hint="eastAsia" w:ascii="仿宋" w:hAnsi="仿宋" w:eastAsia="仿宋" w:cs="仿宋"/>
                <w:bCs/>
                <w:iCs/>
                <w:color w:val="auto"/>
                <w:spacing w:val="-8"/>
                <w:kern w:val="0"/>
                <w:sz w:val="24"/>
                <w:szCs w:val="24"/>
                <w:highlight w:val="none"/>
              </w:rPr>
              <w:t>80%</w:t>
            </w:r>
            <w:r>
              <w:rPr>
                <w:rFonts w:hint="eastAsia" w:ascii="仿宋" w:hAnsi="仿宋" w:eastAsia="仿宋" w:cs="仿宋"/>
                <w:color w:val="auto"/>
                <w:spacing w:val="-8"/>
                <w:kern w:val="0"/>
                <w:sz w:val="24"/>
                <w:szCs w:val="24"/>
                <w:highlight w:val="none"/>
              </w:rPr>
              <w:t>以上得满分，每减少1%扣1分。</w:t>
            </w:r>
          </w:p>
        </w:tc>
      </w:tr>
    </w:tbl>
    <w:p w14:paraId="4E3282BA">
      <w:pPr>
        <w:keepNext w:val="0"/>
        <w:keepLines w:val="0"/>
        <w:pageBreakBefore w:val="0"/>
        <w:numPr>
          <w:ilvl w:val="0"/>
          <w:numId w:val="0"/>
        </w:numPr>
        <w:overflowPunct/>
        <w:topLinePunct w:val="0"/>
        <w:bidi w:val="0"/>
        <w:adjustRightInd/>
        <w:snapToGrid w:val="0"/>
        <w:spacing w:line="0" w:lineRule="atLeast"/>
        <w:ind w:firstLine="480" w:firstLineChars="200"/>
        <w:jc w:val="both"/>
        <w:textAlignment w:val="auto"/>
        <w:outlineLvl w:val="2"/>
        <w:rPr>
          <w:rFonts w:hint="eastAsia" w:ascii="仿宋" w:hAnsi="仿宋" w:eastAsia="仿宋" w:cs="仿宋"/>
          <w:color w:val="auto"/>
          <w:kern w:val="2"/>
          <w:sz w:val="24"/>
          <w:szCs w:val="24"/>
          <w:highlight w:val="none"/>
          <w:u w:val="none"/>
          <w:lang w:val="en-US" w:eastAsia="zh-CN"/>
        </w:rPr>
      </w:pPr>
      <w:r>
        <w:rPr>
          <w:rFonts w:hint="eastAsia" w:ascii="仿宋" w:hAnsi="仿宋" w:eastAsia="仿宋" w:cs="仿宋"/>
          <w:color w:val="auto"/>
          <w:kern w:val="2"/>
          <w:sz w:val="24"/>
          <w:szCs w:val="24"/>
          <w:highlight w:val="none"/>
          <w:u w:val="none"/>
          <w:lang w:val="en-US" w:eastAsia="zh-CN"/>
        </w:rPr>
        <w:t>（2）</w:t>
      </w:r>
      <w:r>
        <w:rPr>
          <w:rFonts w:hint="eastAsia" w:ascii="仿宋" w:hAnsi="仿宋" w:eastAsia="仿宋" w:cs="仿宋"/>
          <w:color w:val="auto"/>
          <w:kern w:val="2"/>
          <w:sz w:val="24"/>
          <w:szCs w:val="24"/>
          <w:highlight w:val="none"/>
          <w:u w:val="none"/>
          <w:lang w:val="en-US" w:eastAsia="zh-CN" w:bidi="ar-SA"/>
        </w:rPr>
        <w:t>待训警犬：</w:t>
      </w:r>
      <w:r>
        <w:rPr>
          <w:rFonts w:hint="eastAsia" w:ascii="仿宋" w:hAnsi="仿宋" w:eastAsia="仿宋" w:cs="仿宋"/>
          <w:color w:val="auto"/>
          <w:kern w:val="2"/>
          <w:sz w:val="24"/>
          <w:szCs w:val="24"/>
          <w:highlight w:val="none"/>
          <w:u w:val="none"/>
          <w:lang w:val="en-US" w:eastAsia="zh-CN"/>
        </w:rPr>
        <w:t>合同签订之日起</w:t>
      </w:r>
      <w:r>
        <w:rPr>
          <w:rFonts w:hint="eastAsia" w:ascii="仿宋" w:hAnsi="仿宋" w:eastAsia="仿宋" w:cs="仿宋"/>
          <w:color w:val="auto"/>
          <w:kern w:val="2"/>
          <w:sz w:val="24"/>
          <w:szCs w:val="24"/>
          <w:highlight w:val="none"/>
          <w:u w:val="none"/>
          <w:lang w:val="en-US" w:eastAsia="zh-CN" w:bidi="ar-SA"/>
        </w:rPr>
        <w:t>20个日历日内，</w:t>
      </w:r>
      <w:r>
        <w:rPr>
          <w:rFonts w:hint="eastAsia" w:ascii="仿宋" w:hAnsi="仿宋" w:eastAsia="仿宋" w:cs="仿宋"/>
          <w:color w:val="auto"/>
          <w:kern w:val="2"/>
          <w:sz w:val="24"/>
          <w:szCs w:val="24"/>
          <w:highlight w:val="none"/>
          <w:u w:val="none"/>
          <w:lang w:val="en-US" w:eastAsia="zh-CN"/>
        </w:rPr>
        <w:t>完成犬只筹备、隔离、选取、体检、防疫驱虫等验收前全部工作。</w:t>
      </w:r>
    </w:p>
    <w:p w14:paraId="6C6B53C2">
      <w:pPr>
        <w:keepNext w:val="0"/>
        <w:keepLines w:val="0"/>
        <w:pageBreakBefore w:val="0"/>
        <w:numPr>
          <w:ilvl w:val="0"/>
          <w:numId w:val="0"/>
        </w:numPr>
        <w:overflowPunct/>
        <w:topLinePunct w:val="0"/>
        <w:bidi w:val="0"/>
        <w:adjustRightInd/>
        <w:snapToGrid w:val="0"/>
        <w:spacing w:line="0" w:lineRule="atLeast"/>
        <w:ind w:firstLine="480" w:firstLineChars="200"/>
        <w:jc w:val="both"/>
        <w:textAlignment w:val="auto"/>
        <w:outlineLvl w:val="2"/>
        <w:rPr>
          <w:rFonts w:hint="eastAsia" w:ascii="仿宋" w:hAnsi="仿宋" w:eastAsia="仿宋" w:cs="仿宋"/>
          <w:color w:val="auto"/>
          <w:kern w:val="2"/>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①犬只筹备：</w:t>
      </w:r>
      <w:r>
        <w:rPr>
          <w:rFonts w:hint="eastAsia" w:ascii="仿宋" w:hAnsi="仿宋" w:eastAsia="仿宋" w:cs="仿宋"/>
          <w:color w:val="auto"/>
          <w:kern w:val="2"/>
          <w:sz w:val="24"/>
          <w:szCs w:val="24"/>
          <w:highlight w:val="none"/>
          <w:u w:val="none"/>
          <w:lang w:val="en-US" w:eastAsia="zh-CN"/>
        </w:rPr>
        <w:t>合同签订之日起5个日历日内，</w:t>
      </w:r>
      <w:r>
        <w:rPr>
          <w:rFonts w:hint="eastAsia" w:ascii="仿宋" w:hAnsi="仿宋" w:eastAsia="仿宋" w:cs="仿宋"/>
          <w:b w:val="0"/>
          <w:bCs w:val="0"/>
          <w:color w:val="auto"/>
          <w:sz w:val="24"/>
          <w:szCs w:val="24"/>
          <w:highlight w:val="none"/>
          <w:u w:val="none"/>
          <w:lang w:val="en-US" w:eastAsia="zh-CN"/>
        </w:rPr>
        <w:t>乙方</w:t>
      </w:r>
      <w:r>
        <w:rPr>
          <w:rFonts w:hint="eastAsia" w:ascii="仿宋" w:hAnsi="仿宋" w:eastAsia="仿宋" w:cs="仿宋"/>
          <w:color w:val="auto"/>
          <w:sz w:val="24"/>
          <w:szCs w:val="24"/>
          <w:highlight w:val="none"/>
          <w:u w:val="none"/>
          <w:lang w:val="en-US" w:eastAsia="zh-CN"/>
        </w:rPr>
        <w:t>需提供按不同种犬品种对应1:1.2犬数量比例（54头）的待训警犬</w:t>
      </w:r>
      <w:r>
        <w:rPr>
          <w:rFonts w:hint="eastAsia" w:ascii="仿宋" w:hAnsi="仿宋" w:eastAsia="仿宋" w:cs="仿宋"/>
          <w:color w:val="auto"/>
          <w:kern w:val="0"/>
          <w:sz w:val="24"/>
          <w:szCs w:val="24"/>
          <w:highlight w:val="none"/>
          <w:u w:val="none"/>
          <w:lang w:val="en-US" w:eastAsia="zh-CN"/>
        </w:rPr>
        <w:t>送达至乌鲁木齐具备饲养管理条件的区域（区域由乙方</w:t>
      </w:r>
      <w:r>
        <w:rPr>
          <w:rFonts w:hint="eastAsia" w:ascii="仿宋" w:hAnsi="仿宋" w:eastAsia="仿宋" w:cs="仿宋"/>
          <w:color w:val="auto"/>
          <w:kern w:val="2"/>
          <w:sz w:val="24"/>
          <w:szCs w:val="24"/>
          <w:highlight w:val="none"/>
          <w:u w:val="none"/>
          <w:lang w:val="en-US" w:eastAsia="zh-CN"/>
        </w:rPr>
        <w:t>自行确定）。</w:t>
      </w:r>
    </w:p>
    <w:p w14:paraId="77A2C3F2">
      <w:pPr>
        <w:keepNext w:val="0"/>
        <w:keepLines w:val="0"/>
        <w:pageBreakBefore w:val="0"/>
        <w:overflowPunct/>
        <w:topLinePunct w:val="0"/>
        <w:bidi w:val="0"/>
        <w:adjustRightInd/>
        <w:snapToGrid w:val="0"/>
        <w:spacing w:line="0" w:lineRule="atLeast"/>
        <w:ind w:firstLine="480" w:firstLineChars="200"/>
        <w:textAlignment w:val="auto"/>
        <w:outlineLvl w:val="2"/>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kern w:val="2"/>
          <w:sz w:val="24"/>
          <w:szCs w:val="24"/>
          <w:highlight w:val="none"/>
          <w:u w:val="none"/>
          <w:lang w:val="en-US" w:eastAsia="zh-CN"/>
        </w:rPr>
        <w:t>②犬只隔离：</w:t>
      </w:r>
      <w:r>
        <w:rPr>
          <w:rFonts w:hint="eastAsia" w:ascii="仿宋" w:hAnsi="仿宋" w:eastAsia="仿宋" w:cs="仿宋"/>
          <w:color w:val="auto"/>
          <w:kern w:val="2"/>
          <w:sz w:val="24"/>
          <w:szCs w:val="24"/>
          <w:highlight w:val="none"/>
          <w:u w:val="none"/>
          <w:lang w:val="en-US" w:eastAsia="zh-CN" w:bidi="ar-SA"/>
        </w:rPr>
        <w:t>待训警犬全部送到后，乙方需以函件形式通知甲方</w:t>
      </w:r>
      <w:r>
        <w:rPr>
          <w:rFonts w:hint="eastAsia" w:ascii="仿宋" w:hAnsi="仿宋" w:eastAsia="仿宋" w:cs="仿宋"/>
          <w:color w:val="auto"/>
          <w:kern w:val="2"/>
          <w:sz w:val="24"/>
          <w:szCs w:val="24"/>
          <w:highlight w:val="none"/>
          <w:u w:val="none"/>
          <w:lang w:val="en-US" w:eastAsia="zh-CN"/>
        </w:rPr>
        <w:t>（收到函件当日不计算在内）</w:t>
      </w:r>
      <w:r>
        <w:rPr>
          <w:rFonts w:hint="eastAsia" w:ascii="仿宋" w:hAnsi="仿宋" w:eastAsia="仿宋" w:cs="仿宋"/>
          <w:color w:val="auto"/>
          <w:kern w:val="2"/>
          <w:sz w:val="24"/>
          <w:szCs w:val="24"/>
          <w:highlight w:val="none"/>
          <w:u w:val="none"/>
          <w:lang w:val="en-US" w:eastAsia="zh-CN" w:bidi="ar-SA"/>
        </w:rPr>
        <w:t>，</w:t>
      </w:r>
      <w:r>
        <w:rPr>
          <w:rFonts w:hint="eastAsia" w:ascii="仿宋" w:hAnsi="仿宋" w:eastAsia="仿宋" w:cs="仿宋"/>
          <w:color w:val="auto"/>
          <w:kern w:val="2"/>
          <w:sz w:val="24"/>
          <w:szCs w:val="24"/>
          <w:highlight w:val="none"/>
          <w:u w:val="none"/>
          <w:lang w:val="en-US" w:eastAsia="zh-CN"/>
        </w:rPr>
        <w:t>隔离开始时间以函件送达甲方并经甲方确认时间为准，甲方确认后，乙方负责对犬只进行7个日历日的隔离。</w:t>
      </w:r>
      <w:r>
        <w:rPr>
          <w:rFonts w:hint="eastAsia" w:ascii="仿宋" w:hAnsi="仿宋" w:eastAsia="仿宋" w:cs="仿宋"/>
          <w:color w:val="auto"/>
          <w:sz w:val="24"/>
          <w:szCs w:val="24"/>
          <w:highlight w:val="none"/>
          <w:u w:val="none"/>
          <w:lang w:val="en-US" w:eastAsia="zh-CN"/>
        </w:rPr>
        <w:t>隔离期间，乙方承担犬只饲养、饲料、人工、防疫、诊疗等所有费用，若隔离期间出现犬只患病、死亡，由乙方无偿补充符合标准的犬只，隔离期重新计算。</w:t>
      </w:r>
      <w:r>
        <w:rPr>
          <w:rFonts w:hint="eastAsia" w:ascii="仿宋" w:hAnsi="仿宋" w:eastAsia="仿宋" w:cs="仿宋"/>
          <w:color w:val="auto"/>
          <w:kern w:val="2"/>
          <w:sz w:val="24"/>
          <w:szCs w:val="24"/>
          <w:highlight w:val="none"/>
          <w:u w:val="none"/>
          <w:lang w:val="en-US" w:eastAsia="zh-CN"/>
        </w:rPr>
        <w:t>隔离结束无质量问题后，甲方组织人员对犬只进行测试选取。</w:t>
      </w:r>
      <w:r>
        <w:rPr>
          <w:rFonts w:hint="eastAsia" w:ascii="仿宋" w:hAnsi="仿宋" w:eastAsia="仿宋" w:cs="仿宋"/>
          <w:color w:val="auto"/>
          <w:sz w:val="24"/>
          <w:szCs w:val="24"/>
          <w:highlight w:val="none"/>
          <w:u w:val="none"/>
          <w:lang w:val="en-US" w:eastAsia="zh-CN"/>
        </w:rPr>
        <w:t>所供犬只均需提供血统证明（中国工作犬管理协会出具）并植入身份证名芯片（芯片需可扫描并于血统证书信息相一致）。</w:t>
      </w:r>
    </w:p>
    <w:p w14:paraId="4D4DCC41">
      <w:pPr>
        <w:keepNext w:val="0"/>
        <w:keepLines w:val="0"/>
        <w:pageBreakBefore w:val="0"/>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（2）犬只测试选取：</w:t>
      </w:r>
      <w:r>
        <w:rPr>
          <w:rFonts w:hint="eastAsia" w:ascii="仿宋" w:hAnsi="仿宋" w:eastAsia="仿宋" w:cs="仿宋"/>
          <w:color w:val="auto"/>
          <w:kern w:val="2"/>
          <w:sz w:val="24"/>
          <w:szCs w:val="24"/>
          <w:highlight w:val="none"/>
          <w:u w:val="none"/>
          <w:lang w:val="en-US" w:eastAsia="zh-CN"/>
        </w:rPr>
        <w:t>③犬只测试选取：隔离结束且无质量问题后，乙方需以函件形式通知甲方进行犬只测试选取，甲方自收到函件后4个日历日内（收到函件当日不计算在内），由新疆总站边境管理处负责组织，乌鲁木齐警犬训练基地配合，</w:t>
      </w:r>
      <w:r>
        <w:rPr>
          <w:rFonts w:hint="eastAsia" w:ascii="仿宋" w:hAnsi="仿宋" w:eastAsia="仿宋" w:cs="仿宋"/>
          <w:b w:val="0"/>
          <w:bCs w:val="0"/>
          <w:color w:val="auto"/>
          <w:sz w:val="24"/>
          <w:szCs w:val="24"/>
          <w:highlight w:val="none"/>
          <w:u w:val="none"/>
          <w:lang w:val="en-US" w:eastAsia="zh-CN"/>
        </w:rPr>
        <w:t>乙方需委托第三方机构委派1-2名具有警犬技术资质（具体指：中国工作犬管理协会颁发的警犬训练师资格证书、警犬评估师资格证书或同等权威机构出具的警犬技术相关执业资格证书）的专业人员协同监督指导，</w:t>
      </w:r>
      <w:r>
        <w:rPr>
          <w:rFonts w:hint="eastAsia" w:ascii="仿宋" w:hAnsi="仿宋" w:eastAsia="仿宋" w:cs="仿宋"/>
          <w:color w:val="auto"/>
          <w:sz w:val="24"/>
          <w:szCs w:val="24"/>
          <w:highlight w:val="none"/>
          <w:u w:val="none"/>
          <w:lang w:val="en-US" w:eastAsia="zh-CN"/>
        </w:rPr>
        <w:t>参照《警犬繁育工作规则（试行）》通知要求，共同完成对54头待训警犬的挑选并测试，选取符合条件的45头待训警犬。选犬工作期间产生费用由乙方全额承担。</w:t>
      </w:r>
    </w:p>
    <w:p w14:paraId="60E53847">
      <w:pPr>
        <w:keepNext w:val="0"/>
        <w:keepLines w:val="0"/>
        <w:pageBreakBefore w:val="0"/>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测试标准：参考6月龄幼犬考核标准</w:t>
      </w:r>
      <w:r>
        <w:rPr>
          <w:rFonts w:hint="eastAsia" w:ascii="仿宋" w:hAnsi="仿宋" w:eastAsia="仿宋" w:cs="仿宋"/>
          <w:b/>
          <w:bCs/>
          <w:color w:val="auto"/>
          <w:sz w:val="24"/>
          <w:szCs w:val="24"/>
          <w:highlight w:val="none"/>
          <w:u w:val="none"/>
          <w:lang w:val="en-US" w:eastAsia="zh-CN"/>
        </w:rPr>
        <w:t>（后附）</w:t>
      </w:r>
    </w:p>
    <w:p w14:paraId="3A5663A7">
      <w:pPr>
        <w:keepNext w:val="0"/>
        <w:keepLines w:val="0"/>
        <w:pageBreakBefore w:val="0"/>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测试内容：德国牧羊犬、马里努阿犬、昆明犬考核发育状况、体能、服从性、衔取欲、胆量五项内容；史宾格犬在上述五项基础上，同时考核搜索欲和占有欲，共计七项。</w:t>
      </w:r>
    </w:p>
    <w:p w14:paraId="17F247D5">
      <w:pPr>
        <w:keepNext w:val="0"/>
        <w:keepLines w:val="0"/>
        <w:pageBreakBefore w:val="0"/>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测试方法：</w:t>
      </w:r>
    </w:p>
    <w:p w14:paraId="48AFAEFA">
      <w:pPr>
        <w:keepNext w:val="0"/>
        <w:keepLines w:val="0"/>
        <w:pageBreakBefore w:val="0"/>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①发育状况：对待训警犬进行称重、体尺测量，所获数据符合《警犬繁育工作规则》中的相关指标。</w:t>
      </w:r>
    </w:p>
    <w:p w14:paraId="4AF056B3">
      <w:pPr>
        <w:keepNext w:val="0"/>
        <w:keepLines w:val="0"/>
        <w:pageBreakBefore w:val="0"/>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②体能：在2分钟内，待训警犬在牵引状态下连续跑200米后，犬仍然兴奋、自然，能在牵引状态下通过自然障碍。</w:t>
      </w:r>
    </w:p>
    <w:p w14:paraId="4B5EDDA3">
      <w:pPr>
        <w:keepNext w:val="0"/>
        <w:keepLines w:val="0"/>
        <w:pageBreakBefore w:val="0"/>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③服从性：待训警犬在牵引或自然状态下，在20米外唤犬前来，犬能够兴奋快速地跑到繁育员跟前。待训警犬在牵引状态下，能在繁育员左侧随行10米以上。</w:t>
      </w:r>
    </w:p>
    <w:p w14:paraId="05E5951B">
      <w:pPr>
        <w:keepNext w:val="0"/>
        <w:keepLines w:val="0"/>
        <w:pageBreakBefore w:val="0"/>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④衔取欲：用物品逗引，犬能集中注意力注视物品，连续兴奋地衔取抛至20米外的运动和静止物品，并能回到主人身边。</w:t>
      </w:r>
    </w:p>
    <w:p w14:paraId="3C6C099E">
      <w:pPr>
        <w:keepNext w:val="0"/>
        <w:keepLines w:val="0"/>
        <w:pageBreakBefore w:val="0"/>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⑤胆量：犬在牵引状态下能自由穿梭6人以上陌生人群，并能适应陌生人牵引、抚摸和50米处声响刺激，对车辆行人不惊慌。</w:t>
      </w:r>
    </w:p>
    <w:p w14:paraId="034AD8B3">
      <w:pPr>
        <w:keepNext w:val="0"/>
        <w:keepLines w:val="0"/>
        <w:pageBreakBefore w:val="0"/>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⑥占有欲：用物品逗引，犬兴奋，与繁育员进行拔河游戏，并表现出强烈的占有欲和自信。</w:t>
      </w:r>
    </w:p>
    <w:p w14:paraId="4DBB6939">
      <w:pPr>
        <w:keepNext w:val="0"/>
        <w:keepLines w:val="0"/>
        <w:pageBreakBefore w:val="0"/>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⑦搜索欲：将犬用牵引带拴系或由他人牵引，用犬感兴趣的物品进行逗引，犬对物品兴奋后，立即将物品藏于10米外的草丛或土地表层，30秒钟内让犬搜索，犬表现出强烈的搜索欲望，并能在3分钟内搜到物品。</w:t>
      </w:r>
    </w:p>
    <w:p w14:paraId="285006BF">
      <w:pPr>
        <w:keepNext w:val="0"/>
        <w:keepLines w:val="0"/>
        <w:pageBreakBefore w:val="0"/>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德国牧羊犬、马里努阿犬、昆明犬其发育状况、体能、服从性、衔取欲、胆量五部分考核分值各为20分；史宾格犬考核分值为：衔取欲、胆量各20分，发育状况、体能、服从性、占有欲或搜索欲各15分。</w:t>
      </w:r>
    </w:p>
    <w:p w14:paraId="0F0DED0F">
      <w:pPr>
        <w:keepNext w:val="0"/>
        <w:keepLines w:val="0"/>
        <w:pageBreakBefore w:val="0"/>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测试评定：测试总分59分以下为不合格，60—79分为基本合格，80分以上为合格。仅合格犬只可纳入采购选取范围，若合格犬只数量不足45头，由乙方在3个日历日内无偿补充符合本文件隔离标准的待训犬只，补充犬只需完成7日隔离后重新参与测试，直至选取满45头合格犬只，补充犬只的隔离、测试、饲养等所有费用由乙方承担。测试淘汰的犬只（含不合格、基本合格未被选取），由乙方在测试结束后3个日历日内自行处置，全程承担运输、饲养、防疫等所有费用，不得向甲方主张任何费用，也不得在甲方指定区域周边随意处置。</w:t>
      </w:r>
    </w:p>
    <w:p w14:paraId="69C74197">
      <w:pPr>
        <w:keepNext w:val="0"/>
        <w:keepLines w:val="0"/>
        <w:pageBreakBefore w:val="0"/>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体检：3个日历日内，甲方挑选出的犬只由乙方送至具备《动物诊疗许可证》、具备犬只专业体检资质的动物医院进行全面体检（合理安排体检犬只可多家医院同时进行）。体检内容包括：体温检测，皮肤检查（真菌、螨虫等），耳道检查，心肺听诊（是否有不适合训练的心脏和肺部疾病），X线检查（检查脊椎、髋关节、肘关节以及骨骼是否有先天性关节变形，骨膜磨损严重或过薄，骨质疏松以及严重缺钙等），B超检查（心、肝、肺、脾、肾），细小病毒和犬瘟热检查，尿常规，血气检查，体温、脉搏、细小病毒、犬瘟热检测，以及对犬的体型骨骼、体态被毛、神经类型及衔取欲望，伍德氏灯皮肤病排查、五大淋巴结检查等。体检合格后，需出具详细的体检报告，并为犬只编制编号，建立一犬一档案。乙方对所有合格犬只完成体检和建档，以函件形式通知甲方，甲方在1个日历日内（收到函件当日不计算在内）对体检及建档情况进行核查核对，经甲（警犬训练基地组织人员）乙双方确认无误后，由乙方运送至甲方指定地点。</w:t>
      </w:r>
    </w:p>
    <w:p w14:paraId="5C5288D8">
      <w:pPr>
        <w:keepNext w:val="0"/>
        <w:keepLines w:val="0"/>
        <w:pageBreakBefore w:val="0"/>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4）防疫驱虫：最终选定犬只，需在甲方的监督下，完成三次驱虫（2次体内，1次体外）以及英特威四联苗的注射，并在英特威四联苗的注射15个日历日后再注射1针单狂犬疫苗，以上产生的所有费用均由乙方承担。（本项工作不计入合同履约限定时间，乙方须在犬只质保期内完成全部防疫驱虫操作，并将完整操作记录纳入犬只一犬一档案，供甲方核查。）</w:t>
      </w:r>
    </w:p>
    <w:p w14:paraId="6B8E60DC">
      <w:pPr>
        <w:keepNext w:val="0"/>
        <w:keepLines w:val="0"/>
        <w:pageBreakBefore w:val="0"/>
        <w:overflowPunct/>
        <w:topLinePunct w:val="0"/>
        <w:bidi w:val="0"/>
        <w:adjustRightInd/>
        <w:spacing w:line="0" w:lineRule="atLeast"/>
        <w:ind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5）芯片植入：所供犬只均需提供血统证明（中国工作犬管理协会出具）并植入身份证名芯片（芯片需可扫描并于血统证书信息相一致）。（本项工作不计入合同履约限定时间，乙方须在犬只质保期内完成并记录纳入犬只一犬一档案，供甲方核查。）</w:t>
      </w:r>
    </w:p>
    <w:p w14:paraId="2BD8C2AE">
      <w:pPr>
        <w:keepNext w:val="0"/>
        <w:keepLines w:val="0"/>
        <w:pageBreakBefore w:val="0"/>
        <w:numPr>
          <w:ilvl w:val="-1"/>
          <w:numId w:val="0"/>
        </w:numPr>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三、幼犬考核标准</w:t>
      </w:r>
    </w:p>
    <w:p w14:paraId="7FFB04B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bCs/>
          <w:color w:val="auto"/>
          <w:kern w:val="2"/>
          <w:sz w:val="24"/>
          <w:szCs w:val="24"/>
          <w:highlight w:val="none"/>
        </w:rPr>
        <w:t>德国牧羊犬、昆明犬、马里努阿犬</w:t>
      </w:r>
    </w:p>
    <w:p w14:paraId="576EC9D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6月龄考核验收的内容、方法和评分标准</w:t>
      </w:r>
    </w:p>
    <w:tbl>
      <w:tblPr>
        <w:tblStyle w:val="13"/>
        <w:tblpPr w:leftFromText="180" w:rightFromText="180" w:vertAnchor="text" w:horzAnchor="margin" w:tblpXSpec="center" w:tblpY="114"/>
        <w:tblOverlap w:val="never"/>
        <w:tblW w:w="864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751"/>
        <w:gridCol w:w="614"/>
        <w:gridCol w:w="2145"/>
        <w:gridCol w:w="3450"/>
      </w:tblGrid>
      <w:tr w14:paraId="160E3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81" w:type="dxa"/>
            <w:noWrap w:val="0"/>
            <w:vAlign w:val="center"/>
          </w:tcPr>
          <w:p w14:paraId="1B3CACA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考核内容</w:t>
            </w:r>
          </w:p>
        </w:tc>
        <w:tc>
          <w:tcPr>
            <w:tcW w:w="1751" w:type="dxa"/>
            <w:noWrap w:val="0"/>
            <w:vAlign w:val="center"/>
          </w:tcPr>
          <w:p w14:paraId="783A95B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考核方法</w:t>
            </w:r>
          </w:p>
        </w:tc>
        <w:tc>
          <w:tcPr>
            <w:tcW w:w="614" w:type="dxa"/>
            <w:noWrap w:val="0"/>
            <w:tcMar>
              <w:left w:w="0" w:type="dxa"/>
              <w:right w:w="0" w:type="dxa"/>
            </w:tcMar>
            <w:vAlign w:val="center"/>
          </w:tcPr>
          <w:p w14:paraId="2024AC2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分值</w:t>
            </w:r>
          </w:p>
        </w:tc>
        <w:tc>
          <w:tcPr>
            <w:tcW w:w="5595" w:type="dxa"/>
            <w:gridSpan w:val="2"/>
            <w:noWrap w:val="0"/>
            <w:vAlign w:val="center"/>
          </w:tcPr>
          <w:p w14:paraId="13E3BA0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评分标准</w:t>
            </w:r>
          </w:p>
          <w:p w14:paraId="247F54D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扣分（每项分值扣完为止）</w:t>
            </w:r>
          </w:p>
        </w:tc>
      </w:tr>
      <w:tr w14:paraId="5788D1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5" w:hRule="exact"/>
        </w:trPr>
        <w:tc>
          <w:tcPr>
            <w:tcW w:w="681" w:type="dxa"/>
            <w:noWrap w:val="0"/>
            <w:vAlign w:val="center"/>
          </w:tcPr>
          <w:p w14:paraId="18AB191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发育状况</w:t>
            </w:r>
          </w:p>
        </w:tc>
        <w:tc>
          <w:tcPr>
            <w:tcW w:w="1751" w:type="dxa"/>
            <w:noWrap w:val="0"/>
            <w:vAlign w:val="center"/>
          </w:tcPr>
          <w:p w14:paraId="69227E0A">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spacing w:val="-10"/>
                <w:kern w:val="2"/>
                <w:sz w:val="24"/>
                <w:szCs w:val="24"/>
                <w:highlight w:val="none"/>
              </w:rPr>
            </w:pPr>
            <w:r>
              <w:rPr>
                <w:rFonts w:hint="eastAsia" w:ascii="仿宋" w:hAnsi="仿宋" w:eastAsia="仿宋" w:cs="仿宋"/>
                <w:color w:val="auto"/>
                <w:spacing w:val="-10"/>
                <w:kern w:val="2"/>
                <w:sz w:val="24"/>
                <w:szCs w:val="24"/>
                <w:highlight w:val="none"/>
              </w:rPr>
              <w:t>在空腹状态下称重，在平地犬自然站立状态下测量体尺</w:t>
            </w:r>
          </w:p>
        </w:tc>
        <w:tc>
          <w:tcPr>
            <w:tcW w:w="614" w:type="dxa"/>
            <w:noWrap w:val="0"/>
            <w:tcMar>
              <w:left w:w="0" w:type="dxa"/>
              <w:right w:w="0" w:type="dxa"/>
            </w:tcMar>
            <w:vAlign w:val="center"/>
          </w:tcPr>
          <w:p w14:paraId="0524B0E3">
            <w:pPr>
              <w:keepNext w:val="0"/>
              <w:keepLines w:val="0"/>
              <w:pageBreakBefore w:val="0"/>
              <w:numPr>
                <w:ilvl w:val="-1"/>
                <w:numId w:val="0"/>
              </w:numPr>
              <w:overflowPunct/>
              <w:topLinePunct w:val="0"/>
              <w:bidi w:val="0"/>
              <w:adjustRightInd/>
              <w:spacing w:line="0" w:lineRule="atLeast"/>
              <w:ind w:left="201" w:hanging="240" w:hangingChars="10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20分</w:t>
            </w:r>
          </w:p>
        </w:tc>
        <w:tc>
          <w:tcPr>
            <w:tcW w:w="2145" w:type="dxa"/>
            <w:noWrap w:val="0"/>
            <w:vAlign w:val="center"/>
          </w:tcPr>
          <w:p w14:paraId="0125B6B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spacing w:val="-6"/>
                <w:kern w:val="2"/>
                <w:sz w:val="24"/>
                <w:szCs w:val="24"/>
                <w:highlight w:val="none"/>
              </w:rPr>
              <w:t>幼犬体重、体尺标准符合《警犬繁育工作规则》的相关规定20分</w:t>
            </w:r>
          </w:p>
        </w:tc>
        <w:tc>
          <w:tcPr>
            <w:tcW w:w="3450" w:type="dxa"/>
            <w:noWrap w:val="0"/>
            <w:vAlign w:val="center"/>
          </w:tcPr>
          <w:p w14:paraId="73B6E028">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任一项每低于标准的1%扣1分</w:t>
            </w:r>
          </w:p>
          <w:p w14:paraId="05B508AD">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任一项低于标准的20%不合格幼犬</w:t>
            </w:r>
          </w:p>
        </w:tc>
      </w:tr>
      <w:tr w14:paraId="1DC51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681" w:type="dxa"/>
            <w:vMerge w:val="restart"/>
            <w:noWrap w:val="0"/>
            <w:vAlign w:val="center"/>
          </w:tcPr>
          <w:p w14:paraId="0193892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w:t>
            </w:r>
          </w:p>
          <w:p w14:paraId="765B481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77A915B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能</w:t>
            </w:r>
          </w:p>
        </w:tc>
        <w:tc>
          <w:tcPr>
            <w:tcW w:w="1751" w:type="dxa"/>
            <w:vMerge w:val="restart"/>
            <w:noWrap w:val="0"/>
            <w:vAlign w:val="center"/>
          </w:tcPr>
          <w:p w14:paraId="65AF031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在2分钟内，幼犬在牵引状态下跑步200米，犬仍兴奋、自然；</w:t>
            </w:r>
          </w:p>
          <w:p w14:paraId="12693C5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犬能在牵引状态下通过自然障碍。</w:t>
            </w:r>
          </w:p>
        </w:tc>
        <w:tc>
          <w:tcPr>
            <w:tcW w:w="614" w:type="dxa"/>
            <w:vMerge w:val="restart"/>
            <w:noWrap w:val="0"/>
            <w:tcMar>
              <w:left w:w="0" w:type="dxa"/>
              <w:right w:w="0" w:type="dxa"/>
            </w:tcMar>
            <w:vAlign w:val="center"/>
          </w:tcPr>
          <w:p w14:paraId="14F9F5FE">
            <w:pPr>
              <w:keepNext w:val="0"/>
              <w:keepLines w:val="0"/>
              <w:pageBreakBefore w:val="0"/>
              <w:numPr>
                <w:ilvl w:val="-1"/>
                <w:numId w:val="0"/>
              </w:numPr>
              <w:overflowPunct/>
              <w:topLinePunct w:val="0"/>
              <w:bidi w:val="0"/>
              <w:adjustRightInd/>
              <w:spacing w:line="0" w:lineRule="atLeast"/>
              <w:ind w:left="201" w:hanging="240" w:hangingChars="10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20分</w:t>
            </w:r>
          </w:p>
        </w:tc>
        <w:tc>
          <w:tcPr>
            <w:tcW w:w="2145" w:type="dxa"/>
            <w:noWrap w:val="0"/>
            <w:vAlign w:val="center"/>
          </w:tcPr>
          <w:p w14:paraId="65E5737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奔跑8分</w:t>
            </w:r>
          </w:p>
        </w:tc>
        <w:tc>
          <w:tcPr>
            <w:tcW w:w="3450" w:type="dxa"/>
            <w:noWrap w:val="0"/>
            <w:vAlign w:val="center"/>
          </w:tcPr>
          <w:p w14:paraId="5CF49FD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在规定时间内未跑完200米不得分</w:t>
            </w:r>
          </w:p>
          <w:p w14:paraId="29CD902F">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跑完200米不兴奋、自然扣2—5分</w:t>
            </w:r>
          </w:p>
        </w:tc>
      </w:tr>
      <w:tr w14:paraId="6D8A7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4" w:hRule="exact"/>
        </w:trPr>
        <w:tc>
          <w:tcPr>
            <w:tcW w:w="681" w:type="dxa"/>
            <w:vMerge w:val="continue"/>
            <w:noWrap w:val="0"/>
            <w:vAlign w:val="center"/>
          </w:tcPr>
          <w:p w14:paraId="49E1268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3CFDCD6D">
            <w:pPr>
              <w:keepNext w:val="0"/>
              <w:keepLines w:val="0"/>
              <w:pageBreakBefore w:val="0"/>
              <w:numPr>
                <w:ilvl w:val="-1"/>
                <w:numId w:val="0"/>
              </w:numPr>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p>
        </w:tc>
        <w:tc>
          <w:tcPr>
            <w:tcW w:w="614" w:type="dxa"/>
            <w:vMerge w:val="continue"/>
            <w:noWrap w:val="0"/>
            <w:tcMar>
              <w:left w:w="0" w:type="dxa"/>
              <w:right w:w="0" w:type="dxa"/>
            </w:tcMar>
            <w:vAlign w:val="center"/>
          </w:tcPr>
          <w:p w14:paraId="667A73B4">
            <w:pPr>
              <w:keepNext w:val="0"/>
              <w:keepLines w:val="0"/>
              <w:pageBreakBefore w:val="0"/>
              <w:numPr>
                <w:ilvl w:val="-1"/>
                <w:numId w:val="0"/>
              </w:numPr>
              <w:overflowPunct/>
              <w:topLinePunct w:val="0"/>
              <w:bidi w:val="0"/>
              <w:adjustRightInd/>
              <w:spacing w:line="0" w:lineRule="atLeast"/>
              <w:ind w:left="201" w:hanging="240" w:hangingChars="100"/>
              <w:jc w:val="center"/>
              <w:textAlignment w:val="auto"/>
              <w:rPr>
                <w:rFonts w:hint="eastAsia" w:ascii="仿宋" w:hAnsi="仿宋" w:eastAsia="仿宋" w:cs="仿宋"/>
                <w:color w:val="auto"/>
                <w:kern w:val="2"/>
                <w:sz w:val="24"/>
                <w:szCs w:val="24"/>
                <w:highlight w:val="none"/>
              </w:rPr>
            </w:pPr>
          </w:p>
        </w:tc>
        <w:tc>
          <w:tcPr>
            <w:tcW w:w="2145" w:type="dxa"/>
            <w:noWrap w:val="0"/>
            <w:vAlign w:val="center"/>
          </w:tcPr>
          <w:p w14:paraId="227FDD5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通过自然障碍</w:t>
            </w:r>
          </w:p>
          <w:p w14:paraId="1A789A16">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6分</w:t>
            </w:r>
          </w:p>
        </w:tc>
        <w:tc>
          <w:tcPr>
            <w:tcW w:w="3450" w:type="dxa"/>
            <w:noWrap w:val="0"/>
            <w:vAlign w:val="center"/>
          </w:tcPr>
          <w:p w14:paraId="1B14024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不能通过不得分</w:t>
            </w:r>
          </w:p>
          <w:p w14:paraId="0A3FE62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通过但不顺利扣1—3分</w:t>
            </w:r>
          </w:p>
        </w:tc>
      </w:tr>
      <w:tr w14:paraId="4EA0C1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681" w:type="dxa"/>
            <w:vMerge w:val="continue"/>
            <w:noWrap w:val="0"/>
            <w:vAlign w:val="center"/>
          </w:tcPr>
          <w:p w14:paraId="70D8E42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5C5FBEFE">
            <w:pPr>
              <w:keepNext w:val="0"/>
              <w:keepLines w:val="0"/>
              <w:pageBreakBefore w:val="0"/>
              <w:numPr>
                <w:ilvl w:val="-1"/>
                <w:numId w:val="0"/>
              </w:numPr>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p>
        </w:tc>
        <w:tc>
          <w:tcPr>
            <w:tcW w:w="614" w:type="dxa"/>
            <w:vMerge w:val="continue"/>
            <w:noWrap w:val="0"/>
            <w:tcMar>
              <w:left w:w="0" w:type="dxa"/>
              <w:right w:w="0" w:type="dxa"/>
            </w:tcMar>
            <w:vAlign w:val="center"/>
          </w:tcPr>
          <w:p w14:paraId="749EC669">
            <w:pPr>
              <w:keepNext w:val="0"/>
              <w:keepLines w:val="0"/>
              <w:pageBreakBefore w:val="0"/>
              <w:numPr>
                <w:ilvl w:val="-1"/>
                <w:numId w:val="0"/>
              </w:numPr>
              <w:overflowPunct/>
              <w:topLinePunct w:val="0"/>
              <w:bidi w:val="0"/>
              <w:adjustRightInd/>
              <w:spacing w:line="0" w:lineRule="atLeast"/>
              <w:ind w:left="201" w:hanging="240" w:hangingChars="100"/>
              <w:jc w:val="center"/>
              <w:textAlignment w:val="auto"/>
              <w:rPr>
                <w:rFonts w:hint="eastAsia" w:ascii="仿宋" w:hAnsi="仿宋" w:eastAsia="仿宋" w:cs="仿宋"/>
                <w:color w:val="auto"/>
                <w:kern w:val="2"/>
                <w:sz w:val="24"/>
                <w:szCs w:val="24"/>
                <w:highlight w:val="none"/>
              </w:rPr>
            </w:pPr>
          </w:p>
        </w:tc>
        <w:tc>
          <w:tcPr>
            <w:tcW w:w="2145" w:type="dxa"/>
            <w:noWrap w:val="0"/>
            <w:vAlign w:val="center"/>
          </w:tcPr>
          <w:p w14:paraId="04FFE5C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步态特征6分</w:t>
            </w:r>
          </w:p>
        </w:tc>
        <w:tc>
          <w:tcPr>
            <w:tcW w:w="3450" w:type="dxa"/>
            <w:noWrap w:val="0"/>
            <w:vAlign w:val="center"/>
          </w:tcPr>
          <w:p w14:paraId="364050F8">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步态不协调扣1—3分</w:t>
            </w:r>
          </w:p>
        </w:tc>
      </w:tr>
      <w:tr w14:paraId="5A2FE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84" w:hRule="exact"/>
        </w:trPr>
        <w:tc>
          <w:tcPr>
            <w:tcW w:w="681" w:type="dxa"/>
            <w:vMerge w:val="restart"/>
            <w:noWrap w:val="0"/>
            <w:vAlign w:val="center"/>
          </w:tcPr>
          <w:p w14:paraId="36DB07B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服</w:t>
            </w:r>
          </w:p>
          <w:p w14:paraId="24BB753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从</w:t>
            </w:r>
          </w:p>
          <w:p w14:paraId="692FDE7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w:t>
            </w:r>
          </w:p>
        </w:tc>
        <w:tc>
          <w:tcPr>
            <w:tcW w:w="1751" w:type="dxa"/>
            <w:vMerge w:val="restart"/>
            <w:noWrap w:val="0"/>
            <w:vAlign w:val="center"/>
          </w:tcPr>
          <w:p w14:paraId="6B2E0C7E">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助训员牵引或自由状态下，繁育员跑出20米唤犬前来，犬能够兴奋快速地跑到繁育员跟前。</w:t>
            </w:r>
          </w:p>
          <w:p w14:paraId="5E0E114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幼犬在繁育员牵引状态下，能在繁育员左侧随行10米以上。</w:t>
            </w:r>
          </w:p>
        </w:tc>
        <w:tc>
          <w:tcPr>
            <w:tcW w:w="614" w:type="dxa"/>
            <w:vMerge w:val="restart"/>
            <w:noWrap w:val="0"/>
            <w:tcMar>
              <w:left w:w="0" w:type="dxa"/>
              <w:right w:w="0" w:type="dxa"/>
            </w:tcMar>
            <w:vAlign w:val="center"/>
          </w:tcPr>
          <w:p w14:paraId="4D0B7D2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20分</w:t>
            </w:r>
          </w:p>
        </w:tc>
        <w:tc>
          <w:tcPr>
            <w:tcW w:w="2145" w:type="dxa"/>
            <w:noWrap w:val="0"/>
            <w:vAlign w:val="center"/>
          </w:tcPr>
          <w:p w14:paraId="22780CD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自由状态下前来</w:t>
            </w:r>
          </w:p>
          <w:p w14:paraId="66D22FAD">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6分</w:t>
            </w:r>
          </w:p>
        </w:tc>
        <w:tc>
          <w:tcPr>
            <w:tcW w:w="3450" w:type="dxa"/>
            <w:noWrap w:val="0"/>
            <w:vAlign w:val="center"/>
          </w:tcPr>
          <w:p w14:paraId="54633337">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犬不注意主人扣1分</w:t>
            </w:r>
          </w:p>
          <w:p w14:paraId="5364A72F">
            <w:pPr>
              <w:keepNext w:val="0"/>
              <w:keepLines w:val="0"/>
              <w:pageBreakBefore w:val="0"/>
              <w:numPr>
                <w:ilvl w:val="-1"/>
                <w:numId w:val="0"/>
              </w:numPr>
              <w:overflowPunct/>
              <w:topLinePunct w:val="0"/>
              <w:bidi w:val="0"/>
              <w:adjustRightInd/>
              <w:spacing w:line="0" w:lineRule="atLeast"/>
              <w:ind w:left="7"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犬前来不顺利扣1—2分</w:t>
            </w:r>
          </w:p>
          <w:p w14:paraId="33B12892">
            <w:pPr>
              <w:keepNext w:val="0"/>
              <w:keepLines w:val="0"/>
              <w:pageBreakBefore w:val="0"/>
              <w:numPr>
                <w:ilvl w:val="-1"/>
                <w:numId w:val="0"/>
              </w:numPr>
              <w:overflowPunct/>
              <w:topLinePunct w:val="0"/>
              <w:bidi w:val="0"/>
              <w:adjustRightInd/>
              <w:spacing w:line="0" w:lineRule="atLeast"/>
              <w:ind w:left="7"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一次呼名后犬不前来扣1分</w:t>
            </w:r>
          </w:p>
          <w:p w14:paraId="1AF94B6C">
            <w:pPr>
              <w:keepNext w:val="0"/>
              <w:keepLines w:val="0"/>
              <w:pageBreakBefore w:val="0"/>
              <w:numPr>
                <w:ilvl w:val="-1"/>
                <w:numId w:val="0"/>
              </w:numPr>
              <w:overflowPunct/>
              <w:topLinePunct w:val="0"/>
              <w:bidi w:val="0"/>
              <w:adjustRightInd/>
              <w:spacing w:line="0" w:lineRule="atLeast"/>
              <w:ind w:left="7"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二次呼名后犬不前来扣2分</w:t>
            </w:r>
          </w:p>
          <w:p w14:paraId="320398E4">
            <w:pPr>
              <w:keepNext w:val="0"/>
              <w:keepLines w:val="0"/>
              <w:pageBreakBefore w:val="0"/>
              <w:numPr>
                <w:ilvl w:val="-1"/>
                <w:numId w:val="0"/>
              </w:numPr>
              <w:overflowPunct/>
              <w:topLinePunct w:val="0"/>
              <w:bidi w:val="0"/>
              <w:adjustRightInd/>
              <w:spacing w:line="0" w:lineRule="atLeast"/>
              <w:ind w:left="7"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三次呼名后犬不前来不得分</w:t>
            </w:r>
          </w:p>
        </w:tc>
      </w:tr>
      <w:tr w14:paraId="2188B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81" w:type="dxa"/>
            <w:vMerge w:val="continue"/>
            <w:noWrap w:val="0"/>
            <w:vAlign w:val="center"/>
          </w:tcPr>
          <w:p w14:paraId="4914719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145A3AA7">
            <w:pPr>
              <w:keepNext w:val="0"/>
              <w:keepLines w:val="0"/>
              <w:pageBreakBefore w:val="0"/>
              <w:numPr>
                <w:ilvl w:val="-1"/>
                <w:numId w:val="0"/>
              </w:numPr>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p>
        </w:tc>
        <w:tc>
          <w:tcPr>
            <w:tcW w:w="614" w:type="dxa"/>
            <w:vMerge w:val="continue"/>
            <w:noWrap w:val="0"/>
            <w:tcMar>
              <w:left w:w="0" w:type="dxa"/>
              <w:right w:w="0" w:type="dxa"/>
            </w:tcMar>
            <w:vAlign w:val="center"/>
          </w:tcPr>
          <w:p w14:paraId="1850832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145" w:type="dxa"/>
            <w:noWrap w:val="0"/>
            <w:tcMar>
              <w:left w:w="57" w:type="dxa"/>
              <w:right w:w="57" w:type="dxa"/>
            </w:tcMar>
            <w:vAlign w:val="center"/>
          </w:tcPr>
          <w:p w14:paraId="006E127E">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spacing w:val="-8"/>
                <w:kern w:val="2"/>
                <w:sz w:val="24"/>
                <w:szCs w:val="24"/>
                <w:highlight w:val="none"/>
              </w:rPr>
            </w:pPr>
            <w:r>
              <w:rPr>
                <w:rFonts w:hint="eastAsia" w:ascii="仿宋" w:hAnsi="仿宋" w:eastAsia="仿宋" w:cs="仿宋"/>
                <w:color w:val="auto"/>
                <w:spacing w:val="-8"/>
                <w:kern w:val="2"/>
                <w:sz w:val="24"/>
                <w:szCs w:val="24"/>
                <w:highlight w:val="none"/>
              </w:rPr>
              <w:t>牵引状态下寻找主人</w:t>
            </w:r>
          </w:p>
          <w:p w14:paraId="22C40B35">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spacing w:val="-8"/>
                <w:kern w:val="2"/>
                <w:sz w:val="24"/>
                <w:szCs w:val="24"/>
                <w:highlight w:val="none"/>
              </w:rPr>
            </w:pPr>
            <w:r>
              <w:rPr>
                <w:rFonts w:hint="eastAsia" w:ascii="仿宋" w:hAnsi="仿宋" w:eastAsia="仿宋" w:cs="仿宋"/>
                <w:color w:val="auto"/>
                <w:spacing w:val="-8"/>
                <w:kern w:val="2"/>
                <w:sz w:val="24"/>
                <w:szCs w:val="24"/>
                <w:highlight w:val="none"/>
              </w:rPr>
              <w:t>8分</w:t>
            </w:r>
          </w:p>
        </w:tc>
        <w:tc>
          <w:tcPr>
            <w:tcW w:w="3450" w:type="dxa"/>
            <w:noWrap w:val="0"/>
            <w:vAlign w:val="center"/>
          </w:tcPr>
          <w:p w14:paraId="0F43FB6A">
            <w:pPr>
              <w:keepNext w:val="0"/>
              <w:keepLines w:val="0"/>
              <w:pageBreakBefore w:val="0"/>
              <w:numPr>
                <w:ilvl w:val="-1"/>
                <w:numId w:val="0"/>
              </w:numPr>
              <w:overflowPunct/>
              <w:topLinePunct w:val="0"/>
              <w:bidi w:val="0"/>
              <w:adjustRightInd/>
              <w:spacing w:line="0" w:lineRule="atLeast"/>
              <w:ind w:left="7"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犬不注意主人扣1—2分</w:t>
            </w:r>
          </w:p>
          <w:p w14:paraId="214126C0">
            <w:pPr>
              <w:keepNext w:val="0"/>
              <w:keepLines w:val="0"/>
              <w:pageBreakBefore w:val="0"/>
              <w:numPr>
                <w:ilvl w:val="-1"/>
                <w:numId w:val="0"/>
              </w:numPr>
              <w:overflowPunct/>
              <w:topLinePunct w:val="0"/>
              <w:bidi w:val="0"/>
              <w:adjustRightInd/>
              <w:spacing w:line="0" w:lineRule="atLeast"/>
              <w:ind w:left="7"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寻找主人不积极扣3—5分</w:t>
            </w:r>
          </w:p>
        </w:tc>
      </w:tr>
      <w:tr w14:paraId="35B1C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8" w:hRule="exact"/>
        </w:trPr>
        <w:tc>
          <w:tcPr>
            <w:tcW w:w="681" w:type="dxa"/>
            <w:vMerge w:val="continue"/>
            <w:noWrap w:val="0"/>
            <w:vAlign w:val="center"/>
          </w:tcPr>
          <w:p w14:paraId="2C575FA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52FCFC14">
            <w:pPr>
              <w:keepNext w:val="0"/>
              <w:keepLines w:val="0"/>
              <w:pageBreakBefore w:val="0"/>
              <w:numPr>
                <w:ilvl w:val="-1"/>
                <w:numId w:val="0"/>
              </w:numPr>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p>
        </w:tc>
        <w:tc>
          <w:tcPr>
            <w:tcW w:w="614" w:type="dxa"/>
            <w:vMerge w:val="continue"/>
            <w:noWrap w:val="0"/>
            <w:tcMar>
              <w:left w:w="0" w:type="dxa"/>
              <w:right w:w="0" w:type="dxa"/>
            </w:tcMar>
            <w:vAlign w:val="center"/>
          </w:tcPr>
          <w:p w14:paraId="44A9196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145" w:type="dxa"/>
            <w:noWrap w:val="0"/>
            <w:vAlign w:val="center"/>
          </w:tcPr>
          <w:p w14:paraId="1849301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牵引随行6分</w:t>
            </w:r>
          </w:p>
        </w:tc>
        <w:tc>
          <w:tcPr>
            <w:tcW w:w="3450" w:type="dxa"/>
            <w:noWrap w:val="0"/>
            <w:vAlign w:val="center"/>
          </w:tcPr>
          <w:p w14:paraId="61A221C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对牵引随行有被动行为扣2—4分</w:t>
            </w:r>
          </w:p>
          <w:p w14:paraId="7489F73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不能完成随行不得分</w:t>
            </w:r>
          </w:p>
        </w:tc>
      </w:tr>
      <w:tr w14:paraId="0F48B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81" w:type="dxa"/>
            <w:vMerge w:val="restart"/>
            <w:noWrap w:val="0"/>
            <w:vAlign w:val="center"/>
          </w:tcPr>
          <w:p w14:paraId="3FFD95E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衔</w:t>
            </w:r>
          </w:p>
          <w:p w14:paraId="01AABF5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取</w:t>
            </w:r>
          </w:p>
          <w:p w14:paraId="2ACF482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欲</w:t>
            </w:r>
          </w:p>
        </w:tc>
        <w:tc>
          <w:tcPr>
            <w:tcW w:w="1751" w:type="dxa"/>
            <w:vMerge w:val="restart"/>
            <w:noWrap w:val="0"/>
            <w:vAlign w:val="center"/>
          </w:tcPr>
          <w:p w14:paraId="1E5ED78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繁育员用物品逗引，犬能集中注意力，注视物品，连续兴奋地衔取抛至20米外的运动或静止物品，并能回到主人身边。</w:t>
            </w:r>
          </w:p>
        </w:tc>
        <w:tc>
          <w:tcPr>
            <w:tcW w:w="614" w:type="dxa"/>
            <w:vMerge w:val="restart"/>
            <w:noWrap w:val="0"/>
            <w:tcMar>
              <w:left w:w="0" w:type="dxa"/>
              <w:right w:w="0" w:type="dxa"/>
            </w:tcMar>
            <w:vAlign w:val="center"/>
          </w:tcPr>
          <w:p w14:paraId="50F77BE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20分</w:t>
            </w:r>
          </w:p>
        </w:tc>
        <w:tc>
          <w:tcPr>
            <w:tcW w:w="2145" w:type="dxa"/>
            <w:noWrap w:val="0"/>
            <w:vAlign w:val="center"/>
          </w:tcPr>
          <w:p w14:paraId="65B0BE48">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注意力5分</w:t>
            </w:r>
          </w:p>
        </w:tc>
        <w:tc>
          <w:tcPr>
            <w:tcW w:w="3450" w:type="dxa"/>
            <w:noWrap w:val="0"/>
            <w:vAlign w:val="center"/>
          </w:tcPr>
          <w:p w14:paraId="101E4CC6">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犬不注意物品扣2—5分</w:t>
            </w:r>
          </w:p>
        </w:tc>
      </w:tr>
      <w:tr w14:paraId="0E9D9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6" w:hRule="exact"/>
        </w:trPr>
        <w:tc>
          <w:tcPr>
            <w:tcW w:w="681" w:type="dxa"/>
            <w:vMerge w:val="continue"/>
            <w:noWrap w:val="0"/>
            <w:vAlign w:val="center"/>
          </w:tcPr>
          <w:p w14:paraId="7A02291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1E7783DE">
            <w:pPr>
              <w:keepNext w:val="0"/>
              <w:keepLines w:val="0"/>
              <w:pageBreakBefore w:val="0"/>
              <w:numPr>
                <w:ilvl w:val="-1"/>
                <w:numId w:val="0"/>
              </w:numPr>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p>
        </w:tc>
        <w:tc>
          <w:tcPr>
            <w:tcW w:w="614" w:type="dxa"/>
            <w:vMerge w:val="continue"/>
            <w:noWrap w:val="0"/>
            <w:tcMar>
              <w:left w:w="0" w:type="dxa"/>
              <w:right w:w="0" w:type="dxa"/>
            </w:tcMar>
            <w:vAlign w:val="center"/>
          </w:tcPr>
          <w:p w14:paraId="776FD0D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145" w:type="dxa"/>
            <w:noWrap w:val="0"/>
            <w:vAlign w:val="center"/>
          </w:tcPr>
          <w:p w14:paraId="5E4500DF">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抛物衔取（动态）</w:t>
            </w:r>
          </w:p>
          <w:p w14:paraId="3C666476">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6分</w:t>
            </w:r>
          </w:p>
        </w:tc>
        <w:tc>
          <w:tcPr>
            <w:tcW w:w="3450" w:type="dxa"/>
            <w:noWrap w:val="0"/>
            <w:vAlign w:val="center"/>
          </w:tcPr>
          <w:p w14:paraId="731F2DC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犬不积极追抢物品扣1—2分</w:t>
            </w:r>
          </w:p>
          <w:p w14:paraId="38B3824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一次未去衔物品扣1分</w:t>
            </w:r>
          </w:p>
          <w:p w14:paraId="1B397448">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二次未去衔物品扣2分</w:t>
            </w:r>
          </w:p>
          <w:p w14:paraId="79947A2D">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三次未去衔物品不得分</w:t>
            </w:r>
          </w:p>
        </w:tc>
      </w:tr>
      <w:tr w14:paraId="07887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3" w:hRule="exact"/>
        </w:trPr>
        <w:tc>
          <w:tcPr>
            <w:tcW w:w="681" w:type="dxa"/>
            <w:vMerge w:val="continue"/>
            <w:noWrap w:val="0"/>
            <w:vAlign w:val="center"/>
          </w:tcPr>
          <w:p w14:paraId="0039499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00648125">
            <w:pPr>
              <w:keepNext w:val="0"/>
              <w:keepLines w:val="0"/>
              <w:pageBreakBefore w:val="0"/>
              <w:numPr>
                <w:ilvl w:val="-1"/>
                <w:numId w:val="0"/>
              </w:numPr>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p>
        </w:tc>
        <w:tc>
          <w:tcPr>
            <w:tcW w:w="614" w:type="dxa"/>
            <w:vMerge w:val="continue"/>
            <w:noWrap w:val="0"/>
            <w:tcMar>
              <w:left w:w="0" w:type="dxa"/>
              <w:right w:w="0" w:type="dxa"/>
            </w:tcMar>
            <w:vAlign w:val="center"/>
          </w:tcPr>
          <w:p w14:paraId="1C709D9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145" w:type="dxa"/>
            <w:noWrap w:val="0"/>
            <w:vAlign w:val="center"/>
          </w:tcPr>
          <w:p w14:paraId="3E28F866">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抛物衔取（静态）</w:t>
            </w:r>
          </w:p>
          <w:p w14:paraId="6AB7BBF8">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6分</w:t>
            </w:r>
          </w:p>
        </w:tc>
        <w:tc>
          <w:tcPr>
            <w:tcW w:w="3450" w:type="dxa"/>
            <w:noWrap w:val="0"/>
            <w:vAlign w:val="center"/>
          </w:tcPr>
          <w:p w14:paraId="2D6F4F6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一次未去衔物品扣1分</w:t>
            </w:r>
          </w:p>
          <w:p w14:paraId="63383918">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二次未去衔物品扣2分</w:t>
            </w:r>
          </w:p>
          <w:p w14:paraId="3EBCF14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三次未去衔物品不得分</w:t>
            </w:r>
          </w:p>
        </w:tc>
      </w:tr>
      <w:tr w14:paraId="53237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4" w:hRule="exact"/>
        </w:trPr>
        <w:tc>
          <w:tcPr>
            <w:tcW w:w="681" w:type="dxa"/>
            <w:vMerge w:val="continue"/>
            <w:noWrap w:val="0"/>
            <w:vAlign w:val="center"/>
          </w:tcPr>
          <w:p w14:paraId="244435E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7A26F0B8">
            <w:pPr>
              <w:keepNext w:val="0"/>
              <w:keepLines w:val="0"/>
              <w:pageBreakBefore w:val="0"/>
              <w:numPr>
                <w:ilvl w:val="-1"/>
                <w:numId w:val="0"/>
              </w:numPr>
              <w:overflowPunct/>
              <w:topLinePunct w:val="0"/>
              <w:bidi w:val="0"/>
              <w:adjustRightInd/>
              <w:spacing w:line="0" w:lineRule="atLeast"/>
              <w:ind w:firstLine="480" w:firstLineChars="200"/>
              <w:textAlignment w:val="auto"/>
              <w:rPr>
                <w:rFonts w:hint="eastAsia" w:ascii="仿宋" w:hAnsi="仿宋" w:eastAsia="仿宋" w:cs="仿宋"/>
                <w:color w:val="auto"/>
                <w:kern w:val="2"/>
                <w:sz w:val="24"/>
                <w:szCs w:val="24"/>
                <w:highlight w:val="none"/>
              </w:rPr>
            </w:pPr>
          </w:p>
        </w:tc>
        <w:tc>
          <w:tcPr>
            <w:tcW w:w="614" w:type="dxa"/>
            <w:vMerge w:val="continue"/>
            <w:noWrap w:val="0"/>
            <w:tcMar>
              <w:left w:w="0" w:type="dxa"/>
              <w:right w:w="0" w:type="dxa"/>
            </w:tcMar>
            <w:vAlign w:val="center"/>
          </w:tcPr>
          <w:p w14:paraId="0BBF58C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145" w:type="dxa"/>
            <w:noWrap w:val="0"/>
            <w:vAlign w:val="center"/>
          </w:tcPr>
          <w:p w14:paraId="7990E596">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衔物前来3分</w:t>
            </w:r>
          </w:p>
        </w:tc>
        <w:tc>
          <w:tcPr>
            <w:tcW w:w="3450" w:type="dxa"/>
            <w:noWrap w:val="0"/>
            <w:vAlign w:val="center"/>
          </w:tcPr>
          <w:p w14:paraId="38B81C05">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犬中途吐物扣1分</w:t>
            </w:r>
          </w:p>
          <w:p w14:paraId="39C76FD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不能衔回主人身边扣1—2分</w:t>
            </w:r>
          </w:p>
        </w:tc>
      </w:tr>
      <w:tr w14:paraId="4093F3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1" w:hRule="exact"/>
        </w:trPr>
        <w:tc>
          <w:tcPr>
            <w:tcW w:w="681" w:type="dxa"/>
            <w:vMerge w:val="restart"/>
            <w:noWrap w:val="0"/>
            <w:vAlign w:val="center"/>
          </w:tcPr>
          <w:p w14:paraId="6A24DFB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w:t>
            </w:r>
          </w:p>
          <w:p w14:paraId="798593D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087D7B7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量</w:t>
            </w:r>
          </w:p>
        </w:tc>
        <w:tc>
          <w:tcPr>
            <w:tcW w:w="1751" w:type="dxa"/>
            <w:vMerge w:val="restart"/>
            <w:noWrap w:val="0"/>
            <w:vAlign w:val="center"/>
          </w:tcPr>
          <w:p w14:paraId="0BF8E66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犬在牵引状态下能自由穿梭6人以上人群，同时能适应陌生人牵引、抚摸，并在犬离开人群时于50米外燃放鞭炮，不胆怯。</w:t>
            </w:r>
          </w:p>
          <w:p w14:paraId="1EE2727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对车辆行人不胆怯。</w:t>
            </w:r>
          </w:p>
        </w:tc>
        <w:tc>
          <w:tcPr>
            <w:tcW w:w="614" w:type="dxa"/>
            <w:vMerge w:val="restart"/>
            <w:noWrap w:val="0"/>
            <w:tcMar>
              <w:left w:w="0" w:type="dxa"/>
              <w:right w:w="0" w:type="dxa"/>
            </w:tcMar>
            <w:vAlign w:val="center"/>
          </w:tcPr>
          <w:p w14:paraId="75EB447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20分</w:t>
            </w:r>
          </w:p>
        </w:tc>
        <w:tc>
          <w:tcPr>
            <w:tcW w:w="2145" w:type="dxa"/>
            <w:noWrap w:val="0"/>
            <w:vAlign w:val="center"/>
          </w:tcPr>
          <w:p w14:paraId="3628A2BE">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穿梭人群8分</w:t>
            </w:r>
          </w:p>
        </w:tc>
        <w:tc>
          <w:tcPr>
            <w:tcW w:w="3450" w:type="dxa"/>
            <w:noWrap w:val="0"/>
            <w:vAlign w:val="center"/>
          </w:tcPr>
          <w:p w14:paraId="602D017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犬不敢进入人群不得分</w:t>
            </w:r>
          </w:p>
          <w:p w14:paraId="64D727F4">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犬在人群中表现胆怯扣3—5分</w:t>
            </w:r>
          </w:p>
          <w:p w14:paraId="61EAA7A5">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犬对人群有攻击行为扣1—3分</w:t>
            </w:r>
          </w:p>
        </w:tc>
      </w:tr>
      <w:tr w14:paraId="292D4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4" w:hRule="exact"/>
        </w:trPr>
        <w:tc>
          <w:tcPr>
            <w:tcW w:w="681" w:type="dxa"/>
            <w:vMerge w:val="continue"/>
            <w:noWrap w:val="0"/>
            <w:vAlign w:val="center"/>
          </w:tcPr>
          <w:p w14:paraId="4EDCA1B7">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402F9566">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614" w:type="dxa"/>
            <w:vMerge w:val="continue"/>
            <w:noWrap w:val="0"/>
            <w:vAlign w:val="center"/>
          </w:tcPr>
          <w:p w14:paraId="56EEE267">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2145" w:type="dxa"/>
            <w:noWrap w:val="0"/>
            <w:vAlign w:val="center"/>
          </w:tcPr>
          <w:p w14:paraId="1FA6B39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陌生人牵引、抚摸5分</w:t>
            </w:r>
          </w:p>
        </w:tc>
        <w:tc>
          <w:tcPr>
            <w:tcW w:w="3450" w:type="dxa"/>
            <w:noWrap w:val="0"/>
            <w:vAlign w:val="center"/>
          </w:tcPr>
          <w:p w14:paraId="7C6F9FF7">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对陌生人牵引有胆怯行为扣2—3分</w:t>
            </w:r>
          </w:p>
          <w:p w14:paraId="0B99BF8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对陌生人抚摸有胆怯行为扣1—3分</w:t>
            </w:r>
          </w:p>
        </w:tc>
      </w:tr>
      <w:tr w14:paraId="7AC4A3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681" w:type="dxa"/>
            <w:vMerge w:val="continue"/>
            <w:noWrap w:val="0"/>
            <w:vAlign w:val="center"/>
          </w:tcPr>
          <w:p w14:paraId="16FB853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014FB424">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614" w:type="dxa"/>
            <w:vMerge w:val="continue"/>
            <w:noWrap w:val="0"/>
            <w:vAlign w:val="center"/>
          </w:tcPr>
          <w:p w14:paraId="6EA7199E">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2145" w:type="dxa"/>
            <w:noWrap w:val="0"/>
            <w:vAlign w:val="center"/>
          </w:tcPr>
          <w:p w14:paraId="0A03951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声响刺激4分</w:t>
            </w:r>
          </w:p>
        </w:tc>
        <w:tc>
          <w:tcPr>
            <w:tcW w:w="3450" w:type="dxa"/>
            <w:noWrap w:val="0"/>
            <w:vAlign w:val="center"/>
          </w:tcPr>
          <w:p w14:paraId="1BC43C8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犬对鞭炮声响害怕扣1—4分</w:t>
            </w:r>
          </w:p>
        </w:tc>
      </w:tr>
      <w:tr w14:paraId="416CB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81" w:type="dxa"/>
            <w:vMerge w:val="continue"/>
            <w:noWrap w:val="0"/>
            <w:vAlign w:val="center"/>
          </w:tcPr>
          <w:p w14:paraId="43E2E86E">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1751" w:type="dxa"/>
            <w:vMerge w:val="continue"/>
            <w:noWrap w:val="0"/>
            <w:vAlign w:val="center"/>
          </w:tcPr>
          <w:p w14:paraId="7A1904A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614" w:type="dxa"/>
            <w:vMerge w:val="continue"/>
            <w:noWrap w:val="0"/>
            <w:vAlign w:val="center"/>
          </w:tcPr>
          <w:p w14:paraId="0BBA21F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2145" w:type="dxa"/>
            <w:noWrap w:val="0"/>
            <w:vAlign w:val="center"/>
          </w:tcPr>
          <w:p w14:paraId="41226AB4">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适应车辆行人3分</w:t>
            </w:r>
          </w:p>
        </w:tc>
        <w:tc>
          <w:tcPr>
            <w:tcW w:w="3450" w:type="dxa"/>
            <w:noWrap w:val="0"/>
            <w:vAlign w:val="center"/>
          </w:tcPr>
          <w:p w14:paraId="0FB1DC6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有胆怯行为扣1—3分</w:t>
            </w:r>
          </w:p>
        </w:tc>
      </w:tr>
    </w:tbl>
    <w:p w14:paraId="18F2887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史宾格犬6月龄考核验收的内容、方法和评分标准</w:t>
      </w:r>
    </w:p>
    <w:tbl>
      <w:tblPr>
        <w:tblStyle w:val="13"/>
        <w:tblpPr w:leftFromText="180" w:rightFromText="180" w:vertAnchor="text" w:horzAnchor="margin" w:tblpXSpec="center" w:tblpY="116"/>
        <w:tblOverlap w:val="never"/>
        <w:tblW w:w="853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597"/>
        <w:gridCol w:w="2012"/>
        <w:gridCol w:w="515"/>
        <w:gridCol w:w="1937"/>
        <w:gridCol w:w="3474"/>
      </w:tblGrid>
      <w:tr w14:paraId="17D2B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63" w:hRule="atLeast"/>
        </w:trPr>
        <w:tc>
          <w:tcPr>
            <w:tcW w:w="597" w:type="dxa"/>
            <w:noWrap w:val="0"/>
            <w:vAlign w:val="center"/>
          </w:tcPr>
          <w:p w14:paraId="7FE7723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考核</w:t>
            </w:r>
          </w:p>
          <w:p w14:paraId="59A5A29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内容</w:t>
            </w:r>
          </w:p>
        </w:tc>
        <w:tc>
          <w:tcPr>
            <w:tcW w:w="2012" w:type="dxa"/>
            <w:noWrap w:val="0"/>
            <w:vAlign w:val="center"/>
          </w:tcPr>
          <w:p w14:paraId="7DA4ABC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考核方法</w:t>
            </w:r>
          </w:p>
        </w:tc>
        <w:tc>
          <w:tcPr>
            <w:tcW w:w="515" w:type="dxa"/>
            <w:noWrap w:val="0"/>
            <w:tcMar>
              <w:left w:w="0" w:type="dxa"/>
              <w:right w:w="0" w:type="dxa"/>
            </w:tcMar>
            <w:vAlign w:val="center"/>
          </w:tcPr>
          <w:p w14:paraId="5C6A911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分值</w:t>
            </w:r>
          </w:p>
        </w:tc>
        <w:tc>
          <w:tcPr>
            <w:tcW w:w="5411" w:type="dxa"/>
            <w:gridSpan w:val="2"/>
            <w:noWrap w:val="0"/>
            <w:vAlign w:val="center"/>
          </w:tcPr>
          <w:p w14:paraId="130A8F8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评分标准</w:t>
            </w:r>
          </w:p>
          <w:p w14:paraId="6995096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扣分（每项分值扣完为止）</w:t>
            </w:r>
          </w:p>
        </w:tc>
      </w:tr>
      <w:tr w14:paraId="23BF53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21" w:hRule="exact"/>
        </w:trPr>
        <w:tc>
          <w:tcPr>
            <w:tcW w:w="597" w:type="dxa"/>
            <w:noWrap w:val="0"/>
            <w:vAlign w:val="center"/>
          </w:tcPr>
          <w:p w14:paraId="0D8D64F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发育</w:t>
            </w:r>
          </w:p>
          <w:p w14:paraId="20AB546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状况</w:t>
            </w:r>
          </w:p>
        </w:tc>
        <w:tc>
          <w:tcPr>
            <w:tcW w:w="2012" w:type="dxa"/>
            <w:noWrap w:val="0"/>
            <w:vAlign w:val="center"/>
          </w:tcPr>
          <w:p w14:paraId="760B024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在空腹状态下称重，在平地犬自然站立状态下测量体尺。</w:t>
            </w:r>
          </w:p>
        </w:tc>
        <w:tc>
          <w:tcPr>
            <w:tcW w:w="515" w:type="dxa"/>
            <w:noWrap w:val="0"/>
            <w:tcMar>
              <w:left w:w="0" w:type="dxa"/>
              <w:right w:w="0" w:type="dxa"/>
            </w:tcMar>
            <w:vAlign w:val="center"/>
          </w:tcPr>
          <w:p w14:paraId="0AC36D1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15分</w:t>
            </w:r>
          </w:p>
        </w:tc>
        <w:tc>
          <w:tcPr>
            <w:tcW w:w="1937" w:type="dxa"/>
            <w:noWrap w:val="0"/>
            <w:vAlign w:val="center"/>
          </w:tcPr>
          <w:p w14:paraId="58720DF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spacing w:val="-6"/>
                <w:kern w:val="2"/>
                <w:sz w:val="24"/>
                <w:szCs w:val="24"/>
                <w:highlight w:val="none"/>
              </w:rPr>
              <w:t>幼犬体重、体尺标准符合《警犬繁育工作规则》的相关规定15分</w:t>
            </w:r>
          </w:p>
        </w:tc>
        <w:tc>
          <w:tcPr>
            <w:tcW w:w="3474" w:type="dxa"/>
            <w:noWrap w:val="0"/>
            <w:vAlign w:val="center"/>
          </w:tcPr>
          <w:p w14:paraId="21B8730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任一项每低于标准的1%　扣1分</w:t>
            </w:r>
          </w:p>
          <w:p w14:paraId="4A4066A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任一项低于标准的20%不合格幼犬</w:t>
            </w:r>
          </w:p>
        </w:tc>
      </w:tr>
      <w:tr w14:paraId="6CB77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3" w:hRule="atLeast"/>
        </w:trPr>
        <w:tc>
          <w:tcPr>
            <w:tcW w:w="597" w:type="dxa"/>
            <w:vMerge w:val="restart"/>
            <w:noWrap w:val="0"/>
            <w:vAlign w:val="center"/>
          </w:tcPr>
          <w:p w14:paraId="5B24E67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w:t>
            </w:r>
          </w:p>
          <w:p w14:paraId="372DC1D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能</w:t>
            </w:r>
          </w:p>
          <w:p w14:paraId="4BFD00E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测</w:t>
            </w:r>
          </w:p>
          <w:p w14:paraId="65186D2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试</w:t>
            </w:r>
          </w:p>
        </w:tc>
        <w:tc>
          <w:tcPr>
            <w:tcW w:w="2012" w:type="dxa"/>
            <w:vMerge w:val="restart"/>
            <w:noWrap w:val="0"/>
            <w:vAlign w:val="center"/>
          </w:tcPr>
          <w:p w14:paraId="5A4BFC6D">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在2分钟内，幼犬在牵引状态下跑步200米，犬仍兴奋、自然；</w:t>
            </w:r>
          </w:p>
          <w:p w14:paraId="2821855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犬能在牵引状态下通过自然障碍。</w:t>
            </w:r>
          </w:p>
        </w:tc>
        <w:tc>
          <w:tcPr>
            <w:tcW w:w="515" w:type="dxa"/>
            <w:vMerge w:val="restart"/>
            <w:noWrap w:val="0"/>
            <w:tcMar>
              <w:left w:w="0" w:type="dxa"/>
              <w:right w:w="0" w:type="dxa"/>
            </w:tcMar>
            <w:vAlign w:val="center"/>
          </w:tcPr>
          <w:p w14:paraId="459507B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15分</w:t>
            </w:r>
          </w:p>
        </w:tc>
        <w:tc>
          <w:tcPr>
            <w:tcW w:w="1937" w:type="dxa"/>
            <w:noWrap w:val="0"/>
            <w:vAlign w:val="center"/>
          </w:tcPr>
          <w:p w14:paraId="0F12DCC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奔跑5分</w:t>
            </w:r>
          </w:p>
        </w:tc>
        <w:tc>
          <w:tcPr>
            <w:tcW w:w="3474" w:type="dxa"/>
            <w:noWrap w:val="0"/>
            <w:vAlign w:val="center"/>
          </w:tcPr>
          <w:p w14:paraId="5D8993CD">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在规定时间内未跑完300米不得分</w:t>
            </w:r>
          </w:p>
          <w:p w14:paraId="46DC07FE">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跑完300米不兴奋、自然扣2—5分</w:t>
            </w:r>
          </w:p>
        </w:tc>
      </w:tr>
      <w:tr w14:paraId="5D712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0" w:hRule="atLeast"/>
        </w:trPr>
        <w:tc>
          <w:tcPr>
            <w:tcW w:w="597" w:type="dxa"/>
            <w:vMerge w:val="continue"/>
            <w:noWrap w:val="0"/>
            <w:vAlign w:val="center"/>
          </w:tcPr>
          <w:p w14:paraId="21F7494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0781376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41D0EC5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5610E85A">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通过自然障碍5分</w:t>
            </w:r>
          </w:p>
        </w:tc>
        <w:tc>
          <w:tcPr>
            <w:tcW w:w="3474" w:type="dxa"/>
            <w:noWrap w:val="0"/>
            <w:vAlign w:val="center"/>
          </w:tcPr>
          <w:p w14:paraId="13A8AF2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不能通过不得分</w:t>
            </w:r>
          </w:p>
          <w:p w14:paraId="54523198">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通过但不顺利扣1—3分</w:t>
            </w:r>
          </w:p>
        </w:tc>
      </w:tr>
      <w:tr w14:paraId="151F4A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0" w:hRule="atLeast"/>
        </w:trPr>
        <w:tc>
          <w:tcPr>
            <w:tcW w:w="597" w:type="dxa"/>
            <w:vMerge w:val="continue"/>
            <w:noWrap w:val="0"/>
            <w:vAlign w:val="center"/>
          </w:tcPr>
          <w:p w14:paraId="14319F1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197626DA">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2085981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09760A65">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步态特征5分</w:t>
            </w:r>
          </w:p>
        </w:tc>
        <w:tc>
          <w:tcPr>
            <w:tcW w:w="3474" w:type="dxa"/>
            <w:noWrap w:val="0"/>
            <w:vAlign w:val="center"/>
          </w:tcPr>
          <w:p w14:paraId="6AC2324E">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步态不协调扣1—3分</w:t>
            </w:r>
          </w:p>
        </w:tc>
      </w:tr>
      <w:tr w14:paraId="44A0D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207" w:hRule="exact"/>
        </w:trPr>
        <w:tc>
          <w:tcPr>
            <w:tcW w:w="597" w:type="dxa"/>
            <w:vMerge w:val="restart"/>
            <w:noWrap w:val="0"/>
            <w:vAlign w:val="center"/>
          </w:tcPr>
          <w:p w14:paraId="58F00D4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服</w:t>
            </w:r>
          </w:p>
          <w:p w14:paraId="0717986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从</w:t>
            </w:r>
          </w:p>
          <w:p w14:paraId="163EDC7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w:t>
            </w:r>
          </w:p>
        </w:tc>
        <w:tc>
          <w:tcPr>
            <w:tcW w:w="2012" w:type="dxa"/>
            <w:vMerge w:val="restart"/>
            <w:noWrap w:val="0"/>
            <w:vAlign w:val="center"/>
          </w:tcPr>
          <w:p w14:paraId="3B3A1056">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助训员牵引或自由状态下，繁育员跑出20米唤犬前来，犬能够兴奋快速地跑到繁育员跟前。</w:t>
            </w:r>
          </w:p>
          <w:p w14:paraId="5816FE78">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幼犬在繁育员牵引状态下，能在繁育员左侧随行10米以上。</w:t>
            </w:r>
          </w:p>
        </w:tc>
        <w:tc>
          <w:tcPr>
            <w:tcW w:w="515" w:type="dxa"/>
            <w:vMerge w:val="restart"/>
            <w:noWrap w:val="0"/>
            <w:tcMar>
              <w:left w:w="0" w:type="dxa"/>
              <w:right w:w="0" w:type="dxa"/>
            </w:tcMar>
            <w:vAlign w:val="center"/>
          </w:tcPr>
          <w:p w14:paraId="4E9E0E7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15分</w:t>
            </w:r>
          </w:p>
        </w:tc>
        <w:tc>
          <w:tcPr>
            <w:tcW w:w="1937" w:type="dxa"/>
            <w:noWrap w:val="0"/>
            <w:vAlign w:val="center"/>
          </w:tcPr>
          <w:p w14:paraId="25BB036F">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自由状态下前来5分</w:t>
            </w:r>
          </w:p>
        </w:tc>
        <w:tc>
          <w:tcPr>
            <w:tcW w:w="3474" w:type="dxa"/>
            <w:noWrap w:val="0"/>
            <w:vAlign w:val="center"/>
          </w:tcPr>
          <w:p w14:paraId="09195E7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犬不注意主人扣1分</w:t>
            </w:r>
          </w:p>
          <w:p w14:paraId="6DB48ED7">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犬前来不顺利扣1—2分</w:t>
            </w:r>
          </w:p>
          <w:p w14:paraId="1564572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一次呼名后犬不前来扣1分</w:t>
            </w:r>
          </w:p>
          <w:p w14:paraId="0293E0C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二次呼名后犬不前来扣2分</w:t>
            </w:r>
          </w:p>
          <w:p w14:paraId="541DE52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三次呼名后犬不前来不得分</w:t>
            </w:r>
          </w:p>
        </w:tc>
      </w:tr>
      <w:tr w14:paraId="1FF81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82" w:hRule="atLeast"/>
        </w:trPr>
        <w:tc>
          <w:tcPr>
            <w:tcW w:w="597" w:type="dxa"/>
            <w:vMerge w:val="continue"/>
            <w:noWrap w:val="0"/>
            <w:vAlign w:val="center"/>
          </w:tcPr>
          <w:p w14:paraId="0666E7E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7CC59816">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74672DE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112A593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牵引状态下寻找主人5分</w:t>
            </w:r>
          </w:p>
        </w:tc>
        <w:tc>
          <w:tcPr>
            <w:tcW w:w="3474" w:type="dxa"/>
            <w:noWrap w:val="0"/>
            <w:vAlign w:val="center"/>
          </w:tcPr>
          <w:p w14:paraId="762873F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犬不注意主人扣1—2分</w:t>
            </w:r>
          </w:p>
          <w:p w14:paraId="05D0DD0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寻找主人不积极扣3—5分</w:t>
            </w:r>
          </w:p>
        </w:tc>
      </w:tr>
      <w:tr w14:paraId="4BEC2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5" w:hRule="atLeast"/>
        </w:trPr>
        <w:tc>
          <w:tcPr>
            <w:tcW w:w="597" w:type="dxa"/>
            <w:vMerge w:val="continue"/>
            <w:noWrap w:val="0"/>
            <w:vAlign w:val="center"/>
          </w:tcPr>
          <w:p w14:paraId="00264FA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2DA6EE25">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510FDE7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285A098F">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牵引随行5分</w:t>
            </w:r>
          </w:p>
        </w:tc>
        <w:tc>
          <w:tcPr>
            <w:tcW w:w="3474" w:type="dxa"/>
            <w:noWrap w:val="0"/>
            <w:vAlign w:val="center"/>
          </w:tcPr>
          <w:p w14:paraId="4194B48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对牵引随行有被动行为扣2—4分</w:t>
            </w:r>
          </w:p>
          <w:p w14:paraId="3DBBBC7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不能完成随行不得分</w:t>
            </w:r>
          </w:p>
        </w:tc>
      </w:tr>
      <w:tr w14:paraId="5079F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71" w:hRule="atLeast"/>
        </w:trPr>
        <w:tc>
          <w:tcPr>
            <w:tcW w:w="597" w:type="dxa"/>
            <w:vMerge w:val="restart"/>
            <w:noWrap w:val="0"/>
            <w:vAlign w:val="center"/>
          </w:tcPr>
          <w:p w14:paraId="3BE28B3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衔</w:t>
            </w:r>
          </w:p>
          <w:p w14:paraId="209443A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取</w:t>
            </w:r>
          </w:p>
          <w:p w14:paraId="23E8DEE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欲</w:t>
            </w:r>
          </w:p>
        </w:tc>
        <w:tc>
          <w:tcPr>
            <w:tcW w:w="2012" w:type="dxa"/>
            <w:vMerge w:val="restart"/>
            <w:noWrap w:val="0"/>
            <w:vAlign w:val="center"/>
          </w:tcPr>
          <w:p w14:paraId="3BBF70E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繁育员用物品逗引，犬能集中注意力，注视物品，连续兴奋地衔取抛至20米外的运动或静止物品，并能回到主人身边。</w:t>
            </w:r>
          </w:p>
        </w:tc>
        <w:tc>
          <w:tcPr>
            <w:tcW w:w="515" w:type="dxa"/>
            <w:vMerge w:val="restart"/>
            <w:noWrap w:val="0"/>
            <w:tcMar>
              <w:left w:w="0" w:type="dxa"/>
              <w:right w:w="0" w:type="dxa"/>
            </w:tcMar>
            <w:vAlign w:val="center"/>
          </w:tcPr>
          <w:p w14:paraId="0A6D487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20分</w:t>
            </w:r>
          </w:p>
        </w:tc>
        <w:tc>
          <w:tcPr>
            <w:tcW w:w="1937" w:type="dxa"/>
            <w:noWrap w:val="0"/>
            <w:vAlign w:val="center"/>
          </w:tcPr>
          <w:p w14:paraId="0F617545">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注意力5分</w:t>
            </w:r>
          </w:p>
        </w:tc>
        <w:tc>
          <w:tcPr>
            <w:tcW w:w="3474" w:type="dxa"/>
            <w:noWrap w:val="0"/>
            <w:vAlign w:val="center"/>
          </w:tcPr>
          <w:p w14:paraId="14C9F2B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犬不注意物品扣2—5分</w:t>
            </w:r>
          </w:p>
        </w:tc>
      </w:tr>
      <w:tr w14:paraId="12FC9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457" w:hRule="exact"/>
        </w:trPr>
        <w:tc>
          <w:tcPr>
            <w:tcW w:w="597" w:type="dxa"/>
            <w:vMerge w:val="continue"/>
            <w:noWrap w:val="0"/>
            <w:vAlign w:val="center"/>
          </w:tcPr>
          <w:p w14:paraId="6E60273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40B2F1B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2F778DD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0776B796">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spacing w:val="-10"/>
                <w:kern w:val="2"/>
                <w:sz w:val="24"/>
                <w:szCs w:val="24"/>
                <w:highlight w:val="none"/>
              </w:rPr>
            </w:pPr>
            <w:r>
              <w:rPr>
                <w:rFonts w:hint="eastAsia" w:ascii="仿宋" w:hAnsi="仿宋" w:eastAsia="仿宋" w:cs="仿宋"/>
                <w:color w:val="auto"/>
                <w:spacing w:val="-10"/>
                <w:kern w:val="2"/>
                <w:sz w:val="24"/>
                <w:szCs w:val="24"/>
                <w:highlight w:val="none"/>
              </w:rPr>
              <w:t>抛物衔取（动态）6分</w:t>
            </w:r>
          </w:p>
        </w:tc>
        <w:tc>
          <w:tcPr>
            <w:tcW w:w="3474" w:type="dxa"/>
            <w:noWrap w:val="0"/>
            <w:vAlign w:val="center"/>
          </w:tcPr>
          <w:p w14:paraId="427C6944">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犬不积极追抢物品扣1—2分</w:t>
            </w:r>
          </w:p>
          <w:p w14:paraId="796F04A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一次未去衔物品扣1分</w:t>
            </w:r>
          </w:p>
          <w:p w14:paraId="68C68865">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二次未去衔物品扣2分</w:t>
            </w:r>
          </w:p>
          <w:p w14:paraId="435FC62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三次未去衔物品不得分</w:t>
            </w:r>
          </w:p>
        </w:tc>
      </w:tr>
      <w:tr w14:paraId="6F9F3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30" w:hRule="exact"/>
        </w:trPr>
        <w:tc>
          <w:tcPr>
            <w:tcW w:w="597" w:type="dxa"/>
            <w:vMerge w:val="continue"/>
            <w:noWrap w:val="0"/>
            <w:vAlign w:val="center"/>
          </w:tcPr>
          <w:p w14:paraId="5AC0419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75B382E7">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3205C1E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46739F1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spacing w:val="-10"/>
                <w:kern w:val="2"/>
                <w:sz w:val="24"/>
                <w:szCs w:val="24"/>
                <w:highlight w:val="none"/>
              </w:rPr>
            </w:pPr>
            <w:r>
              <w:rPr>
                <w:rFonts w:hint="eastAsia" w:ascii="仿宋" w:hAnsi="仿宋" w:eastAsia="仿宋" w:cs="仿宋"/>
                <w:color w:val="auto"/>
                <w:spacing w:val="-10"/>
                <w:kern w:val="2"/>
                <w:sz w:val="24"/>
                <w:szCs w:val="24"/>
                <w:highlight w:val="none"/>
              </w:rPr>
              <w:t>抛物衔取（静态）6分</w:t>
            </w:r>
          </w:p>
        </w:tc>
        <w:tc>
          <w:tcPr>
            <w:tcW w:w="3474" w:type="dxa"/>
            <w:noWrap w:val="0"/>
            <w:vAlign w:val="center"/>
          </w:tcPr>
          <w:p w14:paraId="5B1A3B6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一次未去衔物品扣1分</w:t>
            </w:r>
          </w:p>
          <w:p w14:paraId="4332E738">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二次未去衔物品扣2分</w:t>
            </w:r>
          </w:p>
          <w:p w14:paraId="592269F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三次未去衔物品不得分</w:t>
            </w:r>
          </w:p>
        </w:tc>
      </w:tr>
      <w:tr w14:paraId="39961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78" w:hRule="atLeast"/>
        </w:trPr>
        <w:tc>
          <w:tcPr>
            <w:tcW w:w="597" w:type="dxa"/>
            <w:vMerge w:val="continue"/>
            <w:noWrap w:val="0"/>
            <w:vAlign w:val="center"/>
          </w:tcPr>
          <w:p w14:paraId="41C0B74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5D0AD437">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5E1B869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5183874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衔物前来3分</w:t>
            </w:r>
          </w:p>
        </w:tc>
        <w:tc>
          <w:tcPr>
            <w:tcW w:w="3474" w:type="dxa"/>
            <w:noWrap w:val="0"/>
            <w:vAlign w:val="center"/>
          </w:tcPr>
          <w:p w14:paraId="0A3FF3C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犬中途吐物扣1分</w:t>
            </w:r>
          </w:p>
          <w:p w14:paraId="4A079FAF">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不能衔回主人身边扣1—2分</w:t>
            </w:r>
          </w:p>
        </w:tc>
      </w:tr>
      <w:tr w14:paraId="34D13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29" w:hRule="exact"/>
        </w:trPr>
        <w:tc>
          <w:tcPr>
            <w:tcW w:w="597" w:type="dxa"/>
            <w:vMerge w:val="restart"/>
            <w:noWrap w:val="0"/>
            <w:vAlign w:val="center"/>
          </w:tcPr>
          <w:p w14:paraId="2AF2F54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w:t>
            </w:r>
          </w:p>
          <w:p w14:paraId="642EBCA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p w14:paraId="4CAC6FC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量</w:t>
            </w:r>
          </w:p>
        </w:tc>
        <w:tc>
          <w:tcPr>
            <w:tcW w:w="2012" w:type="dxa"/>
            <w:vMerge w:val="restart"/>
            <w:noWrap w:val="0"/>
            <w:vAlign w:val="center"/>
          </w:tcPr>
          <w:p w14:paraId="271BBA7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犬在牵引状态下能自由穿梭6人以上人群，同时能适应陌生人牵引、抚摸，并在犬离开人群时于50米外燃放鞭炮不胆怯。</w:t>
            </w:r>
          </w:p>
          <w:p w14:paraId="4A6D916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对车辆行人不胆怯。</w:t>
            </w:r>
          </w:p>
        </w:tc>
        <w:tc>
          <w:tcPr>
            <w:tcW w:w="515" w:type="dxa"/>
            <w:vMerge w:val="restart"/>
            <w:noWrap w:val="0"/>
            <w:tcMar>
              <w:left w:w="0" w:type="dxa"/>
              <w:right w:w="0" w:type="dxa"/>
            </w:tcMar>
            <w:vAlign w:val="center"/>
          </w:tcPr>
          <w:p w14:paraId="4F778FD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20分</w:t>
            </w:r>
          </w:p>
        </w:tc>
        <w:tc>
          <w:tcPr>
            <w:tcW w:w="1937" w:type="dxa"/>
            <w:noWrap w:val="0"/>
            <w:vAlign w:val="center"/>
          </w:tcPr>
          <w:p w14:paraId="594F7A64">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穿梭人群8分</w:t>
            </w:r>
          </w:p>
        </w:tc>
        <w:tc>
          <w:tcPr>
            <w:tcW w:w="3474" w:type="dxa"/>
            <w:noWrap w:val="0"/>
            <w:vAlign w:val="center"/>
          </w:tcPr>
          <w:p w14:paraId="59962FBE">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犬不敢进入人群不得分</w:t>
            </w:r>
          </w:p>
          <w:p w14:paraId="6E00A62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犬在人群中表现胆怯扣3—5分</w:t>
            </w:r>
          </w:p>
          <w:p w14:paraId="4358E5F8">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犬对人群有攻击行为扣1—3分</w:t>
            </w:r>
          </w:p>
        </w:tc>
      </w:tr>
      <w:tr w14:paraId="4C5D5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71" w:hRule="exact"/>
        </w:trPr>
        <w:tc>
          <w:tcPr>
            <w:tcW w:w="597" w:type="dxa"/>
            <w:vMerge w:val="continue"/>
            <w:noWrap w:val="0"/>
            <w:vAlign w:val="center"/>
          </w:tcPr>
          <w:p w14:paraId="2B70E52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2C5F4504">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503FD40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6812CDE9">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陌生人牵引、抚摸5分</w:t>
            </w:r>
          </w:p>
        </w:tc>
        <w:tc>
          <w:tcPr>
            <w:tcW w:w="3474" w:type="dxa"/>
            <w:noWrap w:val="0"/>
            <w:vAlign w:val="center"/>
          </w:tcPr>
          <w:p w14:paraId="3C64A1C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对陌生人牵引有胆怯行为扣2—3分</w:t>
            </w:r>
          </w:p>
          <w:p w14:paraId="2989363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对陌生人抚摸有胆怯行为扣1—3分</w:t>
            </w:r>
          </w:p>
        </w:tc>
      </w:tr>
      <w:tr w14:paraId="63E32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trPr>
        <w:tc>
          <w:tcPr>
            <w:tcW w:w="597" w:type="dxa"/>
            <w:vMerge w:val="continue"/>
            <w:noWrap w:val="0"/>
            <w:vAlign w:val="center"/>
          </w:tcPr>
          <w:p w14:paraId="78D1ECE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62958E6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0E761B1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766B543E">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声响刺激4分</w:t>
            </w:r>
          </w:p>
        </w:tc>
        <w:tc>
          <w:tcPr>
            <w:tcW w:w="3474" w:type="dxa"/>
            <w:noWrap w:val="0"/>
            <w:vAlign w:val="center"/>
          </w:tcPr>
          <w:p w14:paraId="0DDCFFD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犬对鞭炮声响害怕扣1—4分</w:t>
            </w:r>
          </w:p>
        </w:tc>
      </w:tr>
      <w:tr w14:paraId="60C07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exact"/>
        </w:trPr>
        <w:tc>
          <w:tcPr>
            <w:tcW w:w="597" w:type="dxa"/>
            <w:vMerge w:val="continue"/>
            <w:noWrap w:val="0"/>
            <w:vAlign w:val="center"/>
          </w:tcPr>
          <w:p w14:paraId="6B2E435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012" w:type="dxa"/>
            <w:vMerge w:val="continue"/>
            <w:noWrap w:val="0"/>
            <w:vAlign w:val="center"/>
          </w:tcPr>
          <w:p w14:paraId="7C318A6F">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c>
          <w:tcPr>
            <w:tcW w:w="515" w:type="dxa"/>
            <w:vMerge w:val="continue"/>
            <w:noWrap w:val="0"/>
            <w:tcMar>
              <w:left w:w="0" w:type="dxa"/>
              <w:right w:w="0" w:type="dxa"/>
            </w:tcMar>
            <w:vAlign w:val="center"/>
          </w:tcPr>
          <w:p w14:paraId="4289093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937" w:type="dxa"/>
            <w:noWrap w:val="0"/>
            <w:vAlign w:val="center"/>
          </w:tcPr>
          <w:p w14:paraId="69C354B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适应车辆行人3分</w:t>
            </w:r>
          </w:p>
        </w:tc>
        <w:tc>
          <w:tcPr>
            <w:tcW w:w="3474" w:type="dxa"/>
            <w:noWrap w:val="0"/>
            <w:vAlign w:val="center"/>
          </w:tcPr>
          <w:p w14:paraId="55910E71">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有胆怯行为扣1—3分</w:t>
            </w:r>
          </w:p>
        </w:tc>
      </w:tr>
      <w:tr w14:paraId="60C8A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48" w:hRule="exact"/>
        </w:trPr>
        <w:tc>
          <w:tcPr>
            <w:tcW w:w="597" w:type="dxa"/>
            <w:vMerge w:val="restart"/>
            <w:noWrap w:val="0"/>
            <w:vAlign w:val="center"/>
          </w:tcPr>
          <w:p w14:paraId="2EF4ED7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搜</w:t>
            </w:r>
          </w:p>
          <w:p w14:paraId="66512C1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索</w:t>
            </w:r>
          </w:p>
          <w:p w14:paraId="6F32F94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欲</w:t>
            </w:r>
          </w:p>
        </w:tc>
        <w:tc>
          <w:tcPr>
            <w:tcW w:w="2012" w:type="dxa"/>
            <w:vMerge w:val="restart"/>
            <w:noWrap w:val="0"/>
            <w:vAlign w:val="center"/>
          </w:tcPr>
          <w:p w14:paraId="1EDCBCA1">
            <w:pPr>
              <w:keepNext w:val="0"/>
              <w:keepLines w:val="0"/>
              <w:pageBreakBefore w:val="0"/>
              <w:widowControl/>
              <w:numPr>
                <w:ilvl w:val="-1"/>
                <w:numId w:val="0"/>
              </w:numPr>
              <w:overflowPunct/>
              <w:topLinePunct w:val="0"/>
              <w:bidi w:val="0"/>
              <w:adjustRightInd/>
              <w:spacing w:line="0" w:lineRule="atLeast"/>
              <w:ind w:firstLine="0"/>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繁育员将犬感兴趣的物品藏于土堆或草丛中，犬表现出强烈的搜索欲并找出物品。</w:t>
            </w:r>
          </w:p>
        </w:tc>
        <w:tc>
          <w:tcPr>
            <w:tcW w:w="515" w:type="dxa"/>
            <w:vMerge w:val="restart"/>
            <w:noWrap w:val="0"/>
            <w:tcMar>
              <w:left w:w="0" w:type="dxa"/>
              <w:right w:w="0" w:type="dxa"/>
            </w:tcMar>
            <w:vAlign w:val="center"/>
          </w:tcPr>
          <w:p w14:paraId="3F089EDE">
            <w:pPr>
              <w:keepNext w:val="0"/>
              <w:keepLines w:val="0"/>
              <w:pageBreakBefore w:val="0"/>
              <w:widowControl/>
              <w:numPr>
                <w:ilvl w:val="-1"/>
                <w:numId w:val="0"/>
              </w:numPr>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15分</w:t>
            </w:r>
          </w:p>
        </w:tc>
        <w:tc>
          <w:tcPr>
            <w:tcW w:w="1937" w:type="dxa"/>
            <w:noWrap w:val="0"/>
            <w:vAlign w:val="center"/>
          </w:tcPr>
          <w:p w14:paraId="097A0A09">
            <w:pPr>
              <w:keepNext w:val="0"/>
              <w:keepLines w:val="0"/>
              <w:pageBreakBefore w:val="0"/>
              <w:widowControl/>
              <w:numPr>
                <w:ilvl w:val="-1"/>
                <w:numId w:val="0"/>
              </w:numPr>
              <w:overflowPunct/>
              <w:topLinePunct w:val="0"/>
              <w:bidi w:val="0"/>
              <w:adjustRightInd/>
              <w:spacing w:line="0" w:lineRule="atLeast"/>
              <w:ind w:firstLine="0"/>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搜索欲10分</w:t>
            </w:r>
          </w:p>
        </w:tc>
        <w:tc>
          <w:tcPr>
            <w:tcW w:w="3474" w:type="dxa"/>
            <w:noWrap w:val="0"/>
            <w:vAlign w:val="center"/>
          </w:tcPr>
          <w:p w14:paraId="7A229245">
            <w:pPr>
              <w:keepNext w:val="0"/>
              <w:keepLines w:val="0"/>
              <w:pageBreakBefore w:val="0"/>
              <w:widowControl/>
              <w:numPr>
                <w:ilvl w:val="-1"/>
                <w:numId w:val="0"/>
              </w:numPr>
              <w:overflowPunct/>
              <w:topLinePunct w:val="0"/>
              <w:bidi w:val="0"/>
              <w:adjustRightInd/>
              <w:spacing w:line="0" w:lineRule="atLeast"/>
              <w:ind w:firstLine="0"/>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搜索欲不强或3分钟</w:t>
            </w:r>
          </w:p>
          <w:p w14:paraId="5DA2301A">
            <w:pPr>
              <w:keepNext w:val="0"/>
              <w:keepLines w:val="0"/>
              <w:pageBreakBefore w:val="0"/>
              <w:widowControl/>
              <w:numPr>
                <w:ilvl w:val="-1"/>
                <w:numId w:val="0"/>
              </w:numPr>
              <w:overflowPunct/>
              <w:topLinePunct w:val="0"/>
              <w:bidi w:val="0"/>
              <w:adjustRightInd/>
              <w:spacing w:line="0" w:lineRule="atLeast"/>
              <w:ind w:firstLine="0"/>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未找出物品而中断搜索扣5</w:t>
            </w:r>
            <w:r>
              <w:rPr>
                <w:rFonts w:hint="eastAsia" w:ascii="仿宋" w:hAnsi="仿宋" w:eastAsia="仿宋" w:cs="仿宋"/>
                <w:color w:val="auto"/>
                <w:kern w:val="2"/>
                <w:sz w:val="24"/>
                <w:szCs w:val="24"/>
                <w:highlight w:val="none"/>
              </w:rPr>
              <w:t>—</w:t>
            </w:r>
            <w:r>
              <w:rPr>
                <w:rFonts w:hint="eastAsia" w:ascii="仿宋" w:hAnsi="仿宋" w:eastAsia="仿宋" w:cs="仿宋"/>
                <w:bCs/>
                <w:color w:val="auto"/>
                <w:kern w:val="2"/>
                <w:sz w:val="24"/>
                <w:szCs w:val="24"/>
                <w:highlight w:val="none"/>
              </w:rPr>
              <w:t>10分</w:t>
            </w:r>
          </w:p>
        </w:tc>
      </w:tr>
      <w:tr w14:paraId="2E421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11" w:hRule="exact"/>
        </w:trPr>
        <w:tc>
          <w:tcPr>
            <w:tcW w:w="597" w:type="dxa"/>
            <w:vMerge w:val="continue"/>
            <w:noWrap w:val="0"/>
            <w:vAlign w:val="top"/>
          </w:tcPr>
          <w:p w14:paraId="1D4B3AE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bCs/>
                <w:color w:val="auto"/>
                <w:kern w:val="2"/>
                <w:sz w:val="24"/>
                <w:szCs w:val="24"/>
                <w:highlight w:val="none"/>
              </w:rPr>
            </w:pPr>
          </w:p>
        </w:tc>
        <w:tc>
          <w:tcPr>
            <w:tcW w:w="2012" w:type="dxa"/>
            <w:vMerge w:val="continue"/>
            <w:noWrap w:val="0"/>
            <w:vAlign w:val="top"/>
          </w:tcPr>
          <w:p w14:paraId="35BBA841">
            <w:pPr>
              <w:keepNext w:val="0"/>
              <w:keepLines w:val="0"/>
              <w:pageBreakBefore w:val="0"/>
              <w:widowControl/>
              <w:numPr>
                <w:ilvl w:val="-1"/>
                <w:numId w:val="0"/>
              </w:numPr>
              <w:overflowPunct/>
              <w:topLinePunct w:val="0"/>
              <w:bidi w:val="0"/>
              <w:adjustRightInd/>
              <w:spacing w:line="0" w:lineRule="atLeast"/>
              <w:ind w:firstLine="0"/>
              <w:jc w:val="left"/>
              <w:textAlignment w:val="auto"/>
              <w:rPr>
                <w:rFonts w:hint="eastAsia" w:ascii="仿宋" w:hAnsi="仿宋" w:eastAsia="仿宋" w:cs="仿宋"/>
                <w:bCs/>
                <w:color w:val="auto"/>
                <w:kern w:val="2"/>
                <w:sz w:val="24"/>
                <w:szCs w:val="24"/>
                <w:highlight w:val="none"/>
              </w:rPr>
            </w:pPr>
          </w:p>
        </w:tc>
        <w:tc>
          <w:tcPr>
            <w:tcW w:w="515" w:type="dxa"/>
            <w:vMerge w:val="continue"/>
            <w:noWrap w:val="0"/>
            <w:vAlign w:val="top"/>
          </w:tcPr>
          <w:p w14:paraId="0676785F">
            <w:pPr>
              <w:keepNext w:val="0"/>
              <w:keepLines w:val="0"/>
              <w:pageBreakBefore w:val="0"/>
              <w:widowControl/>
              <w:numPr>
                <w:ilvl w:val="-1"/>
                <w:numId w:val="0"/>
              </w:numPr>
              <w:overflowPunct/>
              <w:topLinePunct w:val="0"/>
              <w:bidi w:val="0"/>
              <w:adjustRightInd/>
              <w:spacing w:line="0" w:lineRule="atLeast"/>
              <w:ind w:firstLine="0"/>
              <w:jc w:val="left"/>
              <w:textAlignment w:val="auto"/>
              <w:rPr>
                <w:rFonts w:hint="eastAsia" w:ascii="仿宋" w:hAnsi="仿宋" w:eastAsia="仿宋" w:cs="仿宋"/>
                <w:bCs/>
                <w:color w:val="auto"/>
                <w:kern w:val="2"/>
                <w:sz w:val="24"/>
                <w:szCs w:val="24"/>
                <w:highlight w:val="none"/>
              </w:rPr>
            </w:pPr>
          </w:p>
        </w:tc>
        <w:tc>
          <w:tcPr>
            <w:tcW w:w="1937" w:type="dxa"/>
            <w:noWrap w:val="0"/>
            <w:vAlign w:val="center"/>
          </w:tcPr>
          <w:p w14:paraId="320A673E">
            <w:pPr>
              <w:keepNext w:val="0"/>
              <w:keepLines w:val="0"/>
              <w:pageBreakBefore w:val="0"/>
              <w:widowControl/>
              <w:numPr>
                <w:ilvl w:val="-1"/>
                <w:numId w:val="0"/>
              </w:numPr>
              <w:overflowPunct/>
              <w:topLinePunct w:val="0"/>
              <w:bidi w:val="0"/>
              <w:adjustRightInd/>
              <w:spacing w:line="0" w:lineRule="atLeast"/>
              <w:ind w:firstLine="0"/>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搜索用时5分</w:t>
            </w:r>
          </w:p>
        </w:tc>
        <w:tc>
          <w:tcPr>
            <w:tcW w:w="3474" w:type="dxa"/>
            <w:noWrap w:val="0"/>
            <w:vAlign w:val="center"/>
          </w:tcPr>
          <w:p w14:paraId="12AA1AF9">
            <w:pPr>
              <w:keepNext w:val="0"/>
              <w:keepLines w:val="0"/>
              <w:pageBreakBefore w:val="0"/>
              <w:widowControl/>
              <w:numPr>
                <w:ilvl w:val="-1"/>
                <w:numId w:val="0"/>
              </w:numPr>
              <w:overflowPunct/>
              <w:topLinePunct w:val="0"/>
              <w:bidi w:val="0"/>
              <w:adjustRightInd/>
              <w:spacing w:line="0" w:lineRule="atLeast"/>
              <w:ind w:firstLine="0"/>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搜索超时扣1</w:t>
            </w:r>
            <w:r>
              <w:rPr>
                <w:rFonts w:hint="eastAsia" w:ascii="仿宋" w:hAnsi="仿宋" w:eastAsia="仿宋" w:cs="仿宋"/>
                <w:color w:val="auto"/>
                <w:kern w:val="2"/>
                <w:sz w:val="24"/>
                <w:szCs w:val="24"/>
                <w:highlight w:val="none"/>
              </w:rPr>
              <w:t>—</w:t>
            </w:r>
            <w:r>
              <w:rPr>
                <w:rFonts w:hint="eastAsia" w:ascii="仿宋" w:hAnsi="仿宋" w:eastAsia="仿宋" w:cs="仿宋"/>
                <w:bCs/>
                <w:color w:val="auto"/>
                <w:kern w:val="2"/>
                <w:sz w:val="24"/>
                <w:szCs w:val="24"/>
                <w:highlight w:val="none"/>
              </w:rPr>
              <w:t>3分</w:t>
            </w:r>
          </w:p>
        </w:tc>
      </w:tr>
    </w:tbl>
    <w:p w14:paraId="57DD7DD4">
      <w:pPr>
        <w:keepNext w:val="0"/>
        <w:keepLines w:val="0"/>
        <w:pageBreakBefore w:val="0"/>
        <w:numPr>
          <w:ilvl w:val="-1"/>
          <w:numId w:val="0"/>
        </w:numPr>
        <w:overflowPunct/>
        <w:topLinePunct w:val="0"/>
        <w:bidi w:val="0"/>
        <w:adjustRightInd/>
        <w:spacing w:line="0" w:lineRule="atLeast"/>
        <w:ind w:firstLine="0"/>
        <w:jc w:val="both"/>
        <w:textAlignment w:val="auto"/>
        <w:rPr>
          <w:rFonts w:hint="eastAsia" w:ascii="仿宋" w:hAnsi="仿宋" w:eastAsia="仿宋" w:cs="仿宋"/>
          <w:bCs/>
          <w:color w:val="auto"/>
          <w:kern w:val="2"/>
          <w:sz w:val="24"/>
          <w:szCs w:val="24"/>
          <w:highlight w:val="none"/>
          <w:lang w:val="en-US" w:eastAsia="zh-CN"/>
        </w:rPr>
      </w:pPr>
    </w:p>
    <w:p w14:paraId="0977F07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bCs/>
          <w:color w:val="auto"/>
          <w:kern w:val="2"/>
          <w:sz w:val="24"/>
          <w:szCs w:val="24"/>
          <w:highlight w:val="none"/>
          <w:lang w:val="en-US" w:eastAsia="zh-CN"/>
        </w:rPr>
      </w:pPr>
    </w:p>
    <w:p w14:paraId="5A1D388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bCs/>
          <w:color w:val="auto"/>
          <w:kern w:val="2"/>
          <w:sz w:val="24"/>
          <w:szCs w:val="24"/>
          <w:highlight w:val="none"/>
          <w:lang w:val="en-US" w:eastAsia="zh-CN"/>
        </w:rPr>
        <w:t>待训警犬</w:t>
      </w:r>
      <w:r>
        <w:rPr>
          <w:rFonts w:hint="eastAsia" w:ascii="仿宋" w:hAnsi="仿宋" w:eastAsia="仿宋" w:cs="仿宋"/>
          <w:bCs/>
          <w:color w:val="auto"/>
          <w:kern w:val="2"/>
          <w:sz w:val="24"/>
          <w:szCs w:val="24"/>
          <w:highlight w:val="none"/>
        </w:rPr>
        <w:t>验收记录表</w:t>
      </w:r>
    </w:p>
    <w:p w14:paraId="6E19ADDB">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测试</w:t>
      </w:r>
      <w:r>
        <w:rPr>
          <w:rFonts w:hint="eastAsia" w:ascii="仿宋" w:hAnsi="仿宋" w:eastAsia="仿宋" w:cs="仿宋"/>
          <w:color w:val="auto"/>
          <w:kern w:val="2"/>
          <w:sz w:val="24"/>
          <w:szCs w:val="24"/>
          <w:highlight w:val="none"/>
        </w:rPr>
        <w:t>日期：　　年　月　日　　　　　单位：kg、cm</w:t>
      </w:r>
    </w:p>
    <w:tbl>
      <w:tblPr>
        <w:tblStyle w:val="13"/>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69"/>
        <w:gridCol w:w="869"/>
        <w:gridCol w:w="838"/>
        <w:gridCol w:w="839"/>
        <w:gridCol w:w="870"/>
        <w:gridCol w:w="870"/>
        <w:gridCol w:w="839"/>
        <w:gridCol w:w="839"/>
        <w:gridCol w:w="893"/>
      </w:tblGrid>
      <w:tr w14:paraId="76AE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06" w:type="dxa"/>
            <w:vMerge w:val="restart"/>
            <w:tcBorders>
              <w:top w:val="single" w:color="auto" w:sz="8" w:space="0"/>
              <w:left w:val="single" w:color="auto" w:sz="8" w:space="0"/>
              <w:tl2br w:val="single" w:color="auto" w:sz="4" w:space="0"/>
            </w:tcBorders>
            <w:noWrap w:val="0"/>
            <w:tcMar>
              <w:left w:w="28" w:type="dxa"/>
              <w:right w:w="28" w:type="dxa"/>
            </w:tcMar>
            <w:vAlign w:val="top"/>
          </w:tcPr>
          <w:p w14:paraId="35395AE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基本</w:t>
            </w:r>
          </w:p>
          <w:p w14:paraId="3193D2C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情况</w:t>
            </w:r>
          </w:p>
          <w:p w14:paraId="6F93281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16F2B29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3047FDDF">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7A3E64DF">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689C9740">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55E40E3F">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6F5E3BF3">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p w14:paraId="15A20EEC">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考核</w:t>
            </w:r>
          </w:p>
          <w:p w14:paraId="5C215218">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869" w:type="dxa"/>
            <w:tcBorders>
              <w:top w:val="single" w:color="auto" w:sz="8" w:space="0"/>
            </w:tcBorders>
            <w:noWrap w:val="0"/>
            <w:vAlign w:val="center"/>
          </w:tcPr>
          <w:p w14:paraId="485639F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犬名</w:t>
            </w:r>
          </w:p>
        </w:tc>
        <w:tc>
          <w:tcPr>
            <w:tcW w:w="869" w:type="dxa"/>
            <w:tcBorders>
              <w:top w:val="single" w:color="auto" w:sz="8" w:space="0"/>
            </w:tcBorders>
            <w:noWrap w:val="0"/>
            <w:vAlign w:val="center"/>
          </w:tcPr>
          <w:p w14:paraId="4F3801D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芯片号</w:t>
            </w:r>
          </w:p>
        </w:tc>
        <w:tc>
          <w:tcPr>
            <w:tcW w:w="1677" w:type="dxa"/>
            <w:gridSpan w:val="2"/>
            <w:tcBorders>
              <w:top w:val="single" w:color="auto" w:sz="8" w:space="0"/>
            </w:tcBorders>
            <w:noWrap w:val="0"/>
            <w:vAlign w:val="center"/>
          </w:tcPr>
          <w:p w14:paraId="4D806A2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　别</w:t>
            </w:r>
          </w:p>
        </w:tc>
        <w:tc>
          <w:tcPr>
            <w:tcW w:w="870" w:type="dxa"/>
            <w:tcBorders>
              <w:top w:val="single" w:color="auto" w:sz="8" w:space="0"/>
            </w:tcBorders>
            <w:noWrap w:val="0"/>
            <w:vAlign w:val="center"/>
          </w:tcPr>
          <w:p w14:paraId="463498F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品种</w:t>
            </w:r>
          </w:p>
        </w:tc>
        <w:tc>
          <w:tcPr>
            <w:tcW w:w="870" w:type="dxa"/>
            <w:tcBorders>
              <w:top w:val="single" w:color="auto" w:sz="8" w:space="0"/>
            </w:tcBorders>
            <w:noWrap w:val="0"/>
            <w:vAlign w:val="center"/>
          </w:tcPr>
          <w:p w14:paraId="6F9B068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毛色</w:t>
            </w:r>
          </w:p>
        </w:tc>
        <w:tc>
          <w:tcPr>
            <w:tcW w:w="1678" w:type="dxa"/>
            <w:gridSpan w:val="2"/>
            <w:tcBorders>
              <w:top w:val="single" w:color="auto" w:sz="8" w:space="0"/>
            </w:tcBorders>
            <w:noWrap w:val="0"/>
            <w:vAlign w:val="center"/>
          </w:tcPr>
          <w:p w14:paraId="1AF3688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出生日期</w:t>
            </w:r>
          </w:p>
        </w:tc>
        <w:tc>
          <w:tcPr>
            <w:tcW w:w="893" w:type="dxa"/>
            <w:tcBorders>
              <w:top w:val="single" w:color="auto" w:sz="8" w:space="0"/>
              <w:right w:val="single" w:color="auto" w:sz="8" w:space="0"/>
            </w:tcBorders>
            <w:noWrap w:val="0"/>
            <w:vAlign w:val="center"/>
          </w:tcPr>
          <w:p w14:paraId="6D7CFC5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犬主人</w:t>
            </w:r>
          </w:p>
        </w:tc>
      </w:tr>
      <w:tr w14:paraId="536F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06" w:type="dxa"/>
            <w:vMerge w:val="continue"/>
            <w:tcBorders>
              <w:left w:val="single" w:color="auto" w:sz="8" w:space="0"/>
            </w:tcBorders>
            <w:noWrap w:val="0"/>
            <w:vAlign w:val="top"/>
          </w:tcPr>
          <w:p w14:paraId="10ED574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69" w:type="dxa"/>
            <w:noWrap w:val="0"/>
            <w:vAlign w:val="center"/>
          </w:tcPr>
          <w:p w14:paraId="0D77EC7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69" w:type="dxa"/>
            <w:noWrap w:val="0"/>
            <w:vAlign w:val="center"/>
          </w:tcPr>
          <w:p w14:paraId="34C9144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677" w:type="dxa"/>
            <w:gridSpan w:val="2"/>
            <w:noWrap w:val="0"/>
            <w:vAlign w:val="center"/>
          </w:tcPr>
          <w:p w14:paraId="4DC3479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70" w:type="dxa"/>
            <w:noWrap w:val="0"/>
            <w:vAlign w:val="center"/>
          </w:tcPr>
          <w:p w14:paraId="2366C40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70" w:type="dxa"/>
            <w:noWrap w:val="0"/>
            <w:vAlign w:val="center"/>
          </w:tcPr>
          <w:p w14:paraId="1E767C4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678" w:type="dxa"/>
            <w:gridSpan w:val="2"/>
            <w:noWrap w:val="0"/>
            <w:vAlign w:val="center"/>
          </w:tcPr>
          <w:p w14:paraId="5156AED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93" w:type="dxa"/>
            <w:tcBorders>
              <w:right w:val="single" w:color="auto" w:sz="8" w:space="0"/>
            </w:tcBorders>
            <w:noWrap w:val="0"/>
            <w:vAlign w:val="center"/>
          </w:tcPr>
          <w:p w14:paraId="46B5869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r>
      <w:tr w14:paraId="5842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restart"/>
            <w:tcBorders>
              <w:left w:val="single" w:color="auto" w:sz="8" w:space="0"/>
              <w:right w:val="single" w:color="auto" w:sz="4" w:space="0"/>
            </w:tcBorders>
            <w:noWrap w:val="0"/>
            <w:vAlign w:val="center"/>
          </w:tcPr>
          <w:p w14:paraId="7959D32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发育</w:t>
            </w:r>
          </w:p>
          <w:p w14:paraId="619AC10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状况</w:t>
            </w:r>
          </w:p>
        </w:tc>
        <w:tc>
          <w:tcPr>
            <w:tcW w:w="869" w:type="dxa"/>
            <w:tcBorders>
              <w:left w:val="single" w:color="auto" w:sz="4" w:space="0"/>
              <w:right w:val="single" w:color="auto" w:sz="4" w:space="0"/>
            </w:tcBorders>
            <w:noWrap w:val="0"/>
            <w:tcMar>
              <w:left w:w="0" w:type="dxa"/>
              <w:right w:w="0" w:type="dxa"/>
            </w:tcMar>
            <w:vAlign w:val="center"/>
          </w:tcPr>
          <w:p w14:paraId="5154BB7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869" w:type="dxa"/>
            <w:tcBorders>
              <w:left w:val="single" w:color="auto" w:sz="4" w:space="0"/>
              <w:right w:val="single" w:color="auto" w:sz="4" w:space="0"/>
            </w:tcBorders>
            <w:noWrap w:val="0"/>
            <w:tcMar>
              <w:left w:w="0" w:type="dxa"/>
              <w:right w:w="0" w:type="dxa"/>
            </w:tcMar>
            <w:vAlign w:val="center"/>
          </w:tcPr>
          <w:p w14:paraId="09CDFE2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体重</w:t>
            </w:r>
          </w:p>
        </w:tc>
        <w:tc>
          <w:tcPr>
            <w:tcW w:w="838" w:type="dxa"/>
            <w:tcBorders>
              <w:left w:val="single" w:color="auto" w:sz="4" w:space="0"/>
              <w:right w:val="single" w:color="auto" w:sz="4" w:space="0"/>
            </w:tcBorders>
            <w:noWrap w:val="0"/>
            <w:tcMar>
              <w:left w:w="0" w:type="dxa"/>
              <w:right w:w="0" w:type="dxa"/>
            </w:tcMar>
            <w:vAlign w:val="center"/>
          </w:tcPr>
          <w:p w14:paraId="582519E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体长</w:t>
            </w:r>
          </w:p>
        </w:tc>
        <w:tc>
          <w:tcPr>
            <w:tcW w:w="839" w:type="dxa"/>
            <w:tcBorders>
              <w:left w:val="single" w:color="auto" w:sz="4" w:space="0"/>
              <w:right w:val="single" w:color="auto" w:sz="4" w:space="0"/>
            </w:tcBorders>
            <w:noWrap w:val="0"/>
            <w:tcMar>
              <w:left w:w="0" w:type="dxa"/>
              <w:right w:w="0" w:type="dxa"/>
            </w:tcMar>
            <w:vAlign w:val="center"/>
          </w:tcPr>
          <w:p w14:paraId="425E340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体高</w:t>
            </w:r>
          </w:p>
        </w:tc>
        <w:tc>
          <w:tcPr>
            <w:tcW w:w="870" w:type="dxa"/>
            <w:tcBorders>
              <w:left w:val="single" w:color="auto" w:sz="4" w:space="0"/>
              <w:right w:val="single" w:color="auto" w:sz="4" w:space="0"/>
            </w:tcBorders>
            <w:noWrap w:val="0"/>
            <w:tcMar>
              <w:left w:w="0" w:type="dxa"/>
              <w:right w:w="0" w:type="dxa"/>
            </w:tcMar>
            <w:vAlign w:val="center"/>
          </w:tcPr>
          <w:p w14:paraId="0359BB1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胸围</w:t>
            </w:r>
          </w:p>
        </w:tc>
        <w:tc>
          <w:tcPr>
            <w:tcW w:w="870" w:type="dxa"/>
            <w:tcBorders>
              <w:left w:val="single" w:color="auto" w:sz="4" w:space="0"/>
              <w:right w:val="single" w:color="auto" w:sz="4" w:space="0"/>
            </w:tcBorders>
            <w:noWrap w:val="0"/>
            <w:tcMar>
              <w:left w:w="0" w:type="dxa"/>
              <w:right w:w="0" w:type="dxa"/>
            </w:tcMar>
            <w:vAlign w:val="center"/>
          </w:tcPr>
          <w:p w14:paraId="252F26B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胸深</w:t>
            </w:r>
          </w:p>
        </w:tc>
        <w:tc>
          <w:tcPr>
            <w:tcW w:w="839" w:type="dxa"/>
            <w:tcBorders>
              <w:left w:val="single" w:color="auto" w:sz="4" w:space="0"/>
              <w:right w:val="single" w:color="auto" w:sz="4" w:space="0"/>
            </w:tcBorders>
            <w:noWrap w:val="0"/>
            <w:tcMar>
              <w:left w:w="0" w:type="dxa"/>
              <w:right w:w="0" w:type="dxa"/>
            </w:tcMar>
            <w:vAlign w:val="center"/>
          </w:tcPr>
          <w:p w14:paraId="7DFBA17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荐高</w:t>
            </w:r>
          </w:p>
        </w:tc>
        <w:tc>
          <w:tcPr>
            <w:tcW w:w="839" w:type="dxa"/>
            <w:tcBorders>
              <w:left w:val="single" w:color="auto" w:sz="4" w:space="0"/>
              <w:right w:val="single" w:color="auto" w:sz="4" w:space="0"/>
            </w:tcBorders>
            <w:noWrap w:val="0"/>
            <w:tcMar>
              <w:left w:w="0" w:type="dxa"/>
              <w:right w:w="0" w:type="dxa"/>
            </w:tcMar>
            <w:vAlign w:val="center"/>
          </w:tcPr>
          <w:p w14:paraId="10B7763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头长</w:t>
            </w:r>
          </w:p>
        </w:tc>
        <w:tc>
          <w:tcPr>
            <w:tcW w:w="893" w:type="dxa"/>
            <w:tcBorders>
              <w:left w:val="single" w:color="auto" w:sz="4" w:space="0"/>
              <w:right w:val="single" w:color="auto" w:sz="8" w:space="0"/>
            </w:tcBorders>
            <w:noWrap w:val="0"/>
            <w:tcMar>
              <w:left w:w="0" w:type="dxa"/>
              <w:right w:w="0" w:type="dxa"/>
            </w:tcMar>
            <w:vAlign w:val="center"/>
          </w:tcPr>
          <w:p w14:paraId="5F4FEC8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小计</w:t>
            </w:r>
          </w:p>
        </w:tc>
      </w:tr>
      <w:tr w14:paraId="54EC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continue"/>
            <w:tcBorders>
              <w:left w:val="single" w:color="auto" w:sz="8" w:space="0"/>
              <w:right w:val="single" w:color="auto" w:sz="4" w:space="0"/>
            </w:tcBorders>
            <w:noWrap w:val="0"/>
            <w:vAlign w:val="top"/>
          </w:tcPr>
          <w:p w14:paraId="51CA3B1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69" w:type="dxa"/>
            <w:tcBorders>
              <w:left w:val="single" w:color="auto" w:sz="4" w:space="0"/>
              <w:right w:val="single" w:color="auto" w:sz="4" w:space="0"/>
            </w:tcBorders>
            <w:noWrap w:val="0"/>
            <w:tcMar>
              <w:left w:w="0" w:type="dxa"/>
              <w:right w:w="0" w:type="dxa"/>
            </w:tcMar>
            <w:vAlign w:val="center"/>
          </w:tcPr>
          <w:p w14:paraId="7AC4182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得分</w:t>
            </w:r>
          </w:p>
        </w:tc>
        <w:tc>
          <w:tcPr>
            <w:tcW w:w="869" w:type="dxa"/>
            <w:tcBorders>
              <w:left w:val="single" w:color="auto" w:sz="4" w:space="0"/>
              <w:right w:val="single" w:color="auto" w:sz="4" w:space="0"/>
            </w:tcBorders>
            <w:noWrap w:val="0"/>
            <w:tcMar>
              <w:left w:w="0" w:type="dxa"/>
              <w:right w:w="0" w:type="dxa"/>
            </w:tcMar>
            <w:vAlign w:val="center"/>
          </w:tcPr>
          <w:p w14:paraId="1758045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38" w:type="dxa"/>
            <w:tcBorders>
              <w:left w:val="single" w:color="auto" w:sz="4" w:space="0"/>
              <w:right w:val="single" w:color="auto" w:sz="4" w:space="0"/>
            </w:tcBorders>
            <w:noWrap w:val="0"/>
            <w:vAlign w:val="center"/>
          </w:tcPr>
          <w:p w14:paraId="7276D0F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39" w:type="dxa"/>
            <w:tcBorders>
              <w:left w:val="single" w:color="auto" w:sz="4" w:space="0"/>
              <w:right w:val="single" w:color="auto" w:sz="4" w:space="0"/>
            </w:tcBorders>
            <w:noWrap w:val="0"/>
            <w:vAlign w:val="center"/>
          </w:tcPr>
          <w:p w14:paraId="2A1EE98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70" w:type="dxa"/>
            <w:tcBorders>
              <w:left w:val="single" w:color="auto" w:sz="4" w:space="0"/>
              <w:right w:val="single" w:color="auto" w:sz="4" w:space="0"/>
            </w:tcBorders>
            <w:noWrap w:val="0"/>
            <w:vAlign w:val="center"/>
          </w:tcPr>
          <w:p w14:paraId="71AA8B6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70" w:type="dxa"/>
            <w:tcBorders>
              <w:left w:val="single" w:color="auto" w:sz="4" w:space="0"/>
              <w:right w:val="single" w:color="auto" w:sz="4" w:space="0"/>
            </w:tcBorders>
            <w:noWrap w:val="0"/>
            <w:vAlign w:val="center"/>
          </w:tcPr>
          <w:p w14:paraId="1A63B8A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39" w:type="dxa"/>
            <w:tcBorders>
              <w:left w:val="single" w:color="auto" w:sz="4" w:space="0"/>
              <w:right w:val="single" w:color="auto" w:sz="4" w:space="0"/>
            </w:tcBorders>
            <w:noWrap w:val="0"/>
            <w:vAlign w:val="center"/>
          </w:tcPr>
          <w:p w14:paraId="4C1D29F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39" w:type="dxa"/>
            <w:tcBorders>
              <w:left w:val="single" w:color="auto" w:sz="4" w:space="0"/>
              <w:right w:val="single" w:color="auto" w:sz="4" w:space="0"/>
            </w:tcBorders>
            <w:noWrap w:val="0"/>
            <w:vAlign w:val="center"/>
          </w:tcPr>
          <w:p w14:paraId="7F6FC40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93" w:type="dxa"/>
            <w:tcBorders>
              <w:left w:val="single" w:color="auto" w:sz="4" w:space="0"/>
              <w:right w:val="single" w:color="auto" w:sz="8" w:space="0"/>
            </w:tcBorders>
            <w:noWrap w:val="0"/>
            <w:tcMar>
              <w:left w:w="0" w:type="dxa"/>
              <w:right w:w="0" w:type="dxa"/>
            </w:tcMar>
            <w:vAlign w:val="center"/>
          </w:tcPr>
          <w:p w14:paraId="1952599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r>
      <w:tr w14:paraId="6A68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restart"/>
            <w:tcBorders>
              <w:left w:val="single" w:color="auto" w:sz="8" w:space="0"/>
              <w:right w:val="single" w:color="auto" w:sz="4" w:space="0"/>
            </w:tcBorders>
            <w:noWrap w:val="0"/>
            <w:vAlign w:val="center"/>
          </w:tcPr>
          <w:p w14:paraId="236C653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体　能</w:t>
            </w:r>
          </w:p>
        </w:tc>
        <w:tc>
          <w:tcPr>
            <w:tcW w:w="869" w:type="dxa"/>
            <w:tcBorders>
              <w:left w:val="single" w:color="auto" w:sz="4" w:space="0"/>
              <w:right w:val="single" w:color="auto" w:sz="4" w:space="0"/>
            </w:tcBorders>
            <w:noWrap w:val="0"/>
            <w:tcMar>
              <w:left w:w="0" w:type="dxa"/>
              <w:right w:w="0" w:type="dxa"/>
            </w:tcMar>
            <w:vAlign w:val="center"/>
          </w:tcPr>
          <w:p w14:paraId="5C028F0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1707" w:type="dxa"/>
            <w:gridSpan w:val="2"/>
            <w:tcBorders>
              <w:left w:val="single" w:color="auto" w:sz="4" w:space="0"/>
              <w:right w:val="single" w:color="auto" w:sz="4" w:space="0"/>
            </w:tcBorders>
            <w:noWrap w:val="0"/>
            <w:vAlign w:val="center"/>
          </w:tcPr>
          <w:p w14:paraId="17F8198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奔跑</w:t>
            </w:r>
          </w:p>
        </w:tc>
        <w:tc>
          <w:tcPr>
            <w:tcW w:w="1709" w:type="dxa"/>
            <w:gridSpan w:val="2"/>
            <w:tcBorders>
              <w:left w:val="single" w:color="auto" w:sz="4" w:space="0"/>
              <w:right w:val="single" w:color="auto" w:sz="4" w:space="0"/>
            </w:tcBorders>
            <w:noWrap w:val="0"/>
            <w:vAlign w:val="center"/>
          </w:tcPr>
          <w:p w14:paraId="7EDF60C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通过自然障碍</w:t>
            </w:r>
          </w:p>
        </w:tc>
        <w:tc>
          <w:tcPr>
            <w:tcW w:w="2548" w:type="dxa"/>
            <w:gridSpan w:val="3"/>
            <w:tcBorders>
              <w:left w:val="single" w:color="auto" w:sz="4" w:space="0"/>
              <w:right w:val="single" w:color="auto" w:sz="4" w:space="0"/>
            </w:tcBorders>
            <w:noWrap w:val="0"/>
            <w:vAlign w:val="center"/>
          </w:tcPr>
          <w:p w14:paraId="5BB0083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步态特征</w:t>
            </w:r>
          </w:p>
        </w:tc>
        <w:tc>
          <w:tcPr>
            <w:tcW w:w="893" w:type="dxa"/>
            <w:tcBorders>
              <w:left w:val="single" w:color="auto" w:sz="4" w:space="0"/>
              <w:right w:val="single" w:color="auto" w:sz="8" w:space="0"/>
            </w:tcBorders>
            <w:noWrap w:val="0"/>
            <w:vAlign w:val="center"/>
          </w:tcPr>
          <w:p w14:paraId="0C0BDE9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小计</w:t>
            </w:r>
          </w:p>
        </w:tc>
      </w:tr>
      <w:tr w14:paraId="6892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continue"/>
            <w:tcBorders>
              <w:left w:val="single" w:color="auto" w:sz="8" w:space="0"/>
              <w:right w:val="single" w:color="auto" w:sz="4" w:space="0"/>
            </w:tcBorders>
            <w:noWrap w:val="0"/>
            <w:vAlign w:val="center"/>
          </w:tcPr>
          <w:p w14:paraId="2E1591E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69" w:type="dxa"/>
            <w:tcBorders>
              <w:left w:val="single" w:color="auto" w:sz="4" w:space="0"/>
              <w:right w:val="single" w:color="auto" w:sz="4" w:space="0"/>
            </w:tcBorders>
            <w:noWrap w:val="0"/>
            <w:tcMar>
              <w:left w:w="0" w:type="dxa"/>
              <w:right w:w="0" w:type="dxa"/>
            </w:tcMar>
            <w:vAlign w:val="center"/>
          </w:tcPr>
          <w:p w14:paraId="119ADA45">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得分</w:t>
            </w:r>
          </w:p>
        </w:tc>
        <w:tc>
          <w:tcPr>
            <w:tcW w:w="1707" w:type="dxa"/>
            <w:gridSpan w:val="2"/>
            <w:tcBorders>
              <w:left w:val="single" w:color="auto" w:sz="4" w:space="0"/>
              <w:right w:val="single" w:color="auto" w:sz="4" w:space="0"/>
            </w:tcBorders>
            <w:noWrap w:val="0"/>
            <w:vAlign w:val="center"/>
          </w:tcPr>
          <w:p w14:paraId="4DFDC1F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09" w:type="dxa"/>
            <w:gridSpan w:val="2"/>
            <w:tcBorders>
              <w:left w:val="single" w:color="auto" w:sz="4" w:space="0"/>
              <w:right w:val="single" w:color="auto" w:sz="4" w:space="0"/>
            </w:tcBorders>
            <w:noWrap w:val="0"/>
            <w:vAlign w:val="center"/>
          </w:tcPr>
          <w:p w14:paraId="2BE0C0E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548" w:type="dxa"/>
            <w:gridSpan w:val="3"/>
            <w:tcBorders>
              <w:left w:val="single" w:color="auto" w:sz="4" w:space="0"/>
              <w:right w:val="single" w:color="auto" w:sz="4" w:space="0"/>
            </w:tcBorders>
            <w:noWrap w:val="0"/>
            <w:vAlign w:val="center"/>
          </w:tcPr>
          <w:p w14:paraId="162A6DE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93" w:type="dxa"/>
            <w:tcBorders>
              <w:left w:val="single" w:color="auto" w:sz="4" w:space="0"/>
              <w:right w:val="single" w:color="auto" w:sz="8" w:space="0"/>
            </w:tcBorders>
            <w:noWrap w:val="0"/>
            <w:vAlign w:val="center"/>
          </w:tcPr>
          <w:p w14:paraId="332E5D0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r>
      <w:tr w14:paraId="66FD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jc w:val="center"/>
        </w:trPr>
        <w:tc>
          <w:tcPr>
            <w:tcW w:w="1006" w:type="dxa"/>
            <w:vMerge w:val="restart"/>
            <w:tcBorders>
              <w:left w:val="single" w:color="auto" w:sz="8" w:space="0"/>
              <w:right w:val="single" w:color="auto" w:sz="4" w:space="0"/>
            </w:tcBorders>
            <w:noWrap w:val="0"/>
            <w:vAlign w:val="center"/>
          </w:tcPr>
          <w:p w14:paraId="042A836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服从性</w:t>
            </w:r>
          </w:p>
        </w:tc>
        <w:tc>
          <w:tcPr>
            <w:tcW w:w="869" w:type="dxa"/>
            <w:tcBorders>
              <w:left w:val="single" w:color="auto" w:sz="4" w:space="0"/>
              <w:right w:val="single" w:color="auto" w:sz="4" w:space="0"/>
            </w:tcBorders>
            <w:noWrap w:val="0"/>
            <w:tcMar>
              <w:left w:w="0" w:type="dxa"/>
              <w:right w:w="0" w:type="dxa"/>
            </w:tcMar>
            <w:vAlign w:val="center"/>
          </w:tcPr>
          <w:p w14:paraId="3BFEF5A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1707" w:type="dxa"/>
            <w:gridSpan w:val="2"/>
            <w:tcBorders>
              <w:left w:val="single" w:color="auto" w:sz="4" w:space="0"/>
              <w:right w:val="single" w:color="auto" w:sz="4" w:space="0"/>
            </w:tcBorders>
            <w:noWrap w:val="0"/>
            <w:vAlign w:val="center"/>
          </w:tcPr>
          <w:p w14:paraId="4817483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自然状态下</w:t>
            </w:r>
          </w:p>
          <w:p w14:paraId="69801058">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犬前来</w:t>
            </w:r>
          </w:p>
        </w:tc>
        <w:tc>
          <w:tcPr>
            <w:tcW w:w="1709" w:type="dxa"/>
            <w:gridSpan w:val="2"/>
            <w:tcBorders>
              <w:left w:val="single" w:color="auto" w:sz="4" w:space="0"/>
              <w:right w:val="single" w:color="auto" w:sz="4" w:space="0"/>
            </w:tcBorders>
            <w:noWrap w:val="0"/>
            <w:vAlign w:val="center"/>
          </w:tcPr>
          <w:p w14:paraId="7462496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牵引随行</w:t>
            </w:r>
          </w:p>
        </w:tc>
        <w:tc>
          <w:tcPr>
            <w:tcW w:w="2548" w:type="dxa"/>
            <w:gridSpan w:val="3"/>
            <w:tcBorders>
              <w:left w:val="single" w:color="auto" w:sz="4" w:space="0"/>
              <w:right w:val="single" w:color="auto" w:sz="4" w:space="0"/>
            </w:tcBorders>
            <w:noWrap w:val="0"/>
            <w:vAlign w:val="center"/>
          </w:tcPr>
          <w:p w14:paraId="6BD4497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spacing w:val="-4"/>
                <w:kern w:val="2"/>
                <w:sz w:val="24"/>
                <w:szCs w:val="24"/>
                <w:highlight w:val="none"/>
              </w:rPr>
            </w:pPr>
            <w:r>
              <w:rPr>
                <w:rFonts w:hint="eastAsia" w:ascii="仿宋" w:hAnsi="仿宋" w:eastAsia="仿宋" w:cs="仿宋"/>
                <w:color w:val="auto"/>
                <w:spacing w:val="-4"/>
                <w:kern w:val="2"/>
                <w:sz w:val="24"/>
                <w:szCs w:val="24"/>
                <w:highlight w:val="none"/>
              </w:rPr>
              <w:t>牵引状态下寻找主人</w:t>
            </w:r>
          </w:p>
        </w:tc>
        <w:tc>
          <w:tcPr>
            <w:tcW w:w="893" w:type="dxa"/>
            <w:tcBorders>
              <w:left w:val="single" w:color="auto" w:sz="4" w:space="0"/>
              <w:right w:val="single" w:color="auto" w:sz="8" w:space="0"/>
            </w:tcBorders>
            <w:noWrap w:val="0"/>
            <w:vAlign w:val="center"/>
          </w:tcPr>
          <w:p w14:paraId="2EFE0C3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小计</w:t>
            </w:r>
          </w:p>
        </w:tc>
      </w:tr>
      <w:tr w14:paraId="64BC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continue"/>
            <w:tcBorders>
              <w:left w:val="single" w:color="auto" w:sz="8" w:space="0"/>
              <w:right w:val="single" w:color="auto" w:sz="4" w:space="0"/>
            </w:tcBorders>
            <w:noWrap w:val="0"/>
            <w:vAlign w:val="top"/>
          </w:tcPr>
          <w:p w14:paraId="5D96A8C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69" w:type="dxa"/>
            <w:tcBorders>
              <w:left w:val="single" w:color="auto" w:sz="4" w:space="0"/>
              <w:right w:val="single" w:color="auto" w:sz="4" w:space="0"/>
            </w:tcBorders>
            <w:noWrap w:val="0"/>
            <w:tcMar>
              <w:left w:w="0" w:type="dxa"/>
              <w:right w:w="0" w:type="dxa"/>
            </w:tcMar>
            <w:vAlign w:val="center"/>
          </w:tcPr>
          <w:p w14:paraId="570BB5C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得分</w:t>
            </w:r>
          </w:p>
        </w:tc>
        <w:tc>
          <w:tcPr>
            <w:tcW w:w="1707" w:type="dxa"/>
            <w:gridSpan w:val="2"/>
            <w:tcBorders>
              <w:left w:val="single" w:color="auto" w:sz="4" w:space="0"/>
              <w:right w:val="single" w:color="auto" w:sz="4" w:space="0"/>
            </w:tcBorders>
            <w:noWrap w:val="0"/>
            <w:vAlign w:val="center"/>
          </w:tcPr>
          <w:p w14:paraId="260308A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09" w:type="dxa"/>
            <w:gridSpan w:val="2"/>
            <w:tcBorders>
              <w:left w:val="single" w:color="auto" w:sz="4" w:space="0"/>
              <w:right w:val="single" w:color="auto" w:sz="4" w:space="0"/>
            </w:tcBorders>
            <w:noWrap w:val="0"/>
            <w:vAlign w:val="center"/>
          </w:tcPr>
          <w:p w14:paraId="63143FE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548" w:type="dxa"/>
            <w:gridSpan w:val="3"/>
            <w:tcBorders>
              <w:left w:val="single" w:color="auto" w:sz="4" w:space="0"/>
              <w:right w:val="single" w:color="auto" w:sz="4" w:space="0"/>
            </w:tcBorders>
            <w:noWrap w:val="0"/>
            <w:vAlign w:val="center"/>
          </w:tcPr>
          <w:p w14:paraId="2A667A0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93" w:type="dxa"/>
            <w:tcBorders>
              <w:left w:val="single" w:color="auto" w:sz="4" w:space="0"/>
              <w:right w:val="single" w:color="auto" w:sz="8" w:space="0"/>
            </w:tcBorders>
            <w:noWrap w:val="0"/>
            <w:vAlign w:val="center"/>
          </w:tcPr>
          <w:p w14:paraId="15DC35A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r>
      <w:tr w14:paraId="12B2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jc w:val="center"/>
        </w:trPr>
        <w:tc>
          <w:tcPr>
            <w:tcW w:w="1006" w:type="dxa"/>
            <w:vMerge w:val="restart"/>
            <w:tcBorders>
              <w:left w:val="single" w:color="auto" w:sz="8" w:space="0"/>
              <w:right w:val="single" w:color="auto" w:sz="4" w:space="0"/>
            </w:tcBorders>
            <w:noWrap w:val="0"/>
            <w:vAlign w:val="center"/>
          </w:tcPr>
          <w:p w14:paraId="65E3AE0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衔取欲</w:t>
            </w:r>
          </w:p>
        </w:tc>
        <w:tc>
          <w:tcPr>
            <w:tcW w:w="869" w:type="dxa"/>
            <w:tcBorders>
              <w:left w:val="single" w:color="auto" w:sz="4" w:space="0"/>
              <w:right w:val="single" w:color="auto" w:sz="4" w:space="0"/>
            </w:tcBorders>
            <w:noWrap w:val="0"/>
            <w:tcMar>
              <w:left w:w="0" w:type="dxa"/>
              <w:right w:w="0" w:type="dxa"/>
            </w:tcMar>
            <w:vAlign w:val="center"/>
          </w:tcPr>
          <w:p w14:paraId="1334A8C7">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869" w:type="dxa"/>
            <w:tcBorders>
              <w:left w:val="single" w:color="auto" w:sz="4" w:space="0"/>
              <w:right w:val="single" w:color="auto" w:sz="4" w:space="0"/>
            </w:tcBorders>
            <w:noWrap w:val="0"/>
            <w:vAlign w:val="center"/>
          </w:tcPr>
          <w:p w14:paraId="21932BFA">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注意力</w:t>
            </w:r>
          </w:p>
        </w:tc>
        <w:tc>
          <w:tcPr>
            <w:tcW w:w="1677" w:type="dxa"/>
            <w:gridSpan w:val="2"/>
            <w:tcBorders>
              <w:left w:val="single" w:color="auto" w:sz="4" w:space="0"/>
              <w:right w:val="single" w:color="auto" w:sz="4" w:space="0"/>
            </w:tcBorders>
            <w:noWrap w:val="0"/>
            <w:vAlign w:val="center"/>
          </w:tcPr>
          <w:p w14:paraId="3A29ACE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抛物衔取（动态）</w:t>
            </w:r>
          </w:p>
        </w:tc>
        <w:tc>
          <w:tcPr>
            <w:tcW w:w="1740" w:type="dxa"/>
            <w:gridSpan w:val="2"/>
            <w:tcBorders>
              <w:left w:val="single" w:color="auto" w:sz="4" w:space="0"/>
              <w:right w:val="single" w:color="auto" w:sz="4" w:space="0"/>
            </w:tcBorders>
            <w:noWrap w:val="0"/>
            <w:vAlign w:val="center"/>
          </w:tcPr>
          <w:p w14:paraId="0CBF703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抛物衔取</w:t>
            </w:r>
          </w:p>
          <w:p w14:paraId="1CEFD13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（静态）</w:t>
            </w:r>
          </w:p>
        </w:tc>
        <w:tc>
          <w:tcPr>
            <w:tcW w:w="1678" w:type="dxa"/>
            <w:gridSpan w:val="2"/>
            <w:tcBorders>
              <w:left w:val="single" w:color="auto" w:sz="4" w:space="0"/>
              <w:right w:val="single" w:color="auto" w:sz="4" w:space="0"/>
            </w:tcBorders>
            <w:noWrap w:val="0"/>
            <w:tcMar>
              <w:left w:w="28" w:type="dxa"/>
              <w:right w:w="28" w:type="dxa"/>
            </w:tcMar>
            <w:vAlign w:val="center"/>
          </w:tcPr>
          <w:p w14:paraId="06F0C84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衔物前来</w:t>
            </w:r>
          </w:p>
        </w:tc>
        <w:tc>
          <w:tcPr>
            <w:tcW w:w="893" w:type="dxa"/>
            <w:tcBorders>
              <w:left w:val="single" w:color="auto" w:sz="4" w:space="0"/>
              <w:right w:val="single" w:color="auto" w:sz="8" w:space="0"/>
            </w:tcBorders>
            <w:noWrap w:val="0"/>
            <w:vAlign w:val="center"/>
          </w:tcPr>
          <w:p w14:paraId="35842C9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小计</w:t>
            </w:r>
          </w:p>
        </w:tc>
      </w:tr>
      <w:tr w14:paraId="1532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continue"/>
            <w:tcBorders>
              <w:left w:val="single" w:color="auto" w:sz="8" w:space="0"/>
              <w:right w:val="single" w:color="auto" w:sz="4" w:space="0"/>
            </w:tcBorders>
            <w:noWrap w:val="0"/>
            <w:vAlign w:val="center"/>
          </w:tcPr>
          <w:p w14:paraId="1D02322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69" w:type="dxa"/>
            <w:tcBorders>
              <w:left w:val="single" w:color="auto" w:sz="4" w:space="0"/>
              <w:right w:val="single" w:color="auto" w:sz="4" w:space="0"/>
            </w:tcBorders>
            <w:noWrap w:val="0"/>
            <w:tcMar>
              <w:left w:w="0" w:type="dxa"/>
              <w:right w:w="0" w:type="dxa"/>
            </w:tcMar>
            <w:vAlign w:val="center"/>
          </w:tcPr>
          <w:p w14:paraId="04CE00D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得分</w:t>
            </w:r>
          </w:p>
        </w:tc>
        <w:tc>
          <w:tcPr>
            <w:tcW w:w="869" w:type="dxa"/>
            <w:tcBorders>
              <w:left w:val="single" w:color="auto" w:sz="4" w:space="0"/>
              <w:right w:val="single" w:color="auto" w:sz="4" w:space="0"/>
            </w:tcBorders>
            <w:noWrap w:val="0"/>
            <w:vAlign w:val="center"/>
          </w:tcPr>
          <w:p w14:paraId="4449882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677" w:type="dxa"/>
            <w:gridSpan w:val="2"/>
            <w:tcBorders>
              <w:left w:val="single" w:color="auto" w:sz="4" w:space="0"/>
              <w:right w:val="single" w:color="auto" w:sz="4" w:space="0"/>
            </w:tcBorders>
            <w:noWrap w:val="0"/>
            <w:vAlign w:val="center"/>
          </w:tcPr>
          <w:p w14:paraId="4400735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40" w:type="dxa"/>
            <w:gridSpan w:val="2"/>
            <w:tcBorders>
              <w:left w:val="single" w:color="auto" w:sz="4" w:space="0"/>
              <w:right w:val="single" w:color="auto" w:sz="4" w:space="0"/>
            </w:tcBorders>
            <w:noWrap w:val="0"/>
            <w:vAlign w:val="center"/>
          </w:tcPr>
          <w:p w14:paraId="110B43E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678" w:type="dxa"/>
            <w:gridSpan w:val="2"/>
            <w:tcBorders>
              <w:left w:val="single" w:color="auto" w:sz="4" w:space="0"/>
              <w:right w:val="single" w:color="auto" w:sz="4" w:space="0"/>
            </w:tcBorders>
            <w:noWrap w:val="0"/>
            <w:vAlign w:val="center"/>
          </w:tcPr>
          <w:p w14:paraId="13D748E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93" w:type="dxa"/>
            <w:tcBorders>
              <w:left w:val="single" w:color="auto" w:sz="4" w:space="0"/>
              <w:right w:val="single" w:color="auto" w:sz="8" w:space="0"/>
            </w:tcBorders>
            <w:noWrap w:val="0"/>
            <w:vAlign w:val="center"/>
          </w:tcPr>
          <w:p w14:paraId="073CF65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r>
      <w:tr w14:paraId="3C26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006" w:type="dxa"/>
            <w:vMerge w:val="restart"/>
            <w:tcBorders>
              <w:left w:val="single" w:color="auto" w:sz="8" w:space="0"/>
              <w:right w:val="single" w:color="auto" w:sz="4" w:space="0"/>
            </w:tcBorders>
            <w:noWrap w:val="0"/>
            <w:vAlign w:val="center"/>
          </w:tcPr>
          <w:p w14:paraId="72626A1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胆　量</w:t>
            </w:r>
          </w:p>
        </w:tc>
        <w:tc>
          <w:tcPr>
            <w:tcW w:w="869" w:type="dxa"/>
            <w:tcBorders>
              <w:left w:val="single" w:color="auto" w:sz="4" w:space="0"/>
              <w:right w:val="single" w:color="auto" w:sz="4" w:space="0"/>
            </w:tcBorders>
            <w:noWrap w:val="0"/>
            <w:tcMar>
              <w:left w:w="0" w:type="dxa"/>
              <w:right w:w="0" w:type="dxa"/>
            </w:tcMar>
            <w:vAlign w:val="center"/>
          </w:tcPr>
          <w:p w14:paraId="426069F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869" w:type="dxa"/>
            <w:tcBorders>
              <w:left w:val="single" w:color="auto" w:sz="4" w:space="0"/>
              <w:right w:val="single" w:color="auto" w:sz="4" w:space="0"/>
            </w:tcBorders>
            <w:noWrap w:val="0"/>
            <w:tcMar>
              <w:left w:w="0" w:type="dxa"/>
              <w:right w:w="0" w:type="dxa"/>
            </w:tcMar>
            <w:vAlign w:val="center"/>
          </w:tcPr>
          <w:p w14:paraId="440ECA2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穿梭</w:t>
            </w:r>
          </w:p>
          <w:p w14:paraId="30A056A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人群</w:t>
            </w:r>
          </w:p>
        </w:tc>
        <w:tc>
          <w:tcPr>
            <w:tcW w:w="1677" w:type="dxa"/>
            <w:gridSpan w:val="2"/>
            <w:tcBorders>
              <w:left w:val="single" w:color="auto" w:sz="4" w:space="0"/>
              <w:right w:val="single" w:color="auto" w:sz="4" w:space="0"/>
            </w:tcBorders>
            <w:noWrap w:val="0"/>
            <w:vAlign w:val="center"/>
          </w:tcPr>
          <w:p w14:paraId="49A155C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陌生人牵引、</w:t>
            </w:r>
          </w:p>
          <w:p w14:paraId="5E1C4A0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抚摸</w:t>
            </w:r>
          </w:p>
        </w:tc>
        <w:tc>
          <w:tcPr>
            <w:tcW w:w="1740" w:type="dxa"/>
            <w:gridSpan w:val="2"/>
            <w:tcBorders>
              <w:left w:val="single" w:color="auto" w:sz="4" w:space="0"/>
              <w:right w:val="single" w:color="auto" w:sz="4" w:space="0"/>
            </w:tcBorders>
            <w:noWrap w:val="0"/>
            <w:vAlign w:val="center"/>
          </w:tcPr>
          <w:p w14:paraId="67BD957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声响刺激</w:t>
            </w:r>
          </w:p>
        </w:tc>
        <w:tc>
          <w:tcPr>
            <w:tcW w:w="1678" w:type="dxa"/>
            <w:gridSpan w:val="2"/>
            <w:tcBorders>
              <w:left w:val="single" w:color="auto" w:sz="4" w:space="0"/>
              <w:right w:val="single" w:color="auto" w:sz="4" w:space="0"/>
            </w:tcBorders>
            <w:noWrap w:val="0"/>
            <w:vAlign w:val="center"/>
          </w:tcPr>
          <w:p w14:paraId="10FB830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适应车辆行人</w:t>
            </w:r>
          </w:p>
        </w:tc>
        <w:tc>
          <w:tcPr>
            <w:tcW w:w="893" w:type="dxa"/>
            <w:tcBorders>
              <w:left w:val="single" w:color="auto" w:sz="4" w:space="0"/>
              <w:right w:val="single" w:color="auto" w:sz="8" w:space="0"/>
            </w:tcBorders>
            <w:noWrap w:val="0"/>
            <w:vAlign w:val="center"/>
          </w:tcPr>
          <w:p w14:paraId="5135DA1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小计</w:t>
            </w:r>
          </w:p>
        </w:tc>
      </w:tr>
      <w:tr w14:paraId="5D74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continue"/>
            <w:tcBorders>
              <w:left w:val="single" w:color="auto" w:sz="8" w:space="0"/>
              <w:bottom w:val="single" w:color="auto" w:sz="4" w:space="0"/>
              <w:right w:val="single" w:color="auto" w:sz="4" w:space="0"/>
            </w:tcBorders>
            <w:noWrap w:val="0"/>
            <w:vAlign w:val="center"/>
          </w:tcPr>
          <w:p w14:paraId="2C78AC9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69" w:type="dxa"/>
            <w:tcBorders>
              <w:left w:val="single" w:color="auto" w:sz="4" w:space="0"/>
              <w:bottom w:val="single" w:color="auto" w:sz="4" w:space="0"/>
              <w:right w:val="single" w:color="auto" w:sz="4" w:space="0"/>
            </w:tcBorders>
            <w:noWrap w:val="0"/>
            <w:tcMar>
              <w:left w:w="0" w:type="dxa"/>
              <w:right w:w="0" w:type="dxa"/>
            </w:tcMar>
            <w:vAlign w:val="center"/>
          </w:tcPr>
          <w:p w14:paraId="7D5F0B8B">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得分</w:t>
            </w:r>
          </w:p>
        </w:tc>
        <w:tc>
          <w:tcPr>
            <w:tcW w:w="869" w:type="dxa"/>
            <w:tcBorders>
              <w:left w:val="single" w:color="auto" w:sz="4" w:space="0"/>
              <w:bottom w:val="single" w:color="auto" w:sz="4" w:space="0"/>
              <w:right w:val="single" w:color="auto" w:sz="4" w:space="0"/>
            </w:tcBorders>
            <w:noWrap w:val="0"/>
            <w:vAlign w:val="center"/>
          </w:tcPr>
          <w:p w14:paraId="71671E5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677" w:type="dxa"/>
            <w:gridSpan w:val="2"/>
            <w:tcBorders>
              <w:left w:val="single" w:color="auto" w:sz="4" w:space="0"/>
              <w:bottom w:val="single" w:color="auto" w:sz="4" w:space="0"/>
              <w:right w:val="single" w:color="auto" w:sz="4" w:space="0"/>
            </w:tcBorders>
            <w:noWrap w:val="0"/>
            <w:vAlign w:val="center"/>
          </w:tcPr>
          <w:p w14:paraId="00D2F78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40" w:type="dxa"/>
            <w:gridSpan w:val="2"/>
            <w:tcBorders>
              <w:left w:val="single" w:color="auto" w:sz="4" w:space="0"/>
              <w:bottom w:val="single" w:color="auto" w:sz="4" w:space="0"/>
              <w:right w:val="single" w:color="auto" w:sz="4" w:space="0"/>
            </w:tcBorders>
            <w:noWrap w:val="0"/>
            <w:vAlign w:val="center"/>
          </w:tcPr>
          <w:p w14:paraId="5183CEE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678" w:type="dxa"/>
            <w:gridSpan w:val="2"/>
            <w:tcBorders>
              <w:left w:val="single" w:color="auto" w:sz="4" w:space="0"/>
              <w:bottom w:val="single" w:color="auto" w:sz="4" w:space="0"/>
              <w:right w:val="single" w:color="auto" w:sz="4" w:space="0"/>
            </w:tcBorders>
            <w:noWrap w:val="0"/>
            <w:vAlign w:val="center"/>
          </w:tcPr>
          <w:p w14:paraId="2B33289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93" w:type="dxa"/>
            <w:tcBorders>
              <w:left w:val="single" w:color="auto" w:sz="4" w:space="0"/>
              <w:bottom w:val="single" w:color="auto" w:sz="4" w:space="0"/>
              <w:right w:val="single" w:color="auto" w:sz="8" w:space="0"/>
            </w:tcBorders>
            <w:noWrap w:val="0"/>
            <w:vAlign w:val="center"/>
          </w:tcPr>
          <w:p w14:paraId="3EE9018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r>
      <w:tr w14:paraId="205B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restart"/>
            <w:tcBorders>
              <w:left w:val="single" w:color="auto" w:sz="8" w:space="0"/>
              <w:right w:val="single" w:color="auto" w:sz="4" w:space="0"/>
            </w:tcBorders>
            <w:noWrap w:val="0"/>
            <w:vAlign w:val="center"/>
          </w:tcPr>
          <w:p w14:paraId="26A84AA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占有欲</w:t>
            </w:r>
          </w:p>
        </w:tc>
        <w:tc>
          <w:tcPr>
            <w:tcW w:w="869" w:type="dxa"/>
            <w:tcBorders>
              <w:left w:val="single" w:color="auto" w:sz="4" w:space="0"/>
              <w:bottom w:val="single" w:color="auto" w:sz="4" w:space="0"/>
              <w:right w:val="single" w:color="auto" w:sz="4" w:space="0"/>
            </w:tcBorders>
            <w:noWrap w:val="0"/>
            <w:tcMar>
              <w:left w:w="0" w:type="dxa"/>
              <w:right w:w="0" w:type="dxa"/>
            </w:tcMar>
            <w:vAlign w:val="center"/>
          </w:tcPr>
          <w:p w14:paraId="6EBFD53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2546" w:type="dxa"/>
            <w:gridSpan w:val="3"/>
            <w:tcBorders>
              <w:left w:val="single" w:color="auto" w:sz="4" w:space="0"/>
              <w:bottom w:val="single" w:color="auto" w:sz="4" w:space="0"/>
              <w:right w:val="single" w:color="auto" w:sz="4" w:space="0"/>
            </w:tcBorders>
            <w:noWrap w:val="0"/>
            <w:vAlign w:val="center"/>
          </w:tcPr>
          <w:p w14:paraId="20B0AE2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与主人进行拔河游戏</w:t>
            </w:r>
          </w:p>
        </w:tc>
        <w:tc>
          <w:tcPr>
            <w:tcW w:w="3418" w:type="dxa"/>
            <w:gridSpan w:val="4"/>
            <w:tcBorders>
              <w:left w:val="single" w:color="auto" w:sz="4" w:space="0"/>
              <w:bottom w:val="single" w:color="auto" w:sz="4" w:space="0"/>
              <w:right w:val="single" w:color="auto" w:sz="4" w:space="0"/>
            </w:tcBorders>
            <w:noWrap w:val="0"/>
            <w:vAlign w:val="center"/>
          </w:tcPr>
          <w:p w14:paraId="46DB66D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与陌生人进行拔河游戏</w:t>
            </w:r>
          </w:p>
        </w:tc>
        <w:tc>
          <w:tcPr>
            <w:tcW w:w="893" w:type="dxa"/>
            <w:tcBorders>
              <w:left w:val="single" w:color="auto" w:sz="4" w:space="0"/>
              <w:bottom w:val="single" w:color="auto" w:sz="4" w:space="0"/>
              <w:right w:val="single" w:color="auto" w:sz="8" w:space="0"/>
            </w:tcBorders>
            <w:noWrap w:val="0"/>
            <w:vAlign w:val="center"/>
          </w:tcPr>
          <w:p w14:paraId="733BDDC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小计</w:t>
            </w:r>
          </w:p>
        </w:tc>
      </w:tr>
      <w:tr w14:paraId="0542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continue"/>
            <w:tcBorders>
              <w:left w:val="single" w:color="auto" w:sz="8" w:space="0"/>
              <w:right w:val="single" w:color="auto" w:sz="4" w:space="0"/>
            </w:tcBorders>
            <w:noWrap w:val="0"/>
            <w:vAlign w:val="center"/>
          </w:tcPr>
          <w:p w14:paraId="466B43B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69" w:type="dxa"/>
            <w:tcBorders>
              <w:left w:val="single" w:color="auto" w:sz="4" w:space="0"/>
              <w:bottom w:val="single" w:color="auto" w:sz="4" w:space="0"/>
              <w:right w:val="single" w:color="auto" w:sz="4" w:space="0"/>
            </w:tcBorders>
            <w:noWrap w:val="0"/>
            <w:tcMar>
              <w:left w:w="0" w:type="dxa"/>
              <w:right w:w="0" w:type="dxa"/>
            </w:tcMar>
            <w:vAlign w:val="center"/>
          </w:tcPr>
          <w:p w14:paraId="2EDC154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得分</w:t>
            </w:r>
          </w:p>
        </w:tc>
        <w:tc>
          <w:tcPr>
            <w:tcW w:w="2546" w:type="dxa"/>
            <w:gridSpan w:val="3"/>
            <w:tcBorders>
              <w:left w:val="single" w:color="auto" w:sz="4" w:space="0"/>
              <w:bottom w:val="single" w:color="auto" w:sz="4" w:space="0"/>
              <w:right w:val="single" w:color="auto" w:sz="4" w:space="0"/>
            </w:tcBorders>
            <w:noWrap w:val="0"/>
            <w:vAlign w:val="center"/>
          </w:tcPr>
          <w:p w14:paraId="6AE40840">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418" w:type="dxa"/>
            <w:gridSpan w:val="4"/>
            <w:tcBorders>
              <w:left w:val="single" w:color="auto" w:sz="4" w:space="0"/>
              <w:bottom w:val="single" w:color="auto" w:sz="4" w:space="0"/>
              <w:right w:val="single" w:color="auto" w:sz="4" w:space="0"/>
            </w:tcBorders>
            <w:noWrap w:val="0"/>
            <w:vAlign w:val="center"/>
          </w:tcPr>
          <w:p w14:paraId="60BB8FBF">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93" w:type="dxa"/>
            <w:tcBorders>
              <w:left w:val="single" w:color="auto" w:sz="4" w:space="0"/>
              <w:bottom w:val="single" w:color="auto" w:sz="4" w:space="0"/>
              <w:right w:val="single" w:color="auto" w:sz="8" w:space="0"/>
            </w:tcBorders>
            <w:noWrap w:val="0"/>
            <w:vAlign w:val="center"/>
          </w:tcPr>
          <w:p w14:paraId="14EA695C">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r>
      <w:tr w14:paraId="1A6D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restart"/>
            <w:tcBorders>
              <w:left w:val="single" w:color="auto" w:sz="8" w:space="0"/>
              <w:right w:val="single" w:color="auto" w:sz="4" w:space="0"/>
            </w:tcBorders>
            <w:noWrap w:val="0"/>
            <w:vAlign w:val="center"/>
          </w:tcPr>
          <w:p w14:paraId="08D92C7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搜索欲</w:t>
            </w:r>
          </w:p>
        </w:tc>
        <w:tc>
          <w:tcPr>
            <w:tcW w:w="869" w:type="dxa"/>
            <w:tcBorders>
              <w:left w:val="single" w:color="auto" w:sz="4" w:space="0"/>
              <w:bottom w:val="single" w:color="auto" w:sz="4" w:space="0"/>
              <w:right w:val="single" w:color="auto" w:sz="4" w:space="0"/>
            </w:tcBorders>
            <w:noWrap w:val="0"/>
            <w:tcMar>
              <w:left w:w="0" w:type="dxa"/>
              <w:right w:w="0" w:type="dxa"/>
            </w:tcMar>
            <w:vAlign w:val="center"/>
          </w:tcPr>
          <w:p w14:paraId="06A30AC4">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w:t>
            </w:r>
          </w:p>
        </w:tc>
        <w:tc>
          <w:tcPr>
            <w:tcW w:w="2546" w:type="dxa"/>
            <w:gridSpan w:val="3"/>
            <w:tcBorders>
              <w:left w:val="single" w:color="auto" w:sz="4" w:space="0"/>
              <w:bottom w:val="single" w:color="auto" w:sz="4" w:space="0"/>
              <w:right w:val="single" w:color="auto" w:sz="4" w:space="0"/>
            </w:tcBorders>
            <w:noWrap w:val="0"/>
            <w:vAlign w:val="center"/>
          </w:tcPr>
          <w:p w14:paraId="041A475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搜索欲望</w:t>
            </w:r>
          </w:p>
        </w:tc>
        <w:tc>
          <w:tcPr>
            <w:tcW w:w="3418" w:type="dxa"/>
            <w:gridSpan w:val="4"/>
            <w:tcBorders>
              <w:left w:val="single" w:color="auto" w:sz="4" w:space="0"/>
              <w:bottom w:val="single" w:color="auto" w:sz="4" w:space="0"/>
              <w:right w:val="single" w:color="auto" w:sz="4" w:space="0"/>
            </w:tcBorders>
            <w:noWrap w:val="0"/>
            <w:vAlign w:val="center"/>
          </w:tcPr>
          <w:p w14:paraId="482733B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搜索能力</w:t>
            </w:r>
          </w:p>
        </w:tc>
        <w:tc>
          <w:tcPr>
            <w:tcW w:w="893" w:type="dxa"/>
            <w:tcBorders>
              <w:left w:val="single" w:color="auto" w:sz="4" w:space="0"/>
              <w:bottom w:val="single" w:color="auto" w:sz="4" w:space="0"/>
              <w:right w:val="single" w:color="auto" w:sz="8" w:space="0"/>
            </w:tcBorders>
            <w:noWrap w:val="0"/>
            <w:vAlign w:val="center"/>
          </w:tcPr>
          <w:p w14:paraId="72EB9ECA">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小计</w:t>
            </w:r>
          </w:p>
        </w:tc>
      </w:tr>
      <w:tr w14:paraId="67CF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vMerge w:val="continue"/>
            <w:tcBorders>
              <w:left w:val="single" w:color="auto" w:sz="8" w:space="0"/>
              <w:bottom w:val="single" w:color="auto" w:sz="4" w:space="0"/>
              <w:right w:val="single" w:color="auto" w:sz="4" w:space="0"/>
            </w:tcBorders>
            <w:noWrap w:val="0"/>
            <w:vAlign w:val="center"/>
          </w:tcPr>
          <w:p w14:paraId="059051F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69" w:type="dxa"/>
            <w:tcBorders>
              <w:left w:val="single" w:color="auto" w:sz="4" w:space="0"/>
              <w:bottom w:val="single" w:color="auto" w:sz="4" w:space="0"/>
              <w:right w:val="single" w:color="auto" w:sz="4" w:space="0"/>
            </w:tcBorders>
            <w:noWrap w:val="0"/>
            <w:tcMar>
              <w:left w:w="0" w:type="dxa"/>
              <w:right w:w="0" w:type="dxa"/>
            </w:tcMar>
            <w:vAlign w:val="center"/>
          </w:tcPr>
          <w:p w14:paraId="385A84C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得分</w:t>
            </w:r>
          </w:p>
        </w:tc>
        <w:tc>
          <w:tcPr>
            <w:tcW w:w="2546" w:type="dxa"/>
            <w:gridSpan w:val="3"/>
            <w:tcBorders>
              <w:left w:val="single" w:color="auto" w:sz="4" w:space="0"/>
              <w:bottom w:val="single" w:color="auto" w:sz="4" w:space="0"/>
              <w:right w:val="single" w:color="auto" w:sz="4" w:space="0"/>
            </w:tcBorders>
            <w:noWrap w:val="0"/>
            <w:vAlign w:val="center"/>
          </w:tcPr>
          <w:p w14:paraId="0EA6924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418" w:type="dxa"/>
            <w:gridSpan w:val="4"/>
            <w:tcBorders>
              <w:left w:val="single" w:color="auto" w:sz="4" w:space="0"/>
              <w:bottom w:val="single" w:color="auto" w:sz="4" w:space="0"/>
              <w:right w:val="single" w:color="auto" w:sz="4" w:space="0"/>
            </w:tcBorders>
            <w:noWrap w:val="0"/>
            <w:vAlign w:val="center"/>
          </w:tcPr>
          <w:p w14:paraId="54EC5976">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893" w:type="dxa"/>
            <w:tcBorders>
              <w:left w:val="single" w:color="auto" w:sz="4" w:space="0"/>
              <w:bottom w:val="single" w:color="auto" w:sz="4" w:space="0"/>
              <w:right w:val="single" w:color="auto" w:sz="8" w:space="0"/>
            </w:tcBorders>
            <w:noWrap w:val="0"/>
            <w:vAlign w:val="center"/>
          </w:tcPr>
          <w:p w14:paraId="7806122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r>
      <w:tr w14:paraId="5EFF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tcBorders>
              <w:top w:val="single" w:color="auto" w:sz="4" w:space="0"/>
              <w:left w:val="single" w:color="auto" w:sz="8" w:space="0"/>
              <w:bottom w:val="single" w:color="auto" w:sz="4" w:space="0"/>
              <w:right w:val="single" w:color="auto" w:sz="4" w:space="0"/>
            </w:tcBorders>
            <w:noWrap w:val="0"/>
            <w:vAlign w:val="center"/>
          </w:tcPr>
          <w:p w14:paraId="0C8C1713">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总分</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63745F2">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建议训练方向</w:t>
            </w:r>
          </w:p>
        </w:tc>
        <w:tc>
          <w:tcPr>
            <w:tcW w:w="2547" w:type="dxa"/>
            <w:gridSpan w:val="3"/>
            <w:tcBorders>
              <w:top w:val="single" w:color="auto" w:sz="4" w:space="0"/>
              <w:left w:val="single" w:color="auto" w:sz="4" w:space="0"/>
              <w:bottom w:val="single" w:color="auto" w:sz="4" w:space="0"/>
              <w:right w:val="single" w:color="auto" w:sz="4" w:space="0"/>
            </w:tcBorders>
            <w:noWrap w:val="0"/>
            <w:vAlign w:val="center"/>
          </w:tcPr>
          <w:p w14:paraId="28CEC3C9">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考核验收结果</w:t>
            </w:r>
          </w:p>
        </w:tc>
        <w:tc>
          <w:tcPr>
            <w:tcW w:w="3441" w:type="dxa"/>
            <w:gridSpan w:val="4"/>
            <w:vMerge w:val="restart"/>
            <w:tcBorders>
              <w:top w:val="single" w:color="auto" w:sz="4" w:space="0"/>
              <w:left w:val="single" w:color="auto" w:sz="4" w:space="0"/>
              <w:bottom w:val="single" w:color="auto" w:sz="8" w:space="0"/>
              <w:right w:val="single" w:color="auto" w:sz="8" w:space="0"/>
            </w:tcBorders>
            <w:noWrap w:val="0"/>
            <w:vAlign w:val="center"/>
          </w:tcPr>
          <w:p w14:paraId="59B810B2">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考核人签字：</w:t>
            </w:r>
          </w:p>
        </w:tc>
      </w:tr>
      <w:tr w14:paraId="2175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06" w:type="dxa"/>
            <w:tcBorders>
              <w:top w:val="single" w:color="auto" w:sz="4" w:space="0"/>
              <w:left w:val="single" w:color="auto" w:sz="8" w:space="0"/>
              <w:bottom w:val="single" w:color="auto" w:sz="8" w:space="0"/>
              <w:right w:val="single" w:color="auto" w:sz="4" w:space="0"/>
            </w:tcBorders>
            <w:noWrap w:val="0"/>
            <w:vAlign w:val="center"/>
          </w:tcPr>
          <w:p w14:paraId="6AD52801">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1738" w:type="dxa"/>
            <w:gridSpan w:val="2"/>
            <w:tcBorders>
              <w:top w:val="single" w:color="auto" w:sz="4" w:space="0"/>
              <w:left w:val="single" w:color="auto" w:sz="4" w:space="0"/>
              <w:bottom w:val="single" w:color="auto" w:sz="8" w:space="0"/>
              <w:right w:val="single" w:color="auto" w:sz="4" w:space="0"/>
            </w:tcBorders>
            <w:noWrap w:val="0"/>
            <w:vAlign w:val="center"/>
          </w:tcPr>
          <w:p w14:paraId="2E6C725E">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2547" w:type="dxa"/>
            <w:gridSpan w:val="3"/>
            <w:tcBorders>
              <w:top w:val="single" w:color="auto" w:sz="4" w:space="0"/>
              <w:left w:val="single" w:color="auto" w:sz="4" w:space="0"/>
              <w:bottom w:val="single" w:color="auto" w:sz="8" w:space="0"/>
              <w:right w:val="single" w:color="auto" w:sz="4" w:space="0"/>
            </w:tcBorders>
            <w:noWrap w:val="0"/>
            <w:vAlign w:val="center"/>
          </w:tcPr>
          <w:p w14:paraId="74F20E5D">
            <w:pPr>
              <w:keepNext w:val="0"/>
              <w:keepLines w:val="0"/>
              <w:pageBreakBefore w:val="0"/>
              <w:numPr>
                <w:ilvl w:val="-1"/>
                <w:numId w:val="0"/>
              </w:numPr>
              <w:overflowPunct/>
              <w:topLinePunct w:val="0"/>
              <w:bidi w:val="0"/>
              <w:adjustRightInd/>
              <w:spacing w:line="0" w:lineRule="atLeast"/>
              <w:ind w:firstLine="0"/>
              <w:jc w:val="center"/>
              <w:textAlignment w:val="auto"/>
              <w:rPr>
                <w:rFonts w:hint="eastAsia" w:ascii="仿宋" w:hAnsi="仿宋" w:eastAsia="仿宋" w:cs="仿宋"/>
                <w:color w:val="auto"/>
                <w:kern w:val="2"/>
                <w:sz w:val="24"/>
                <w:szCs w:val="24"/>
                <w:highlight w:val="none"/>
              </w:rPr>
            </w:pPr>
          </w:p>
        </w:tc>
        <w:tc>
          <w:tcPr>
            <w:tcW w:w="3441" w:type="dxa"/>
            <w:gridSpan w:val="4"/>
            <w:vMerge w:val="continue"/>
            <w:tcBorders>
              <w:top w:val="single" w:color="auto" w:sz="8" w:space="0"/>
              <w:left w:val="single" w:color="auto" w:sz="4" w:space="0"/>
              <w:bottom w:val="single" w:color="auto" w:sz="8" w:space="0"/>
              <w:right w:val="single" w:color="auto" w:sz="8" w:space="0"/>
            </w:tcBorders>
            <w:noWrap w:val="0"/>
            <w:vAlign w:val="center"/>
          </w:tcPr>
          <w:p w14:paraId="72D8D3AA">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p>
        </w:tc>
      </w:tr>
    </w:tbl>
    <w:p w14:paraId="2690D2A7">
      <w:pPr>
        <w:keepNext w:val="0"/>
        <w:keepLines w:val="0"/>
        <w:pageBreakBefore w:val="0"/>
        <w:numPr>
          <w:ilvl w:val="-1"/>
          <w:numId w:val="0"/>
        </w:numPr>
        <w:overflowPunct/>
        <w:topLinePunct w:val="0"/>
        <w:bidi w:val="0"/>
        <w:adjustRightInd/>
        <w:spacing w:line="0" w:lineRule="atLeast"/>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注：总分为100分。德国牧羊犬、马里努阿犬、昆明犬的发育状况、体能测试、服从性、衔取欲、胆量五部分考核分值各为20分。史宾格犬考核分值为：衔取欲、胆量各20分，发育状况、体能测试、服从性、占有欲或搜索欲各15分。考核验收结果判定标准为：考核总分59分以下为不合格，60—79分为基本合格，80分以上为合格。</w:t>
      </w:r>
    </w:p>
    <w:p w14:paraId="10CB37EF">
      <w:pPr>
        <w:pStyle w:val="3"/>
        <w:keepNext w:val="0"/>
        <w:keepLines w:val="0"/>
        <w:pageBreakBefore w:val="0"/>
        <w:pBdr>
          <w:bottom w:val="single" w:color="622423" w:sz="4" w:space="0"/>
        </w:pBdr>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十、履约保证金</w:t>
      </w:r>
      <w:bookmarkEnd w:id="137"/>
      <w:bookmarkEnd w:id="138"/>
      <w:bookmarkEnd w:id="139"/>
      <w:bookmarkEnd w:id="140"/>
      <w:bookmarkEnd w:id="141"/>
      <w:bookmarkEnd w:id="142"/>
    </w:p>
    <w:p w14:paraId="1FA5AB08">
      <w:pPr>
        <w:keepNext w:val="0"/>
        <w:keepLines w:val="0"/>
        <w:pageBreakBefore w:val="0"/>
        <w:wordWrap w:val="0"/>
        <w:overflowPunct/>
        <w:topLinePunct w:val="0"/>
        <w:autoSpaceDE w:val="0"/>
        <w:autoSpaceDN w:val="0"/>
        <w:bidi w:val="0"/>
        <w:adjustRightInd w:val="0"/>
        <w:snapToGrid w:val="0"/>
        <w:spacing w:line="0" w:lineRule="atLeas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rPr>
        <w:t>成交通知书下达后7个日历日内，乙方向甲方提供成交价格3%的，见索即付、不可撤销的独立履约保函（期限90个日历日），</w:t>
      </w:r>
      <w:r>
        <w:rPr>
          <w:rFonts w:hint="eastAsia" w:ascii="仿宋" w:hAnsi="仿宋" w:eastAsia="仿宋" w:cs="仿宋"/>
          <w:color w:val="auto"/>
          <w:sz w:val="24"/>
          <w:szCs w:val="24"/>
          <w:highlight w:val="none"/>
          <w:lang w:eastAsia="zh-CN"/>
        </w:rPr>
        <w:t>履约保函为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元，大写：</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元。履约保函缴纳后，后期如乙方无故不履行合同，</w:t>
      </w:r>
      <w:r>
        <w:rPr>
          <w:rFonts w:hint="eastAsia" w:ascii="仿宋" w:hAnsi="仿宋" w:eastAsia="仿宋" w:cs="仿宋"/>
          <w:color w:val="auto"/>
          <w:sz w:val="24"/>
          <w:szCs w:val="24"/>
          <w:highlight w:val="none"/>
          <w:lang w:val="en-US" w:eastAsia="zh-CN"/>
        </w:rPr>
        <w:t>甲方有权索兑保函</w:t>
      </w:r>
      <w:r>
        <w:rPr>
          <w:rFonts w:hint="eastAsia" w:ascii="仿宋" w:hAnsi="仿宋" w:eastAsia="仿宋" w:cs="仿宋"/>
          <w:color w:val="auto"/>
          <w:sz w:val="24"/>
          <w:szCs w:val="24"/>
          <w:highlight w:val="none"/>
          <w:lang w:eastAsia="zh-CN"/>
        </w:rPr>
        <w:t>。</w:t>
      </w:r>
    </w:p>
    <w:p w14:paraId="75B28196">
      <w:pPr>
        <w:pStyle w:val="21"/>
        <w:keepNext w:val="0"/>
        <w:keepLines w:val="0"/>
        <w:pageBreakBefore w:val="0"/>
        <w:wordWrap/>
        <w:overflowPunct/>
        <w:topLinePunct w:val="0"/>
        <w:autoSpaceDE w:val="0"/>
        <w:autoSpaceDN w:val="0"/>
        <w:bidi w:val="0"/>
        <w:snapToGrid w:val="0"/>
        <w:spacing w:line="0" w:lineRule="atLeast"/>
        <w:jc w:val="center"/>
        <w:outlineLvl w:val="1"/>
        <w:rPr>
          <w:rFonts w:hint="eastAsia" w:ascii="仿宋" w:hAnsi="仿宋" w:eastAsia="仿宋" w:cs="仿宋"/>
          <w:b/>
          <w:bCs/>
          <w:color w:val="auto"/>
          <w:kern w:val="2"/>
          <w:sz w:val="24"/>
          <w:szCs w:val="24"/>
          <w:highlight w:val="none"/>
          <w:lang w:val="en-US" w:eastAsia="zh-CN"/>
        </w:rPr>
      </w:pPr>
      <w:bookmarkStart w:id="143" w:name="_Toc29119"/>
    </w:p>
    <w:p w14:paraId="6355183D">
      <w:pPr>
        <w:pStyle w:val="21"/>
        <w:keepNext w:val="0"/>
        <w:keepLines w:val="0"/>
        <w:pageBreakBefore w:val="0"/>
        <w:wordWrap/>
        <w:overflowPunct/>
        <w:topLinePunct w:val="0"/>
        <w:autoSpaceDE w:val="0"/>
        <w:autoSpaceDN w:val="0"/>
        <w:bidi w:val="0"/>
        <w:snapToGrid w:val="0"/>
        <w:spacing w:line="0" w:lineRule="atLeast"/>
        <w:jc w:val="left"/>
        <w:outlineLvl w:val="1"/>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kern w:val="2"/>
          <w:sz w:val="24"/>
          <w:szCs w:val="24"/>
          <w:highlight w:val="none"/>
          <w:u w:val="single"/>
          <w:lang w:val="en-US" w:eastAsia="zh-CN"/>
        </w:rPr>
        <w:t xml:space="preserve">                     十一</w:t>
      </w:r>
      <w:r>
        <w:rPr>
          <w:rFonts w:hint="eastAsia" w:ascii="仿宋" w:hAnsi="仿宋" w:eastAsia="仿宋" w:cs="仿宋"/>
          <w:b/>
          <w:bCs/>
          <w:color w:val="auto"/>
          <w:kern w:val="2"/>
          <w:sz w:val="24"/>
          <w:szCs w:val="24"/>
          <w:highlight w:val="none"/>
          <w:u w:val="single"/>
        </w:rPr>
        <w:t>、</w:t>
      </w:r>
      <w:r>
        <w:rPr>
          <w:rFonts w:hint="eastAsia" w:ascii="仿宋" w:hAnsi="仿宋" w:eastAsia="仿宋" w:cs="仿宋"/>
          <w:b/>
          <w:bCs/>
          <w:color w:val="auto"/>
          <w:kern w:val="2"/>
          <w:sz w:val="24"/>
          <w:szCs w:val="24"/>
          <w:highlight w:val="none"/>
          <w:u w:val="single"/>
          <w:lang w:val="en-US" w:eastAsia="zh-CN"/>
        </w:rPr>
        <w:t>履约</w:t>
      </w:r>
      <w:r>
        <w:rPr>
          <w:rFonts w:hint="eastAsia" w:ascii="仿宋" w:hAnsi="仿宋" w:eastAsia="仿宋" w:cs="仿宋"/>
          <w:b/>
          <w:bCs/>
          <w:color w:val="auto"/>
          <w:kern w:val="2"/>
          <w:sz w:val="24"/>
          <w:szCs w:val="24"/>
          <w:highlight w:val="none"/>
          <w:u w:val="single"/>
        </w:rPr>
        <w:t>验收方式、程序及标准</w:t>
      </w:r>
      <w:r>
        <w:rPr>
          <w:rFonts w:hint="eastAsia" w:ascii="仿宋" w:hAnsi="仿宋" w:eastAsia="仿宋" w:cs="仿宋"/>
          <w:b/>
          <w:bCs/>
          <w:color w:val="auto"/>
          <w:kern w:val="2"/>
          <w:sz w:val="24"/>
          <w:szCs w:val="24"/>
          <w:highlight w:val="none"/>
          <w:u w:val="single"/>
          <w:lang w:val="en-US" w:eastAsia="zh-CN"/>
        </w:rPr>
        <w:t xml:space="preserve">                        </w:t>
      </w:r>
    </w:p>
    <w:p w14:paraId="03F9D890">
      <w:pPr>
        <w:keepNext w:val="0"/>
        <w:keepLines w:val="0"/>
        <w:pageBreakBefore w:val="0"/>
        <w:widowControl w:val="0"/>
        <w:numPr>
          <w:ilvl w:val="0"/>
          <w:numId w:val="0"/>
        </w:numPr>
        <w:wordWrap/>
        <w:overflowPunct/>
        <w:topLinePunct w:val="0"/>
        <w:autoSpaceDE w:val="0"/>
        <w:autoSpaceDN w:val="0"/>
        <w:bidi w:val="0"/>
        <w:adjustRightInd/>
        <w:snapToGrid/>
        <w:spacing w:line="0" w:lineRule="atLeast"/>
        <w:ind w:firstLine="480" w:firstLineChars="200"/>
        <w:jc w:val="both"/>
        <w:textAlignment w:val="auto"/>
        <w:outlineLvl w:val="9"/>
        <w:rPr>
          <w:rFonts w:hint="default" w:ascii="仿宋" w:hAnsi="仿宋" w:eastAsia="仿宋" w:cs="仿宋"/>
          <w:b w:val="0"/>
          <w:bCs w:val="0"/>
          <w:snapToGrid/>
          <w:color w:val="auto"/>
          <w:kern w:val="2"/>
          <w:sz w:val="24"/>
          <w:szCs w:val="24"/>
          <w:highlight w:val="none"/>
          <w:lang w:val="en-US" w:eastAsia="zh-CN" w:bidi="ar-SA"/>
        </w:rPr>
      </w:pPr>
      <w:r>
        <w:rPr>
          <w:rFonts w:hint="eastAsia" w:ascii="仿宋" w:hAnsi="仿宋" w:eastAsia="仿宋" w:cs="仿宋"/>
          <w:b w:val="0"/>
          <w:bCs w:val="0"/>
          <w:snapToGrid/>
          <w:color w:val="auto"/>
          <w:kern w:val="2"/>
          <w:sz w:val="24"/>
          <w:szCs w:val="24"/>
          <w:highlight w:val="none"/>
          <w:lang w:val="en-US" w:eastAsia="zh-CN" w:bidi="ar-SA"/>
        </w:rPr>
        <w:t>1</w:t>
      </w:r>
      <w:r>
        <w:rPr>
          <w:rFonts w:hint="default" w:ascii="仿宋" w:hAnsi="仿宋" w:eastAsia="仿宋" w:cs="仿宋"/>
          <w:b w:val="0"/>
          <w:bCs w:val="0"/>
          <w:snapToGrid/>
          <w:color w:val="auto"/>
          <w:kern w:val="2"/>
          <w:sz w:val="24"/>
          <w:szCs w:val="24"/>
          <w:highlight w:val="none"/>
          <w:lang w:val="en-US" w:eastAsia="zh-CN" w:bidi="ar-SA"/>
        </w:rPr>
        <w:t>.履约验收方式</w:t>
      </w:r>
    </w:p>
    <w:p w14:paraId="0D2795C1">
      <w:pPr>
        <w:keepNext w:val="0"/>
        <w:keepLines w:val="0"/>
        <w:pageBreakBefore w:val="0"/>
        <w:widowControl w:val="0"/>
        <w:numPr>
          <w:ilvl w:val="0"/>
          <w:numId w:val="0"/>
        </w:numPr>
        <w:wordWrap/>
        <w:overflowPunct/>
        <w:topLinePunct w:val="0"/>
        <w:autoSpaceDE w:val="0"/>
        <w:autoSpaceDN w:val="0"/>
        <w:bidi w:val="0"/>
        <w:adjustRightInd/>
        <w:snapToGrid/>
        <w:spacing w:line="0" w:lineRule="atLeast"/>
        <w:ind w:firstLine="480" w:firstLineChars="200"/>
        <w:jc w:val="both"/>
        <w:textAlignment w:val="auto"/>
        <w:rPr>
          <w:rFonts w:hint="default" w:ascii="仿宋" w:hAnsi="仿宋" w:eastAsia="仿宋" w:cs="仿宋"/>
          <w:b w:val="0"/>
          <w:bCs w:val="0"/>
          <w:snapToGrid/>
          <w:color w:val="auto"/>
          <w:kern w:val="2"/>
          <w:sz w:val="24"/>
          <w:szCs w:val="24"/>
          <w:highlight w:val="none"/>
          <w:lang w:val="en-US" w:eastAsia="zh-CN" w:bidi="ar-SA"/>
        </w:rPr>
      </w:pPr>
      <w:r>
        <w:rPr>
          <w:rFonts w:hint="default" w:ascii="仿宋" w:hAnsi="仿宋" w:eastAsia="仿宋" w:cs="仿宋"/>
          <w:b w:val="0"/>
          <w:bCs w:val="0"/>
          <w:snapToGrid/>
          <w:color w:val="auto"/>
          <w:kern w:val="2"/>
          <w:sz w:val="24"/>
          <w:szCs w:val="24"/>
          <w:highlight w:val="none"/>
          <w:lang w:val="en-US" w:eastAsia="zh-CN" w:bidi="ar-SA"/>
        </w:rPr>
        <w:t>启用一般程序由警犬训练基地牵头组织验收，按供货批次开展验收，验收由</w:t>
      </w:r>
      <w:r>
        <w:rPr>
          <w:rFonts w:hint="eastAsia" w:ascii="仿宋" w:hAnsi="仿宋" w:eastAsia="仿宋" w:cs="仿宋"/>
          <w:b w:val="0"/>
          <w:bCs w:val="0"/>
          <w:snapToGrid/>
          <w:color w:val="auto"/>
          <w:kern w:val="2"/>
          <w:sz w:val="24"/>
          <w:szCs w:val="24"/>
          <w:highlight w:val="none"/>
          <w:lang w:val="en-US" w:eastAsia="zh-CN" w:bidi="ar-SA"/>
        </w:rPr>
        <w:t>边境管理处</w:t>
      </w:r>
      <w:r>
        <w:rPr>
          <w:rFonts w:hint="default" w:ascii="仿宋" w:hAnsi="仿宋" w:eastAsia="仿宋" w:cs="仿宋"/>
          <w:b w:val="0"/>
          <w:bCs w:val="0"/>
          <w:snapToGrid/>
          <w:color w:val="auto"/>
          <w:kern w:val="2"/>
          <w:sz w:val="24"/>
          <w:szCs w:val="24"/>
          <w:highlight w:val="none"/>
          <w:lang w:val="en-US" w:eastAsia="zh-CN" w:bidi="ar-SA"/>
        </w:rPr>
        <w:t>牵头，</w:t>
      </w:r>
      <w:r>
        <w:rPr>
          <w:rFonts w:hint="eastAsia" w:ascii="仿宋" w:hAnsi="仿宋" w:eastAsia="仿宋" w:cs="仿宋"/>
          <w:b w:val="0"/>
          <w:bCs w:val="0"/>
          <w:snapToGrid/>
          <w:color w:val="auto"/>
          <w:kern w:val="2"/>
          <w:sz w:val="24"/>
          <w:szCs w:val="24"/>
          <w:highlight w:val="none"/>
          <w:lang w:val="en-US" w:eastAsia="zh-CN" w:bidi="ar-SA"/>
        </w:rPr>
        <w:t>警犬训练基地、</w:t>
      </w:r>
      <w:r>
        <w:rPr>
          <w:rFonts w:hint="default" w:ascii="仿宋" w:hAnsi="仿宋" w:eastAsia="仿宋" w:cs="仿宋"/>
          <w:b w:val="0"/>
          <w:bCs w:val="0"/>
          <w:snapToGrid/>
          <w:color w:val="auto"/>
          <w:kern w:val="2"/>
          <w:sz w:val="24"/>
          <w:szCs w:val="24"/>
          <w:highlight w:val="none"/>
          <w:lang w:val="en-US" w:eastAsia="zh-CN" w:bidi="ar-SA"/>
        </w:rPr>
        <w:t xml:space="preserve">督察队、法制处、后勤保障处采购组组成验收小组开展验收，期间对应合同约定要求实地核查核对代训警犬数量、品种、履约过程资料等内容。                                             </w:t>
      </w:r>
    </w:p>
    <w:p w14:paraId="1A83B0A2">
      <w:pPr>
        <w:keepNext w:val="0"/>
        <w:keepLines w:val="0"/>
        <w:pageBreakBefore w:val="0"/>
        <w:widowControl w:val="0"/>
        <w:numPr>
          <w:ilvl w:val="0"/>
          <w:numId w:val="0"/>
        </w:numPr>
        <w:wordWrap/>
        <w:overflowPunct/>
        <w:topLinePunct w:val="0"/>
        <w:autoSpaceDE w:val="0"/>
        <w:autoSpaceDN w:val="0"/>
        <w:bidi w:val="0"/>
        <w:adjustRightInd/>
        <w:snapToGrid/>
        <w:spacing w:line="0" w:lineRule="atLeast"/>
        <w:ind w:firstLine="480" w:firstLineChars="200"/>
        <w:jc w:val="both"/>
        <w:textAlignment w:val="auto"/>
        <w:outlineLvl w:val="2"/>
        <w:rPr>
          <w:rFonts w:hint="default" w:ascii="仿宋" w:hAnsi="仿宋" w:eastAsia="仿宋" w:cs="仿宋"/>
          <w:b w:val="0"/>
          <w:bCs w:val="0"/>
          <w:snapToGrid/>
          <w:color w:val="auto"/>
          <w:kern w:val="2"/>
          <w:sz w:val="24"/>
          <w:szCs w:val="24"/>
          <w:highlight w:val="none"/>
          <w:lang w:val="en-US" w:eastAsia="zh-CN" w:bidi="ar-SA"/>
        </w:rPr>
      </w:pPr>
      <w:r>
        <w:rPr>
          <w:rFonts w:hint="eastAsia" w:ascii="仿宋" w:hAnsi="仿宋" w:eastAsia="仿宋" w:cs="仿宋"/>
          <w:b w:val="0"/>
          <w:bCs w:val="0"/>
          <w:snapToGrid/>
          <w:color w:val="auto"/>
          <w:kern w:val="2"/>
          <w:sz w:val="24"/>
          <w:szCs w:val="24"/>
          <w:highlight w:val="none"/>
          <w:lang w:val="en-US" w:eastAsia="zh-CN" w:bidi="ar-SA"/>
        </w:rPr>
        <w:t>2</w:t>
      </w:r>
      <w:r>
        <w:rPr>
          <w:rFonts w:hint="default" w:ascii="仿宋" w:hAnsi="仿宋" w:eastAsia="仿宋" w:cs="仿宋"/>
          <w:b w:val="0"/>
          <w:bCs w:val="0"/>
          <w:snapToGrid/>
          <w:color w:val="auto"/>
          <w:kern w:val="2"/>
          <w:sz w:val="24"/>
          <w:szCs w:val="24"/>
          <w:highlight w:val="none"/>
          <w:lang w:val="en-US" w:eastAsia="zh-CN" w:bidi="ar-SA"/>
        </w:rPr>
        <w:t xml:space="preserve">.履约验收程序                                         </w:t>
      </w:r>
    </w:p>
    <w:p w14:paraId="75BC164B">
      <w:pPr>
        <w:pStyle w:val="19"/>
        <w:keepNext w:val="0"/>
        <w:keepLines w:val="0"/>
        <w:pageBreakBefore w:val="0"/>
        <w:widowControl/>
        <w:kinsoku w:val="0"/>
        <w:wordWrap/>
        <w:overflowPunct/>
        <w:topLinePunct w:val="0"/>
        <w:autoSpaceDE w:val="0"/>
        <w:autoSpaceDN w:val="0"/>
        <w:bidi w:val="0"/>
        <w:adjustRightInd w:val="0"/>
        <w:snapToGrid w:val="0"/>
        <w:spacing w:before="38" w:line="0" w:lineRule="atLeast"/>
        <w:ind w:right="113" w:firstLine="240" w:firstLineChars="100"/>
        <w:jc w:val="both"/>
        <w:textAlignment w:val="baseline"/>
        <w:rPr>
          <w:rFonts w:hint="default" w:ascii="仿宋" w:hAnsi="仿宋" w:eastAsia="仿宋" w:cs="仿宋"/>
          <w:b w:val="0"/>
          <w:bCs w:val="0"/>
          <w:snapToGrid/>
          <w:color w:val="auto"/>
          <w:kern w:val="2"/>
          <w:sz w:val="24"/>
          <w:szCs w:val="24"/>
          <w:highlight w:val="none"/>
          <w:lang w:val="en-US" w:eastAsia="zh-CN" w:bidi="ar-SA"/>
        </w:rPr>
      </w:pPr>
      <w:r>
        <w:rPr>
          <w:rFonts w:hint="default" w:ascii="仿宋" w:hAnsi="仿宋" w:eastAsia="仿宋" w:cs="仿宋"/>
          <w:b w:val="0"/>
          <w:bCs w:val="0"/>
          <w:snapToGrid/>
          <w:color w:val="auto"/>
          <w:kern w:val="2"/>
          <w:sz w:val="24"/>
          <w:szCs w:val="24"/>
          <w:highlight w:val="none"/>
          <w:lang w:val="en-US" w:eastAsia="zh-CN" w:bidi="ar-SA"/>
        </w:rPr>
        <w:t>（1）提交验收申请。按照甲方要求完成第一批、第二批供货并度过犬只环境适应期后，乙方向甲方提出验收申请，甲方应收到验收申请后7个日历日内由</w:t>
      </w:r>
      <w:r>
        <w:rPr>
          <w:rFonts w:hint="eastAsia" w:ascii="仿宋" w:hAnsi="仿宋" w:eastAsia="仿宋" w:cs="仿宋"/>
          <w:b w:val="0"/>
          <w:bCs w:val="0"/>
          <w:snapToGrid/>
          <w:color w:val="auto"/>
          <w:kern w:val="2"/>
          <w:sz w:val="24"/>
          <w:szCs w:val="24"/>
          <w:highlight w:val="none"/>
          <w:lang w:val="en-US" w:eastAsia="zh-CN" w:bidi="ar-SA"/>
        </w:rPr>
        <w:t>边境管理处</w:t>
      </w:r>
      <w:r>
        <w:rPr>
          <w:rFonts w:hint="default" w:ascii="仿宋" w:hAnsi="仿宋" w:eastAsia="仿宋" w:cs="仿宋"/>
          <w:b w:val="0"/>
          <w:bCs w:val="0"/>
          <w:snapToGrid/>
          <w:color w:val="auto"/>
          <w:kern w:val="2"/>
          <w:sz w:val="24"/>
          <w:szCs w:val="24"/>
          <w:highlight w:val="none"/>
          <w:lang w:val="en-US" w:eastAsia="zh-CN" w:bidi="ar-SA"/>
        </w:rPr>
        <w:t>组织验收小组开展验收。</w:t>
      </w:r>
      <w:r>
        <w:rPr>
          <w:rFonts w:hint="eastAsia" w:ascii="仿宋" w:hAnsi="仿宋" w:eastAsia="仿宋" w:cs="仿宋"/>
          <w:b w:val="0"/>
          <w:bCs w:val="0"/>
          <w:snapToGrid/>
          <w:color w:val="auto"/>
          <w:kern w:val="2"/>
          <w:sz w:val="24"/>
          <w:szCs w:val="24"/>
          <w:highlight w:val="none"/>
          <w:lang w:val="en-US" w:eastAsia="zh-CN" w:bidi="ar-SA"/>
        </w:rPr>
        <w:t>（建议明确各个犬只的适应期期限，第一批、第二批供货是否指繁育犬和待训犬的供货，若否，建议明确各批次供货的具体时限）</w:t>
      </w:r>
    </w:p>
    <w:p w14:paraId="2FEF991D">
      <w:pPr>
        <w:pStyle w:val="21"/>
        <w:keepNext w:val="0"/>
        <w:keepLines w:val="0"/>
        <w:pageBreakBefore w:val="0"/>
        <w:wordWrap/>
        <w:overflowPunct/>
        <w:topLinePunct w:val="0"/>
        <w:autoSpaceDE w:val="0"/>
        <w:autoSpaceDN w:val="0"/>
        <w:bidi w:val="0"/>
        <w:snapToGrid w:val="0"/>
        <w:spacing w:line="0" w:lineRule="atLeast"/>
        <w:ind w:firstLine="240" w:firstLineChars="100"/>
        <w:jc w:val="both"/>
        <w:rPr>
          <w:rFonts w:hint="default" w:ascii="仿宋" w:hAnsi="仿宋" w:eastAsia="仿宋" w:cs="仿宋"/>
          <w:b w:val="0"/>
          <w:bCs w:val="0"/>
          <w:snapToGrid/>
          <w:color w:val="auto"/>
          <w:kern w:val="2"/>
          <w:sz w:val="24"/>
          <w:szCs w:val="24"/>
          <w:highlight w:val="none"/>
          <w:lang w:val="en-US" w:eastAsia="zh-CN" w:bidi="ar-SA"/>
        </w:rPr>
      </w:pPr>
      <w:r>
        <w:rPr>
          <w:rFonts w:hint="default" w:ascii="仿宋" w:hAnsi="仿宋" w:eastAsia="仿宋" w:cs="仿宋"/>
          <w:b w:val="0"/>
          <w:bCs w:val="0"/>
          <w:snapToGrid/>
          <w:color w:val="auto"/>
          <w:kern w:val="2"/>
          <w:sz w:val="24"/>
          <w:szCs w:val="24"/>
          <w:highlight w:val="none"/>
          <w:lang w:val="en-US" w:eastAsia="zh-CN" w:bidi="ar-SA"/>
        </w:rPr>
        <w:t>（2）提供验收所需资料。乙方需</w:t>
      </w:r>
      <w:r>
        <w:rPr>
          <w:rFonts w:hint="eastAsia" w:ascii="仿宋" w:hAnsi="仿宋" w:eastAsia="仿宋" w:cs="仿宋"/>
          <w:b w:val="0"/>
          <w:bCs w:val="0"/>
          <w:snapToGrid/>
          <w:color w:val="auto"/>
          <w:kern w:val="2"/>
          <w:sz w:val="24"/>
          <w:szCs w:val="24"/>
          <w:highlight w:val="none"/>
          <w:lang w:val="en-US" w:eastAsia="zh-CN" w:bidi="ar-SA"/>
        </w:rPr>
        <w:t>在供货时一同</w:t>
      </w:r>
      <w:r>
        <w:rPr>
          <w:rFonts w:hint="default" w:ascii="仿宋" w:hAnsi="仿宋" w:eastAsia="仿宋" w:cs="仿宋"/>
          <w:b w:val="0"/>
          <w:bCs w:val="0"/>
          <w:snapToGrid/>
          <w:color w:val="auto"/>
          <w:kern w:val="2"/>
          <w:sz w:val="24"/>
          <w:szCs w:val="24"/>
          <w:highlight w:val="none"/>
          <w:lang w:val="en-US" w:eastAsia="zh-CN" w:bidi="ar-SA"/>
        </w:rPr>
        <w:t>准备齐全的验收资料，包括但不限于动物医院（具备动物诊疗许可证资质）合格的体检报告、档案、血统证书（中国工作犬管理协会出具）、犬只身份证明芯片</w:t>
      </w:r>
      <w:r>
        <w:rPr>
          <w:rFonts w:hint="eastAsia" w:ascii="仿宋" w:hAnsi="仿宋" w:eastAsia="仿宋" w:cs="仿宋"/>
          <w:b w:val="0"/>
          <w:bCs w:val="0"/>
          <w:snapToGrid/>
          <w:color w:val="auto"/>
          <w:kern w:val="2"/>
          <w:sz w:val="24"/>
          <w:szCs w:val="24"/>
          <w:highlight w:val="none"/>
          <w:lang w:val="en-US" w:eastAsia="zh-CN" w:bidi="ar-SA"/>
        </w:rPr>
        <w:t>（</w:t>
      </w:r>
      <w:r>
        <w:rPr>
          <w:rFonts w:hint="default" w:ascii="仿宋" w:hAnsi="仿宋" w:eastAsia="仿宋" w:cs="仿宋"/>
          <w:b w:val="0"/>
          <w:bCs w:val="0"/>
          <w:snapToGrid/>
          <w:color w:val="auto"/>
          <w:kern w:val="2"/>
          <w:sz w:val="24"/>
          <w:szCs w:val="24"/>
          <w:highlight w:val="none"/>
          <w:lang w:val="en-US" w:eastAsia="zh-CN" w:bidi="ar-SA"/>
        </w:rPr>
        <w:t>与血统证书信息相一致）、选犬记录、往来函件、供货履约时间说明或证明、适应期保障等相关资料。</w:t>
      </w:r>
    </w:p>
    <w:p w14:paraId="6B389E06">
      <w:pPr>
        <w:pStyle w:val="19"/>
        <w:keepNext w:val="0"/>
        <w:keepLines w:val="0"/>
        <w:pageBreakBefore w:val="0"/>
        <w:widowControl/>
        <w:kinsoku w:val="0"/>
        <w:wordWrap/>
        <w:overflowPunct/>
        <w:topLinePunct w:val="0"/>
        <w:autoSpaceDE w:val="0"/>
        <w:autoSpaceDN w:val="0"/>
        <w:bidi w:val="0"/>
        <w:adjustRightInd w:val="0"/>
        <w:snapToGrid w:val="0"/>
        <w:spacing w:before="38" w:line="0" w:lineRule="atLeast"/>
        <w:ind w:right="113" w:firstLine="240" w:firstLineChars="100"/>
        <w:jc w:val="both"/>
        <w:textAlignment w:val="baseline"/>
        <w:rPr>
          <w:rFonts w:hint="default" w:ascii="仿宋" w:hAnsi="仿宋" w:eastAsia="仿宋" w:cs="仿宋"/>
          <w:b w:val="0"/>
          <w:bCs w:val="0"/>
          <w:snapToGrid/>
          <w:color w:val="auto"/>
          <w:kern w:val="2"/>
          <w:sz w:val="24"/>
          <w:szCs w:val="24"/>
          <w:highlight w:val="none"/>
          <w:lang w:val="en-US" w:eastAsia="zh-CN" w:bidi="ar-SA"/>
        </w:rPr>
      </w:pPr>
      <w:r>
        <w:rPr>
          <w:rFonts w:hint="default" w:ascii="仿宋" w:hAnsi="仿宋" w:eastAsia="仿宋" w:cs="仿宋"/>
          <w:b w:val="0"/>
          <w:bCs w:val="0"/>
          <w:snapToGrid/>
          <w:color w:val="auto"/>
          <w:kern w:val="2"/>
          <w:sz w:val="24"/>
          <w:szCs w:val="24"/>
          <w:highlight w:val="none"/>
          <w:lang w:val="en-US" w:eastAsia="zh-CN" w:bidi="ar-SA"/>
        </w:rPr>
        <w:t>（3）开展验收。验收小组按照合同约定的内容对应乙方验收所供资料进行逐项核对开展项目验收。</w:t>
      </w:r>
    </w:p>
    <w:p w14:paraId="1B8DA43E">
      <w:pPr>
        <w:pStyle w:val="19"/>
        <w:keepNext w:val="0"/>
        <w:keepLines w:val="0"/>
        <w:pageBreakBefore w:val="0"/>
        <w:widowControl/>
        <w:kinsoku w:val="0"/>
        <w:wordWrap/>
        <w:overflowPunct/>
        <w:topLinePunct w:val="0"/>
        <w:autoSpaceDE w:val="0"/>
        <w:autoSpaceDN w:val="0"/>
        <w:bidi w:val="0"/>
        <w:adjustRightInd w:val="0"/>
        <w:snapToGrid w:val="0"/>
        <w:spacing w:before="38" w:line="0" w:lineRule="atLeast"/>
        <w:ind w:right="113" w:firstLine="240" w:firstLineChars="100"/>
        <w:jc w:val="both"/>
        <w:textAlignment w:val="baseline"/>
        <w:rPr>
          <w:rFonts w:hint="default" w:ascii="仿宋" w:hAnsi="仿宋" w:eastAsia="仿宋" w:cs="仿宋"/>
          <w:b w:val="0"/>
          <w:bCs w:val="0"/>
          <w:snapToGrid/>
          <w:color w:val="auto"/>
          <w:kern w:val="2"/>
          <w:sz w:val="24"/>
          <w:szCs w:val="24"/>
          <w:highlight w:val="none"/>
          <w:lang w:val="en-US" w:eastAsia="zh-CN" w:bidi="ar-SA"/>
        </w:rPr>
      </w:pPr>
      <w:r>
        <w:rPr>
          <w:rFonts w:hint="default" w:ascii="仿宋" w:hAnsi="仿宋" w:eastAsia="仿宋" w:cs="仿宋"/>
          <w:b w:val="0"/>
          <w:bCs w:val="0"/>
          <w:snapToGrid/>
          <w:color w:val="auto"/>
          <w:kern w:val="2"/>
          <w:sz w:val="24"/>
          <w:szCs w:val="24"/>
          <w:highlight w:val="none"/>
          <w:lang w:val="en-US" w:eastAsia="zh-CN" w:bidi="ar-SA"/>
        </w:rPr>
        <w:t>（4）</w:t>
      </w:r>
      <w:r>
        <w:rPr>
          <w:rFonts w:hint="eastAsia" w:ascii="仿宋" w:hAnsi="仿宋" w:eastAsia="仿宋" w:cs="仿宋"/>
          <w:b w:val="0"/>
          <w:bCs w:val="0"/>
          <w:snapToGrid/>
          <w:color w:val="auto"/>
          <w:kern w:val="2"/>
          <w:sz w:val="24"/>
          <w:szCs w:val="24"/>
          <w:highlight w:val="none"/>
          <w:lang w:val="en-US" w:eastAsia="zh-CN" w:bidi="ar-SA"/>
        </w:rPr>
        <w:t>甲方应在7个日历日内完成验收，</w:t>
      </w:r>
      <w:r>
        <w:rPr>
          <w:rFonts w:hint="default" w:ascii="仿宋" w:hAnsi="仿宋" w:eastAsia="仿宋" w:cs="仿宋"/>
          <w:b w:val="0"/>
          <w:bCs w:val="0"/>
          <w:snapToGrid/>
          <w:color w:val="auto"/>
          <w:kern w:val="2"/>
          <w:sz w:val="24"/>
          <w:szCs w:val="24"/>
          <w:highlight w:val="none"/>
          <w:lang w:val="en-US" w:eastAsia="zh-CN" w:bidi="ar-SA"/>
        </w:rPr>
        <w:t>验收结束后，验收小组出具验收报告。验收小组成员根据验收情况明确验收意见，经甲乙双方确认后签字、盖章。</w:t>
      </w:r>
    </w:p>
    <w:p w14:paraId="7FCFBDC5">
      <w:pPr>
        <w:pStyle w:val="19"/>
        <w:keepNext w:val="0"/>
        <w:keepLines w:val="0"/>
        <w:pageBreakBefore w:val="0"/>
        <w:widowControl/>
        <w:kinsoku w:val="0"/>
        <w:wordWrap/>
        <w:overflowPunct/>
        <w:topLinePunct w:val="0"/>
        <w:autoSpaceDE w:val="0"/>
        <w:autoSpaceDN w:val="0"/>
        <w:bidi w:val="0"/>
        <w:adjustRightInd w:val="0"/>
        <w:snapToGrid w:val="0"/>
        <w:spacing w:before="38" w:line="0" w:lineRule="atLeast"/>
        <w:ind w:right="113" w:firstLine="240" w:firstLineChars="100"/>
        <w:jc w:val="both"/>
        <w:textAlignment w:val="baseline"/>
        <w:rPr>
          <w:rFonts w:hint="default" w:ascii="仿宋" w:hAnsi="仿宋" w:eastAsia="仿宋" w:cs="仿宋"/>
          <w:b w:val="0"/>
          <w:bCs w:val="0"/>
          <w:snapToGrid/>
          <w:color w:val="auto"/>
          <w:kern w:val="2"/>
          <w:sz w:val="24"/>
          <w:szCs w:val="24"/>
          <w:highlight w:val="none"/>
          <w:lang w:val="en-US" w:eastAsia="zh-CN" w:bidi="ar-SA"/>
        </w:rPr>
      </w:pPr>
      <w:r>
        <w:rPr>
          <w:rFonts w:hint="default" w:ascii="仿宋" w:hAnsi="仿宋" w:eastAsia="仿宋" w:cs="仿宋"/>
          <w:b w:val="0"/>
          <w:bCs w:val="0"/>
          <w:snapToGrid/>
          <w:color w:val="auto"/>
          <w:kern w:val="2"/>
          <w:sz w:val="24"/>
          <w:szCs w:val="24"/>
          <w:highlight w:val="none"/>
          <w:lang w:val="en-US" w:eastAsia="zh-CN" w:bidi="ar-SA"/>
        </w:rPr>
        <w:t>（5）验收不合格的处理。履约验收不合格的，</w:t>
      </w:r>
      <w:r>
        <w:rPr>
          <w:rFonts w:hint="eastAsia" w:ascii="仿宋" w:hAnsi="仿宋" w:eastAsia="仿宋" w:cs="仿宋"/>
          <w:b w:val="0"/>
          <w:bCs w:val="0"/>
          <w:snapToGrid/>
          <w:color w:val="auto"/>
          <w:kern w:val="2"/>
          <w:sz w:val="24"/>
          <w:szCs w:val="24"/>
          <w:highlight w:val="none"/>
          <w:lang w:val="en-US" w:eastAsia="zh-CN" w:bidi="ar-SA"/>
        </w:rPr>
        <w:t>边境管理处</w:t>
      </w:r>
      <w:r>
        <w:rPr>
          <w:rFonts w:hint="default" w:ascii="仿宋" w:hAnsi="仿宋" w:eastAsia="仿宋" w:cs="仿宋"/>
          <w:b w:val="0"/>
          <w:bCs w:val="0"/>
          <w:snapToGrid/>
          <w:color w:val="auto"/>
          <w:kern w:val="2"/>
          <w:sz w:val="24"/>
          <w:szCs w:val="24"/>
          <w:highlight w:val="none"/>
          <w:lang w:val="en-US" w:eastAsia="zh-CN" w:bidi="ar-SA"/>
        </w:rPr>
        <w:t>向供应商发出整改通知书，明确整改时限和整改要求，整改结束后由乙方对接甲方验收组织主体重新验收。</w:t>
      </w:r>
    </w:p>
    <w:p w14:paraId="7C8AB05D">
      <w:pPr>
        <w:pStyle w:val="19"/>
        <w:keepNext w:val="0"/>
        <w:keepLines w:val="0"/>
        <w:pageBreakBefore w:val="0"/>
        <w:widowControl/>
        <w:kinsoku w:val="0"/>
        <w:wordWrap/>
        <w:overflowPunct/>
        <w:topLinePunct w:val="0"/>
        <w:autoSpaceDE w:val="0"/>
        <w:autoSpaceDN w:val="0"/>
        <w:bidi w:val="0"/>
        <w:adjustRightInd w:val="0"/>
        <w:snapToGrid w:val="0"/>
        <w:spacing w:before="38" w:line="0" w:lineRule="atLeast"/>
        <w:ind w:right="113" w:firstLine="240" w:firstLineChars="100"/>
        <w:jc w:val="both"/>
        <w:textAlignment w:val="baseline"/>
        <w:rPr>
          <w:rFonts w:hint="default" w:ascii="仿宋" w:hAnsi="仿宋" w:eastAsia="仿宋" w:cs="仿宋"/>
          <w:b w:val="0"/>
          <w:bCs w:val="0"/>
          <w:snapToGrid/>
          <w:color w:val="auto"/>
          <w:kern w:val="2"/>
          <w:sz w:val="24"/>
          <w:szCs w:val="24"/>
          <w:highlight w:val="none"/>
          <w:lang w:val="en-US" w:eastAsia="zh-CN" w:bidi="ar-SA"/>
        </w:rPr>
      </w:pPr>
      <w:r>
        <w:rPr>
          <w:rFonts w:hint="default" w:ascii="仿宋" w:hAnsi="仿宋" w:eastAsia="仿宋" w:cs="仿宋"/>
          <w:b w:val="0"/>
          <w:bCs w:val="0"/>
          <w:snapToGrid/>
          <w:color w:val="auto"/>
          <w:kern w:val="2"/>
          <w:sz w:val="24"/>
          <w:szCs w:val="24"/>
          <w:highlight w:val="none"/>
          <w:lang w:val="en-US" w:eastAsia="zh-CN" w:bidi="ar-SA"/>
        </w:rPr>
        <w:t>（6）验收档案收集及保存。履约验收完成后，由</w:t>
      </w:r>
      <w:r>
        <w:rPr>
          <w:rFonts w:hint="eastAsia" w:ascii="仿宋" w:hAnsi="仿宋" w:eastAsia="仿宋" w:cs="仿宋"/>
          <w:b w:val="0"/>
          <w:bCs w:val="0"/>
          <w:snapToGrid/>
          <w:color w:val="auto"/>
          <w:kern w:val="2"/>
          <w:sz w:val="24"/>
          <w:szCs w:val="24"/>
          <w:highlight w:val="none"/>
          <w:lang w:val="en-US" w:eastAsia="zh-CN" w:bidi="ar-SA"/>
        </w:rPr>
        <w:t>边境管理处</w:t>
      </w:r>
      <w:r>
        <w:rPr>
          <w:rFonts w:hint="default" w:ascii="仿宋" w:hAnsi="仿宋" w:eastAsia="仿宋" w:cs="仿宋"/>
          <w:b w:val="0"/>
          <w:bCs w:val="0"/>
          <w:snapToGrid/>
          <w:color w:val="auto"/>
          <w:kern w:val="2"/>
          <w:sz w:val="24"/>
          <w:szCs w:val="24"/>
          <w:highlight w:val="none"/>
          <w:lang w:val="en-US" w:eastAsia="zh-CN" w:bidi="ar-SA"/>
        </w:rPr>
        <w:t xml:space="preserve">收集验收报告留存备查。   </w:t>
      </w:r>
    </w:p>
    <w:p w14:paraId="1B4A1856">
      <w:pPr>
        <w:pStyle w:val="19"/>
        <w:keepNext w:val="0"/>
        <w:keepLines w:val="0"/>
        <w:pageBreakBefore w:val="0"/>
        <w:widowControl/>
        <w:kinsoku w:val="0"/>
        <w:wordWrap/>
        <w:overflowPunct/>
        <w:topLinePunct w:val="0"/>
        <w:autoSpaceDE w:val="0"/>
        <w:autoSpaceDN w:val="0"/>
        <w:bidi w:val="0"/>
        <w:adjustRightInd w:val="0"/>
        <w:snapToGrid w:val="0"/>
        <w:spacing w:before="38" w:line="0" w:lineRule="atLeast"/>
        <w:ind w:right="113" w:firstLine="240" w:firstLineChars="100"/>
        <w:jc w:val="both"/>
        <w:textAlignment w:val="baseline"/>
        <w:rPr>
          <w:rFonts w:hint="default" w:ascii="仿宋" w:hAnsi="仿宋" w:eastAsia="仿宋" w:cs="仿宋"/>
          <w:b w:val="0"/>
          <w:bCs w:val="0"/>
          <w:snapToGrid/>
          <w:color w:val="auto"/>
          <w:kern w:val="2"/>
          <w:sz w:val="24"/>
          <w:szCs w:val="24"/>
          <w:highlight w:val="none"/>
          <w:lang w:val="en-US" w:eastAsia="zh-CN" w:bidi="ar-SA"/>
        </w:rPr>
      </w:pPr>
      <w:r>
        <w:rPr>
          <w:rFonts w:hint="default" w:ascii="仿宋" w:hAnsi="仿宋" w:eastAsia="仿宋" w:cs="仿宋"/>
          <w:b w:val="0"/>
          <w:bCs w:val="0"/>
          <w:snapToGrid/>
          <w:color w:val="auto"/>
          <w:kern w:val="2"/>
          <w:sz w:val="24"/>
          <w:szCs w:val="24"/>
          <w:highlight w:val="none"/>
          <w:lang w:val="en-US" w:eastAsia="zh-CN" w:bidi="ar-SA"/>
        </w:rPr>
        <w:t>3、验收合格标准：</w:t>
      </w:r>
    </w:p>
    <w:p w14:paraId="0073ABCE">
      <w:pPr>
        <w:keepNext w:val="0"/>
        <w:keepLines w:val="0"/>
        <w:pageBreakBefore w:val="0"/>
        <w:widowControl w:val="0"/>
        <w:numPr>
          <w:ilvl w:val="0"/>
          <w:numId w:val="0"/>
        </w:numPr>
        <w:wordWrap/>
        <w:overflowPunct/>
        <w:topLinePunct w:val="0"/>
        <w:autoSpaceDE w:val="0"/>
        <w:autoSpaceDN w:val="0"/>
        <w:bidi w:val="0"/>
        <w:adjustRightInd/>
        <w:snapToGrid/>
        <w:spacing w:line="0" w:lineRule="atLeast"/>
        <w:ind w:firstLine="480" w:firstLineChars="200"/>
        <w:jc w:val="both"/>
        <w:textAlignment w:val="auto"/>
        <w:rPr>
          <w:rFonts w:hint="eastAsia" w:ascii="仿宋" w:hAnsi="仿宋" w:eastAsia="仿宋" w:cs="仿宋"/>
          <w:color w:val="auto"/>
          <w:sz w:val="24"/>
          <w:szCs w:val="24"/>
          <w:highlight w:val="none"/>
          <w:lang w:eastAsia="zh-CN"/>
        </w:rPr>
      </w:pPr>
      <w:r>
        <w:rPr>
          <w:rFonts w:hint="default" w:ascii="仿宋" w:hAnsi="仿宋" w:eastAsia="仿宋" w:cs="仿宋"/>
          <w:b w:val="0"/>
          <w:bCs w:val="0"/>
          <w:snapToGrid/>
          <w:color w:val="auto"/>
          <w:kern w:val="2"/>
          <w:sz w:val="24"/>
          <w:szCs w:val="24"/>
          <w:highlight w:val="none"/>
          <w:lang w:val="en-US" w:eastAsia="zh-CN" w:bidi="ar-SA"/>
        </w:rPr>
        <w:t>待训警犬数量、品种等符合采购需求，动物医院（具备动物诊疗许可证资质）出具的体检报告、档案、选犬记录、往来函件、供货履约时间说明或证明、适应期保障等相关资料齐全且达到采购及响应要求视为验收合格。</w:t>
      </w:r>
    </w:p>
    <w:p w14:paraId="7A8EBC39">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十</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lang w:eastAsia="zh-CN"/>
        </w:rPr>
        <w:t>、第三方责任</w:t>
      </w:r>
      <w:bookmarkEnd w:id="143"/>
    </w:p>
    <w:p w14:paraId="5C0D8A7A">
      <w:pPr>
        <w:keepNext w:val="0"/>
        <w:keepLines w:val="0"/>
        <w:pageBreakBefore w:val="0"/>
        <w:wordWrap w:val="0"/>
        <w:overflowPunct/>
        <w:topLinePunct w:val="0"/>
        <w:autoSpaceDE w:val="0"/>
        <w:autoSpaceDN w:val="0"/>
        <w:bidi w:val="0"/>
        <w:adjustRightInd w:val="0"/>
        <w:snapToGrid w:val="0"/>
        <w:spacing w:line="0" w:lineRule="atLeas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乙方与</w:t>
      </w:r>
      <w:bookmarkStart w:id="144" w:name="_Toc399165018"/>
      <w:r>
        <w:rPr>
          <w:rFonts w:hint="eastAsia" w:ascii="仿宋" w:hAnsi="仿宋" w:eastAsia="仿宋" w:cs="仿宋"/>
          <w:color w:val="auto"/>
          <w:sz w:val="24"/>
          <w:szCs w:val="24"/>
          <w:highlight w:val="none"/>
          <w:lang w:eastAsia="zh-CN"/>
        </w:rPr>
        <w:t>其代理之相</w:t>
      </w:r>
      <w:bookmarkEnd w:id="144"/>
      <w:r>
        <w:rPr>
          <w:rFonts w:hint="eastAsia" w:ascii="仿宋" w:hAnsi="仿宋" w:eastAsia="仿宋" w:cs="仿宋"/>
          <w:color w:val="auto"/>
          <w:sz w:val="24"/>
          <w:szCs w:val="24"/>
          <w:highlight w:val="none"/>
          <w:lang w:eastAsia="zh-CN"/>
        </w:rPr>
        <w:t>互关系、相关责任义务等均由乙方与代理商自行协商约定，但在与本合同相关的任何情形下，乙方与其任何一家代理商二者之间的约定仅属于其内部分担权利义务及其内部约定分担对外责任的办法，乙方与该代理商二者对甲方、最终用户、相关第三方则应承担连带责任，而乙方依据合同原所承担的对甲方、最终用户及第三方的责任均并不因此被减免。</w:t>
      </w:r>
    </w:p>
    <w:p w14:paraId="6E8BD4AE">
      <w:pPr>
        <w:keepNext w:val="0"/>
        <w:keepLines w:val="0"/>
        <w:pageBreakBefore w:val="0"/>
        <w:wordWrap w:val="0"/>
        <w:overflowPunct/>
        <w:topLinePunct w:val="0"/>
        <w:autoSpaceDE w:val="0"/>
        <w:autoSpaceDN w:val="0"/>
        <w:bidi w:val="0"/>
        <w:adjustRightInd w:val="0"/>
        <w:snapToGrid w:val="0"/>
        <w:spacing w:line="0" w:lineRule="atLeas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bookmarkStart w:id="145" w:name="_Toc427666536"/>
      <w:bookmarkStart w:id="146" w:name="_Toc1223"/>
      <w:bookmarkStart w:id="147" w:name="_Toc479943867"/>
      <w:bookmarkStart w:id="148" w:name="_Toc480316129"/>
      <w:bookmarkStart w:id="149" w:name="_Toc432684948"/>
      <w:bookmarkStart w:id="150" w:name="_Toc153"/>
      <w:r>
        <w:rPr>
          <w:rFonts w:hint="eastAsia" w:ascii="仿宋" w:hAnsi="仿宋" w:eastAsia="仿宋" w:cs="仿宋"/>
          <w:b/>
          <w:bCs/>
          <w:color w:val="auto"/>
          <w:sz w:val="24"/>
          <w:szCs w:val="24"/>
          <w:highlight w:val="none"/>
          <w:u w:val="single"/>
        </w:rPr>
        <w:t>十三、合同管理</w:t>
      </w:r>
      <w:bookmarkEnd w:id="145"/>
      <w:bookmarkEnd w:id="146"/>
      <w:bookmarkEnd w:id="147"/>
      <w:bookmarkEnd w:id="148"/>
      <w:bookmarkEnd w:id="149"/>
      <w:bookmarkEnd w:id="150"/>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w:t>
      </w:r>
    </w:p>
    <w:p w14:paraId="3DDE5A1F">
      <w:pPr>
        <w:keepNext w:val="0"/>
        <w:keepLines w:val="0"/>
        <w:pageBreakBefore w:val="0"/>
        <w:numPr>
          <w:ilvl w:val="0"/>
          <w:numId w:val="8"/>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为便于管</w:t>
      </w:r>
      <w:bookmarkStart w:id="151" w:name="_Toc399165021"/>
      <w:r>
        <w:rPr>
          <w:rFonts w:hint="eastAsia" w:ascii="仿宋" w:hAnsi="仿宋" w:eastAsia="仿宋" w:cs="仿宋"/>
          <w:color w:val="auto"/>
          <w:sz w:val="24"/>
          <w:szCs w:val="24"/>
          <w:highlight w:val="none"/>
          <w:lang w:eastAsia="zh-CN"/>
        </w:rPr>
        <w:t>理，甲方</w:t>
      </w:r>
      <w:bookmarkEnd w:id="151"/>
      <w:r>
        <w:rPr>
          <w:rFonts w:hint="eastAsia" w:ascii="仿宋" w:hAnsi="仿宋" w:eastAsia="仿宋" w:cs="仿宋"/>
          <w:color w:val="auto"/>
          <w:sz w:val="24"/>
          <w:szCs w:val="24"/>
          <w:highlight w:val="none"/>
          <w:lang w:eastAsia="zh-CN"/>
        </w:rPr>
        <w:t>和乙方在合同执行期间的联络，应通过指定的项目负责人进行。</w:t>
      </w:r>
    </w:p>
    <w:p w14:paraId="6FDFA21D">
      <w:pPr>
        <w:keepNext w:val="0"/>
        <w:keepLines w:val="0"/>
        <w:pageBreakBefore w:val="0"/>
        <w:wordWrap w:val="0"/>
        <w:overflowPunct/>
        <w:topLinePunct w:val="0"/>
        <w:autoSpaceDE w:val="0"/>
        <w:autoSpaceDN w:val="0"/>
        <w:bidi w:val="0"/>
        <w:adjustRightInd w:val="0"/>
        <w:snapToGrid w:val="0"/>
        <w:spacing w:line="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甲方项目负责人：                               电话：</w:t>
      </w:r>
    </w:p>
    <w:p w14:paraId="78D12D19">
      <w:pPr>
        <w:keepNext w:val="0"/>
        <w:keepLines w:val="0"/>
        <w:pageBreakBefore w:val="0"/>
        <w:wordWrap w:val="0"/>
        <w:overflowPunct/>
        <w:topLinePunct w:val="0"/>
        <w:autoSpaceDE w:val="0"/>
        <w:autoSpaceDN w:val="0"/>
        <w:bidi w:val="0"/>
        <w:adjustRightInd w:val="0"/>
        <w:snapToGrid w:val="0"/>
        <w:spacing w:line="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乙方项目负责人：                               电话：</w:t>
      </w:r>
    </w:p>
    <w:p w14:paraId="50C62C5E">
      <w:pPr>
        <w:keepNext w:val="0"/>
        <w:keepLines w:val="0"/>
        <w:pageBreakBefore w:val="0"/>
        <w:numPr>
          <w:ilvl w:val="0"/>
          <w:numId w:val="8"/>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整个检验验收期间，乙方应接受甲方的统一管理和必要的监督检查。</w:t>
      </w:r>
    </w:p>
    <w:p w14:paraId="3F7FBAFA">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b/>
          <w:bCs/>
          <w:color w:val="auto"/>
          <w:sz w:val="24"/>
          <w:szCs w:val="24"/>
          <w:highlight w:val="none"/>
          <w:lang w:eastAsia="zh-CN"/>
        </w:rPr>
      </w:pPr>
      <w:bookmarkStart w:id="152" w:name="_Toc17853"/>
      <w:bookmarkStart w:id="153" w:name="_Toc479943868"/>
      <w:bookmarkStart w:id="154" w:name="_Toc432684949"/>
      <w:bookmarkStart w:id="155" w:name="_Toc427666537"/>
      <w:bookmarkStart w:id="156" w:name="_Toc30200"/>
      <w:bookmarkStart w:id="157" w:name="_Toc480316130"/>
      <w:r>
        <w:rPr>
          <w:rFonts w:hint="eastAsia" w:ascii="仿宋" w:hAnsi="仿宋" w:eastAsia="仿宋" w:cs="仿宋"/>
          <w:b/>
          <w:bCs/>
          <w:color w:val="auto"/>
          <w:sz w:val="24"/>
          <w:szCs w:val="24"/>
          <w:highlight w:val="none"/>
          <w:lang w:eastAsia="zh-CN"/>
        </w:rPr>
        <w:t>十四、质量保证期及售后服</w:t>
      </w:r>
      <w:bookmarkStart w:id="158" w:name="_Toc399165022"/>
      <w:r>
        <w:rPr>
          <w:rFonts w:hint="eastAsia" w:ascii="仿宋" w:hAnsi="仿宋" w:eastAsia="仿宋" w:cs="仿宋"/>
          <w:b/>
          <w:bCs/>
          <w:color w:val="auto"/>
          <w:sz w:val="24"/>
          <w:szCs w:val="24"/>
          <w:highlight w:val="none"/>
          <w:lang w:eastAsia="zh-CN"/>
        </w:rPr>
        <w:t>务</w:t>
      </w:r>
      <w:bookmarkEnd w:id="152"/>
      <w:bookmarkEnd w:id="153"/>
      <w:bookmarkEnd w:id="154"/>
      <w:bookmarkEnd w:id="155"/>
      <w:bookmarkEnd w:id="156"/>
      <w:bookmarkEnd w:id="157"/>
    </w:p>
    <w:bookmarkEnd w:id="158"/>
    <w:p w14:paraId="12605B55">
      <w:pPr>
        <w:keepNext w:val="0"/>
        <w:keepLines w:val="0"/>
        <w:pageBreakBefore w:val="0"/>
        <w:widowControl/>
        <w:numPr>
          <w:ilvl w:val="0"/>
          <w:numId w:val="0"/>
        </w:numPr>
        <w:kinsoku/>
        <w:wordWrap/>
        <w:overflowPunct/>
        <w:topLinePunct w:val="0"/>
        <w:autoSpaceDE/>
        <w:autoSpaceDN/>
        <w:bidi w:val="0"/>
        <w:adjustRightInd/>
        <w:snapToGrid/>
        <w:spacing w:line="0" w:lineRule="atLeast"/>
        <w:ind w:firstLine="480" w:firstLineChars="200"/>
        <w:jc w:val="both"/>
        <w:textAlignment w:val="auto"/>
        <w:rPr>
          <w:rFonts w:hint="default" w:ascii="仿宋" w:hAnsi="仿宋" w:eastAsia="仿宋" w:cs="仿宋"/>
          <w:b w:val="0"/>
          <w:bCs w:val="0"/>
          <w:snapToGrid w:val="0"/>
          <w:color w:val="auto"/>
          <w:kern w:val="2"/>
          <w:sz w:val="24"/>
          <w:szCs w:val="24"/>
          <w:highlight w:val="none"/>
          <w:lang w:val="en-US" w:eastAsia="zh-CN" w:bidi="ar-SA"/>
        </w:rPr>
      </w:pPr>
      <w:bookmarkStart w:id="159" w:name="_Toc1194"/>
      <w:r>
        <w:rPr>
          <w:rFonts w:hint="eastAsia" w:ascii="仿宋" w:hAnsi="仿宋" w:eastAsia="仿宋" w:cs="仿宋"/>
          <w:snapToGrid w:val="0"/>
          <w:color w:val="auto"/>
          <w:sz w:val="24"/>
          <w:szCs w:val="24"/>
          <w:highlight w:val="none"/>
          <w:lang w:val="en-US" w:eastAsia="zh-CN" w:bidi="ar-SA"/>
        </w:rPr>
        <w:t>（一）质保期：</w:t>
      </w:r>
      <w:r>
        <w:rPr>
          <w:rFonts w:hint="eastAsia" w:ascii="仿宋" w:hAnsi="仿宋" w:eastAsia="仿宋" w:cs="仿宋"/>
          <w:b w:val="0"/>
          <w:bCs w:val="0"/>
          <w:snapToGrid w:val="0"/>
          <w:color w:val="auto"/>
          <w:kern w:val="2"/>
          <w:sz w:val="24"/>
          <w:szCs w:val="24"/>
          <w:highlight w:val="none"/>
          <w:lang w:val="en-US" w:eastAsia="zh-CN" w:bidi="ar-SA"/>
        </w:rPr>
        <w:t>1、</w:t>
      </w:r>
      <w:r>
        <w:rPr>
          <w:rFonts w:hint="default" w:ascii="仿宋" w:hAnsi="仿宋" w:eastAsia="仿宋" w:cs="仿宋"/>
          <w:b w:val="0"/>
          <w:bCs w:val="0"/>
          <w:snapToGrid w:val="0"/>
          <w:color w:val="auto"/>
          <w:kern w:val="2"/>
          <w:sz w:val="24"/>
          <w:szCs w:val="24"/>
          <w:highlight w:val="none"/>
          <w:lang w:val="en-US" w:eastAsia="zh-CN" w:bidi="ar-SA"/>
        </w:rPr>
        <w:t>繁育种犬：质保期自验收合格之日起12个月；须满足本项目对应犬种繁殖性能要求，成功完成配种并生育幼崽，且幼崽断奶成活率≥80%；乙方驻场繁育指导服务至上述要求全部达标后方可结束。</w:t>
      </w:r>
      <w:r>
        <w:rPr>
          <w:rFonts w:hint="eastAsia" w:ascii="仿宋" w:hAnsi="仿宋" w:eastAsia="仿宋" w:cs="仿宋"/>
          <w:b w:val="0"/>
          <w:bCs w:val="0"/>
          <w:snapToGrid w:val="0"/>
          <w:color w:val="auto"/>
          <w:kern w:val="2"/>
          <w:sz w:val="24"/>
          <w:szCs w:val="24"/>
          <w:highlight w:val="none"/>
          <w:lang w:val="en-US" w:eastAsia="zh-CN" w:bidi="ar-SA"/>
        </w:rPr>
        <w:t>2、</w:t>
      </w:r>
      <w:r>
        <w:rPr>
          <w:rFonts w:hint="default" w:ascii="仿宋" w:hAnsi="仿宋" w:eastAsia="仿宋" w:cs="仿宋"/>
          <w:b w:val="0"/>
          <w:bCs w:val="0"/>
          <w:snapToGrid w:val="0"/>
          <w:color w:val="auto"/>
          <w:kern w:val="2"/>
          <w:sz w:val="24"/>
          <w:szCs w:val="24"/>
          <w:highlight w:val="none"/>
          <w:lang w:val="en-US" w:eastAsia="zh-CN" w:bidi="ar-SA"/>
        </w:rPr>
        <w:t>待训警犬：质保期自验收合格之日起4个月，乙方按约定履行质保期内全部义务。</w:t>
      </w:r>
    </w:p>
    <w:p w14:paraId="2282DFCF">
      <w:pPr>
        <w:pStyle w:val="22"/>
        <w:keepNext w:val="0"/>
        <w:keepLines w:val="0"/>
        <w:pageBreakBefore w:val="0"/>
        <w:wordWrap w:val="0"/>
        <w:overflowPunct/>
        <w:topLinePunct w:val="0"/>
        <w:autoSpaceDE w:val="0"/>
        <w:autoSpaceDN w:val="0"/>
        <w:bidi w:val="0"/>
        <w:adjustRightInd w:val="0"/>
        <w:snapToGrid w:val="0"/>
        <w:spacing w:line="0" w:lineRule="atLeast"/>
        <w:ind w:left="426" w:leftChars="202" w:hanging="2" w:hangingChars="1"/>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（二）售后服务标准要求</w:t>
      </w:r>
    </w:p>
    <w:bookmarkEnd w:id="159"/>
    <w:p w14:paraId="54B20541">
      <w:pPr>
        <w:pStyle w:val="7"/>
        <w:keepNext w:val="0"/>
        <w:keepLines w:val="0"/>
        <w:pageBreakBefore w:val="0"/>
        <w:overflowPunct/>
        <w:topLinePunct w:val="0"/>
        <w:bidi w:val="0"/>
        <w:spacing w:line="0" w:lineRule="atLeast"/>
        <w:ind w:firstLine="480" w:firstLineChars="200"/>
        <w:outlineLvl w:val="1"/>
        <w:rPr>
          <w:rFonts w:hint="eastAsia" w:ascii="仿宋" w:hAnsi="仿宋" w:eastAsia="仿宋" w:cs="仿宋"/>
          <w:b w:val="0"/>
          <w:bCs w:val="0"/>
          <w:color w:val="auto"/>
          <w:kern w:val="2"/>
          <w:sz w:val="24"/>
          <w:szCs w:val="24"/>
          <w:highlight w:val="none"/>
          <w:lang w:val="en-US" w:eastAsia="zh-CN"/>
        </w:rPr>
      </w:pPr>
      <w:bookmarkStart w:id="160" w:name="_Toc432684951"/>
      <w:bookmarkStart w:id="161" w:name="_Toc480316132"/>
      <w:bookmarkStart w:id="162" w:name="_Toc16110"/>
      <w:bookmarkStart w:id="163" w:name="_Toc427666539"/>
      <w:bookmarkStart w:id="164" w:name="_Toc31511"/>
      <w:bookmarkStart w:id="165" w:name="_Toc479943870"/>
      <w:r>
        <w:rPr>
          <w:rFonts w:hint="eastAsia" w:ascii="仿宋" w:hAnsi="仿宋" w:eastAsia="仿宋" w:cs="仿宋"/>
          <w:b w:val="0"/>
          <w:bCs w:val="0"/>
          <w:color w:val="auto"/>
          <w:kern w:val="2"/>
          <w:sz w:val="24"/>
          <w:szCs w:val="24"/>
          <w:highlight w:val="none"/>
          <w:lang w:val="en-US" w:eastAsia="zh-CN"/>
        </w:rPr>
        <w:t>1、供应商应向甲方明确售后服务承诺，涵盖退换货政策、质保期限、专业培训等内容，使甲方清晰了解售后服务保障范围。</w:t>
      </w:r>
    </w:p>
    <w:p w14:paraId="7D373DCE">
      <w:pPr>
        <w:pStyle w:val="7"/>
        <w:keepNext w:val="0"/>
        <w:keepLines w:val="0"/>
        <w:pageBreakBefore w:val="0"/>
        <w:overflowPunct/>
        <w:topLinePunct w:val="0"/>
        <w:bidi w:val="0"/>
        <w:spacing w:line="0" w:lineRule="atLeast"/>
        <w:ind w:firstLine="480" w:firstLineChars="200"/>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2、在甲方遇到紧急情况时，提供紧急救援服务，如犬只突发疾病、意外受伤等，确保犬只能够得到及时有效的救治。自待训警犬进场培训直至培训结束，乙方对所售犬只售后质保期内，若犬只出现任何恶性传染病或者死亡的情况，乙方应在3日内无偿予以更换同等价值品种犬只。若乙方未按时更换犬只，扣除合同价格的1%；累计超过7日，甲方有权终止合同，所产生的一切后果由乙方承担。如因不可抗力导致延误，乙方需及时通知甲方并提供证明，双方协商顺延或更换时间。</w:t>
      </w:r>
    </w:p>
    <w:p w14:paraId="2B49CF58">
      <w:pPr>
        <w:pStyle w:val="7"/>
        <w:keepNext w:val="0"/>
        <w:keepLines w:val="0"/>
        <w:pageBreakBefore w:val="0"/>
        <w:overflowPunct/>
        <w:topLinePunct w:val="0"/>
        <w:bidi w:val="0"/>
        <w:spacing w:line="0" w:lineRule="atLeast"/>
        <w:ind w:firstLine="480" w:firstLineChars="200"/>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3、饲养指导。乙方需委托第三方机构委派1-2名具有警犬技术资质（具体指：中国工作犬管理协会颁发的警犬训练师资格证书、警犬评估师资格证书或同等权威机构出具的警犬技术相关执业资格证书）的专业人员协同监督指导。自待训警犬进场之日起，于现场开展为期15个日历日的饲养管理指导工作。相关费用由乙方承担。在此期间，乙方所派人员需全面负责解决犬只因环境变化等因素引发的应激障碍问题，包括但不限于观察犬只行为状态、调整饲养环境以减轻犬只应激反应、制定并执行适宜的饮食与运动计划，确保犬只能够平稳度过适应期，达到健康、良好的待训状态。</w:t>
      </w:r>
    </w:p>
    <w:p w14:paraId="58B727C4">
      <w:pPr>
        <w:pStyle w:val="7"/>
        <w:keepNext w:val="0"/>
        <w:keepLines w:val="0"/>
        <w:pageBreakBefore w:val="0"/>
        <w:overflowPunct/>
        <w:topLinePunct w:val="0"/>
        <w:bidi w:val="0"/>
        <w:spacing w:line="0" w:lineRule="atLeast"/>
        <w:ind w:firstLine="480" w:firstLineChars="200"/>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4、防疫驱虫。乙方所供应的犬只，应在甲方监督在场的情况下，严格按照专业宠物医疗流程完成如下防疫与驱虫操作：进行三次驱虫工作，其中两次为体内驱虫，一次为体外驱虫。驱虫药物需选用经市场验证、品质可靠的产品。同时，需完成英特威四联苗的注射，以预防犬瘟热、犬细小病毒病、犬传染性肝炎和犬副流感等常见传染病。在完成英特威四联苗注射14个自然日后，乙方应为待训警犬注射单狂犬疫苗1针，以有效预防狂犬病。上述所有防疫与驱虫操作所产生的费用，包括但不限于药品采购费用、专业宠物医疗机构的诊疗服务费用等，均由乙方承担。在操作完成后，乙方应及时向甲方提供详细的防疫与驱虫记录，包括操作时间、使用药品品牌及规格、执行机构等信息，以供甲方留存与查验。</w:t>
      </w:r>
    </w:p>
    <w:p w14:paraId="55A033D7">
      <w:pPr>
        <w:pStyle w:val="7"/>
        <w:keepNext w:val="0"/>
        <w:keepLines w:val="0"/>
        <w:pageBreakBefore w:val="0"/>
        <w:overflowPunct/>
        <w:topLinePunct w:val="0"/>
        <w:bidi w:val="0"/>
        <w:spacing w:line="0" w:lineRule="atLeast"/>
        <w:ind w:firstLine="480" w:firstLineChars="200"/>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5、疾病处理。质保期内，若待训警犬出现普通疾病（普通疾病范畴界定为因日常饲养环境、常见病原体感染等引发的一般性病症，如感冒、轻度肠胃不适、体表寄生虫感染等，不包含因先天性遗传缺陷、烈性传染病以及甲方不当饲养等导致的疾病），乙方应无偿提供全面的医疗服务保障，包括但不限于诊断、治疗方案制定、药品供应及必要的护理指导。若待训警犬患病周期连续7个自然日仍无明显好转迹象（“无明显好转”以具备专业资质的兽医机构出具的诊断报告为判定依据），乙方需无偿为甲方更换一只在品种、年龄、健康状况、训练潜力等方面均与原待训警犬具有同等价值的犬只。更换过程中所产生的运输、检疫等相关费用，均由乙方承担。</w:t>
      </w:r>
    </w:p>
    <w:p w14:paraId="0BC87AF9">
      <w:pPr>
        <w:pStyle w:val="7"/>
        <w:keepNext w:val="0"/>
        <w:keepLines w:val="0"/>
        <w:pageBreakBefore w:val="0"/>
        <w:overflowPunct/>
        <w:topLinePunct w:val="0"/>
        <w:bidi w:val="0"/>
        <w:spacing w:line="0" w:lineRule="atLeast"/>
        <w:ind w:firstLine="480" w:firstLineChars="200"/>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6、疾病预防与应急处理预案：供应商应制定严格的饲养环境卫生标准，犬舍温度保持在18-25摄氏度，湿度控制在40%-60%，每日对犬舍进行清洁消毒，消毒方式采用符合国家动物防疫标准的消毒剂进行喷雾消毒和紫外线照射消毒。应急处理预案方面，供应商在接到犬只疾病报告后，兽医人员须在2小时内到达现场。对于一般性疾病，3天内制定并实施治疗方案；对于烈性传染病，1小时内启动隔离措施，按照国家动物疫病防控中心发布的相关疫病防控技术规范进行处理，并及时向甲方及当地动物防疫部门报告疫情。</w:t>
      </w:r>
    </w:p>
    <w:p w14:paraId="53CA7B73">
      <w:pPr>
        <w:pStyle w:val="7"/>
        <w:keepNext w:val="0"/>
        <w:keepLines w:val="0"/>
        <w:pageBreakBefore w:val="0"/>
        <w:overflowPunct/>
        <w:topLinePunct w:val="0"/>
        <w:bidi w:val="0"/>
        <w:spacing w:line="0" w:lineRule="atLeast"/>
        <w:ind w:firstLine="480" w:firstLineChars="200"/>
        <w:outlineLvl w:val="1"/>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7、乙方需月回访购买待训警犬的甲方，了解犬只训练进展、健康状况等信息，解答甲方在训练过程中遇到的问题，为甲方提供持续的技术支持和指导。</w:t>
      </w:r>
    </w:p>
    <w:p w14:paraId="3C778B18">
      <w:pPr>
        <w:pStyle w:val="7"/>
        <w:keepNext w:val="0"/>
        <w:keepLines w:val="0"/>
        <w:pageBreakBefore w:val="0"/>
        <w:overflowPunct/>
        <w:topLinePunct w:val="0"/>
        <w:bidi w:val="0"/>
        <w:spacing w:line="0" w:lineRule="atLeast"/>
        <w:ind w:firstLine="480" w:firstLineChars="200"/>
        <w:outlineLvl w:val="1"/>
        <w:rPr>
          <w:rFonts w:hint="eastAsia" w:ascii="仿宋" w:hAnsi="仿宋" w:eastAsia="仿宋" w:cs="仿宋"/>
          <w:b w:val="0"/>
          <w:bCs w:val="0"/>
          <w:color w:val="auto"/>
          <w:kern w:val="2"/>
          <w:sz w:val="24"/>
          <w:szCs w:val="24"/>
          <w:highlight w:val="none"/>
          <w:lang w:eastAsia="zh-CN"/>
        </w:rPr>
      </w:pPr>
      <w:r>
        <w:rPr>
          <w:rFonts w:hint="eastAsia" w:ascii="仿宋" w:hAnsi="仿宋" w:eastAsia="仿宋" w:cs="仿宋"/>
          <w:b w:val="0"/>
          <w:bCs w:val="0"/>
          <w:color w:val="auto"/>
          <w:kern w:val="2"/>
          <w:sz w:val="24"/>
          <w:szCs w:val="24"/>
          <w:highlight w:val="none"/>
          <w:lang w:val="en-US" w:eastAsia="zh-CN"/>
        </w:rPr>
        <w:t>8、根据甲方培训计划情况，乙方需配合甲方完成所供代训警犬工作证的办理工作，工作犬证需由中国工作犬管理协会出具。</w:t>
      </w:r>
    </w:p>
    <w:p w14:paraId="3E925E22">
      <w:pPr>
        <w:pStyle w:val="7"/>
        <w:keepNext w:val="0"/>
        <w:keepLines w:val="0"/>
        <w:pageBreakBefore w:val="0"/>
        <w:overflowPunct/>
        <w:topLinePunct w:val="0"/>
        <w:bidi w:val="0"/>
        <w:spacing w:line="0" w:lineRule="atLeast"/>
        <w:ind w:firstLine="480" w:firstLineChars="200"/>
        <w:outlineLvl w:val="1"/>
        <w:rPr>
          <w:rFonts w:hint="default" w:ascii="仿宋" w:hAnsi="仿宋" w:eastAsia="仿宋" w:cs="仿宋"/>
          <w:b w:val="0"/>
          <w:bCs w:val="0"/>
          <w:color w:val="auto"/>
          <w:kern w:val="2"/>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rPr>
        <w:t>9、</w:t>
      </w:r>
      <w:r>
        <w:rPr>
          <w:rFonts w:hint="default" w:ascii="仿宋" w:hAnsi="仿宋" w:eastAsia="仿宋" w:cs="仿宋"/>
          <w:b w:val="0"/>
          <w:bCs w:val="0"/>
          <w:color w:val="auto"/>
          <w:kern w:val="2"/>
          <w:sz w:val="24"/>
          <w:szCs w:val="24"/>
          <w:highlight w:val="none"/>
          <w:lang w:val="en-US" w:eastAsia="zh-CN"/>
        </w:rPr>
        <w:t>质保期内，犬只患普通疾病的，乙方全权负责诊疗直至犬只完全康复，由此产生的全部医疗费用均由乙方承担。犬只出现烈性传染病、非甲方原因导致的伤残/死亡，乙方须在3个日历日内无偿更换同品种、同价值合格犬只。未按约定时限更换犬只，乙方须向甲方支付合同总价1%违约金；逾期超过20日，甲方有权单方解除合同，乙方另行支付合同总价20%违约金。因不可抗力导致更换延误的，乙方及时通知甲方并提供有效证明，双方协商处置。</w:t>
      </w:r>
    </w:p>
    <w:p w14:paraId="611A1B51">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十五、不可抗力</w:t>
      </w:r>
      <w:bookmarkEnd w:id="160"/>
      <w:bookmarkEnd w:id="161"/>
      <w:bookmarkEnd w:id="162"/>
      <w:bookmarkEnd w:id="163"/>
      <w:bookmarkEnd w:id="164"/>
      <w:bookmarkEnd w:id="165"/>
    </w:p>
    <w:p w14:paraId="121D3324">
      <w:pPr>
        <w:keepNext w:val="0"/>
        <w:keepLines w:val="0"/>
        <w:pageBreakBefore w:val="0"/>
        <w:numPr>
          <w:ilvl w:val="0"/>
          <w:numId w:val="9"/>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如果任何</w:t>
      </w:r>
      <w:bookmarkStart w:id="166" w:name="_Toc399165024"/>
      <w:r>
        <w:rPr>
          <w:rFonts w:hint="eastAsia" w:ascii="仿宋" w:hAnsi="仿宋" w:eastAsia="仿宋" w:cs="仿宋"/>
          <w:color w:val="auto"/>
          <w:sz w:val="24"/>
          <w:szCs w:val="24"/>
          <w:highlight w:val="none"/>
          <w:lang w:eastAsia="zh-CN"/>
        </w:rPr>
        <w:t>一方当事</w:t>
      </w:r>
      <w:bookmarkEnd w:id="166"/>
      <w:r>
        <w:rPr>
          <w:rFonts w:hint="eastAsia" w:ascii="仿宋" w:hAnsi="仿宋" w:eastAsia="仿宋" w:cs="仿宋"/>
          <w:color w:val="auto"/>
          <w:sz w:val="24"/>
          <w:szCs w:val="24"/>
          <w:highlight w:val="none"/>
          <w:lang w:eastAsia="zh-CN"/>
        </w:rPr>
        <w:t>人受诸如战争、严重的火灾、台风、地震、洪水以及其他不能预见、不能避免且不能克服的事件的影响而无法履行合同项下的任何义务，受影响的一方当事人应将此类事件的发生以传真方式通知另一方当事人并应在不可抗力事件发生后10天内以航空挂号信将有关当局或机构出具的证明文件提交给另一方当事人。</w:t>
      </w:r>
    </w:p>
    <w:p w14:paraId="54B1BA6A">
      <w:pPr>
        <w:keepNext w:val="0"/>
        <w:keepLines w:val="0"/>
        <w:pageBreakBefore w:val="0"/>
        <w:numPr>
          <w:ilvl w:val="0"/>
          <w:numId w:val="9"/>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由于不可抗力的原因造成乙方不能按合同规定供货时，乙方应立即以本条第1款方式通告甲方，证明事故的存在。在不可抗力事件发生后，双方应努力寻求采取合理的方案履行不受不可抗力影响的其他事项。如人力不可抗拒因素继续存在，致使在合同规定的供货期后三十天内仍不能供货，甲方则有权解除合同，这时，买卖双方均不互提出索赔。甲方不承担终止合同的责任，也不可没收履约保证金。</w:t>
      </w:r>
    </w:p>
    <w:p w14:paraId="4A93B929">
      <w:pPr>
        <w:pStyle w:val="20"/>
        <w:keepNext w:val="0"/>
        <w:keepLines w:val="0"/>
        <w:pageBreakBefore w:val="0"/>
        <w:wordWrap w:val="0"/>
        <w:overflowPunct/>
        <w:topLinePunct w:val="0"/>
        <w:autoSpaceDE w:val="0"/>
        <w:autoSpaceDN w:val="0"/>
        <w:bidi w:val="0"/>
        <w:adjustRightInd w:val="0"/>
        <w:snapToGrid w:val="0"/>
        <w:spacing w:line="0" w:lineRule="atLeast"/>
        <w:rPr>
          <w:rFonts w:hint="eastAsia" w:ascii="仿宋" w:hAnsi="仿宋" w:eastAsia="仿宋" w:cs="仿宋"/>
          <w:color w:val="auto"/>
          <w:sz w:val="24"/>
          <w:szCs w:val="24"/>
          <w:highlight w:val="none"/>
          <w:lang w:eastAsia="zh-CN"/>
        </w:rPr>
      </w:pPr>
      <w:bookmarkStart w:id="167" w:name="_Toc9077"/>
      <w:r>
        <w:rPr>
          <w:rFonts w:hint="eastAsia" w:ascii="仿宋" w:hAnsi="仿宋" w:eastAsia="仿宋" w:cs="仿宋"/>
          <w:color w:val="auto"/>
          <w:sz w:val="24"/>
          <w:szCs w:val="24"/>
          <w:highlight w:val="none"/>
          <w:lang w:eastAsia="zh-CN"/>
        </w:rPr>
        <w:t>3.不可抗力发生在迟延履行期间的，不免除乙方的责任。</w:t>
      </w:r>
      <w:bookmarkEnd w:id="167"/>
    </w:p>
    <w:p w14:paraId="5A6FE1D8">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b/>
          <w:bCs/>
          <w:color w:val="auto"/>
          <w:sz w:val="24"/>
          <w:szCs w:val="24"/>
          <w:highlight w:val="none"/>
          <w:lang w:eastAsia="zh-CN"/>
        </w:rPr>
      </w:pPr>
      <w:bookmarkStart w:id="168" w:name="_Toc28119"/>
      <w:bookmarkStart w:id="169" w:name="_Toc479943871"/>
      <w:bookmarkStart w:id="170" w:name="_Toc432684952"/>
      <w:bookmarkStart w:id="171" w:name="_Toc12949"/>
      <w:bookmarkStart w:id="172" w:name="_Toc427666540"/>
      <w:bookmarkStart w:id="173" w:name="_Toc480316133"/>
      <w:r>
        <w:rPr>
          <w:rFonts w:hint="eastAsia" w:ascii="仿宋" w:hAnsi="仿宋" w:eastAsia="仿宋" w:cs="仿宋"/>
          <w:b/>
          <w:bCs/>
          <w:color w:val="auto"/>
          <w:sz w:val="24"/>
          <w:szCs w:val="24"/>
          <w:highlight w:val="none"/>
          <w:lang w:eastAsia="zh-CN"/>
        </w:rPr>
        <w:t>十六、违约条款</w:t>
      </w:r>
      <w:bookmarkEnd w:id="168"/>
      <w:bookmarkEnd w:id="169"/>
      <w:bookmarkEnd w:id="170"/>
      <w:bookmarkEnd w:id="171"/>
      <w:bookmarkEnd w:id="172"/>
      <w:bookmarkEnd w:id="173"/>
    </w:p>
    <w:p w14:paraId="788BC042">
      <w:pPr>
        <w:keepNext w:val="0"/>
        <w:keepLines w:val="0"/>
        <w:pageBreakBefore w:val="0"/>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乙方所交待训犬品种、质量等不符合规定的，如果甲方同意利用，应当按质论价，如果甲方不同意利用的，应根据待训犬的具体情况，由乙方负责包换，并承担调换或退货而</w:t>
      </w:r>
      <w:r>
        <w:rPr>
          <w:rFonts w:hint="eastAsia" w:ascii="仿宋" w:hAnsi="仿宋" w:eastAsia="仿宋" w:cs="仿宋"/>
          <w:color w:val="auto"/>
          <w:sz w:val="24"/>
          <w:szCs w:val="24"/>
          <w:highlight w:val="none"/>
          <w:lang w:val="en-US" w:eastAsia="zh-CN"/>
        </w:rPr>
        <w:t>产生</w:t>
      </w:r>
      <w:r>
        <w:rPr>
          <w:rFonts w:hint="eastAsia" w:ascii="仿宋" w:hAnsi="仿宋" w:eastAsia="仿宋" w:cs="仿宋"/>
          <w:color w:val="auto"/>
          <w:sz w:val="24"/>
          <w:szCs w:val="24"/>
          <w:highlight w:val="none"/>
          <w:lang w:eastAsia="zh-CN"/>
        </w:rPr>
        <w:t>的一切费用。乙方不能按照甲方要求调换的，按不能交货处理。</w:t>
      </w:r>
    </w:p>
    <w:p w14:paraId="4595D0E2">
      <w:pPr>
        <w:keepNext w:val="0"/>
        <w:keepLines w:val="0"/>
        <w:pageBreakBefore w:val="0"/>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除不可抗力原因外，如因乙方的原因造成项目延期，每延误一日，乙方的赔偿费按合同总额的1%计收，不足一天按一天计算，直至交货或提供服务为止，误期赔偿费最高限额为合同总额的20%，同时甲方有权解除合同。</w:t>
      </w:r>
    </w:p>
    <w:p w14:paraId="3D6B6874">
      <w:pPr>
        <w:keepNext w:val="0"/>
        <w:keepLines w:val="0"/>
        <w:pageBreakBefore w:val="0"/>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（3）乙方保证，于本合同签订时及履行过程中持续具备开展本合同项下工作所必须的一切合法有效的主体资格、业务资质。否则，甲方有权解除本合同，并追究乙方相应违约责任。</w:t>
      </w:r>
    </w:p>
    <w:p w14:paraId="76AF6642">
      <w:pPr>
        <w:keepNext w:val="0"/>
        <w:keepLines w:val="0"/>
        <w:pageBreakBefore w:val="0"/>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乙方保证，严格按照国家法律法规规定、各专业规范要求以及本合同约定开展工作。如发现乙方未能按时、按质、按量提供服务的，甲方有权提出限期整改的要求，整改期届满而整改仍未能通过的，甲方有权解除本合同，并要求乙方承担相应违约责任，并应按照合同总额的20%向甲方支付违约金。</w:t>
      </w:r>
    </w:p>
    <w:p w14:paraId="347886DD">
      <w:pPr>
        <w:keepNext w:val="0"/>
        <w:keepLines w:val="0"/>
        <w:pageBreakBefore w:val="0"/>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乙方保证，为开展本合同项下工作所配备的服务代表等全部人员均为正式在册人员、均具备开展工作的合法资质，而不得使用挂靠队伍。乙方应对人员在工作中的安全负责，如发生人员安全事故，乙方负责处理并承担全部责任。</w:t>
      </w:r>
    </w:p>
    <w:p w14:paraId="2A26AB21">
      <w:pPr>
        <w:keepNext w:val="0"/>
        <w:keepLines w:val="0"/>
        <w:pageBreakBefore w:val="0"/>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（6）乙方保证，独立完成本合同项下工作，不得分包、转包任何工作。否则，甲方有权解除本合同，并要求乙方承担相应违约责任，并应按照合同总额的20%向甲方支付违约金。</w:t>
      </w:r>
    </w:p>
    <w:p w14:paraId="69C123F1">
      <w:pPr>
        <w:keepNext w:val="0"/>
        <w:keepLines w:val="0"/>
        <w:pageBreakBefore w:val="0"/>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如因甲方自身原因造成乙方交货期延误，经双方确认后交货期相应顺延，双方互不承担违约责任。</w:t>
      </w:r>
    </w:p>
    <w:p w14:paraId="6B041F5E">
      <w:pPr>
        <w:keepNext w:val="0"/>
        <w:keepLines w:val="0"/>
        <w:pageBreakBefore w:val="0"/>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质量保证期内，如果待训犬的数量、质量与合同不符，或证实待训犬是有缺陷的，包括潜在的缺陷或达不到训练使用要求等，乙方在收到通知后3日内免费更换有缺陷的待训犬。如果乙方在收到通知后7日内没有弥补缺陷，甲方可采取必要的补救措施，由此产生的费用由乙方承担。如乙方未按承诺提供售后服务的，每延误一日，乙方的赔偿费按质量保证金总额的1%计收，误期赔偿费最高限额为质量保证金总额的100%。</w:t>
      </w:r>
    </w:p>
    <w:p w14:paraId="3B2B32D2">
      <w:pPr>
        <w:keepNext w:val="0"/>
        <w:keepLines w:val="0"/>
        <w:pageBreakBefore w:val="0"/>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如因乙方差误造成工作出现问题，乙方应立即负责采取补救措施予以解决，并赔偿由此给甲方造成的一切损失，同时甲方有权拒绝支付这部分费用，已经支付的乙方应当立即返还，返还时按照同期中国人民银行贷款利率计付利息，并按照总额的10%向甲方支付违约金。</w:t>
      </w:r>
    </w:p>
    <w:p w14:paraId="4004195B">
      <w:pPr>
        <w:keepNext w:val="0"/>
        <w:keepLines w:val="0"/>
        <w:pageBreakBefore w:val="0"/>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本合同中对于甲方付款和乙方交付使用有先决条件的约定，按约定执行。</w:t>
      </w:r>
    </w:p>
    <w:p w14:paraId="01FD85DF">
      <w:pPr>
        <w:spacing w:beforeLines="0" w:afterLines="0"/>
        <w:jc w:val="left"/>
        <w:rPr>
          <w:rFonts w:hint="default" w:ascii="微软雅黑" w:hAnsi="微软雅黑" w:eastAsia="微软雅黑"/>
          <w:color w:val="000000"/>
          <w:sz w:val="22"/>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乙方应按本合同约定履行义务，若乙方违约，则甲方有权单方解除合同，并且乙方需向甲方承担赔偿责任，其承担范围包括但不限于：违约金、直接损失、间接损失，甲方因此受到的处罚以及因此受到的损失，甲方因此向第三方承担的违约责任、赔偿责任、实现债权的全部费用（包括但不限于：诉讼费、仲裁费、财产保全费、律师费、鉴定费、公证费、公告费、执行费、拍卖费、保全担保费、住宿费、差旅费等费用）。</w:t>
      </w:r>
    </w:p>
    <w:p w14:paraId="3E1CAA85">
      <w:pPr>
        <w:keepNext w:val="0"/>
        <w:keepLines w:val="0"/>
        <w:pageBreakBefore w:val="0"/>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p>
    <w:p w14:paraId="17036DF5">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sz w:val="24"/>
          <w:szCs w:val="24"/>
          <w:highlight w:val="none"/>
        </w:rPr>
      </w:pPr>
      <w:bookmarkStart w:id="174" w:name="_Toc479943872"/>
      <w:bookmarkStart w:id="175" w:name="_Toc427666541"/>
      <w:bookmarkStart w:id="176" w:name="_Toc480316134"/>
      <w:bookmarkStart w:id="177" w:name="_Toc432684953"/>
      <w:bookmarkStart w:id="178" w:name="_Toc20720"/>
      <w:bookmarkStart w:id="179" w:name="_Toc6518"/>
      <w:r>
        <w:rPr>
          <w:rFonts w:hint="eastAsia" w:ascii="仿宋" w:hAnsi="仿宋" w:eastAsia="仿宋" w:cs="仿宋"/>
          <w:color w:val="auto"/>
          <w:sz w:val="24"/>
          <w:szCs w:val="24"/>
          <w:highlight w:val="none"/>
        </w:rPr>
        <w:t>十七、产权与风险转移</w:t>
      </w:r>
      <w:bookmarkEnd w:id="174"/>
      <w:bookmarkEnd w:id="175"/>
      <w:bookmarkEnd w:id="176"/>
      <w:bookmarkEnd w:id="177"/>
      <w:bookmarkEnd w:id="178"/>
      <w:bookmarkEnd w:id="179"/>
    </w:p>
    <w:p w14:paraId="1E66879A">
      <w:pPr>
        <w:keepNext w:val="0"/>
        <w:keepLines w:val="0"/>
        <w:pageBreakBefore w:val="0"/>
        <w:numPr>
          <w:ilvl w:val="0"/>
          <w:numId w:val="10"/>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bookmarkStart w:id="180" w:name="_Toc399165026"/>
      <w:r>
        <w:rPr>
          <w:rFonts w:hint="eastAsia" w:ascii="仿宋" w:hAnsi="仿宋" w:eastAsia="仿宋" w:cs="仿宋"/>
          <w:color w:val="auto"/>
          <w:sz w:val="24"/>
          <w:szCs w:val="24"/>
          <w:highlight w:val="none"/>
          <w:lang w:eastAsia="zh-CN"/>
        </w:rPr>
        <w:t>犬的产权自到货</w:t>
      </w:r>
      <w:bookmarkEnd w:id="180"/>
      <w:r>
        <w:rPr>
          <w:rFonts w:hint="eastAsia" w:ascii="仿宋" w:hAnsi="仿宋" w:eastAsia="仿宋" w:cs="仿宋"/>
          <w:color w:val="auto"/>
          <w:sz w:val="24"/>
          <w:szCs w:val="24"/>
          <w:highlight w:val="none"/>
          <w:lang w:eastAsia="zh-CN"/>
        </w:rPr>
        <w:t>验收合格之日起由乙方转移至甲方。</w:t>
      </w:r>
    </w:p>
    <w:p w14:paraId="2082C48D">
      <w:pPr>
        <w:keepNext w:val="0"/>
        <w:keepLines w:val="0"/>
        <w:pageBreakBefore w:val="0"/>
        <w:numPr>
          <w:ilvl w:val="0"/>
          <w:numId w:val="10"/>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犬损坏、灭失的风险在产权转移的同时由乙方转移至甲方。</w:t>
      </w:r>
    </w:p>
    <w:p w14:paraId="310D2996">
      <w:pPr>
        <w:keepNext w:val="0"/>
        <w:keepLines w:val="0"/>
        <w:pageBreakBefore w:val="0"/>
        <w:numPr>
          <w:ilvl w:val="0"/>
          <w:numId w:val="10"/>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在拒收情况下，或者解除合同时，待训犬毁损、灭失的风险由乙方承担。</w:t>
      </w:r>
    </w:p>
    <w:p w14:paraId="3759FFEE">
      <w:pPr>
        <w:keepNext w:val="0"/>
        <w:keepLines w:val="0"/>
        <w:pageBreakBefore w:val="0"/>
        <w:numPr>
          <w:ilvl w:val="0"/>
          <w:numId w:val="10"/>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产权和风险的转移，不影响因乙方不按约定履行义务时，甲方要求其承担违约责任的权利。</w:t>
      </w:r>
    </w:p>
    <w:p w14:paraId="1F4EE11B">
      <w:pPr>
        <w:keepNext w:val="0"/>
        <w:keepLines w:val="0"/>
        <w:pageBreakBefore w:val="0"/>
        <w:numPr>
          <w:ilvl w:val="0"/>
          <w:numId w:val="10"/>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乙方交由承运人运输的在途货物，毁损、灭失的风险由乙方承担。</w:t>
      </w:r>
      <w:r>
        <w:rPr>
          <w:rFonts w:hint="eastAsia" w:ascii="仿宋" w:hAnsi="仿宋" w:eastAsia="仿宋" w:cs="仿宋"/>
          <w:color w:val="auto"/>
          <w:sz w:val="24"/>
          <w:szCs w:val="24"/>
          <w:highlight w:val="none"/>
          <w:lang w:eastAsia="zh-CN"/>
        </w:rPr>
        <w:tab/>
      </w:r>
    </w:p>
    <w:p w14:paraId="2365954F">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sz w:val="24"/>
          <w:szCs w:val="24"/>
          <w:highlight w:val="none"/>
          <w:lang w:eastAsia="zh-CN"/>
        </w:rPr>
      </w:pPr>
      <w:bookmarkStart w:id="181" w:name="_Toc427666542"/>
      <w:bookmarkStart w:id="182" w:name="_Toc432684954"/>
      <w:bookmarkStart w:id="183" w:name="_Toc479943873"/>
      <w:bookmarkStart w:id="184" w:name="_Toc480316135"/>
      <w:bookmarkStart w:id="185" w:name="_Toc31452"/>
      <w:bookmarkStart w:id="186" w:name="_Toc18501"/>
      <w:r>
        <w:rPr>
          <w:rFonts w:hint="eastAsia" w:ascii="仿宋" w:hAnsi="仿宋" w:eastAsia="仿宋" w:cs="仿宋"/>
          <w:color w:val="auto"/>
          <w:sz w:val="24"/>
          <w:szCs w:val="24"/>
          <w:highlight w:val="none"/>
          <w:lang w:eastAsia="zh-CN"/>
        </w:rPr>
        <w:t>十八、合同变更</w:t>
      </w:r>
      <w:bookmarkEnd w:id="181"/>
      <w:bookmarkEnd w:id="182"/>
      <w:bookmarkEnd w:id="183"/>
      <w:bookmarkEnd w:id="184"/>
      <w:bookmarkEnd w:id="185"/>
      <w:bookmarkEnd w:id="186"/>
    </w:p>
    <w:p w14:paraId="55C08E85">
      <w:pPr>
        <w:keepNext w:val="0"/>
        <w:keepLines w:val="0"/>
        <w:pageBreakBefore w:val="0"/>
        <w:wordWrap w:val="0"/>
        <w:overflowPunct/>
        <w:topLinePunct w:val="0"/>
        <w:autoSpaceDE w:val="0"/>
        <w:autoSpaceDN w:val="0"/>
        <w:bidi w:val="0"/>
        <w:adjustRightInd w:val="0"/>
        <w:snapToGrid w:val="0"/>
        <w:spacing w:line="0" w:lineRule="atLeast"/>
        <w:ind w:left="425" w:hanging="42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1.乙方根据</w:t>
      </w:r>
      <w:bookmarkStart w:id="187" w:name="_Toc399165027"/>
      <w:r>
        <w:rPr>
          <w:rFonts w:hint="eastAsia" w:ascii="仿宋" w:hAnsi="仿宋" w:eastAsia="仿宋" w:cs="仿宋"/>
          <w:color w:val="auto"/>
          <w:sz w:val="24"/>
          <w:szCs w:val="24"/>
          <w:highlight w:val="none"/>
          <w:lang w:eastAsia="zh-CN"/>
        </w:rPr>
        <w:t>现场实际</w:t>
      </w:r>
      <w:bookmarkEnd w:id="187"/>
      <w:r>
        <w:rPr>
          <w:rFonts w:hint="eastAsia" w:ascii="仿宋" w:hAnsi="仿宋" w:eastAsia="仿宋" w:cs="仿宋"/>
          <w:color w:val="auto"/>
          <w:sz w:val="24"/>
          <w:szCs w:val="24"/>
          <w:highlight w:val="none"/>
          <w:lang w:eastAsia="zh-CN"/>
        </w:rPr>
        <w:t>情况，确实需变更原合同约定的货物，乙方应预先提出变更清单对照表及其变更的理由和证椐，经甲方确认后实施（双方法定代表人或授权代表签署并盖章的文件作为合同附件）。</w:t>
      </w:r>
    </w:p>
    <w:p w14:paraId="7802575F">
      <w:pPr>
        <w:keepNext w:val="0"/>
        <w:keepLines w:val="0"/>
        <w:pageBreakBefore w:val="0"/>
        <w:wordWrap w:val="0"/>
        <w:overflowPunct/>
        <w:topLinePunct w:val="0"/>
        <w:autoSpaceDE w:val="0"/>
        <w:autoSpaceDN w:val="0"/>
        <w:bidi w:val="0"/>
        <w:adjustRightInd w:val="0"/>
        <w:snapToGrid w:val="0"/>
        <w:spacing w:line="0" w:lineRule="atLeast"/>
        <w:ind w:left="425" w:hanging="42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2.无论乙方提供的货物是按原合同的要求或根据现场实际情况变更后的货物，乙方都不能免除对货物应承担的责任。</w:t>
      </w:r>
    </w:p>
    <w:p w14:paraId="1079A0F4">
      <w:pPr>
        <w:keepNext w:val="0"/>
        <w:keepLines w:val="0"/>
        <w:pageBreakBefore w:val="0"/>
        <w:wordWrap w:val="0"/>
        <w:overflowPunct/>
        <w:topLinePunct w:val="0"/>
        <w:autoSpaceDE w:val="0"/>
        <w:autoSpaceDN w:val="0"/>
        <w:bidi w:val="0"/>
        <w:adjustRightInd w:val="0"/>
        <w:snapToGrid w:val="0"/>
        <w:spacing w:line="0" w:lineRule="atLeast"/>
        <w:ind w:left="425" w:hanging="42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3.因甲方的原因变更合同货物的，甲方应书面通知乙方，双方协商后签署有关变更文件。</w:t>
      </w:r>
    </w:p>
    <w:p w14:paraId="30F12F46">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sz w:val="24"/>
          <w:szCs w:val="24"/>
          <w:highlight w:val="none"/>
          <w:lang w:eastAsia="zh-CN"/>
        </w:rPr>
      </w:pPr>
      <w:bookmarkStart w:id="188" w:name="_Toc427666543"/>
      <w:bookmarkStart w:id="189" w:name="_Toc30115"/>
      <w:bookmarkStart w:id="190" w:name="_Toc22201"/>
      <w:bookmarkStart w:id="191" w:name="_Toc480316136"/>
      <w:bookmarkStart w:id="192" w:name="_Toc432684955"/>
      <w:bookmarkStart w:id="193" w:name="_Toc479943874"/>
      <w:r>
        <w:rPr>
          <w:rFonts w:hint="eastAsia" w:ascii="仿宋" w:hAnsi="仿宋" w:eastAsia="仿宋" w:cs="仿宋"/>
          <w:color w:val="auto"/>
          <w:sz w:val="24"/>
          <w:szCs w:val="24"/>
          <w:highlight w:val="none"/>
          <w:lang w:eastAsia="zh-CN"/>
        </w:rPr>
        <w:t>十九、违约终止合同</w:t>
      </w:r>
      <w:bookmarkEnd w:id="188"/>
      <w:bookmarkEnd w:id="189"/>
      <w:bookmarkEnd w:id="190"/>
      <w:bookmarkEnd w:id="191"/>
      <w:bookmarkEnd w:id="192"/>
      <w:bookmarkEnd w:id="193"/>
    </w:p>
    <w:p w14:paraId="230823EE">
      <w:pPr>
        <w:keepNext w:val="0"/>
        <w:keepLines w:val="0"/>
        <w:wordWrap w:val="0"/>
        <w:spacing w:line="0" w:lineRule="atLeas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除本合同另有规定外，乙方未经甲方同意单方面终止本合同，则应按照本合同总金额的30%向甲方支付违约金。</w:t>
      </w:r>
    </w:p>
    <w:p w14:paraId="2292C083">
      <w:pPr>
        <w:pStyle w:val="5"/>
        <w:rPr>
          <w:rFonts w:hint="default"/>
          <w:highlight w:val="none"/>
          <w:lang w:val="en-US" w:eastAsia="zh-CN"/>
        </w:rPr>
      </w:pPr>
    </w:p>
    <w:p w14:paraId="3E724994">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sz w:val="24"/>
          <w:szCs w:val="24"/>
          <w:highlight w:val="none"/>
          <w:lang w:eastAsia="zh-CN"/>
        </w:rPr>
      </w:pPr>
      <w:bookmarkStart w:id="194" w:name="_Toc427666544"/>
      <w:bookmarkStart w:id="195" w:name="_Toc480316137"/>
      <w:bookmarkStart w:id="196" w:name="_Toc432684956"/>
      <w:bookmarkStart w:id="197" w:name="_Toc479943875"/>
      <w:bookmarkStart w:id="198" w:name="_Toc1306"/>
      <w:bookmarkStart w:id="199" w:name="_Toc19241"/>
      <w:r>
        <w:rPr>
          <w:rFonts w:hint="eastAsia" w:ascii="仿宋" w:hAnsi="仿宋" w:eastAsia="仿宋" w:cs="仿宋"/>
          <w:color w:val="auto"/>
          <w:sz w:val="24"/>
          <w:szCs w:val="24"/>
          <w:highlight w:val="none"/>
          <w:lang w:eastAsia="zh-CN"/>
        </w:rPr>
        <w:t>二十、争端的解决和法律适</w:t>
      </w:r>
      <w:bookmarkStart w:id="200" w:name="_Toc399165028"/>
      <w:r>
        <w:rPr>
          <w:rFonts w:hint="eastAsia" w:ascii="仿宋" w:hAnsi="仿宋" w:eastAsia="仿宋" w:cs="仿宋"/>
          <w:color w:val="auto"/>
          <w:sz w:val="24"/>
          <w:szCs w:val="24"/>
          <w:highlight w:val="none"/>
          <w:lang w:eastAsia="zh-CN"/>
        </w:rPr>
        <w:t>用</w:t>
      </w:r>
      <w:bookmarkEnd w:id="194"/>
      <w:bookmarkEnd w:id="195"/>
      <w:bookmarkEnd w:id="196"/>
      <w:bookmarkEnd w:id="197"/>
      <w:bookmarkEnd w:id="198"/>
      <w:bookmarkEnd w:id="199"/>
    </w:p>
    <w:p w14:paraId="2A1ACF69">
      <w:pPr>
        <w:keepNext w:val="0"/>
        <w:keepLines w:val="0"/>
        <w:pageBreakBefore w:val="0"/>
        <w:numPr>
          <w:ilvl w:val="0"/>
          <w:numId w:val="11"/>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合同实施或与合同</w:t>
      </w:r>
      <w:bookmarkEnd w:id="200"/>
      <w:r>
        <w:rPr>
          <w:rFonts w:hint="eastAsia" w:ascii="仿宋" w:hAnsi="仿宋" w:eastAsia="仿宋" w:cs="仿宋"/>
          <w:color w:val="auto"/>
          <w:sz w:val="24"/>
          <w:szCs w:val="24"/>
          <w:highlight w:val="none"/>
          <w:lang w:eastAsia="zh-CN"/>
        </w:rPr>
        <w:t>有关的一切争端应通过双方友好协商解决。如果友好协商开始后还不能解决，任何一方都可向甲方所在地有管辖权的人民法院提起诉讼解决。</w:t>
      </w:r>
    </w:p>
    <w:p w14:paraId="1A5F9A10">
      <w:pPr>
        <w:keepNext w:val="0"/>
        <w:keepLines w:val="0"/>
        <w:pageBreakBefore w:val="0"/>
        <w:numPr>
          <w:ilvl w:val="0"/>
          <w:numId w:val="11"/>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bookmarkStart w:id="201" w:name="_Toc23293"/>
      <w:r>
        <w:rPr>
          <w:rFonts w:hint="eastAsia" w:ascii="仿宋" w:hAnsi="仿宋" w:eastAsia="仿宋" w:cs="仿宋"/>
          <w:color w:val="auto"/>
          <w:sz w:val="24"/>
          <w:szCs w:val="24"/>
          <w:highlight w:val="none"/>
          <w:lang w:eastAsia="zh-CN"/>
        </w:rPr>
        <w:t>本合同应按照中华人民共和国现行法律进行解释。</w:t>
      </w:r>
      <w:bookmarkEnd w:id="201"/>
    </w:p>
    <w:p w14:paraId="37BFE3D9">
      <w:pPr>
        <w:keepNext w:val="0"/>
        <w:keepLines w:val="0"/>
        <w:pageBreakBefore w:val="0"/>
        <w:numPr>
          <w:ilvl w:val="0"/>
          <w:numId w:val="11"/>
        </w:numPr>
        <w:wordWrap w:val="0"/>
        <w:overflowPunct/>
        <w:topLinePunct w:val="0"/>
        <w:autoSpaceDE w:val="0"/>
        <w:autoSpaceDN w:val="0"/>
        <w:bidi w:val="0"/>
        <w:adjustRightInd w:val="0"/>
        <w:snapToGrid w:val="0"/>
        <w:spacing w:line="0" w:lineRule="atLeast"/>
        <w:ind w:left="0" w:firstLine="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若双方同意，如果双方之间的纠纷以诉讼方式解决的，人民法院可以按照本合同“通知”条款约定的双方地址、联系人、电子邮箱号码完成民事审判中的所有送达程序，双方均无异议。</w:t>
      </w:r>
    </w:p>
    <w:p w14:paraId="3E9EE45A">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sz w:val="24"/>
          <w:szCs w:val="24"/>
          <w:highlight w:val="none"/>
        </w:rPr>
      </w:pPr>
      <w:bookmarkStart w:id="202" w:name="_Toc479943876"/>
      <w:bookmarkStart w:id="203" w:name="_Toc480316138"/>
      <w:bookmarkStart w:id="204" w:name="_Toc432684957"/>
      <w:bookmarkStart w:id="205" w:name="_Toc32036"/>
      <w:bookmarkStart w:id="206" w:name="_Toc427666545"/>
      <w:bookmarkStart w:id="207" w:name="_Toc363"/>
      <w:r>
        <w:rPr>
          <w:rFonts w:hint="eastAsia" w:ascii="仿宋" w:hAnsi="仿宋" w:eastAsia="仿宋" w:cs="仿宋"/>
          <w:color w:val="auto"/>
          <w:sz w:val="24"/>
          <w:szCs w:val="24"/>
          <w:highlight w:val="none"/>
        </w:rPr>
        <w:t>二十一、通知</w:t>
      </w:r>
      <w:bookmarkEnd w:id="202"/>
      <w:bookmarkEnd w:id="203"/>
      <w:bookmarkEnd w:id="204"/>
      <w:bookmarkEnd w:id="205"/>
      <w:bookmarkEnd w:id="206"/>
      <w:bookmarkEnd w:id="207"/>
    </w:p>
    <w:p w14:paraId="24056146">
      <w:pPr>
        <w:keepNext w:val="0"/>
        <w:keepLines w:val="0"/>
        <w:pageBreakBefore w:val="0"/>
        <w:numPr>
          <w:ilvl w:val="0"/>
          <w:numId w:val="12"/>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本合同一方给</w:t>
      </w:r>
      <w:bookmarkStart w:id="208" w:name="_Toc399165029"/>
      <w:r>
        <w:rPr>
          <w:rFonts w:hint="eastAsia" w:ascii="仿宋" w:hAnsi="仿宋" w:eastAsia="仿宋" w:cs="仿宋"/>
          <w:color w:val="auto"/>
          <w:sz w:val="24"/>
          <w:szCs w:val="24"/>
          <w:highlight w:val="none"/>
          <w:lang w:eastAsia="zh-CN"/>
        </w:rPr>
        <w:t>对方</w:t>
      </w:r>
      <w:bookmarkEnd w:id="208"/>
      <w:r>
        <w:rPr>
          <w:rFonts w:hint="eastAsia" w:ascii="仿宋" w:hAnsi="仿宋" w:eastAsia="仿宋" w:cs="仿宋"/>
          <w:color w:val="auto"/>
          <w:sz w:val="24"/>
          <w:szCs w:val="24"/>
          <w:highlight w:val="none"/>
          <w:lang w:eastAsia="zh-CN"/>
        </w:rPr>
        <w:t>的通知应用书面形式送达合同中规定的对方的地址，电传或传真要经对方的书面确认。</w:t>
      </w:r>
    </w:p>
    <w:p w14:paraId="2B5AB0C1">
      <w:pPr>
        <w:keepNext w:val="0"/>
        <w:keepLines w:val="0"/>
        <w:pageBreakBefore w:val="0"/>
        <w:numPr>
          <w:ilvl w:val="0"/>
          <w:numId w:val="12"/>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通知以送到日期或通知书的生效日期为生效日期，两者中以较晚的一个日期为准。</w:t>
      </w:r>
    </w:p>
    <w:p w14:paraId="41F0FB68">
      <w:pPr>
        <w:keepNext w:val="0"/>
        <w:keepLines w:val="0"/>
        <w:pageBreakBefore w:val="0"/>
        <w:numPr>
          <w:ilvl w:val="0"/>
          <w:numId w:val="12"/>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方向他方在本协议中标明的地址发送的通知、函件，以查无此人或收件人拒绝接收为由被退回的，视为已送达。一方变更通讯地址，应在变更事由发生后3日内以书面方式通知对方。因变更地址的一方未按协议约定及时通知他方地址变更事项而导致通知无法送达的，视为已送达。</w:t>
      </w:r>
    </w:p>
    <w:p w14:paraId="65527B67">
      <w:pPr>
        <w:keepNext w:val="0"/>
        <w:keepLines w:val="0"/>
        <w:pageBreakBefore w:val="0"/>
        <w:wordWrap w:val="0"/>
        <w:overflowPunct/>
        <w:topLinePunct w:val="0"/>
        <w:autoSpaceDE w:val="0"/>
        <w:autoSpaceDN w:val="0"/>
        <w:bidi w:val="0"/>
        <w:adjustRightInd w:val="0"/>
        <w:snapToGrid w:val="0"/>
        <w:spacing w:line="0" w:lineRule="atLeast"/>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甲方指定的联系人为：         ，联系电话：   电子邮箱号码：</w:t>
      </w:r>
      <w:r>
        <w:rPr>
          <w:rFonts w:hint="eastAsia" w:ascii="仿宋" w:hAnsi="仿宋" w:eastAsia="仿宋" w:cs="仿宋"/>
          <w:color w:val="auto"/>
          <w:sz w:val="24"/>
          <w:szCs w:val="24"/>
          <w:highlight w:val="none"/>
          <w:lang w:val="en-US" w:eastAsia="zh-CN"/>
        </w:rPr>
        <w:t xml:space="preserve">    地址：</w:t>
      </w:r>
    </w:p>
    <w:p w14:paraId="41357B0D">
      <w:pPr>
        <w:keepNext w:val="0"/>
        <w:keepLines w:val="0"/>
        <w:pageBreakBefore w:val="0"/>
        <w:wordWrap w:val="0"/>
        <w:overflowPunct/>
        <w:topLinePunct w:val="0"/>
        <w:autoSpaceDE w:val="0"/>
        <w:autoSpaceDN w:val="0"/>
        <w:bidi w:val="0"/>
        <w:adjustRightInd w:val="0"/>
        <w:snapToGrid w:val="0"/>
        <w:spacing w:line="0" w:lineRule="atLeast"/>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乙方指定的联系人为：         ，联系电话：   电子邮箱号码：</w:t>
      </w:r>
      <w:r>
        <w:rPr>
          <w:rFonts w:hint="eastAsia" w:ascii="仿宋" w:hAnsi="仿宋" w:eastAsia="仿宋" w:cs="仿宋"/>
          <w:color w:val="auto"/>
          <w:sz w:val="24"/>
          <w:szCs w:val="24"/>
          <w:highlight w:val="none"/>
          <w:lang w:val="en-US" w:eastAsia="zh-CN"/>
        </w:rPr>
        <w:t xml:space="preserve">    地址：</w:t>
      </w:r>
    </w:p>
    <w:p w14:paraId="076C7263">
      <w:pPr>
        <w:keepNext w:val="0"/>
        <w:keepLines w:val="0"/>
        <w:pageBreakBefore w:val="0"/>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上述双方指定的联系人如需更换，应在更换后3日内以书面方式通知对方。</w:t>
      </w:r>
    </w:p>
    <w:p w14:paraId="17D21428">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sz w:val="24"/>
          <w:szCs w:val="24"/>
          <w:highlight w:val="none"/>
        </w:rPr>
      </w:pPr>
      <w:bookmarkStart w:id="209" w:name="_Toc14095"/>
      <w:bookmarkStart w:id="210" w:name="_Toc11583"/>
      <w:bookmarkStart w:id="211" w:name="_Toc480316139"/>
      <w:bookmarkStart w:id="212" w:name="_Toc432684958"/>
      <w:bookmarkStart w:id="213" w:name="_Toc479943877"/>
      <w:bookmarkStart w:id="214" w:name="_Toc427666546"/>
      <w:r>
        <w:rPr>
          <w:rFonts w:hint="eastAsia" w:ascii="仿宋" w:hAnsi="仿宋" w:eastAsia="仿宋" w:cs="仿宋"/>
          <w:color w:val="auto"/>
          <w:sz w:val="24"/>
          <w:szCs w:val="24"/>
          <w:highlight w:val="none"/>
        </w:rPr>
        <w:t>二十二、税和关税</w:t>
      </w:r>
      <w:bookmarkEnd w:id="209"/>
      <w:bookmarkEnd w:id="210"/>
      <w:bookmarkEnd w:id="211"/>
      <w:bookmarkEnd w:id="212"/>
      <w:bookmarkEnd w:id="213"/>
      <w:bookmarkEnd w:id="214"/>
    </w:p>
    <w:p w14:paraId="52114BAD">
      <w:pPr>
        <w:keepNext w:val="0"/>
        <w:keepLines w:val="0"/>
        <w:pageBreakBefore w:val="0"/>
        <w:numPr>
          <w:ilvl w:val="0"/>
          <w:numId w:val="13"/>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中国政府</w:t>
      </w:r>
      <w:bookmarkStart w:id="215" w:name="_Toc399165030"/>
      <w:r>
        <w:rPr>
          <w:rFonts w:hint="eastAsia" w:ascii="仿宋" w:hAnsi="仿宋" w:eastAsia="仿宋" w:cs="仿宋"/>
          <w:color w:val="auto"/>
          <w:sz w:val="24"/>
          <w:szCs w:val="24"/>
          <w:highlight w:val="none"/>
          <w:lang w:eastAsia="zh-CN"/>
        </w:rPr>
        <w:t>根据现行</w:t>
      </w:r>
      <w:bookmarkEnd w:id="215"/>
      <w:r>
        <w:rPr>
          <w:rFonts w:hint="eastAsia" w:ascii="仿宋" w:hAnsi="仿宋" w:eastAsia="仿宋" w:cs="仿宋"/>
          <w:color w:val="auto"/>
          <w:sz w:val="24"/>
          <w:szCs w:val="24"/>
          <w:highlight w:val="none"/>
          <w:lang w:eastAsia="zh-CN"/>
        </w:rPr>
        <w:t>税法对甲方征收的与本合同有关的一切税费均应由甲方负担。</w:t>
      </w:r>
    </w:p>
    <w:p w14:paraId="4E036732">
      <w:pPr>
        <w:keepNext w:val="0"/>
        <w:keepLines w:val="0"/>
        <w:pageBreakBefore w:val="0"/>
        <w:numPr>
          <w:ilvl w:val="0"/>
          <w:numId w:val="13"/>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中国政府根据现行的税法规定对乙方或其雇员征收的与本合同有关的一切税费（包括但不限于乙方为制造本合同项下的设备和部件的进口关税、所有货物的国内增值税）均应由乙方负担。</w:t>
      </w:r>
    </w:p>
    <w:p w14:paraId="68CE6449">
      <w:pPr>
        <w:keepNext w:val="0"/>
        <w:keepLines w:val="0"/>
        <w:pageBreakBefore w:val="0"/>
        <w:numPr>
          <w:ilvl w:val="0"/>
          <w:numId w:val="13"/>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在中国境外发生的与本合同执行有关的一切税费均应由乙方负担。</w:t>
      </w:r>
    </w:p>
    <w:p w14:paraId="48AF1E76">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sz w:val="24"/>
          <w:szCs w:val="24"/>
          <w:highlight w:val="none"/>
        </w:rPr>
      </w:pPr>
      <w:bookmarkStart w:id="216" w:name="_Toc30668"/>
      <w:bookmarkStart w:id="217" w:name="_Toc427666547"/>
      <w:bookmarkStart w:id="218" w:name="_Toc12027"/>
      <w:bookmarkStart w:id="219" w:name="_Toc479943878"/>
      <w:bookmarkStart w:id="220" w:name="_Toc432684959"/>
      <w:bookmarkStart w:id="221" w:name="_Toc480316140"/>
      <w:r>
        <w:rPr>
          <w:rFonts w:hint="eastAsia" w:ascii="仿宋" w:hAnsi="仿宋" w:eastAsia="仿宋" w:cs="仿宋"/>
          <w:color w:val="auto"/>
          <w:sz w:val="24"/>
          <w:szCs w:val="24"/>
          <w:highlight w:val="none"/>
        </w:rPr>
        <w:t>二十三、合同生效</w:t>
      </w:r>
      <w:bookmarkEnd w:id="216"/>
      <w:bookmarkEnd w:id="217"/>
      <w:bookmarkEnd w:id="218"/>
      <w:bookmarkEnd w:id="219"/>
      <w:bookmarkEnd w:id="220"/>
      <w:bookmarkEnd w:id="221"/>
    </w:p>
    <w:p w14:paraId="4BF47F44">
      <w:pPr>
        <w:keepNext w:val="0"/>
        <w:keepLines w:val="0"/>
        <w:pageBreakBefore w:val="0"/>
        <w:numPr>
          <w:ilvl w:val="0"/>
          <w:numId w:val="14"/>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合同经双</w:t>
      </w:r>
      <w:bookmarkStart w:id="222" w:name="_Toc399165031"/>
      <w:r>
        <w:rPr>
          <w:rFonts w:hint="eastAsia" w:ascii="仿宋" w:hAnsi="仿宋" w:eastAsia="仿宋" w:cs="仿宋"/>
          <w:color w:val="auto"/>
          <w:sz w:val="24"/>
          <w:szCs w:val="24"/>
          <w:highlight w:val="none"/>
          <w:lang w:eastAsia="zh-CN"/>
        </w:rPr>
        <w:t>方授权代</w:t>
      </w:r>
      <w:bookmarkEnd w:id="222"/>
      <w:r>
        <w:rPr>
          <w:rFonts w:hint="eastAsia" w:ascii="仿宋" w:hAnsi="仿宋" w:eastAsia="仿宋" w:cs="仿宋"/>
          <w:color w:val="auto"/>
          <w:sz w:val="24"/>
          <w:szCs w:val="24"/>
          <w:highlight w:val="none"/>
          <w:lang w:eastAsia="zh-CN"/>
        </w:rPr>
        <w:t>表签字盖章；</w:t>
      </w:r>
    </w:p>
    <w:p w14:paraId="248035D2">
      <w:pPr>
        <w:keepNext w:val="0"/>
        <w:keepLines w:val="0"/>
        <w:pageBreakBefore w:val="0"/>
        <w:numPr>
          <w:ilvl w:val="0"/>
          <w:numId w:val="14"/>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满足上述第1条，以实现的日期为准本合同即时生效。</w:t>
      </w:r>
    </w:p>
    <w:p w14:paraId="26EF875A">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sz w:val="24"/>
          <w:szCs w:val="24"/>
          <w:highlight w:val="none"/>
        </w:rPr>
      </w:pPr>
      <w:bookmarkStart w:id="223" w:name="_Toc479943879"/>
      <w:bookmarkStart w:id="224" w:name="_Toc427666548"/>
      <w:bookmarkStart w:id="225" w:name="_Toc1806"/>
      <w:bookmarkStart w:id="226" w:name="_Toc480316141"/>
      <w:bookmarkStart w:id="227" w:name="_Toc432684960"/>
      <w:bookmarkStart w:id="228" w:name="_Toc15173"/>
      <w:r>
        <w:rPr>
          <w:rFonts w:hint="eastAsia" w:ascii="仿宋" w:hAnsi="仿宋" w:eastAsia="仿宋" w:cs="仿宋"/>
          <w:color w:val="auto"/>
          <w:sz w:val="24"/>
          <w:szCs w:val="24"/>
          <w:highlight w:val="none"/>
        </w:rPr>
        <w:t>二十四、其它</w:t>
      </w:r>
      <w:bookmarkEnd w:id="223"/>
      <w:bookmarkEnd w:id="224"/>
      <w:bookmarkEnd w:id="225"/>
      <w:bookmarkEnd w:id="226"/>
      <w:bookmarkEnd w:id="227"/>
      <w:bookmarkEnd w:id="228"/>
    </w:p>
    <w:p w14:paraId="407240C7">
      <w:pPr>
        <w:keepNext w:val="0"/>
        <w:keepLines w:val="0"/>
        <w:pageBreakBefore w:val="0"/>
        <w:numPr>
          <w:ilvl w:val="0"/>
          <w:numId w:val="15"/>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合同之所有附</w:t>
      </w:r>
      <w:bookmarkStart w:id="229" w:name="_Toc399165032"/>
      <w:r>
        <w:rPr>
          <w:rFonts w:hint="eastAsia" w:ascii="仿宋" w:hAnsi="仿宋" w:eastAsia="仿宋" w:cs="仿宋"/>
          <w:color w:val="auto"/>
          <w:sz w:val="24"/>
          <w:szCs w:val="24"/>
          <w:highlight w:val="none"/>
          <w:lang w:eastAsia="zh-CN"/>
        </w:rPr>
        <w:t>件均</w:t>
      </w:r>
      <w:bookmarkEnd w:id="229"/>
      <w:r>
        <w:rPr>
          <w:rFonts w:hint="eastAsia" w:ascii="仿宋" w:hAnsi="仿宋" w:eastAsia="仿宋" w:cs="仿宋"/>
          <w:color w:val="auto"/>
          <w:sz w:val="24"/>
          <w:szCs w:val="24"/>
          <w:highlight w:val="none"/>
          <w:lang w:eastAsia="zh-CN"/>
        </w:rPr>
        <w:t>为合同的有效组成部分，与本合同具有同样法律效力。</w:t>
      </w:r>
    </w:p>
    <w:p w14:paraId="236E2538">
      <w:pPr>
        <w:keepNext w:val="0"/>
        <w:keepLines w:val="0"/>
        <w:pageBreakBefore w:val="0"/>
        <w:numPr>
          <w:ilvl w:val="0"/>
          <w:numId w:val="15"/>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在执行本合同的过程中，所有买卖双方由法定代表人、授权代表签署确认并经双方加盖印章的文件（包括会议纪要、补充协议、往来信函）即成为本合同的有效组成部分，其生效日期为双方签字盖章或确认之日期。除非有特别说明，本合同所有有效组成部分中相矛盾的条款以生效日期较后的条款为准。</w:t>
      </w:r>
    </w:p>
    <w:p w14:paraId="109AC9C4">
      <w:pPr>
        <w:keepNext w:val="0"/>
        <w:keepLines w:val="0"/>
        <w:pageBreakBefore w:val="0"/>
        <w:numPr>
          <w:ilvl w:val="0"/>
          <w:numId w:val="15"/>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除甲方事先书面同意外，乙方不得部分或全部转让其应履行的合同项下的义务。</w:t>
      </w:r>
    </w:p>
    <w:p w14:paraId="2F5C924D">
      <w:pPr>
        <w:keepNext w:val="0"/>
        <w:keepLines w:val="0"/>
        <w:pageBreakBefore w:val="0"/>
        <w:numPr>
          <w:ilvl w:val="0"/>
          <w:numId w:val="15"/>
        </w:numPr>
        <w:wordWrap w:val="0"/>
        <w:overflowPunct/>
        <w:topLinePunct w:val="0"/>
        <w:autoSpaceDE w:val="0"/>
        <w:autoSpaceDN w:val="0"/>
        <w:bidi w:val="0"/>
        <w:adjustRightInd w:val="0"/>
        <w:snapToGrid w:val="0"/>
        <w:spacing w:line="0" w:lineRule="atLeast"/>
        <w:jc w:val="both"/>
        <w:rPr>
          <w:rFonts w:hint="eastAsia" w:ascii="仿宋" w:hAnsi="仿宋" w:eastAsia="仿宋" w:cs="仿宋"/>
          <w:color w:val="auto"/>
          <w:sz w:val="24"/>
          <w:szCs w:val="24"/>
          <w:highlight w:val="none"/>
          <w:lang w:eastAsia="zh-CN"/>
        </w:rPr>
      </w:pPr>
      <w:bookmarkStart w:id="230" w:name="_Toc8125"/>
      <w:r>
        <w:rPr>
          <w:rFonts w:hint="eastAsia" w:ascii="仿宋" w:hAnsi="仿宋" w:eastAsia="仿宋" w:cs="仿宋"/>
          <w:color w:val="auto"/>
          <w:sz w:val="24"/>
          <w:szCs w:val="24"/>
          <w:highlight w:val="none"/>
          <w:lang w:eastAsia="zh-CN"/>
        </w:rPr>
        <w:t>本合同一式捌份，甲方执陆份，乙方执贰份。</w:t>
      </w:r>
      <w:bookmarkEnd w:id="230"/>
    </w:p>
    <w:p w14:paraId="6DD3EFC9">
      <w:pPr>
        <w:pStyle w:val="3"/>
        <w:keepNext w:val="0"/>
        <w:keepLines w:val="0"/>
        <w:pageBreakBefore w:val="0"/>
        <w:pBdr>
          <w:bottom w:val="single" w:color="622423" w:sz="4" w:space="1"/>
        </w:pBdr>
        <w:wordWrap w:val="0"/>
        <w:overflowPunct/>
        <w:topLinePunct w:val="0"/>
        <w:autoSpaceDE w:val="0"/>
        <w:autoSpaceDN w:val="0"/>
        <w:bidi w:val="0"/>
        <w:adjustRightInd w:val="0"/>
        <w:snapToGrid w:val="0"/>
        <w:spacing w:line="0" w:lineRule="atLeast"/>
        <w:jc w:val="center"/>
        <w:rPr>
          <w:rFonts w:hint="eastAsia" w:ascii="仿宋" w:hAnsi="仿宋" w:eastAsia="仿宋" w:cs="仿宋"/>
          <w:color w:val="auto"/>
          <w:sz w:val="24"/>
          <w:szCs w:val="24"/>
          <w:highlight w:val="none"/>
          <w:lang w:eastAsia="zh-CN"/>
        </w:rPr>
      </w:pPr>
      <w:bookmarkStart w:id="231" w:name="_Toc26079"/>
      <w:bookmarkStart w:id="232" w:name="_Toc480316142"/>
      <w:bookmarkStart w:id="233" w:name="_Toc27826"/>
      <w:bookmarkStart w:id="234" w:name="_Toc479943880"/>
      <w:r>
        <w:rPr>
          <w:rFonts w:hint="eastAsia" w:ascii="仿宋" w:hAnsi="仿宋" w:eastAsia="仿宋" w:cs="仿宋"/>
          <w:color w:val="auto"/>
          <w:sz w:val="24"/>
          <w:szCs w:val="24"/>
          <w:highlight w:val="none"/>
          <w:lang w:eastAsia="zh-CN"/>
        </w:rPr>
        <w:t>二十五、合同附件</w:t>
      </w:r>
      <w:bookmarkEnd w:id="231"/>
      <w:bookmarkEnd w:id="232"/>
      <w:bookmarkEnd w:id="233"/>
      <w:bookmarkEnd w:id="234"/>
    </w:p>
    <w:p w14:paraId="535701DE">
      <w:pPr>
        <w:keepNext w:val="0"/>
        <w:keepLines w:val="0"/>
        <w:pageBreakBefore w:val="0"/>
        <w:wordWrap w:val="0"/>
        <w:overflowPunct/>
        <w:topLinePunct w:val="0"/>
        <w:autoSpaceDE w:val="0"/>
        <w:autoSpaceDN w:val="0"/>
        <w:bidi w:val="0"/>
        <w:adjustRightInd w:val="0"/>
        <w:snapToGrid w:val="0"/>
        <w:spacing w:line="0" w:lineRule="atLeast"/>
        <w:rPr>
          <w:rFonts w:hint="eastAsia" w:ascii="仿宋" w:hAnsi="仿宋" w:eastAsia="仿宋" w:cs="仿宋"/>
          <w:color w:val="auto"/>
          <w:sz w:val="24"/>
          <w:szCs w:val="24"/>
          <w:highlight w:val="none"/>
          <w:lang w:eastAsia="zh-CN"/>
        </w:rPr>
      </w:pPr>
      <w:bookmarkStart w:id="235" w:name="_Toc30797"/>
      <w:r>
        <w:rPr>
          <w:rFonts w:hint="eastAsia" w:ascii="仿宋" w:hAnsi="仿宋" w:eastAsia="仿宋" w:cs="仿宋"/>
          <w:color w:val="auto"/>
          <w:sz w:val="24"/>
          <w:szCs w:val="24"/>
          <w:highlight w:val="none"/>
          <w:lang w:eastAsia="zh-CN"/>
        </w:rPr>
        <w:t>附件一、最终报价一览表</w:t>
      </w:r>
      <w:bookmarkEnd w:id="235"/>
    </w:p>
    <w:p w14:paraId="3DBE60B1">
      <w:pPr>
        <w:keepNext w:val="0"/>
        <w:keepLines w:val="0"/>
        <w:pageBreakBefore w:val="0"/>
        <w:wordWrap w:val="0"/>
        <w:overflowPunct/>
        <w:topLinePunct w:val="0"/>
        <w:autoSpaceDE w:val="0"/>
        <w:autoSpaceDN w:val="0"/>
        <w:bidi w:val="0"/>
        <w:adjustRightInd w:val="0"/>
        <w:snapToGrid w:val="0"/>
        <w:spacing w:line="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附件二、投标报价明细表</w:t>
      </w:r>
    </w:p>
    <w:p w14:paraId="63099FB0">
      <w:pPr>
        <w:keepNext w:val="0"/>
        <w:keepLines w:val="0"/>
        <w:pageBreakBefore w:val="0"/>
        <w:wordWrap w:val="0"/>
        <w:overflowPunct/>
        <w:topLinePunct w:val="0"/>
        <w:autoSpaceDE w:val="0"/>
        <w:autoSpaceDN w:val="0"/>
        <w:bidi w:val="0"/>
        <w:adjustRightInd w:val="0"/>
        <w:snapToGrid w:val="0"/>
        <w:spacing w:line="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附件三、产品售后服务承诺书技术参数及其他</w:t>
      </w:r>
    </w:p>
    <w:p w14:paraId="2E624E6E">
      <w:pPr>
        <w:keepNext w:val="0"/>
        <w:keepLines w:val="0"/>
        <w:pageBreakBefore w:val="0"/>
        <w:wordWrap w:val="0"/>
        <w:overflowPunct/>
        <w:topLinePunct w:val="0"/>
        <w:autoSpaceDE w:val="0"/>
        <w:autoSpaceDN w:val="0"/>
        <w:bidi w:val="0"/>
        <w:adjustRightInd w:val="0"/>
        <w:snapToGrid w:val="0"/>
        <w:spacing w:line="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附件四、质量保证函格式</w:t>
      </w:r>
    </w:p>
    <w:p w14:paraId="45E77E23">
      <w:pPr>
        <w:pStyle w:val="5"/>
        <w:rPr>
          <w:rFonts w:hint="eastAsia"/>
          <w:color w:val="auto"/>
          <w:highlight w:val="none"/>
          <w:lang w:eastAsia="zh-CN"/>
        </w:rPr>
      </w:pPr>
    </w:p>
    <w:tbl>
      <w:tblPr>
        <w:tblStyle w:val="13"/>
        <w:tblW w:w="0" w:type="auto"/>
        <w:jc w:val="center"/>
        <w:tblLayout w:type="fixed"/>
        <w:tblCellMar>
          <w:top w:w="0" w:type="dxa"/>
          <w:left w:w="108" w:type="dxa"/>
          <w:bottom w:w="0" w:type="dxa"/>
          <w:right w:w="108" w:type="dxa"/>
        </w:tblCellMar>
      </w:tblPr>
      <w:tblGrid>
        <w:gridCol w:w="5221"/>
        <w:gridCol w:w="4709"/>
      </w:tblGrid>
      <w:tr w14:paraId="12D64EC7">
        <w:tblPrEx>
          <w:tblCellMar>
            <w:top w:w="0" w:type="dxa"/>
            <w:left w:w="108" w:type="dxa"/>
            <w:bottom w:w="0" w:type="dxa"/>
            <w:right w:w="108" w:type="dxa"/>
          </w:tblCellMar>
        </w:tblPrEx>
        <w:trPr>
          <w:trHeight w:val="404" w:hRule="atLeast"/>
          <w:jc w:val="center"/>
        </w:trPr>
        <w:tc>
          <w:tcPr>
            <w:tcW w:w="5221" w:type="dxa"/>
          </w:tcPr>
          <w:p w14:paraId="414A979D">
            <w:pPr>
              <w:keepNext w:val="0"/>
              <w:keepLines w:val="0"/>
              <w:pageBreakBefore w:val="0"/>
              <w:tabs>
                <w:tab w:val="left" w:pos="720"/>
              </w:tabs>
              <w:wordWrap w:val="0"/>
              <w:overflowPunct/>
              <w:topLinePunct w:val="0"/>
              <w:autoSpaceDE w:val="0"/>
              <w:autoSpaceDN w:val="0"/>
              <w:bidi w:val="0"/>
              <w:adjustRightInd w:val="0"/>
              <w:snapToGrid w:val="0"/>
              <w:spacing w:line="440" w:lineRule="exact"/>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甲方（盖章）：</w:t>
            </w:r>
            <w:r>
              <w:rPr>
                <w:rFonts w:hint="eastAsia" w:ascii="仿宋" w:hAnsi="仿宋" w:eastAsia="仿宋" w:cs="仿宋"/>
                <w:color w:val="auto"/>
                <w:sz w:val="24"/>
                <w:szCs w:val="24"/>
                <w:highlight w:val="none"/>
                <w:lang w:eastAsia="zh-CN"/>
              </w:rPr>
              <w:t>中华人民共和国中华人民共和国新疆出入境边防检查总站</w:t>
            </w:r>
          </w:p>
        </w:tc>
        <w:tc>
          <w:tcPr>
            <w:tcW w:w="4709" w:type="dxa"/>
          </w:tcPr>
          <w:p w14:paraId="6E49CD38">
            <w:pPr>
              <w:keepNext w:val="0"/>
              <w:keepLines w:val="0"/>
              <w:pageBreakBefore w:val="0"/>
              <w:wordWrap w:val="0"/>
              <w:overflowPunct/>
              <w:topLinePunct w:val="0"/>
              <w:autoSpaceDE w:val="0"/>
              <w:autoSpaceDN w:val="0"/>
              <w:bidi w:val="0"/>
              <w:adjustRightInd w:val="0"/>
              <w:snapToGrid w:val="0"/>
              <w:spacing w:line="440" w:lineRule="exact"/>
              <w:ind w:left="1560" w:hanging="1560" w:hangingChars="65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 xml:space="preserve">乙方（盖章）：                                            </w:t>
            </w:r>
          </w:p>
        </w:tc>
      </w:tr>
      <w:tr w14:paraId="5A447598">
        <w:tblPrEx>
          <w:tblCellMar>
            <w:top w:w="0" w:type="dxa"/>
            <w:left w:w="108" w:type="dxa"/>
            <w:bottom w:w="0" w:type="dxa"/>
            <w:right w:w="108" w:type="dxa"/>
          </w:tblCellMar>
        </w:tblPrEx>
        <w:trPr>
          <w:trHeight w:val="745" w:hRule="atLeast"/>
          <w:jc w:val="center"/>
        </w:trPr>
        <w:tc>
          <w:tcPr>
            <w:tcW w:w="5221" w:type="dxa"/>
            <w:vAlign w:val="center"/>
          </w:tcPr>
          <w:p w14:paraId="053244D5">
            <w:pPr>
              <w:keepNext w:val="0"/>
              <w:keepLines w:val="0"/>
              <w:pageBreakBefore w:val="0"/>
              <w:wordWrap w:val="0"/>
              <w:overflowPunct/>
              <w:topLinePunct w:val="0"/>
              <w:autoSpaceDE w:val="0"/>
              <w:autoSpaceDN w:val="0"/>
              <w:bidi w:val="0"/>
              <w:adjustRightInd w:val="0"/>
              <w:snapToGrid w:val="0"/>
              <w:spacing w:line="440" w:lineRule="exac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 xml:space="preserve">法定代表人： </w:t>
            </w:r>
          </w:p>
        </w:tc>
        <w:tc>
          <w:tcPr>
            <w:tcW w:w="4709" w:type="dxa"/>
            <w:vAlign w:val="center"/>
          </w:tcPr>
          <w:p w14:paraId="24A622FE">
            <w:pPr>
              <w:keepNext w:val="0"/>
              <w:keepLines w:val="0"/>
              <w:pageBreakBefore w:val="0"/>
              <w:wordWrap w:val="0"/>
              <w:overflowPunct/>
              <w:topLinePunct w:val="0"/>
              <w:autoSpaceDE w:val="0"/>
              <w:autoSpaceDN w:val="0"/>
              <w:bidi w:val="0"/>
              <w:adjustRightInd w:val="0"/>
              <w:snapToGrid w:val="0"/>
              <w:spacing w:line="440" w:lineRule="exac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法定代表人：</w:t>
            </w:r>
          </w:p>
        </w:tc>
      </w:tr>
      <w:tr w14:paraId="5BB4277E">
        <w:tblPrEx>
          <w:tblCellMar>
            <w:top w:w="0" w:type="dxa"/>
            <w:left w:w="108" w:type="dxa"/>
            <w:bottom w:w="0" w:type="dxa"/>
            <w:right w:w="108" w:type="dxa"/>
          </w:tblCellMar>
        </w:tblPrEx>
        <w:trPr>
          <w:trHeight w:val="939" w:hRule="atLeast"/>
          <w:jc w:val="center"/>
        </w:trPr>
        <w:tc>
          <w:tcPr>
            <w:tcW w:w="5221" w:type="dxa"/>
            <w:vAlign w:val="center"/>
          </w:tcPr>
          <w:p w14:paraId="6F909433">
            <w:pPr>
              <w:keepNext w:val="0"/>
              <w:keepLines w:val="0"/>
              <w:pageBreakBefore w:val="0"/>
              <w:wordWrap w:val="0"/>
              <w:overflowPunct/>
              <w:topLinePunct w:val="0"/>
              <w:autoSpaceDE w:val="0"/>
              <w:autoSpaceDN w:val="0"/>
              <w:bidi w:val="0"/>
              <w:adjustRightInd w:val="0"/>
              <w:snapToGrid w:val="0"/>
              <w:spacing w:line="440" w:lineRule="exac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甲方代表（签字）：</w:t>
            </w:r>
          </w:p>
        </w:tc>
        <w:tc>
          <w:tcPr>
            <w:tcW w:w="4709" w:type="dxa"/>
            <w:vAlign w:val="center"/>
          </w:tcPr>
          <w:p w14:paraId="0BD9A8F0">
            <w:pPr>
              <w:keepNext w:val="0"/>
              <w:keepLines w:val="0"/>
              <w:pageBreakBefore w:val="0"/>
              <w:wordWrap w:val="0"/>
              <w:overflowPunct/>
              <w:topLinePunct w:val="0"/>
              <w:autoSpaceDE w:val="0"/>
              <w:autoSpaceDN w:val="0"/>
              <w:bidi w:val="0"/>
              <w:adjustRightInd w:val="0"/>
              <w:snapToGrid w:val="0"/>
              <w:spacing w:line="440" w:lineRule="exac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乙方代表（签字）：</w:t>
            </w:r>
          </w:p>
        </w:tc>
      </w:tr>
      <w:tr w14:paraId="2B0E7DF2">
        <w:tblPrEx>
          <w:tblCellMar>
            <w:top w:w="0" w:type="dxa"/>
            <w:left w:w="108" w:type="dxa"/>
            <w:bottom w:w="0" w:type="dxa"/>
            <w:right w:w="108" w:type="dxa"/>
          </w:tblCellMar>
        </w:tblPrEx>
        <w:trPr>
          <w:trHeight w:val="794" w:hRule="atLeast"/>
          <w:jc w:val="center"/>
        </w:trPr>
        <w:tc>
          <w:tcPr>
            <w:tcW w:w="5221" w:type="dxa"/>
            <w:vAlign w:val="center"/>
          </w:tcPr>
          <w:p w14:paraId="5A116266">
            <w:pPr>
              <w:keepNext w:val="0"/>
              <w:keepLines w:val="0"/>
              <w:pageBreakBefore w:val="0"/>
              <w:wordWrap w:val="0"/>
              <w:overflowPunct/>
              <w:topLinePunct w:val="0"/>
              <w:autoSpaceDE w:val="0"/>
              <w:autoSpaceDN w:val="0"/>
              <w:bidi w:val="0"/>
              <w:adjustRightInd w:val="0"/>
              <w:snapToGrid w:val="0"/>
              <w:spacing w:line="440" w:lineRule="exact"/>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地址：</w:t>
            </w:r>
            <w:r>
              <w:rPr>
                <w:rFonts w:hint="eastAsia" w:ascii="仿宋" w:hAnsi="仿宋" w:eastAsia="仿宋" w:cs="仿宋"/>
                <w:color w:val="auto"/>
                <w:sz w:val="24"/>
                <w:szCs w:val="24"/>
                <w:highlight w:val="none"/>
                <w:lang w:eastAsia="zh-CN"/>
              </w:rPr>
              <w:t>乌鲁木齐团结路1551号（中华人民共和国新疆出入境边防检查总站）</w:t>
            </w:r>
          </w:p>
        </w:tc>
        <w:tc>
          <w:tcPr>
            <w:tcW w:w="4709" w:type="dxa"/>
            <w:vAlign w:val="center"/>
          </w:tcPr>
          <w:p w14:paraId="03BC25A7">
            <w:pPr>
              <w:keepNext w:val="0"/>
              <w:keepLines w:val="0"/>
              <w:pageBreakBefore w:val="0"/>
              <w:wordWrap w:val="0"/>
              <w:overflowPunct/>
              <w:topLinePunct w:val="0"/>
              <w:autoSpaceDE w:val="0"/>
              <w:autoSpaceDN w:val="0"/>
              <w:bidi w:val="0"/>
              <w:adjustRightInd w:val="0"/>
              <w:snapToGrid w:val="0"/>
              <w:spacing w:line="440" w:lineRule="exact"/>
              <w:ind w:left="660" w:hanging="660" w:hangingChars="275"/>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地址：</w:t>
            </w:r>
          </w:p>
        </w:tc>
      </w:tr>
      <w:tr w14:paraId="29FF1B26">
        <w:tblPrEx>
          <w:tblCellMar>
            <w:top w:w="0" w:type="dxa"/>
            <w:left w:w="108" w:type="dxa"/>
            <w:bottom w:w="0" w:type="dxa"/>
            <w:right w:w="108" w:type="dxa"/>
          </w:tblCellMar>
        </w:tblPrEx>
        <w:trPr>
          <w:trHeight w:val="717" w:hRule="atLeast"/>
          <w:jc w:val="center"/>
        </w:trPr>
        <w:tc>
          <w:tcPr>
            <w:tcW w:w="5221" w:type="dxa"/>
            <w:vAlign w:val="center"/>
          </w:tcPr>
          <w:p w14:paraId="36440C38">
            <w:pPr>
              <w:keepNext w:val="0"/>
              <w:keepLines w:val="0"/>
              <w:pageBreakBefore w:val="0"/>
              <w:wordWrap w:val="0"/>
              <w:overflowPunct/>
              <w:topLinePunct w:val="0"/>
              <w:autoSpaceDE w:val="0"/>
              <w:autoSpaceDN w:val="0"/>
              <w:bidi w:val="0"/>
              <w:adjustRightInd w:val="0"/>
              <w:snapToGrid w:val="0"/>
              <w:spacing w:line="440" w:lineRule="exac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电话：</w:t>
            </w:r>
            <w:r>
              <w:rPr>
                <w:rFonts w:hint="eastAsia" w:ascii="仿宋" w:hAnsi="仿宋" w:eastAsia="仿宋" w:cs="仿宋"/>
                <w:color w:val="auto"/>
                <w:sz w:val="24"/>
                <w:szCs w:val="24"/>
                <w:highlight w:val="none"/>
              </w:rPr>
              <w:t>0991-8512158</w:t>
            </w:r>
          </w:p>
        </w:tc>
        <w:tc>
          <w:tcPr>
            <w:tcW w:w="4709" w:type="dxa"/>
            <w:vAlign w:val="center"/>
          </w:tcPr>
          <w:p w14:paraId="3766BE5C">
            <w:pPr>
              <w:keepNext w:val="0"/>
              <w:keepLines w:val="0"/>
              <w:pageBreakBefore w:val="0"/>
              <w:wordWrap w:val="0"/>
              <w:overflowPunct/>
              <w:topLinePunct w:val="0"/>
              <w:autoSpaceDE w:val="0"/>
              <w:autoSpaceDN w:val="0"/>
              <w:bidi w:val="0"/>
              <w:adjustRightInd w:val="0"/>
              <w:snapToGrid w:val="0"/>
              <w:spacing w:line="440" w:lineRule="exac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 xml:space="preserve">电话： </w:t>
            </w:r>
          </w:p>
        </w:tc>
      </w:tr>
      <w:tr w14:paraId="30870E15">
        <w:tblPrEx>
          <w:tblCellMar>
            <w:top w:w="0" w:type="dxa"/>
            <w:left w:w="108" w:type="dxa"/>
            <w:bottom w:w="0" w:type="dxa"/>
            <w:right w:w="108" w:type="dxa"/>
          </w:tblCellMar>
        </w:tblPrEx>
        <w:trPr>
          <w:trHeight w:val="569" w:hRule="atLeast"/>
          <w:jc w:val="center"/>
        </w:trPr>
        <w:tc>
          <w:tcPr>
            <w:tcW w:w="5221" w:type="dxa"/>
            <w:vAlign w:val="center"/>
          </w:tcPr>
          <w:p w14:paraId="1BAF27A4">
            <w:pPr>
              <w:keepNext w:val="0"/>
              <w:keepLines w:val="0"/>
              <w:pageBreakBefore w:val="0"/>
              <w:wordWrap w:val="0"/>
              <w:overflowPunct/>
              <w:topLinePunct w:val="0"/>
              <w:autoSpaceDE w:val="0"/>
              <w:autoSpaceDN w:val="0"/>
              <w:bidi w:val="0"/>
              <w:adjustRightInd w:val="0"/>
              <w:snapToGrid w:val="0"/>
              <w:spacing w:line="440" w:lineRule="exac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传真：</w:t>
            </w:r>
          </w:p>
        </w:tc>
        <w:tc>
          <w:tcPr>
            <w:tcW w:w="4709" w:type="dxa"/>
            <w:vAlign w:val="center"/>
          </w:tcPr>
          <w:p w14:paraId="5ACB3EB1">
            <w:pPr>
              <w:keepNext w:val="0"/>
              <w:keepLines w:val="0"/>
              <w:pageBreakBefore w:val="0"/>
              <w:wordWrap w:val="0"/>
              <w:overflowPunct/>
              <w:topLinePunct w:val="0"/>
              <w:autoSpaceDE w:val="0"/>
              <w:autoSpaceDN w:val="0"/>
              <w:bidi w:val="0"/>
              <w:adjustRightInd w:val="0"/>
              <w:snapToGrid w:val="0"/>
              <w:spacing w:line="440" w:lineRule="exac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传真：</w:t>
            </w:r>
          </w:p>
        </w:tc>
      </w:tr>
      <w:tr w14:paraId="06A1AD6A">
        <w:tblPrEx>
          <w:tblCellMar>
            <w:top w:w="0" w:type="dxa"/>
            <w:left w:w="108" w:type="dxa"/>
            <w:bottom w:w="0" w:type="dxa"/>
            <w:right w:w="108" w:type="dxa"/>
          </w:tblCellMar>
        </w:tblPrEx>
        <w:trPr>
          <w:trHeight w:val="674" w:hRule="atLeast"/>
          <w:jc w:val="center"/>
        </w:trPr>
        <w:tc>
          <w:tcPr>
            <w:tcW w:w="5221" w:type="dxa"/>
            <w:vAlign w:val="center"/>
          </w:tcPr>
          <w:p w14:paraId="5F4365B1">
            <w:pPr>
              <w:keepNext w:val="0"/>
              <w:keepLines w:val="0"/>
              <w:pageBreakBefore w:val="0"/>
              <w:wordWrap w:val="0"/>
              <w:overflowPunct/>
              <w:topLinePunct w:val="0"/>
              <w:autoSpaceDE w:val="0"/>
              <w:autoSpaceDN w:val="0"/>
              <w:bidi w:val="0"/>
              <w:adjustRightInd w:val="0"/>
              <w:snapToGrid w:val="0"/>
              <w:spacing w:line="440" w:lineRule="exact"/>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开户银行：</w:t>
            </w:r>
            <w:r>
              <w:rPr>
                <w:rFonts w:hint="eastAsia" w:ascii="仿宋" w:hAnsi="仿宋" w:eastAsia="仿宋" w:cs="仿宋"/>
                <w:color w:val="auto"/>
                <w:sz w:val="24"/>
                <w:szCs w:val="24"/>
                <w:highlight w:val="none"/>
                <w:lang w:eastAsia="zh-CN"/>
              </w:rPr>
              <w:t>中国工商银行乌鲁木齐钱塘江路支行</w:t>
            </w:r>
          </w:p>
        </w:tc>
        <w:tc>
          <w:tcPr>
            <w:tcW w:w="4709" w:type="dxa"/>
            <w:vAlign w:val="center"/>
          </w:tcPr>
          <w:p w14:paraId="2E7D024D">
            <w:pPr>
              <w:keepNext w:val="0"/>
              <w:keepLines w:val="0"/>
              <w:pageBreakBefore w:val="0"/>
              <w:wordWrap w:val="0"/>
              <w:overflowPunct/>
              <w:topLinePunct w:val="0"/>
              <w:autoSpaceDE w:val="0"/>
              <w:autoSpaceDN w:val="0"/>
              <w:bidi w:val="0"/>
              <w:adjustRightInd w:val="0"/>
              <w:snapToGrid w:val="0"/>
              <w:spacing w:line="440" w:lineRule="exac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开户银行：</w:t>
            </w:r>
          </w:p>
        </w:tc>
      </w:tr>
      <w:tr w14:paraId="47AF3329">
        <w:tblPrEx>
          <w:tblCellMar>
            <w:top w:w="0" w:type="dxa"/>
            <w:left w:w="108" w:type="dxa"/>
            <w:bottom w:w="0" w:type="dxa"/>
            <w:right w:w="108" w:type="dxa"/>
          </w:tblCellMar>
        </w:tblPrEx>
        <w:trPr>
          <w:trHeight w:val="675" w:hRule="atLeast"/>
          <w:jc w:val="center"/>
        </w:trPr>
        <w:tc>
          <w:tcPr>
            <w:tcW w:w="5221" w:type="dxa"/>
            <w:vAlign w:val="center"/>
          </w:tcPr>
          <w:p w14:paraId="70C97C2F">
            <w:pPr>
              <w:keepNext w:val="0"/>
              <w:keepLines w:val="0"/>
              <w:pageBreakBefore w:val="0"/>
              <w:wordWrap w:val="0"/>
              <w:overflowPunct/>
              <w:topLinePunct w:val="0"/>
              <w:autoSpaceDE w:val="0"/>
              <w:autoSpaceDN w:val="0"/>
              <w:bidi w:val="0"/>
              <w:adjustRightInd w:val="0"/>
              <w:snapToGrid w:val="0"/>
              <w:spacing w:line="440" w:lineRule="exac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账    号：</w:t>
            </w:r>
            <w:r>
              <w:rPr>
                <w:rFonts w:hint="eastAsia" w:ascii="仿宋" w:hAnsi="仿宋" w:eastAsia="仿宋" w:cs="仿宋"/>
                <w:color w:val="auto"/>
                <w:sz w:val="24"/>
                <w:szCs w:val="24"/>
                <w:highlight w:val="none"/>
              </w:rPr>
              <w:t>3002013409200099469</w:t>
            </w:r>
          </w:p>
        </w:tc>
        <w:tc>
          <w:tcPr>
            <w:tcW w:w="4709" w:type="dxa"/>
            <w:vAlign w:val="center"/>
          </w:tcPr>
          <w:p w14:paraId="320C45FB">
            <w:pPr>
              <w:keepNext w:val="0"/>
              <w:keepLines w:val="0"/>
              <w:pageBreakBefore w:val="0"/>
              <w:wordWrap w:val="0"/>
              <w:overflowPunct/>
              <w:topLinePunct w:val="0"/>
              <w:autoSpaceDE w:val="0"/>
              <w:autoSpaceDN w:val="0"/>
              <w:bidi w:val="0"/>
              <w:adjustRightInd w:val="0"/>
              <w:snapToGrid w:val="0"/>
              <w:spacing w:line="440" w:lineRule="exac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账    号：</w:t>
            </w:r>
          </w:p>
        </w:tc>
      </w:tr>
      <w:tr w14:paraId="3DAF85B0">
        <w:tblPrEx>
          <w:tblCellMar>
            <w:top w:w="0" w:type="dxa"/>
            <w:left w:w="108" w:type="dxa"/>
            <w:bottom w:w="0" w:type="dxa"/>
            <w:right w:w="108" w:type="dxa"/>
          </w:tblCellMar>
        </w:tblPrEx>
        <w:trPr>
          <w:trHeight w:val="1025" w:hRule="atLeast"/>
          <w:jc w:val="center"/>
        </w:trPr>
        <w:tc>
          <w:tcPr>
            <w:tcW w:w="5221" w:type="dxa"/>
            <w:vAlign w:val="center"/>
          </w:tcPr>
          <w:p w14:paraId="186C509B">
            <w:pPr>
              <w:keepNext w:val="0"/>
              <w:keepLines w:val="0"/>
              <w:pageBreakBefore w:val="0"/>
              <w:wordWrap w:val="0"/>
              <w:overflowPunct/>
              <w:topLinePunct w:val="0"/>
              <w:autoSpaceDE w:val="0"/>
              <w:autoSpaceDN w:val="0"/>
              <w:bidi w:val="0"/>
              <w:adjustRightInd w:val="0"/>
              <w:snapToGrid w:val="0"/>
              <w:spacing w:line="440" w:lineRule="exact"/>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合同订立地点：乌鲁木齐团结路1551号（中华人民共和国新疆出入境边防检查总站）</w:t>
            </w:r>
          </w:p>
        </w:tc>
        <w:tc>
          <w:tcPr>
            <w:tcW w:w="4709" w:type="dxa"/>
            <w:vAlign w:val="center"/>
          </w:tcPr>
          <w:p w14:paraId="4217E98B">
            <w:pPr>
              <w:keepNext w:val="0"/>
              <w:keepLines w:val="0"/>
              <w:pageBreakBefore w:val="0"/>
              <w:wordWrap w:val="0"/>
              <w:overflowPunct/>
              <w:topLinePunct w:val="0"/>
              <w:autoSpaceDE w:val="0"/>
              <w:autoSpaceDN w:val="0"/>
              <w:bidi w:val="0"/>
              <w:adjustRightInd w:val="0"/>
              <w:snapToGrid w:val="0"/>
              <w:spacing w:line="440" w:lineRule="exac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合同订立地点：</w:t>
            </w:r>
          </w:p>
        </w:tc>
      </w:tr>
      <w:tr w14:paraId="1E9389F9">
        <w:tblPrEx>
          <w:tblCellMar>
            <w:top w:w="0" w:type="dxa"/>
            <w:left w:w="108" w:type="dxa"/>
            <w:bottom w:w="0" w:type="dxa"/>
            <w:right w:w="108" w:type="dxa"/>
          </w:tblCellMar>
        </w:tblPrEx>
        <w:trPr>
          <w:trHeight w:val="452" w:hRule="atLeast"/>
          <w:jc w:val="center"/>
        </w:trPr>
        <w:tc>
          <w:tcPr>
            <w:tcW w:w="5221" w:type="dxa"/>
            <w:vAlign w:val="center"/>
          </w:tcPr>
          <w:p w14:paraId="79DB63D2">
            <w:pPr>
              <w:keepNext w:val="0"/>
              <w:keepLines w:val="0"/>
              <w:pageBreakBefore w:val="0"/>
              <w:wordWrap w:val="0"/>
              <w:overflowPunct/>
              <w:topLinePunct w:val="0"/>
              <w:autoSpaceDE w:val="0"/>
              <w:autoSpaceDN w:val="0"/>
              <w:bidi w:val="0"/>
              <w:adjustRightInd w:val="0"/>
              <w:snapToGrid w:val="0"/>
              <w:spacing w:line="440" w:lineRule="exact"/>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合同签订日期：  年  月   日</w:t>
            </w:r>
          </w:p>
        </w:tc>
        <w:tc>
          <w:tcPr>
            <w:tcW w:w="4709" w:type="dxa"/>
            <w:vAlign w:val="center"/>
          </w:tcPr>
          <w:p w14:paraId="10146575">
            <w:pPr>
              <w:keepNext w:val="0"/>
              <w:keepLines w:val="0"/>
              <w:pageBreakBefore w:val="0"/>
              <w:wordWrap w:val="0"/>
              <w:overflowPunct/>
              <w:topLinePunct w:val="0"/>
              <w:autoSpaceDE w:val="0"/>
              <w:autoSpaceDN w:val="0"/>
              <w:bidi w:val="0"/>
              <w:adjustRightInd w:val="0"/>
              <w:snapToGrid w:val="0"/>
              <w:spacing w:line="440" w:lineRule="exact"/>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eastAsia="zh-CN"/>
              </w:rPr>
              <w:t>合同签订日期：    年  月   日</w:t>
            </w:r>
          </w:p>
        </w:tc>
      </w:tr>
      <w:bookmarkEnd w:id="78"/>
    </w:tbl>
    <w:p w14:paraId="4DB6016F">
      <w:pPr>
        <w:pStyle w:val="7"/>
        <w:spacing w:line="317" w:lineRule="auto"/>
        <w:rPr>
          <w:rFonts w:hint="eastAsia" w:ascii="仿宋" w:hAnsi="仿宋" w:eastAsia="仿宋" w:cs="仿宋"/>
          <w:color w:val="auto"/>
          <w:highlight w:val="none"/>
          <w:lang w:eastAsia="zh-CN"/>
        </w:rPr>
      </w:pPr>
    </w:p>
    <w:p w14:paraId="23847CE4">
      <w:pPr>
        <w:pStyle w:val="7"/>
        <w:spacing w:line="317" w:lineRule="auto"/>
        <w:rPr>
          <w:rFonts w:hint="eastAsia" w:ascii="仿宋" w:hAnsi="仿宋" w:eastAsia="仿宋" w:cs="仿宋"/>
          <w:color w:val="auto"/>
          <w:highlight w:val="none"/>
          <w:lang w:eastAsia="zh-CN"/>
        </w:rPr>
      </w:pPr>
    </w:p>
    <w:p w14:paraId="4760164C">
      <w:pPr>
        <w:pStyle w:val="7"/>
        <w:spacing w:line="318" w:lineRule="auto"/>
        <w:rPr>
          <w:rFonts w:hint="eastAsia" w:ascii="仿宋" w:hAnsi="仿宋" w:eastAsia="仿宋" w:cs="仿宋"/>
          <w:color w:val="auto"/>
          <w:highlight w:val="none"/>
          <w:lang w:eastAsia="zh-CN"/>
        </w:rPr>
      </w:pPr>
    </w:p>
    <w:p w14:paraId="08483A47">
      <w:pPr>
        <w:rPr>
          <w:rFonts w:hint="eastAsia" w:ascii="仿宋" w:hAnsi="仿宋" w:eastAsia="仿宋" w:cs="仿宋"/>
          <w:color w:val="auto"/>
          <w:spacing w:val="13"/>
          <w:sz w:val="34"/>
          <w:szCs w:val="34"/>
          <w:highlight w:val="none"/>
          <w:lang w:eastAsia="zh-CN"/>
        </w:rPr>
      </w:pPr>
      <w:bookmarkStart w:id="236" w:name="_Toc5171"/>
      <w:r>
        <w:rPr>
          <w:rFonts w:hint="eastAsia" w:ascii="仿宋" w:hAnsi="仿宋" w:eastAsia="仿宋" w:cs="仿宋"/>
          <w:color w:val="auto"/>
          <w:spacing w:val="13"/>
          <w:sz w:val="34"/>
          <w:szCs w:val="34"/>
          <w:highlight w:val="none"/>
          <w:lang w:eastAsia="zh-CN"/>
        </w:rPr>
        <w:br w:type="page"/>
      </w:r>
    </w:p>
    <w:p w14:paraId="370C27D7">
      <w:pPr>
        <w:spacing w:before="110" w:line="224" w:lineRule="auto"/>
        <w:jc w:val="center"/>
        <w:outlineLvl w:val="0"/>
        <w:rPr>
          <w:rFonts w:hint="eastAsia" w:ascii="仿宋" w:hAnsi="仿宋" w:eastAsia="仿宋" w:cs="仿宋"/>
          <w:color w:val="auto"/>
          <w:sz w:val="34"/>
          <w:szCs w:val="34"/>
          <w:highlight w:val="none"/>
          <w:lang w:eastAsia="zh-CN"/>
        </w:rPr>
      </w:pPr>
      <w:r>
        <w:rPr>
          <w:rFonts w:hint="eastAsia" w:ascii="仿宋" w:hAnsi="仿宋" w:eastAsia="仿宋" w:cs="仿宋"/>
          <w:color w:val="auto"/>
          <w:spacing w:val="13"/>
          <w:sz w:val="34"/>
          <w:szCs w:val="34"/>
          <w:highlight w:val="none"/>
          <w:lang w:eastAsia="zh-CN"/>
        </w:rPr>
        <w:t>第六章</w:t>
      </w:r>
      <w:r>
        <w:rPr>
          <w:rFonts w:hint="eastAsia" w:ascii="仿宋" w:hAnsi="仿宋" w:eastAsia="仿宋" w:cs="仿宋"/>
          <w:color w:val="auto"/>
          <w:spacing w:val="39"/>
          <w:sz w:val="34"/>
          <w:szCs w:val="34"/>
          <w:highlight w:val="none"/>
          <w:lang w:eastAsia="zh-CN"/>
        </w:rPr>
        <w:t xml:space="preserve">  </w:t>
      </w:r>
      <w:r>
        <w:rPr>
          <w:rFonts w:hint="eastAsia" w:ascii="仿宋" w:hAnsi="仿宋" w:eastAsia="仿宋" w:cs="仿宋"/>
          <w:color w:val="auto"/>
          <w:spacing w:val="13"/>
          <w:sz w:val="34"/>
          <w:szCs w:val="34"/>
          <w:highlight w:val="none"/>
          <w:lang w:eastAsia="zh-CN"/>
        </w:rPr>
        <w:t>响应文件格式</w:t>
      </w:r>
      <w:bookmarkEnd w:id="236"/>
    </w:p>
    <w:p w14:paraId="5B66109D">
      <w:pPr>
        <w:pStyle w:val="7"/>
        <w:spacing w:line="249" w:lineRule="auto"/>
        <w:rPr>
          <w:rFonts w:hint="eastAsia" w:ascii="仿宋" w:hAnsi="仿宋" w:eastAsia="仿宋" w:cs="仿宋"/>
          <w:color w:val="auto"/>
          <w:highlight w:val="none"/>
          <w:lang w:eastAsia="zh-CN"/>
        </w:rPr>
      </w:pPr>
    </w:p>
    <w:p w14:paraId="0A38218A">
      <w:pPr>
        <w:pStyle w:val="7"/>
        <w:spacing w:line="249" w:lineRule="auto"/>
        <w:rPr>
          <w:rFonts w:hint="eastAsia" w:ascii="仿宋" w:hAnsi="仿宋" w:eastAsia="仿宋" w:cs="仿宋"/>
          <w:color w:val="auto"/>
          <w:highlight w:val="none"/>
          <w:lang w:eastAsia="zh-CN"/>
        </w:rPr>
      </w:pPr>
    </w:p>
    <w:p w14:paraId="20D30F84">
      <w:pPr>
        <w:pStyle w:val="7"/>
        <w:spacing w:line="249" w:lineRule="auto"/>
        <w:rPr>
          <w:rFonts w:hint="eastAsia" w:ascii="仿宋" w:hAnsi="仿宋" w:eastAsia="仿宋" w:cs="仿宋"/>
          <w:color w:val="auto"/>
          <w:highlight w:val="none"/>
          <w:lang w:eastAsia="zh-CN"/>
        </w:rPr>
      </w:pPr>
    </w:p>
    <w:p w14:paraId="3E16A3CF">
      <w:pPr>
        <w:pStyle w:val="7"/>
        <w:spacing w:line="250" w:lineRule="auto"/>
        <w:rPr>
          <w:rFonts w:hint="eastAsia" w:ascii="仿宋" w:hAnsi="仿宋" w:eastAsia="仿宋" w:cs="仿宋"/>
          <w:color w:val="auto"/>
          <w:highlight w:val="none"/>
          <w:lang w:eastAsia="zh-CN"/>
        </w:rPr>
      </w:pPr>
    </w:p>
    <w:p w14:paraId="425D9572">
      <w:pPr>
        <w:pStyle w:val="7"/>
        <w:spacing w:line="250" w:lineRule="auto"/>
        <w:rPr>
          <w:rFonts w:hint="eastAsia" w:ascii="仿宋" w:hAnsi="仿宋" w:eastAsia="仿宋" w:cs="仿宋"/>
          <w:color w:val="auto"/>
          <w:highlight w:val="none"/>
          <w:lang w:eastAsia="zh-CN"/>
        </w:rPr>
      </w:pPr>
    </w:p>
    <w:p w14:paraId="43874016">
      <w:pPr>
        <w:spacing w:before="101" w:line="225" w:lineRule="auto"/>
        <w:ind w:left="9"/>
        <w:jc w:val="center"/>
        <w:outlineLvl w:val="9"/>
        <w:rPr>
          <w:rFonts w:hint="eastAsia" w:ascii="仿宋" w:hAnsi="仿宋" w:eastAsia="仿宋" w:cs="仿宋"/>
          <w:color w:val="auto"/>
          <w:sz w:val="31"/>
          <w:szCs w:val="31"/>
          <w:highlight w:val="none"/>
          <w:lang w:eastAsia="zh-CN"/>
        </w:rPr>
      </w:pPr>
      <w:bookmarkStart w:id="237" w:name="_Toc476"/>
      <w:r>
        <w:rPr>
          <w:rFonts w:hint="eastAsia" w:ascii="仿宋" w:hAnsi="仿宋" w:eastAsia="仿宋" w:cs="仿宋"/>
          <w:color w:val="auto"/>
          <w:spacing w:val="6"/>
          <w:sz w:val="31"/>
          <w:szCs w:val="31"/>
          <w:highlight w:val="none"/>
          <w:lang w:eastAsia="zh-CN"/>
          <w14:textOutline w14:w="5829" w14:cap="flat" w14:cmpd="sng" w14:algn="ctr">
            <w14:solidFill>
              <w14:srgbClr w14:val="000000"/>
            </w14:solidFill>
            <w14:prstDash w14:val="solid"/>
            <w14:miter w14:val="0"/>
          </w14:textOutline>
        </w:rPr>
        <w:t>响应文件封面</w:t>
      </w:r>
      <w:bookmarkEnd w:id="237"/>
    </w:p>
    <w:p w14:paraId="283767F5">
      <w:pPr>
        <w:pStyle w:val="7"/>
        <w:spacing w:line="264" w:lineRule="auto"/>
        <w:jc w:val="center"/>
        <w:outlineLvl w:val="9"/>
        <w:rPr>
          <w:rFonts w:hint="eastAsia" w:ascii="仿宋" w:hAnsi="仿宋" w:eastAsia="仿宋" w:cs="仿宋"/>
          <w:color w:val="auto"/>
          <w:highlight w:val="none"/>
          <w:lang w:eastAsia="zh-CN"/>
        </w:rPr>
      </w:pPr>
    </w:p>
    <w:p w14:paraId="1986DA68">
      <w:pPr>
        <w:pStyle w:val="7"/>
        <w:spacing w:line="264" w:lineRule="auto"/>
        <w:jc w:val="center"/>
        <w:outlineLvl w:val="9"/>
        <w:rPr>
          <w:rFonts w:hint="eastAsia" w:ascii="仿宋" w:hAnsi="仿宋" w:eastAsia="仿宋" w:cs="仿宋"/>
          <w:color w:val="auto"/>
          <w:highlight w:val="none"/>
          <w:lang w:eastAsia="zh-CN"/>
        </w:rPr>
      </w:pPr>
    </w:p>
    <w:p w14:paraId="1425C212">
      <w:pPr>
        <w:pStyle w:val="7"/>
        <w:spacing w:line="264" w:lineRule="auto"/>
        <w:jc w:val="center"/>
        <w:outlineLvl w:val="9"/>
        <w:rPr>
          <w:rFonts w:hint="eastAsia" w:ascii="仿宋" w:hAnsi="仿宋" w:eastAsia="仿宋" w:cs="仿宋"/>
          <w:color w:val="auto"/>
          <w:highlight w:val="none"/>
          <w:lang w:eastAsia="zh-CN"/>
        </w:rPr>
      </w:pPr>
    </w:p>
    <w:p w14:paraId="7F497A31">
      <w:pPr>
        <w:spacing w:before="91" w:line="221" w:lineRule="auto"/>
        <w:jc w:val="center"/>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3"/>
          <w:sz w:val="28"/>
          <w:szCs w:val="28"/>
          <w:highlight w:val="none"/>
          <w:lang w:eastAsia="zh-CN"/>
        </w:rPr>
        <w:t>（项目名称）</w:t>
      </w:r>
    </w:p>
    <w:p w14:paraId="6B68A201">
      <w:pPr>
        <w:pStyle w:val="7"/>
        <w:spacing w:line="272" w:lineRule="auto"/>
        <w:jc w:val="center"/>
        <w:outlineLvl w:val="9"/>
        <w:rPr>
          <w:rFonts w:hint="eastAsia" w:ascii="仿宋" w:hAnsi="仿宋" w:eastAsia="仿宋" w:cs="仿宋"/>
          <w:color w:val="auto"/>
          <w:highlight w:val="none"/>
          <w:lang w:eastAsia="zh-CN"/>
        </w:rPr>
      </w:pPr>
    </w:p>
    <w:p w14:paraId="3242BF81">
      <w:pPr>
        <w:pStyle w:val="7"/>
        <w:spacing w:line="272" w:lineRule="auto"/>
        <w:jc w:val="center"/>
        <w:outlineLvl w:val="9"/>
        <w:rPr>
          <w:rFonts w:hint="eastAsia" w:ascii="仿宋" w:hAnsi="仿宋" w:eastAsia="仿宋" w:cs="仿宋"/>
          <w:color w:val="auto"/>
          <w:highlight w:val="none"/>
          <w:lang w:eastAsia="zh-CN"/>
        </w:rPr>
      </w:pPr>
    </w:p>
    <w:p w14:paraId="4B23A7EF">
      <w:pPr>
        <w:pStyle w:val="7"/>
        <w:spacing w:line="273" w:lineRule="auto"/>
        <w:jc w:val="center"/>
        <w:outlineLvl w:val="9"/>
        <w:rPr>
          <w:rFonts w:hint="eastAsia" w:ascii="仿宋" w:hAnsi="仿宋" w:eastAsia="仿宋" w:cs="仿宋"/>
          <w:color w:val="auto"/>
          <w:highlight w:val="none"/>
          <w:lang w:eastAsia="zh-CN"/>
        </w:rPr>
      </w:pPr>
    </w:p>
    <w:p w14:paraId="198FB404">
      <w:pPr>
        <w:spacing w:before="91" w:line="220" w:lineRule="auto"/>
        <w:jc w:val="center"/>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3"/>
          <w:sz w:val="28"/>
          <w:szCs w:val="28"/>
          <w:highlight w:val="none"/>
          <w:lang w:eastAsia="zh-CN"/>
        </w:rPr>
        <w:t>（项目编号）</w:t>
      </w:r>
    </w:p>
    <w:p w14:paraId="6F32CAC9">
      <w:pPr>
        <w:pStyle w:val="7"/>
        <w:spacing w:line="257" w:lineRule="auto"/>
        <w:outlineLvl w:val="9"/>
        <w:rPr>
          <w:rFonts w:hint="eastAsia" w:ascii="仿宋" w:hAnsi="仿宋" w:eastAsia="仿宋" w:cs="仿宋"/>
          <w:color w:val="auto"/>
          <w:highlight w:val="none"/>
          <w:lang w:eastAsia="zh-CN"/>
        </w:rPr>
      </w:pPr>
    </w:p>
    <w:p w14:paraId="4FD50D01">
      <w:pPr>
        <w:pStyle w:val="7"/>
        <w:spacing w:line="258" w:lineRule="auto"/>
        <w:rPr>
          <w:rFonts w:hint="eastAsia" w:ascii="仿宋" w:hAnsi="仿宋" w:eastAsia="仿宋" w:cs="仿宋"/>
          <w:color w:val="auto"/>
          <w:highlight w:val="none"/>
          <w:lang w:eastAsia="zh-CN"/>
        </w:rPr>
      </w:pPr>
    </w:p>
    <w:p w14:paraId="3E74B810">
      <w:pPr>
        <w:pStyle w:val="7"/>
        <w:spacing w:line="258" w:lineRule="auto"/>
        <w:rPr>
          <w:rFonts w:hint="eastAsia" w:ascii="仿宋" w:hAnsi="仿宋" w:eastAsia="仿宋" w:cs="仿宋"/>
          <w:color w:val="auto"/>
          <w:highlight w:val="none"/>
          <w:lang w:eastAsia="zh-CN"/>
        </w:rPr>
      </w:pPr>
    </w:p>
    <w:p w14:paraId="630EA27F">
      <w:pPr>
        <w:pStyle w:val="7"/>
        <w:spacing w:line="258" w:lineRule="auto"/>
        <w:rPr>
          <w:rFonts w:hint="eastAsia" w:ascii="仿宋" w:hAnsi="仿宋" w:eastAsia="仿宋" w:cs="仿宋"/>
          <w:color w:val="auto"/>
          <w:highlight w:val="none"/>
          <w:lang w:eastAsia="zh-CN"/>
        </w:rPr>
      </w:pPr>
    </w:p>
    <w:p w14:paraId="52D5687C">
      <w:pPr>
        <w:pStyle w:val="7"/>
        <w:spacing w:line="258" w:lineRule="auto"/>
        <w:rPr>
          <w:rFonts w:hint="eastAsia" w:ascii="仿宋" w:hAnsi="仿宋" w:eastAsia="仿宋" w:cs="仿宋"/>
          <w:color w:val="auto"/>
          <w:highlight w:val="none"/>
          <w:lang w:eastAsia="zh-CN"/>
        </w:rPr>
      </w:pPr>
    </w:p>
    <w:p w14:paraId="55466591">
      <w:pPr>
        <w:pStyle w:val="7"/>
        <w:spacing w:line="258" w:lineRule="auto"/>
        <w:rPr>
          <w:rFonts w:hint="eastAsia" w:ascii="仿宋" w:hAnsi="仿宋" w:eastAsia="仿宋" w:cs="仿宋"/>
          <w:color w:val="auto"/>
          <w:highlight w:val="none"/>
          <w:lang w:eastAsia="zh-CN"/>
        </w:rPr>
      </w:pPr>
    </w:p>
    <w:p w14:paraId="409A8A68">
      <w:pPr>
        <w:spacing w:before="230" w:line="222" w:lineRule="auto"/>
        <w:jc w:val="center"/>
        <w:outlineLvl w:val="9"/>
        <w:rPr>
          <w:rFonts w:hint="eastAsia" w:ascii="仿宋" w:hAnsi="仿宋" w:eastAsia="仿宋" w:cs="仿宋"/>
          <w:color w:val="auto"/>
          <w:sz w:val="71"/>
          <w:szCs w:val="71"/>
          <w:highlight w:val="none"/>
          <w:lang w:eastAsia="zh-CN"/>
        </w:rPr>
      </w:pPr>
      <w:bookmarkStart w:id="238" w:name="_Toc1026"/>
      <w:r>
        <w:rPr>
          <w:rFonts w:hint="eastAsia" w:ascii="仿宋" w:hAnsi="仿宋" w:eastAsia="仿宋" w:cs="仿宋"/>
          <w:color w:val="auto"/>
          <w:spacing w:val="-4"/>
          <w:sz w:val="71"/>
          <w:szCs w:val="71"/>
          <w:highlight w:val="none"/>
          <w:lang w:eastAsia="zh-CN"/>
          <w14:textOutline w14:w="13169" w14:cap="flat" w14:cmpd="sng" w14:algn="ctr">
            <w14:solidFill>
              <w14:srgbClr w14:val="000000"/>
            </w14:solidFill>
            <w14:prstDash w14:val="solid"/>
            <w14:miter w14:val="0"/>
          </w14:textOutline>
        </w:rPr>
        <w:t>响应文件</w:t>
      </w:r>
      <w:bookmarkEnd w:id="238"/>
    </w:p>
    <w:p w14:paraId="62EA3645">
      <w:pPr>
        <w:pStyle w:val="7"/>
        <w:spacing w:line="264" w:lineRule="auto"/>
        <w:rPr>
          <w:rFonts w:hint="eastAsia" w:ascii="仿宋" w:hAnsi="仿宋" w:eastAsia="仿宋" w:cs="仿宋"/>
          <w:color w:val="auto"/>
          <w:highlight w:val="none"/>
          <w:lang w:eastAsia="zh-CN"/>
        </w:rPr>
      </w:pPr>
    </w:p>
    <w:p w14:paraId="5F362A3E">
      <w:pPr>
        <w:pStyle w:val="7"/>
        <w:spacing w:line="264" w:lineRule="auto"/>
        <w:rPr>
          <w:rFonts w:hint="eastAsia" w:ascii="仿宋" w:hAnsi="仿宋" w:eastAsia="仿宋" w:cs="仿宋"/>
          <w:color w:val="auto"/>
          <w:highlight w:val="none"/>
          <w:lang w:eastAsia="zh-CN"/>
        </w:rPr>
      </w:pPr>
    </w:p>
    <w:p w14:paraId="0F166A67">
      <w:pPr>
        <w:pStyle w:val="7"/>
        <w:spacing w:line="264" w:lineRule="auto"/>
        <w:rPr>
          <w:rFonts w:hint="eastAsia" w:ascii="仿宋" w:hAnsi="仿宋" w:eastAsia="仿宋" w:cs="仿宋"/>
          <w:color w:val="auto"/>
          <w:highlight w:val="none"/>
          <w:lang w:eastAsia="zh-CN"/>
        </w:rPr>
      </w:pPr>
    </w:p>
    <w:p w14:paraId="4B6E1B18">
      <w:pPr>
        <w:pStyle w:val="7"/>
        <w:spacing w:line="264" w:lineRule="auto"/>
        <w:rPr>
          <w:rFonts w:hint="eastAsia" w:ascii="仿宋" w:hAnsi="仿宋" w:eastAsia="仿宋" w:cs="仿宋"/>
          <w:color w:val="auto"/>
          <w:highlight w:val="none"/>
          <w:lang w:eastAsia="zh-CN"/>
        </w:rPr>
      </w:pPr>
    </w:p>
    <w:p w14:paraId="69FDADD9">
      <w:pPr>
        <w:pStyle w:val="7"/>
        <w:spacing w:line="264" w:lineRule="auto"/>
        <w:rPr>
          <w:rFonts w:hint="eastAsia" w:ascii="仿宋" w:hAnsi="仿宋" w:eastAsia="仿宋" w:cs="仿宋"/>
          <w:color w:val="auto"/>
          <w:highlight w:val="none"/>
          <w:lang w:eastAsia="zh-CN"/>
        </w:rPr>
      </w:pPr>
    </w:p>
    <w:p w14:paraId="072E2BB3">
      <w:pPr>
        <w:pStyle w:val="7"/>
        <w:spacing w:line="264" w:lineRule="auto"/>
        <w:rPr>
          <w:rFonts w:hint="eastAsia" w:ascii="仿宋" w:hAnsi="仿宋" w:eastAsia="仿宋" w:cs="仿宋"/>
          <w:color w:val="auto"/>
          <w:highlight w:val="none"/>
          <w:lang w:eastAsia="zh-CN"/>
        </w:rPr>
      </w:pPr>
    </w:p>
    <w:p w14:paraId="72439B1C">
      <w:pPr>
        <w:pStyle w:val="7"/>
        <w:spacing w:line="265" w:lineRule="auto"/>
        <w:rPr>
          <w:rFonts w:hint="eastAsia" w:ascii="仿宋" w:hAnsi="仿宋" w:eastAsia="仿宋" w:cs="仿宋"/>
          <w:color w:val="auto"/>
          <w:highlight w:val="none"/>
          <w:lang w:eastAsia="zh-CN"/>
        </w:rPr>
      </w:pPr>
    </w:p>
    <w:p w14:paraId="457B2B41">
      <w:pPr>
        <w:pStyle w:val="7"/>
        <w:spacing w:line="265" w:lineRule="auto"/>
        <w:rPr>
          <w:rFonts w:hint="eastAsia" w:ascii="仿宋" w:hAnsi="仿宋" w:eastAsia="仿宋" w:cs="仿宋"/>
          <w:color w:val="auto"/>
          <w:highlight w:val="none"/>
          <w:lang w:eastAsia="zh-CN"/>
        </w:rPr>
      </w:pPr>
    </w:p>
    <w:p w14:paraId="7A9BC15D">
      <w:pPr>
        <w:pStyle w:val="7"/>
        <w:spacing w:line="265" w:lineRule="auto"/>
        <w:rPr>
          <w:rFonts w:hint="eastAsia" w:ascii="仿宋" w:hAnsi="仿宋" w:eastAsia="仿宋" w:cs="仿宋"/>
          <w:color w:val="auto"/>
          <w:highlight w:val="none"/>
          <w:lang w:eastAsia="zh-CN"/>
        </w:rPr>
      </w:pPr>
    </w:p>
    <w:p w14:paraId="301D5BE0">
      <w:pPr>
        <w:spacing w:before="92" w:line="219" w:lineRule="auto"/>
        <w:ind w:left="1393"/>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供应商名称</w:t>
      </w:r>
      <w:r>
        <w:rPr>
          <w:rFonts w:hint="eastAsia" w:ascii="仿宋" w:hAnsi="仿宋" w:eastAsia="仿宋" w:cs="仿宋"/>
          <w:color w:val="auto"/>
          <w:spacing w:val="-5"/>
          <w:sz w:val="28"/>
          <w:szCs w:val="28"/>
          <w:highlight w:val="none"/>
          <w:lang w:eastAsia="zh-CN"/>
        </w:rPr>
        <w:t>：（</w:t>
      </w:r>
      <w:r>
        <w:rPr>
          <w:rFonts w:hint="eastAsia" w:ascii="仿宋" w:hAnsi="仿宋" w:eastAsia="仿宋" w:cs="仿宋"/>
          <w:color w:val="auto"/>
          <w:sz w:val="28"/>
          <w:szCs w:val="28"/>
          <w:highlight w:val="none"/>
          <w:lang w:eastAsia="zh-CN"/>
        </w:rPr>
        <w:t>电子公章）</w:t>
      </w:r>
    </w:p>
    <w:p w14:paraId="3A87E9BD">
      <w:pPr>
        <w:spacing w:before="292" w:line="219" w:lineRule="auto"/>
        <w:ind w:left="1394"/>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lang w:eastAsia="zh-CN"/>
        </w:rPr>
        <w:t>法定代表人</w:t>
      </w:r>
      <w:r>
        <w:rPr>
          <w:rFonts w:hint="eastAsia" w:ascii="仿宋" w:hAnsi="仿宋" w:eastAsia="仿宋" w:cs="仿宋"/>
          <w:color w:val="auto"/>
          <w:spacing w:val="-4"/>
          <w:sz w:val="28"/>
          <w:szCs w:val="28"/>
          <w:highlight w:val="none"/>
          <w:lang w:eastAsia="zh-CN"/>
        </w:rPr>
        <w:t>：（</w:t>
      </w:r>
      <w:r>
        <w:rPr>
          <w:rFonts w:hint="eastAsia" w:ascii="仿宋" w:hAnsi="仿宋" w:eastAsia="仿宋" w:cs="仿宋"/>
          <w:color w:val="auto"/>
          <w:spacing w:val="-1"/>
          <w:sz w:val="28"/>
          <w:szCs w:val="28"/>
          <w:highlight w:val="none"/>
          <w:lang w:eastAsia="zh-CN"/>
        </w:rPr>
        <w:t>签字或盖章）</w:t>
      </w:r>
    </w:p>
    <w:p w14:paraId="1DA83B77">
      <w:pPr>
        <w:spacing w:before="162" w:line="182" w:lineRule="auto"/>
        <w:ind w:left="1437"/>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26"/>
          <w:sz w:val="28"/>
          <w:szCs w:val="28"/>
          <w:highlight w:val="none"/>
          <w:lang w:eastAsia="zh-CN"/>
        </w:rPr>
        <w:t>日</w:t>
      </w:r>
      <w:r>
        <w:rPr>
          <w:rFonts w:hint="eastAsia" w:ascii="仿宋" w:hAnsi="仿宋" w:eastAsia="仿宋" w:cs="仿宋"/>
          <w:color w:val="auto"/>
          <w:spacing w:val="2"/>
          <w:sz w:val="28"/>
          <w:szCs w:val="28"/>
          <w:highlight w:val="none"/>
          <w:lang w:eastAsia="zh-CN"/>
        </w:rPr>
        <w:t xml:space="preserve">          </w:t>
      </w:r>
      <w:r>
        <w:rPr>
          <w:rFonts w:hint="eastAsia" w:ascii="仿宋" w:hAnsi="仿宋" w:eastAsia="仿宋" w:cs="仿宋"/>
          <w:color w:val="auto"/>
          <w:spacing w:val="-26"/>
          <w:sz w:val="28"/>
          <w:szCs w:val="28"/>
          <w:highlight w:val="none"/>
          <w:lang w:eastAsia="zh-CN"/>
        </w:rPr>
        <w:t>期</w:t>
      </w:r>
      <w:r>
        <w:rPr>
          <w:rFonts w:hint="eastAsia" w:ascii="仿宋" w:hAnsi="仿宋" w:eastAsia="仿宋" w:cs="仿宋"/>
          <w:color w:val="auto"/>
          <w:spacing w:val="2"/>
          <w:sz w:val="28"/>
          <w:szCs w:val="28"/>
          <w:highlight w:val="none"/>
          <w:lang w:eastAsia="zh-CN"/>
        </w:rPr>
        <w:t>：</w:t>
      </w:r>
      <w:r>
        <w:rPr>
          <w:rFonts w:hint="eastAsia" w:ascii="仿宋" w:hAnsi="仿宋" w:eastAsia="仿宋" w:cs="仿宋"/>
          <w:color w:val="auto"/>
          <w:spacing w:val="68"/>
          <w:sz w:val="28"/>
          <w:szCs w:val="28"/>
          <w:highlight w:val="none"/>
          <w:lang w:eastAsia="zh-CN"/>
        </w:rPr>
        <w:t xml:space="preserve"> </w:t>
      </w:r>
      <w:r>
        <w:rPr>
          <w:rFonts w:hint="eastAsia" w:ascii="仿宋" w:hAnsi="仿宋" w:eastAsia="仿宋" w:cs="仿宋"/>
          <w:color w:val="auto"/>
          <w:spacing w:val="2"/>
          <w:sz w:val="28"/>
          <w:szCs w:val="28"/>
          <w:highlight w:val="none"/>
          <w:lang w:eastAsia="zh-CN"/>
        </w:rPr>
        <w:t>（</w:t>
      </w:r>
      <w:r>
        <w:rPr>
          <w:rFonts w:hint="eastAsia" w:ascii="仿宋" w:hAnsi="仿宋" w:eastAsia="仿宋" w:cs="仿宋"/>
          <w:color w:val="auto"/>
          <w:spacing w:val="-26"/>
          <w:sz w:val="28"/>
          <w:szCs w:val="28"/>
          <w:highlight w:val="none"/>
          <w:lang w:eastAsia="zh-CN"/>
        </w:rPr>
        <w:t>年/月/日）</w:t>
      </w:r>
    </w:p>
    <w:p w14:paraId="79424FB2">
      <w:pPr>
        <w:spacing w:line="182" w:lineRule="auto"/>
        <w:rPr>
          <w:rFonts w:hint="eastAsia" w:ascii="仿宋" w:hAnsi="仿宋" w:eastAsia="仿宋" w:cs="仿宋"/>
          <w:color w:val="auto"/>
          <w:sz w:val="28"/>
          <w:szCs w:val="28"/>
          <w:highlight w:val="none"/>
          <w:lang w:eastAsia="zh-CN"/>
        </w:rPr>
        <w:sectPr>
          <w:footerReference r:id="rId10" w:type="default"/>
          <w:pgSz w:w="11906" w:h="16838"/>
          <w:pgMar w:top="1440" w:right="1800" w:bottom="1440" w:left="1800" w:header="0" w:footer="949" w:gutter="0"/>
          <w:pgNumType w:fmt="decimal"/>
          <w:cols w:space="720" w:num="1"/>
        </w:sectPr>
      </w:pPr>
    </w:p>
    <w:p w14:paraId="67609F75">
      <w:pPr>
        <w:pStyle w:val="7"/>
        <w:spacing w:line="249" w:lineRule="auto"/>
        <w:rPr>
          <w:rFonts w:hint="eastAsia" w:ascii="仿宋" w:hAnsi="仿宋" w:eastAsia="仿宋" w:cs="仿宋"/>
          <w:color w:val="auto"/>
          <w:highlight w:val="none"/>
          <w:lang w:eastAsia="zh-CN"/>
        </w:rPr>
      </w:pPr>
    </w:p>
    <w:p w14:paraId="1F614F17">
      <w:pPr>
        <w:spacing w:before="75" w:line="23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3"/>
          <w:sz w:val="24"/>
          <w:szCs w:val="24"/>
          <w:highlight w:val="none"/>
          <w:lang w:eastAsia="zh-CN"/>
        </w:rPr>
        <w:t>目</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录</w:t>
      </w:r>
    </w:p>
    <w:p w14:paraId="621E6207">
      <w:pPr>
        <w:pStyle w:val="7"/>
        <w:spacing w:line="240" w:lineRule="auto"/>
        <w:rPr>
          <w:rFonts w:hint="eastAsia" w:ascii="仿宋" w:hAnsi="仿宋" w:eastAsia="仿宋" w:cs="仿宋"/>
          <w:color w:val="auto"/>
          <w:sz w:val="24"/>
          <w:szCs w:val="24"/>
          <w:highlight w:val="none"/>
          <w:lang w:eastAsia="zh-CN"/>
        </w:rPr>
      </w:pPr>
    </w:p>
    <w:p w14:paraId="067D560E">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hint="eastAsia" w:ascii="仿宋" w:hAnsi="仿宋" w:eastAsia="仿宋" w:cs="仿宋"/>
          <w:color w:val="auto"/>
          <w:sz w:val="24"/>
          <w:szCs w:val="24"/>
          <w:highlight w:val="none"/>
          <w:lang w:eastAsia="zh-CN"/>
        </w:rPr>
      </w:pPr>
      <w:bookmarkStart w:id="239" w:name="_Toc11931"/>
      <w:r>
        <w:rPr>
          <w:rFonts w:hint="eastAsia" w:ascii="仿宋" w:hAnsi="仿宋" w:eastAsia="仿宋" w:cs="仿宋"/>
          <w:color w:val="auto"/>
          <w:spacing w:val="7"/>
          <w:sz w:val="24"/>
          <w:szCs w:val="24"/>
          <w:highlight w:val="none"/>
          <w:lang w:eastAsia="zh-CN"/>
        </w:rPr>
        <w:t>一、资格响应文件</w:t>
      </w:r>
      <w:bookmarkEnd w:id="239"/>
    </w:p>
    <w:p w14:paraId="02971A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textAlignment w:val="baseline"/>
        <w:outlineLvl w:val="9"/>
        <w:rPr>
          <w:rFonts w:hint="eastAsia" w:ascii="仿宋" w:hAnsi="仿宋" w:eastAsia="仿宋" w:cs="仿宋"/>
          <w:color w:val="auto"/>
          <w:spacing w:val="7"/>
          <w:sz w:val="24"/>
          <w:szCs w:val="24"/>
          <w:highlight w:val="none"/>
          <w:lang w:eastAsia="zh-CN"/>
        </w:rPr>
      </w:pPr>
      <w:r>
        <w:rPr>
          <w:rFonts w:hint="eastAsia" w:ascii="仿宋" w:hAnsi="仿宋" w:eastAsia="仿宋" w:cs="仿宋"/>
          <w:snapToGrid w:val="0"/>
          <w:color w:val="auto"/>
          <w:spacing w:val="7"/>
          <w:sz w:val="24"/>
          <w:szCs w:val="24"/>
          <w:highlight w:val="none"/>
          <w:lang w:val="en-US" w:eastAsia="zh-CN" w:bidi="ar-SA"/>
        </w:rPr>
        <w:t>（一）</w:t>
      </w:r>
      <w:r>
        <w:rPr>
          <w:rFonts w:hint="eastAsia" w:ascii="仿宋" w:hAnsi="仿宋" w:eastAsia="仿宋" w:cs="仿宋"/>
          <w:color w:val="auto"/>
          <w:spacing w:val="7"/>
          <w:sz w:val="24"/>
          <w:szCs w:val="24"/>
          <w:highlight w:val="none"/>
          <w:lang w:eastAsia="zh-CN"/>
        </w:rPr>
        <w:t>《中华人民共和国政府采购法》第二十二条应当具备的条件</w:t>
      </w:r>
    </w:p>
    <w:p w14:paraId="35C23C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textAlignment w:val="baseline"/>
        <w:outlineLvl w:val="9"/>
        <w:rPr>
          <w:rFonts w:hint="eastAsia" w:ascii="仿宋" w:hAnsi="仿宋" w:eastAsia="仿宋" w:cs="仿宋"/>
          <w:color w:val="auto"/>
          <w:spacing w:val="7"/>
          <w:sz w:val="24"/>
          <w:szCs w:val="24"/>
          <w:highlight w:val="none"/>
          <w:lang w:eastAsia="zh-CN"/>
        </w:rPr>
      </w:pPr>
      <w:r>
        <w:rPr>
          <w:rFonts w:hint="eastAsia" w:ascii="仿宋" w:hAnsi="仿宋" w:eastAsia="仿宋" w:cs="仿宋"/>
          <w:snapToGrid w:val="0"/>
          <w:color w:val="auto"/>
          <w:spacing w:val="7"/>
          <w:sz w:val="24"/>
          <w:szCs w:val="24"/>
          <w:highlight w:val="none"/>
          <w:lang w:val="en-US" w:eastAsia="zh-CN" w:bidi="ar-SA"/>
        </w:rPr>
        <w:t>（二）</w:t>
      </w:r>
      <w:r>
        <w:rPr>
          <w:rFonts w:hint="eastAsia" w:ascii="仿宋" w:hAnsi="仿宋" w:eastAsia="仿宋" w:cs="仿宋"/>
          <w:color w:val="auto"/>
          <w:spacing w:val="7"/>
          <w:sz w:val="24"/>
          <w:szCs w:val="24"/>
          <w:highlight w:val="none"/>
          <w:lang w:eastAsia="zh-CN"/>
        </w:rPr>
        <w:t>不参与围标串标承诺书</w:t>
      </w:r>
    </w:p>
    <w:p w14:paraId="7F2A3B5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hint="eastAsia" w:ascii="仿宋" w:hAnsi="仿宋" w:eastAsia="仿宋" w:cs="仿宋"/>
          <w:color w:val="auto"/>
          <w:spacing w:val="7"/>
          <w:sz w:val="24"/>
          <w:szCs w:val="24"/>
          <w:highlight w:val="none"/>
          <w:lang w:eastAsia="zh-CN"/>
        </w:rPr>
      </w:pPr>
      <w:bookmarkStart w:id="240" w:name="_Toc9314"/>
      <w:r>
        <w:rPr>
          <w:rFonts w:hint="eastAsia" w:ascii="仿宋" w:hAnsi="仿宋" w:eastAsia="仿宋" w:cs="仿宋"/>
          <w:color w:val="auto"/>
          <w:spacing w:val="8"/>
          <w:sz w:val="24"/>
          <w:szCs w:val="24"/>
          <w:highlight w:val="none"/>
          <w:lang w:eastAsia="zh-CN"/>
        </w:rPr>
        <w:t>二、报价响应文件</w:t>
      </w:r>
      <w:bookmarkEnd w:id="240"/>
    </w:p>
    <w:p w14:paraId="5506E5E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hint="eastAsia" w:ascii="仿宋" w:hAnsi="仿宋" w:eastAsia="仿宋" w:cs="仿宋"/>
          <w:color w:val="auto"/>
          <w:spacing w:val="9"/>
          <w:sz w:val="24"/>
          <w:szCs w:val="24"/>
          <w:highlight w:val="none"/>
        </w:rPr>
      </w:pPr>
      <w:r>
        <w:rPr>
          <w:rFonts w:hint="eastAsia" w:ascii="仿宋" w:hAnsi="仿宋" w:eastAsia="仿宋" w:cs="仿宋"/>
          <w:color w:val="auto"/>
          <w:spacing w:val="7"/>
          <w:sz w:val="24"/>
          <w:szCs w:val="24"/>
          <w:highlight w:val="none"/>
          <w:lang w:eastAsia="zh-CN"/>
        </w:rPr>
        <w:t>报价一览表（首次报价）</w:t>
      </w:r>
      <w:bookmarkStart w:id="241" w:name="_Toc2121"/>
    </w:p>
    <w:p w14:paraId="3F47E9BC">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三、商务技术响应文件</w:t>
      </w:r>
      <w:bookmarkEnd w:id="241"/>
    </w:p>
    <w:p w14:paraId="5E752B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z w:val="24"/>
          <w:szCs w:val="24"/>
          <w:highlight w:val="none"/>
          <w:lang w:val="en-US" w:eastAsia="en-US" w:bidi="ar-SA"/>
        </w:rPr>
        <w:t>（</w:t>
      </w:r>
      <w:r>
        <w:rPr>
          <w:rFonts w:hint="eastAsia" w:ascii="仿宋" w:hAnsi="仿宋" w:eastAsia="仿宋" w:cs="仿宋"/>
          <w:snapToGrid w:val="0"/>
          <w:color w:val="auto"/>
          <w:sz w:val="24"/>
          <w:szCs w:val="24"/>
          <w:highlight w:val="none"/>
          <w:lang w:val="en-US" w:eastAsia="zh-CN" w:bidi="ar-SA"/>
        </w:rPr>
        <w:t>一</w:t>
      </w:r>
      <w:r>
        <w:rPr>
          <w:rFonts w:hint="eastAsia" w:ascii="仿宋" w:hAnsi="仿宋" w:eastAsia="仿宋" w:cs="仿宋"/>
          <w:snapToGrid w:val="0"/>
          <w:color w:val="auto"/>
          <w:sz w:val="24"/>
          <w:szCs w:val="24"/>
          <w:highlight w:val="none"/>
          <w:lang w:val="en-US" w:eastAsia="en-US" w:bidi="ar-SA"/>
        </w:rPr>
        <w:t>）</w:t>
      </w:r>
      <w:r>
        <w:rPr>
          <w:rFonts w:hint="eastAsia" w:ascii="仿宋" w:hAnsi="仿宋" w:eastAsia="仿宋" w:cs="仿宋"/>
          <w:color w:val="auto"/>
          <w:spacing w:val="7"/>
          <w:sz w:val="24"/>
          <w:szCs w:val="24"/>
          <w:highlight w:val="none"/>
        </w:rPr>
        <w:t>谈判响应函</w:t>
      </w:r>
    </w:p>
    <w:p w14:paraId="1B17DD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textAlignment w:val="baseline"/>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z w:val="24"/>
          <w:szCs w:val="24"/>
          <w:highlight w:val="none"/>
          <w:lang w:val="en-US" w:eastAsia="en-US" w:bidi="ar-SA"/>
        </w:rPr>
        <w:t>（</w:t>
      </w:r>
      <w:r>
        <w:rPr>
          <w:rFonts w:hint="eastAsia" w:ascii="仿宋" w:hAnsi="仿宋" w:eastAsia="仿宋" w:cs="仿宋"/>
          <w:snapToGrid w:val="0"/>
          <w:color w:val="auto"/>
          <w:sz w:val="24"/>
          <w:szCs w:val="24"/>
          <w:highlight w:val="none"/>
          <w:lang w:val="en-US" w:eastAsia="zh-CN" w:bidi="ar-SA"/>
        </w:rPr>
        <w:t>二</w:t>
      </w:r>
      <w:r>
        <w:rPr>
          <w:rFonts w:hint="eastAsia" w:ascii="仿宋" w:hAnsi="仿宋" w:eastAsia="仿宋" w:cs="仿宋"/>
          <w:snapToGrid w:val="0"/>
          <w:color w:val="auto"/>
          <w:sz w:val="24"/>
          <w:szCs w:val="24"/>
          <w:highlight w:val="none"/>
          <w:lang w:val="en-US" w:eastAsia="en-US" w:bidi="ar-SA"/>
        </w:rPr>
        <w:t>）</w:t>
      </w:r>
      <w:r>
        <w:rPr>
          <w:rFonts w:hint="eastAsia" w:ascii="仿宋" w:hAnsi="仿宋" w:eastAsia="仿宋" w:cs="仿宋"/>
          <w:color w:val="auto"/>
          <w:spacing w:val="7"/>
          <w:sz w:val="24"/>
          <w:szCs w:val="24"/>
          <w:highlight w:val="none"/>
        </w:rPr>
        <w:t>法定授权人委托书</w:t>
      </w:r>
    </w:p>
    <w:p w14:paraId="175B5F2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textAlignment w:val="baseline"/>
        <w:outlineLvl w:val="9"/>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bidi="ar-SA"/>
        </w:rPr>
        <w:t>（三）</w:t>
      </w:r>
      <w:r>
        <w:rPr>
          <w:rFonts w:hint="eastAsia" w:ascii="仿宋" w:hAnsi="仿宋" w:eastAsia="仿宋" w:cs="仿宋"/>
          <w:color w:val="auto"/>
          <w:spacing w:val="7"/>
          <w:sz w:val="24"/>
          <w:szCs w:val="24"/>
          <w:highlight w:val="none"/>
          <w:lang w:eastAsia="zh-CN"/>
        </w:rPr>
        <w:t>拟派本项目负责人及主要人员情况表</w:t>
      </w:r>
    </w:p>
    <w:p w14:paraId="34A71D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textAlignment w:val="baseline"/>
        <w:outlineLvl w:val="9"/>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bidi="ar-SA"/>
        </w:rPr>
        <w:t>（四）</w:t>
      </w:r>
      <w:r>
        <w:rPr>
          <w:rFonts w:hint="eastAsia" w:ascii="仿宋" w:hAnsi="仿宋" w:eastAsia="仿宋" w:cs="仿宋"/>
          <w:color w:val="auto"/>
          <w:spacing w:val="7"/>
          <w:sz w:val="24"/>
          <w:szCs w:val="24"/>
          <w:highlight w:val="none"/>
          <w:lang w:eastAsia="zh-CN"/>
        </w:rPr>
        <w:t>商务和技术偏差表</w:t>
      </w:r>
    </w:p>
    <w:p w14:paraId="1FFDE0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textAlignment w:val="baseline"/>
        <w:outlineLvl w:val="9"/>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bidi="ar-SA"/>
        </w:rPr>
        <w:t>（五）</w:t>
      </w:r>
      <w:r>
        <w:rPr>
          <w:rFonts w:hint="eastAsia" w:ascii="仿宋" w:hAnsi="仿宋" w:eastAsia="仿宋" w:cs="仿宋"/>
          <w:color w:val="auto"/>
          <w:spacing w:val="7"/>
          <w:sz w:val="24"/>
          <w:szCs w:val="24"/>
          <w:highlight w:val="none"/>
          <w:lang w:eastAsia="zh-CN"/>
        </w:rPr>
        <w:t>投标产品技术性能指标的详细描述</w:t>
      </w:r>
    </w:p>
    <w:p w14:paraId="148C151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lang w:val="en-US" w:eastAsia="zh-CN"/>
        </w:rPr>
        <w:t>六</w:t>
      </w:r>
      <w:r>
        <w:rPr>
          <w:rFonts w:hint="eastAsia" w:ascii="仿宋" w:hAnsi="仿宋" w:eastAsia="仿宋" w:cs="仿宋"/>
          <w:color w:val="auto"/>
          <w:spacing w:val="7"/>
          <w:sz w:val="24"/>
          <w:szCs w:val="24"/>
          <w:highlight w:val="none"/>
          <w:lang w:eastAsia="zh-CN"/>
        </w:rPr>
        <w:t>）供应商认为需要提供的其他资料</w:t>
      </w:r>
    </w:p>
    <w:p w14:paraId="3B2E02B9">
      <w:pPr>
        <w:keepNext w:val="0"/>
        <w:keepLines w:val="0"/>
        <w:pageBreakBefore w:val="0"/>
        <w:widowControl/>
        <w:kinsoku w:val="0"/>
        <w:wordWrap/>
        <w:overflowPunct/>
        <w:topLinePunct w:val="0"/>
        <w:autoSpaceDE w:val="0"/>
        <w:autoSpaceDN w:val="0"/>
        <w:bidi w:val="0"/>
        <w:adjustRightInd w:val="0"/>
        <w:snapToGrid w:val="0"/>
        <w:spacing w:line="0" w:lineRule="atLeast"/>
        <w:ind w:left="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position w:val="1"/>
          <w:sz w:val="24"/>
          <w:szCs w:val="24"/>
          <w:highlight w:val="none"/>
          <w:lang w:eastAsia="zh-CN"/>
        </w:rPr>
        <w:t>...</w:t>
      </w:r>
    </w:p>
    <w:p w14:paraId="5B16BF55">
      <w:pPr>
        <w:keepNext w:val="0"/>
        <w:keepLines w:val="0"/>
        <w:pageBreakBefore w:val="0"/>
        <w:widowControl/>
        <w:kinsoku w:val="0"/>
        <w:wordWrap/>
        <w:overflowPunct/>
        <w:topLinePunct w:val="0"/>
        <w:autoSpaceDE w:val="0"/>
        <w:autoSpaceDN w:val="0"/>
        <w:bidi w:val="0"/>
        <w:adjustRightInd w:val="0"/>
        <w:snapToGrid w:val="0"/>
        <w:spacing w:line="0" w:lineRule="atLeast"/>
        <w:ind w:left="0"/>
        <w:textAlignment w:val="baseline"/>
        <w:rPr>
          <w:rFonts w:hint="eastAsia" w:ascii="仿宋" w:hAnsi="仿宋" w:eastAsia="仿宋" w:cs="仿宋"/>
          <w:color w:val="auto"/>
          <w:sz w:val="23"/>
          <w:szCs w:val="23"/>
          <w:highlight w:val="none"/>
          <w:lang w:eastAsia="zh-CN"/>
        </w:rPr>
        <w:sectPr>
          <w:footerReference r:id="rId11" w:type="default"/>
          <w:pgSz w:w="11906" w:h="16838"/>
          <w:pgMar w:top="1440" w:right="1800" w:bottom="1440" w:left="1800" w:header="0" w:footer="949" w:gutter="0"/>
          <w:pgNumType w:fmt="decimal"/>
          <w:cols w:space="720" w:num="1"/>
        </w:sectPr>
      </w:pPr>
    </w:p>
    <w:p w14:paraId="52BFFB0B">
      <w:pPr>
        <w:spacing w:before="101" w:line="225" w:lineRule="auto"/>
        <w:outlineLvl w:val="1"/>
        <w:rPr>
          <w:rFonts w:hint="eastAsia" w:ascii="仿宋" w:hAnsi="仿宋" w:eastAsia="仿宋" w:cs="仿宋"/>
          <w:color w:val="auto"/>
          <w:sz w:val="28"/>
          <w:szCs w:val="28"/>
          <w:highlight w:val="none"/>
          <w:lang w:eastAsia="zh-CN"/>
        </w:rPr>
      </w:pPr>
      <w:bookmarkStart w:id="242" w:name="_Toc23308"/>
      <w:r>
        <w:rPr>
          <w:rFonts w:hint="eastAsia" w:ascii="仿宋" w:hAnsi="仿宋" w:eastAsia="仿宋" w:cs="仿宋"/>
          <w:color w:val="auto"/>
          <w:spacing w:val="7"/>
          <w:sz w:val="28"/>
          <w:szCs w:val="28"/>
          <w:highlight w:val="none"/>
          <w:lang w:eastAsia="zh-CN"/>
          <w14:textOutline w14:w="5829" w14:cap="flat" w14:cmpd="sng" w14:algn="ctr">
            <w14:solidFill>
              <w14:srgbClr w14:val="000000"/>
            </w14:solidFill>
            <w14:prstDash w14:val="solid"/>
            <w14:miter w14:val="0"/>
          </w14:textOutline>
        </w:rPr>
        <w:t>一、资格响应文件</w:t>
      </w:r>
      <w:bookmarkEnd w:id="242"/>
    </w:p>
    <w:p w14:paraId="42EA0590">
      <w:pPr>
        <w:spacing w:before="101" w:line="224" w:lineRule="auto"/>
        <w:ind w:left="21"/>
        <w:outlineLvl w:val="2"/>
        <w:rPr>
          <w:rFonts w:hint="eastAsia" w:ascii="仿宋" w:hAnsi="仿宋" w:eastAsia="仿宋" w:cs="仿宋"/>
          <w:color w:val="auto"/>
          <w:sz w:val="28"/>
          <w:szCs w:val="28"/>
          <w:highlight w:val="none"/>
          <w:lang w:eastAsia="zh-CN"/>
        </w:rPr>
      </w:pPr>
      <w:bookmarkStart w:id="243" w:name="_Toc15567"/>
      <w:r>
        <w:rPr>
          <w:rFonts w:hint="eastAsia" w:ascii="仿宋" w:hAnsi="仿宋" w:eastAsia="仿宋" w:cs="仿宋"/>
          <w:color w:val="auto"/>
          <w:spacing w:val="9"/>
          <w:sz w:val="28"/>
          <w:szCs w:val="28"/>
          <w:highlight w:val="none"/>
          <w:lang w:eastAsia="zh-CN"/>
          <w14:textOutline w14:w="5130" w14:cap="flat" w14:cmpd="sng" w14:algn="ctr">
            <w14:solidFill>
              <w14:srgbClr w14:val="000000"/>
            </w14:solidFill>
            <w14:prstDash w14:val="solid"/>
            <w14:miter w14:val="0"/>
          </w14:textOutline>
        </w:rPr>
        <w:t>（一）</w:t>
      </w:r>
      <w:r>
        <w:rPr>
          <w:rFonts w:hint="eastAsia" w:ascii="仿宋" w:hAnsi="仿宋" w:eastAsia="仿宋" w:cs="仿宋"/>
          <w:color w:val="auto"/>
          <w:spacing w:val="9"/>
          <w:sz w:val="28"/>
          <w:szCs w:val="28"/>
          <w:highlight w:val="none"/>
          <w:lang w:eastAsia="zh-CN"/>
          <w14:textOutline w14:w="5829" w14:cap="flat" w14:cmpd="sng" w14:algn="ctr">
            <w14:solidFill>
              <w14:srgbClr w14:val="000000"/>
            </w14:solidFill>
            <w14:prstDash w14:val="solid"/>
            <w14:miter w14:val="0"/>
          </w14:textOutline>
        </w:rPr>
        <w:t>《中华人民共和国政府采购法》第二十二条应当</w:t>
      </w:r>
      <w:r>
        <w:rPr>
          <w:rFonts w:hint="eastAsia" w:ascii="仿宋" w:hAnsi="仿宋" w:eastAsia="仿宋" w:cs="仿宋"/>
          <w:color w:val="auto"/>
          <w:spacing w:val="8"/>
          <w:sz w:val="28"/>
          <w:szCs w:val="28"/>
          <w:highlight w:val="none"/>
          <w:lang w:eastAsia="zh-CN"/>
          <w14:textOutline w14:w="5829" w14:cap="flat" w14:cmpd="sng" w14:algn="ctr">
            <w14:solidFill>
              <w14:srgbClr w14:val="000000"/>
            </w14:solidFill>
            <w14:prstDash w14:val="solid"/>
            <w14:miter w14:val="0"/>
          </w14:textOutline>
        </w:rPr>
        <w:t>具备的条件</w:t>
      </w:r>
      <w:bookmarkEnd w:id="243"/>
    </w:p>
    <w:p w14:paraId="1359EAF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20" w:firstLineChars="200"/>
        <w:textAlignment w:val="baseline"/>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auto"/>
          <w:spacing w:val="10"/>
          <w:sz w:val="24"/>
          <w:szCs w:val="24"/>
          <w:highlight w:val="none"/>
          <w:lang w:eastAsia="zh-CN"/>
        </w:rPr>
        <w:t>（1）具有独立承担民事责任的能力（有效的营业执照或事业单位法人证书或执业许可证证明材料或个体工商户营业执照或有效的自然人身份证明（复印件加盖公章）</w:t>
      </w:r>
      <w:r>
        <w:rPr>
          <w:rFonts w:hint="eastAsia" w:ascii="仿宋" w:hAnsi="仿宋" w:eastAsia="仿宋" w:cs="仿宋"/>
          <w:b w:val="0"/>
          <w:bCs w:val="0"/>
          <w:color w:val="auto"/>
          <w:spacing w:val="-1"/>
          <w:sz w:val="24"/>
          <w:szCs w:val="24"/>
          <w:highlight w:val="none"/>
          <w:shd w:val="clear" w:color="auto" w:fill="FFFFFF" w:themeFill="background1"/>
          <w:lang w:eastAsia="zh-CN"/>
        </w:rPr>
        <w:t>）</w:t>
      </w:r>
      <w:r>
        <w:rPr>
          <w:rFonts w:hint="eastAsia" w:ascii="仿宋" w:hAnsi="仿宋" w:eastAsia="仿宋" w:cs="仿宋"/>
          <w:b w:val="0"/>
          <w:bCs w:val="0"/>
          <w:color w:val="auto"/>
          <w:spacing w:val="-1"/>
          <w:sz w:val="24"/>
          <w:szCs w:val="24"/>
          <w:highlight w:val="none"/>
          <w:lang w:eastAsia="zh-CN"/>
        </w:rPr>
        <w:t>；</w:t>
      </w:r>
    </w:p>
    <w:p w14:paraId="579AC45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（2）具有良好的商业信誉和健全的财务会计制度（</w:t>
      </w:r>
      <w:r>
        <w:rPr>
          <w:rFonts w:hint="eastAsia" w:ascii="仿宋" w:hAnsi="仿宋" w:eastAsia="仿宋" w:cs="仿宋"/>
          <w:color w:val="auto"/>
          <w:spacing w:val="8"/>
          <w:sz w:val="24"/>
          <w:szCs w:val="24"/>
          <w:highlight w:val="none"/>
          <w:lang w:eastAsia="zh-CN"/>
        </w:rPr>
        <w:t>提供202</w:t>
      </w:r>
      <w:r>
        <w:rPr>
          <w:rFonts w:hint="eastAsia" w:ascii="仿宋" w:hAnsi="仿宋" w:eastAsia="仿宋" w:cs="仿宋"/>
          <w:color w:val="auto"/>
          <w:spacing w:val="8"/>
          <w:sz w:val="24"/>
          <w:szCs w:val="24"/>
          <w:highlight w:val="none"/>
          <w:lang w:val="en-US" w:eastAsia="zh-CN"/>
        </w:rPr>
        <w:t>4</w:t>
      </w:r>
      <w:r>
        <w:rPr>
          <w:rFonts w:hint="eastAsia" w:ascii="仿宋" w:hAnsi="仿宋" w:eastAsia="仿宋" w:cs="仿宋"/>
          <w:color w:val="auto"/>
          <w:spacing w:val="8"/>
          <w:sz w:val="24"/>
          <w:szCs w:val="24"/>
          <w:highlight w:val="none"/>
          <w:lang w:eastAsia="zh-CN"/>
        </w:rPr>
        <w:t>年或202</w:t>
      </w:r>
      <w:r>
        <w:rPr>
          <w:rFonts w:hint="eastAsia" w:ascii="仿宋" w:hAnsi="仿宋" w:eastAsia="仿宋" w:cs="仿宋"/>
          <w:color w:val="auto"/>
          <w:spacing w:val="8"/>
          <w:sz w:val="24"/>
          <w:szCs w:val="24"/>
          <w:highlight w:val="none"/>
          <w:lang w:val="en-US" w:eastAsia="zh-CN"/>
        </w:rPr>
        <w:t>5</w:t>
      </w:r>
      <w:r>
        <w:rPr>
          <w:rFonts w:hint="eastAsia" w:ascii="仿宋" w:hAnsi="仿宋" w:eastAsia="仿宋" w:cs="仿宋"/>
          <w:color w:val="auto"/>
          <w:spacing w:val="8"/>
          <w:sz w:val="24"/>
          <w:szCs w:val="24"/>
          <w:highlight w:val="none"/>
          <w:lang w:eastAsia="zh-CN"/>
        </w:rPr>
        <w:t>年度审计报告或财务报表，成立不足一年的公司出具开户银行出具的资信证明，或出具书面承诺函，自行提供；</w:t>
      </w:r>
      <w:r>
        <w:rPr>
          <w:rFonts w:hint="eastAsia" w:ascii="仿宋" w:hAnsi="仿宋" w:eastAsia="仿宋" w:cs="仿宋"/>
          <w:color w:val="auto"/>
          <w:spacing w:val="13"/>
          <w:sz w:val="24"/>
          <w:szCs w:val="24"/>
          <w:highlight w:val="none"/>
          <w:lang w:eastAsia="zh-CN"/>
        </w:rPr>
        <w:t>）；</w:t>
      </w:r>
    </w:p>
    <w:p w14:paraId="68CA2BC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（3）具有履行合同所必需的设备和专业技术能力（根据项目需求提供</w:t>
      </w:r>
      <w:r>
        <w:rPr>
          <w:rFonts w:hint="eastAsia" w:ascii="仿宋" w:hAnsi="仿宋" w:eastAsia="仿宋" w:cs="仿宋"/>
          <w:color w:val="auto"/>
          <w:spacing w:val="9"/>
          <w:sz w:val="24"/>
          <w:szCs w:val="24"/>
          <w:highlight w:val="none"/>
          <w:u w:val="single"/>
          <w:lang w:eastAsia="zh-CN"/>
        </w:rPr>
        <w:t>履行合同所必</w:t>
      </w:r>
      <w:r>
        <w:rPr>
          <w:rFonts w:hint="eastAsia" w:ascii="仿宋" w:hAnsi="仿宋" w:eastAsia="仿宋" w:cs="仿宋"/>
          <w:color w:val="auto"/>
          <w:spacing w:val="7"/>
          <w:sz w:val="24"/>
          <w:szCs w:val="24"/>
          <w:highlight w:val="none"/>
          <w:u w:val="single"/>
          <w:lang w:eastAsia="zh-CN"/>
        </w:rPr>
        <w:t>需的设备和专业技术能力的书面承诺函</w:t>
      </w:r>
      <w:r>
        <w:rPr>
          <w:rFonts w:hint="eastAsia" w:ascii="仿宋" w:hAnsi="仿宋" w:eastAsia="仿宋" w:cs="仿宋"/>
          <w:color w:val="auto"/>
          <w:spacing w:val="7"/>
          <w:sz w:val="24"/>
          <w:szCs w:val="24"/>
          <w:highlight w:val="none"/>
          <w:lang w:eastAsia="zh-CN"/>
        </w:rPr>
        <w:t>，按格式提供</w:t>
      </w:r>
      <w:r>
        <w:rPr>
          <w:rFonts w:hint="eastAsia" w:ascii="仿宋" w:hAnsi="仿宋" w:eastAsia="仿宋" w:cs="仿宋"/>
          <w:color w:val="auto"/>
          <w:spacing w:val="2"/>
          <w:sz w:val="24"/>
          <w:szCs w:val="24"/>
          <w:highlight w:val="none"/>
          <w:lang w:eastAsia="zh-CN"/>
        </w:rPr>
        <w:t>）；</w:t>
      </w:r>
    </w:p>
    <w:p w14:paraId="1AA27A8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（4）有依法缴纳税收和社会保障资金的良好记录（提供参加本次政府采购活动前近</w:t>
      </w:r>
      <w:r>
        <w:rPr>
          <w:rFonts w:hint="eastAsia" w:ascii="仿宋" w:hAnsi="仿宋" w:eastAsia="仿宋" w:cs="仿宋"/>
          <w:color w:val="auto"/>
          <w:sz w:val="24"/>
          <w:szCs w:val="24"/>
          <w:highlight w:val="none"/>
          <w:lang w:eastAsia="zh-CN"/>
        </w:rPr>
        <w:t>三个月</w:t>
      </w:r>
      <w:r>
        <w:rPr>
          <w:rFonts w:hint="eastAsia" w:ascii="仿宋" w:hAnsi="仿宋" w:eastAsia="仿宋" w:cs="仿宋"/>
          <w:color w:val="auto"/>
          <w:spacing w:val="10"/>
          <w:sz w:val="24"/>
          <w:szCs w:val="24"/>
          <w:highlight w:val="none"/>
          <w:lang w:eastAsia="zh-CN"/>
        </w:rPr>
        <w:t>内任意一个月的</w:t>
      </w:r>
      <w:r>
        <w:rPr>
          <w:rFonts w:hint="eastAsia" w:ascii="仿宋" w:hAnsi="仿宋" w:eastAsia="仿宋" w:cs="仿宋"/>
          <w:color w:val="auto"/>
          <w:spacing w:val="10"/>
          <w:sz w:val="24"/>
          <w:szCs w:val="24"/>
          <w:highlight w:val="none"/>
          <w:u w:val="single"/>
          <w:lang w:eastAsia="zh-CN"/>
        </w:rPr>
        <w:t>依法缴纳税收</w:t>
      </w:r>
      <w:r>
        <w:rPr>
          <w:rFonts w:hint="eastAsia" w:ascii="仿宋" w:hAnsi="仿宋" w:eastAsia="仿宋" w:cs="仿宋"/>
          <w:color w:val="auto"/>
          <w:spacing w:val="10"/>
          <w:sz w:val="24"/>
          <w:szCs w:val="24"/>
          <w:highlight w:val="none"/>
          <w:lang w:eastAsia="zh-CN"/>
        </w:rPr>
        <w:t>和</w:t>
      </w:r>
      <w:r>
        <w:rPr>
          <w:rFonts w:hint="eastAsia" w:ascii="仿宋" w:hAnsi="仿宋" w:eastAsia="仿宋" w:cs="仿宋"/>
          <w:color w:val="auto"/>
          <w:spacing w:val="10"/>
          <w:sz w:val="24"/>
          <w:szCs w:val="24"/>
          <w:highlight w:val="none"/>
          <w:u w:val="single"/>
          <w:lang w:eastAsia="zh-CN"/>
        </w:rPr>
        <w:t>社会保障资金</w:t>
      </w:r>
      <w:r>
        <w:rPr>
          <w:rFonts w:hint="eastAsia" w:ascii="仿宋" w:hAnsi="仿宋" w:eastAsia="仿宋" w:cs="仿宋"/>
          <w:color w:val="auto"/>
          <w:spacing w:val="10"/>
          <w:sz w:val="24"/>
          <w:szCs w:val="24"/>
          <w:highlight w:val="none"/>
          <w:lang w:eastAsia="zh-CN"/>
        </w:rPr>
        <w:t>的相</w:t>
      </w:r>
      <w:r>
        <w:rPr>
          <w:rFonts w:hint="eastAsia" w:ascii="仿宋" w:hAnsi="仿宋" w:eastAsia="仿宋" w:cs="仿宋"/>
          <w:color w:val="auto"/>
          <w:spacing w:val="9"/>
          <w:sz w:val="24"/>
          <w:szCs w:val="24"/>
          <w:highlight w:val="none"/>
          <w:lang w:eastAsia="zh-CN"/>
        </w:rPr>
        <w:t>关材料或</w:t>
      </w:r>
      <w:r>
        <w:rPr>
          <w:rFonts w:hint="eastAsia" w:ascii="仿宋" w:hAnsi="仿宋" w:eastAsia="仿宋" w:cs="仿宋"/>
          <w:color w:val="auto"/>
          <w:spacing w:val="9"/>
          <w:sz w:val="24"/>
          <w:szCs w:val="24"/>
          <w:highlight w:val="none"/>
          <w:u w:val="single"/>
          <w:lang w:eastAsia="zh-CN"/>
        </w:rPr>
        <w:t>提供有依法缴纳税收和社</w:t>
      </w:r>
      <w:r>
        <w:rPr>
          <w:rFonts w:hint="eastAsia" w:ascii="仿宋" w:hAnsi="仿宋" w:eastAsia="仿宋" w:cs="仿宋"/>
          <w:color w:val="auto"/>
          <w:spacing w:val="7"/>
          <w:sz w:val="24"/>
          <w:szCs w:val="24"/>
          <w:highlight w:val="none"/>
          <w:u w:val="single"/>
          <w:lang w:eastAsia="zh-CN"/>
        </w:rPr>
        <w:t>会保障资金的良好记录的书面承诺函</w:t>
      </w:r>
      <w:r>
        <w:rPr>
          <w:rFonts w:hint="eastAsia" w:ascii="仿宋" w:hAnsi="仿宋" w:eastAsia="仿宋" w:cs="仿宋"/>
          <w:color w:val="auto"/>
          <w:spacing w:val="7"/>
          <w:sz w:val="24"/>
          <w:szCs w:val="24"/>
          <w:highlight w:val="none"/>
          <w:lang w:eastAsia="zh-CN"/>
        </w:rPr>
        <w:t>，自行提供）；</w:t>
      </w:r>
    </w:p>
    <w:p w14:paraId="0719164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（5）参加政府采购活动前三年内，在经营活动中没有重大违法记录（提供</w:t>
      </w:r>
      <w:r>
        <w:rPr>
          <w:rFonts w:hint="eastAsia" w:ascii="仿宋" w:hAnsi="仿宋" w:eastAsia="仿宋" w:cs="仿宋"/>
          <w:color w:val="auto"/>
          <w:spacing w:val="9"/>
          <w:sz w:val="24"/>
          <w:szCs w:val="24"/>
          <w:highlight w:val="none"/>
          <w:u w:val="single"/>
          <w:lang w:eastAsia="zh-CN"/>
        </w:rPr>
        <w:t>参加本次</w:t>
      </w:r>
      <w:r>
        <w:rPr>
          <w:rFonts w:hint="eastAsia" w:ascii="仿宋" w:hAnsi="仿宋" w:eastAsia="仿宋" w:cs="仿宋"/>
          <w:color w:val="auto"/>
          <w:spacing w:val="8"/>
          <w:sz w:val="24"/>
          <w:szCs w:val="24"/>
          <w:highlight w:val="none"/>
          <w:u w:val="single"/>
          <w:lang w:eastAsia="zh-CN"/>
        </w:rPr>
        <w:t>政府采购活动前 3 年内在经营活动中没有重大违法记录的书面承诺函</w:t>
      </w:r>
      <w:r>
        <w:rPr>
          <w:rFonts w:hint="eastAsia" w:ascii="仿宋" w:hAnsi="仿宋" w:eastAsia="仿宋" w:cs="仿宋"/>
          <w:color w:val="auto"/>
          <w:spacing w:val="8"/>
          <w:sz w:val="24"/>
          <w:szCs w:val="24"/>
          <w:highlight w:val="none"/>
          <w:lang w:eastAsia="zh-CN"/>
        </w:rPr>
        <w:t>，按格式提供</w:t>
      </w:r>
      <w:r>
        <w:rPr>
          <w:rFonts w:hint="eastAsia" w:ascii="仿宋" w:hAnsi="仿宋" w:eastAsia="仿宋" w:cs="仿宋"/>
          <w:color w:val="auto"/>
          <w:spacing w:val="5"/>
          <w:sz w:val="24"/>
          <w:szCs w:val="24"/>
          <w:highlight w:val="none"/>
          <w:lang w:eastAsia="zh-CN"/>
        </w:rPr>
        <w:t>）；</w:t>
      </w:r>
    </w:p>
    <w:p w14:paraId="1DFCB92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3"/>
          <w:sz w:val="24"/>
          <w:szCs w:val="24"/>
          <w:highlight w:val="none"/>
          <w:lang w:eastAsia="zh-CN"/>
        </w:rPr>
        <w:t>（6）法律、行政法规规定的其他条件。（</w:t>
      </w:r>
      <w:r>
        <w:rPr>
          <w:rFonts w:hint="eastAsia" w:ascii="仿宋" w:hAnsi="仿宋" w:eastAsia="仿宋" w:cs="仿宋"/>
          <w:color w:val="auto"/>
          <w:sz w:val="24"/>
          <w:szCs w:val="24"/>
          <w:highlight w:val="none"/>
          <w:lang w:eastAsia="zh-CN"/>
        </w:rPr>
        <w:t>符合</w:t>
      </w:r>
      <w:r>
        <w:rPr>
          <w:rFonts w:hint="eastAsia" w:ascii="仿宋" w:hAnsi="仿宋" w:eastAsia="仿宋" w:cs="仿宋"/>
          <w:color w:val="auto"/>
          <w:sz w:val="24"/>
          <w:szCs w:val="24"/>
          <w:highlight w:val="none"/>
          <w:lang w:val="zh-CN" w:eastAsia="zh-CN"/>
        </w:rPr>
        <w:t>法律、行政法规规定的其他条件</w:t>
      </w:r>
      <w:r>
        <w:rPr>
          <w:rFonts w:hint="eastAsia" w:ascii="仿宋" w:hAnsi="仿宋" w:eastAsia="仿宋" w:cs="仿宋"/>
          <w:color w:val="auto"/>
          <w:sz w:val="24"/>
          <w:szCs w:val="24"/>
          <w:highlight w:val="none"/>
          <w:lang w:eastAsia="zh-CN"/>
        </w:rPr>
        <w:t>承诺函，自行提供</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58"/>
          <w:sz w:val="24"/>
          <w:szCs w:val="24"/>
          <w:highlight w:val="none"/>
          <w:lang w:eastAsia="zh-CN"/>
        </w:rPr>
        <w:t>；</w:t>
      </w:r>
    </w:p>
    <w:p w14:paraId="68A4E97B">
      <w:pPr>
        <w:pStyle w:val="20"/>
        <w:keepNext w:val="0"/>
        <w:keepLines w:val="0"/>
        <w:pageBreakBefore w:val="0"/>
        <w:widowControl/>
        <w:kinsoku w:val="0"/>
        <w:wordWrap/>
        <w:overflowPunct/>
        <w:topLinePunct w:val="0"/>
        <w:autoSpaceDE w:val="0"/>
        <w:autoSpaceDN w:val="0"/>
        <w:bidi w:val="0"/>
        <w:adjustRightInd w:val="0"/>
        <w:snapToGrid w:val="0"/>
        <w:spacing w:after="0" w:line="360" w:lineRule="auto"/>
        <w:ind w:left="0" w:firstLine="496" w:firstLineChars="200"/>
        <w:textAlignment w:val="baseline"/>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（7）供应商为中小企业；（需提供中小企业声明函，按格式提供。）；</w:t>
      </w:r>
    </w:p>
    <w:p w14:paraId="6642CAC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6"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（8）</w:t>
      </w:r>
      <w:r>
        <w:rPr>
          <w:rFonts w:hint="eastAsia" w:ascii="仿宋" w:hAnsi="仿宋" w:eastAsia="仿宋" w:cs="仿宋"/>
          <w:color w:val="auto"/>
          <w:sz w:val="24"/>
          <w:szCs w:val="24"/>
          <w:highlight w:val="none"/>
          <w:lang w:eastAsia="zh-CN"/>
        </w:rPr>
        <w:t>企业诚信信息未被行业主管部门通报；（提供网页截图等证明材料或承诺函）；</w:t>
      </w:r>
    </w:p>
    <w:p w14:paraId="6C6B00F9">
      <w:pPr>
        <w:pStyle w:val="20"/>
        <w:keepNext w:val="0"/>
        <w:keepLines w:val="0"/>
        <w:pageBreakBefore w:val="0"/>
        <w:widowControl/>
        <w:kinsoku w:val="0"/>
        <w:wordWrap/>
        <w:overflowPunct/>
        <w:topLinePunct w:val="0"/>
        <w:autoSpaceDE w:val="0"/>
        <w:autoSpaceDN w:val="0"/>
        <w:bidi w:val="0"/>
        <w:adjustRightInd w:val="0"/>
        <w:snapToGrid w:val="0"/>
        <w:spacing w:after="0" w:line="360" w:lineRule="auto"/>
        <w:ind w:left="0"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（9）未在“信用中国”网站（www.creditchina.gov.cn）、中国政府采购网（www.ccgp.gov.cn）等渠道列入失信被执行人、重大税收违法案件当事人名单、政府采购严重违法失信行为记录名单；</w:t>
      </w:r>
    </w:p>
    <w:p w14:paraId="2D419779">
      <w:pPr>
        <w:pStyle w:val="20"/>
        <w:keepNext w:val="0"/>
        <w:keepLines w:val="0"/>
        <w:pageBreakBefore w:val="0"/>
        <w:widowControl/>
        <w:kinsoku w:val="0"/>
        <w:wordWrap/>
        <w:overflowPunct/>
        <w:topLinePunct w:val="0"/>
        <w:autoSpaceDE w:val="0"/>
        <w:autoSpaceDN w:val="0"/>
        <w:bidi w:val="0"/>
        <w:adjustRightInd w:val="0"/>
        <w:snapToGrid w:val="0"/>
        <w:spacing w:after="0" w:line="360" w:lineRule="auto"/>
        <w:ind w:left="0"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书面承诺函，自行提供）。</w:t>
      </w:r>
    </w:p>
    <w:p w14:paraId="2A90C7F3">
      <w:pPr>
        <w:spacing w:before="75" w:line="227" w:lineRule="auto"/>
        <w:jc w:val="center"/>
        <w:rPr>
          <w:rFonts w:hint="eastAsia" w:ascii="仿宋" w:hAnsi="仿宋" w:eastAsia="仿宋" w:cs="仿宋"/>
          <w:color w:val="auto"/>
          <w:spacing w:val="9"/>
          <w:sz w:val="24"/>
          <w:szCs w:val="24"/>
          <w:highlight w:val="none"/>
          <w:lang w:eastAsia="zh-CN"/>
          <w14:textOutline w14:w="4394" w14:cap="flat" w14:cmpd="sng" w14:algn="ctr">
            <w14:solidFill>
              <w14:srgbClr w14:val="000000"/>
            </w14:solidFill>
            <w14:prstDash w14:val="solid"/>
            <w14:miter w14:val="0"/>
          </w14:textOutline>
        </w:rPr>
      </w:pPr>
      <w:r>
        <w:rPr>
          <w:rFonts w:hint="eastAsia" w:ascii="仿宋" w:hAnsi="仿宋" w:eastAsia="仿宋" w:cs="仿宋"/>
          <w:color w:val="auto"/>
          <w:spacing w:val="9"/>
          <w:sz w:val="24"/>
          <w:szCs w:val="24"/>
          <w:highlight w:val="none"/>
          <w:lang w:eastAsia="zh-CN"/>
          <w14:textOutline w14:w="4394" w14:cap="flat" w14:cmpd="sng" w14:algn="ctr">
            <w14:solidFill>
              <w14:srgbClr w14:val="000000"/>
            </w14:solidFill>
            <w14:prstDash w14:val="solid"/>
            <w14:miter w14:val="0"/>
          </w14:textOutline>
        </w:rPr>
        <w:t>履行合同所必需的设备和专业技术能力的书面承诺函（格式）</w:t>
      </w:r>
    </w:p>
    <w:p w14:paraId="1EAC44C3">
      <w:pPr>
        <w:pStyle w:val="20"/>
        <w:rPr>
          <w:rFonts w:hint="eastAsia" w:ascii="仿宋" w:hAnsi="仿宋" w:eastAsia="仿宋" w:cs="仿宋"/>
          <w:color w:val="auto"/>
          <w:highlight w:val="none"/>
          <w:lang w:eastAsia="zh-CN"/>
        </w:rPr>
      </w:pPr>
    </w:p>
    <w:p w14:paraId="13E94981">
      <w:pPr>
        <w:spacing w:before="75" w:line="227" w:lineRule="auto"/>
        <w:ind w:left="238"/>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14:textOutline w14:w="4394" w14:cap="flat" w14:cmpd="sng" w14:algn="ctr">
            <w14:solidFill>
              <w14:srgbClr w14:val="000000"/>
            </w14:solidFill>
            <w14:prstDash w14:val="solid"/>
            <w14:miter w14:val="0"/>
          </w14:textOutline>
        </w:rPr>
        <w:t>承诺函（</w:t>
      </w:r>
      <w:r>
        <w:rPr>
          <w:rFonts w:hint="eastAsia" w:ascii="仿宋" w:hAnsi="仿宋" w:eastAsia="仿宋" w:cs="仿宋"/>
          <w:color w:val="auto"/>
          <w:spacing w:val="9"/>
          <w:sz w:val="24"/>
          <w:szCs w:val="24"/>
          <w:highlight w:val="none"/>
          <w:lang w:eastAsia="zh-CN"/>
          <w14:textOutline w14:w="4394" w14:cap="flat" w14:cmpd="sng" w14:algn="ctr">
            <w14:solidFill>
              <w14:srgbClr w14:val="000000"/>
            </w14:solidFill>
            <w14:prstDash w14:val="solid"/>
            <w14:miter w14:val="0"/>
          </w14:textOutline>
        </w:rPr>
        <w:t>格式）</w:t>
      </w:r>
    </w:p>
    <w:p w14:paraId="57DD34DD">
      <w:pPr>
        <w:spacing w:before="255" w:line="360" w:lineRule="auto"/>
        <w:ind w:firstLine="52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eastAsia="zh-CN"/>
        </w:rPr>
        <w:t>我单位完全理解</w:t>
      </w:r>
      <w:r>
        <w:rPr>
          <w:rFonts w:hint="eastAsia" w:ascii="仿宋" w:hAnsi="仿宋" w:eastAsia="仿宋" w:cs="仿宋"/>
          <w:color w:val="auto"/>
          <w:spacing w:val="12"/>
          <w:sz w:val="24"/>
          <w:szCs w:val="24"/>
          <w:highlight w:val="none"/>
          <w:u w:val="single"/>
          <w:lang w:eastAsia="zh-CN"/>
        </w:rPr>
        <w:t>（项目名称）</w:t>
      </w:r>
      <w:r>
        <w:rPr>
          <w:rFonts w:hint="eastAsia" w:ascii="仿宋" w:hAnsi="仿宋" w:eastAsia="仿宋" w:cs="仿宋"/>
          <w:color w:val="auto"/>
          <w:spacing w:val="12"/>
          <w:sz w:val="24"/>
          <w:szCs w:val="24"/>
          <w:highlight w:val="none"/>
          <w:lang w:eastAsia="zh-CN"/>
        </w:rPr>
        <w:t>的技术要求，商务条款及其他内容，并承诺具有</w:t>
      </w:r>
      <w:r>
        <w:rPr>
          <w:rFonts w:hint="eastAsia" w:ascii="仿宋" w:hAnsi="仿宋" w:eastAsia="仿宋" w:cs="仿宋"/>
          <w:color w:val="auto"/>
          <w:spacing w:val="11"/>
          <w:sz w:val="24"/>
          <w:szCs w:val="24"/>
          <w:highlight w:val="none"/>
          <w:lang w:eastAsia="zh-CN"/>
        </w:rPr>
        <w:t>履行该</w:t>
      </w:r>
      <w:r>
        <w:rPr>
          <w:rFonts w:hint="eastAsia" w:ascii="仿宋" w:hAnsi="仿宋" w:eastAsia="仿宋" w:cs="仿宋"/>
          <w:color w:val="auto"/>
          <w:spacing w:val="8"/>
          <w:sz w:val="24"/>
          <w:szCs w:val="24"/>
          <w:highlight w:val="none"/>
          <w:lang w:eastAsia="zh-CN"/>
        </w:rPr>
        <w:t>项目合同所必需的设备和专业技术能力。</w:t>
      </w:r>
    </w:p>
    <w:p w14:paraId="6B25C411">
      <w:pPr>
        <w:spacing w:before="251" w:line="360" w:lineRule="auto"/>
        <w:ind w:left="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我单位对上述承诺的真实性负责。如有虚假将依法承担相应法律责任。</w:t>
      </w:r>
    </w:p>
    <w:p w14:paraId="4DC122F2">
      <w:pPr>
        <w:pStyle w:val="7"/>
        <w:spacing w:line="360" w:lineRule="auto"/>
        <w:rPr>
          <w:rFonts w:hint="eastAsia" w:ascii="仿宋" w:hAnsi="仿宋" w:eastAsia="仿宋" w:cs="仿宋"/>
          <w:color w:val="auto"/>
          <w:sz w:val="24"/>
          <w:szCs w:val="24"/>
          <w:highlight w:val="none"/>
          <w:lang w:eastAsia="zh-CN"/>
        </w:rPr>
      </w:pPr>
    </w:p>
    <w:p w14:paraId="41E01E54">
      <w:pPr>
        <w:spacing w:line="0" w:lineRule="atLeast"/>
        <w:jc w:val="left"/>
        <w:rPr>
          <w:rFonts w:hint="eastAsia" w:ascii="仿宋" w:hAnsi="仿宋" w:eastAsia="仿宋" w:cs="仿宋"/>
          <w:color w:val="auto"/>
          <w:spacing w:val="8"/>
          <w:position w:val="31"/>
          <w:sz w:val="24"/>
          <w:szCs w:val="24"/>
          <w:highlight w:val="none"/>
          <w:lang w:eastAsia="zh-CN"/>
        </w:rPr>
      </w:pPr>
      <w:r>
        <w:rPr>
          <w:rFonts w:hint="eastAsia" w:ascii="仿宋" w:hAnsi="仿宋" w:eastAsia="仿宋" w:cs="仿宋"/>
          <w:color w:val="auto"/>
          <w:spacing w:val="8"/>
          <w:position w:val="31"/>
          <w:sz w:val="24"/>
          <w:szCs w:val="24"/>
          <w:highlight w:val="none"/>
          <w:lang w:eastAsia="zh-CN"/>
        </w:rPr>
        <w:t>谈判供应商名称（电子公章）：</w:t>
      </w:r>
    </w:p>
    <w:p w14:paraId="42288C52">
      <w:pPr>
        <w:spacing w:line="0" w:lineRule="atLeast"/>
        <w:jc w:val="left"/>
        <w:rPr>
          <w:rFonts w:hint="eastAsia" w:ascii="仿宋" w:hAnsi="仿宋" w:eastAsia="仿宋" w:cs="仿宋"/>
          <w:color w:val="auto"/>
          <w:spacing w:val="8"/>
          <w:position w:val="31"/>
          <w:sz w:val="24"/>
          <w:szCs w:val="24"/>
          <w:highlight w:val="none"/>
          <w:lang w:eastAsia="zh-CN"/>
        </w:rPr>
      </w:pPr>
      <w:r>
        <w:rPr>
          <w:rFonts w:hint="eastAsia" w:ascii="仿宋" w:hAnsi="仿宋" w:eastAsia="仿宋" w:cs="仿宋"/>
          <w:color w:val="auto"/>
          <w:spacing w:val="8"/>
          <w:position w:val="31"/>
          <w:sz w:val="24"/>
          <w:szCs w:val="24"/>
          <w:highlight w:val="none"/>
          <w:lang w:eastAsia="zh-CN"/>
        </w:rPr>
        <w:t>谈判供应商法定代表人（电子签名或盖章）：</w:t>
      </w:r>
    </w:p>
    <w:p w14:paraId="6EC1A35F">
      <w:pPr>
        <w:spacing w:line="0" w:lineRule="atLeast"/>
        <w:jc w:val="left"/>
        <w:rPr>
          <w:rFonts w:hint="eastAsia" w:ascii="仿宋" w:hAnsi="仿宋" w:eastAsia="仿宋" w:cs="仿宋"/>
          <w:color w:val="auto"/>
          <w:spacing w:val="8"/>
          <w:position w:val="31"/>
          <w:sz w:val="24"/>
          <w:szCs w:val="24"/>
          <w:highlight w:val="none"/>
          <w:lang w:eastAsia="zh-CN"/>
        </w:rPr>
      </w:pPr>
      <w:r>
        <w:rPr>
          <w:rFonts w:hint="eastAsia" w:ascii="仿宋" w:hAnsi="仿宋" w:eastAsia="仿宋" w:cs="仿宋"/>
          <w:color w:val="auto"/>
          <w:spacing w:val="8"/>
          <w:position w:val="31"/>
          <w:sz w:val="24"/>
          <w:szCs w:val="24"/>
          <w:highlight w:val="none"/>
          <w:lang w:eastAsia="zh-CN"/>
        </w:rPr>
        <w:t>日期：  年 月 日</w:t>
      </w:r>
    </w:p>
    <w:p w14:paraId="4893B872">
      <w:pPr>
        <w:pStyle w:val="7"/>
        <w:spacing w:line="241" w:lineRule="auto"/>
        <w:rPr>
          <w:rFonts w:hint="eastAsia" w:ascii="仿宋" w:hAnsi="仿宋" w:eastAsia="仿宋" w:cs="仿宋"/>
          <w:color w:val="auto"/>
          <w:highlight w:val="none"/>
          <w:lang w:eastAsia="zh-CN"/>
        </w:rPr>
      </w:pPr>
    </w:p>
    <w:p w14:paraId="14332ACC">
      <w:pPr>
        <w:pStyle w:val="7"/>
        <w:spacing w:line="241" w:lineRule="auto"/>
        <w:rPr>
          <w:rFonts w:hint="eastAsia" w:ascii="仿宋" w:hAnsi="仿宋" w:eastAsia="仿宋" w:cs="仿宋"/>
          <w:color w:val="auto"/>
          <w:highlight w:val="none"/>
          <w:lang w:eastAsia="zh-CN"/>
        </w:rPr>
      </w:pPr>
    </w:p>
    <w:p w14:paraId="66B546E9">
      <w:pPr>
        <w:pStyle w:val="7"/>
        <w:spacing w:line="241" w:lineRule="auto"/>
        <w:rPr>
          <w:rFonts w:hint="eastAsia" w:ascii="仿宋" w:hAnsi="仿宋" w:eastAsia="仿宋" w:cs="仿宋"/>
          <w:color w:val="auto"/>
          <w:highlight w:val="none"/>
          <w:lang w:eastAsia="zh-CN"/>
        </w:rPr>
      </w:pPr>
    </w:p>
    <w:p w14:paraId="42C9C379">
      <w:pPr>
        <w:pStyle w:val="7"/>
        <w:spacing w:line="241" w:lineRule="auto"/>
        <w:rPr>
          <w:rFonts w:hint="eastAsia" w:ascii="仿宋" w:hAnsi="仿宋" w:eastAsia="仿宋" w:cs="仿宋"/>
          <w:color w:val="auto"/>
          <w:highlight w:val="none"/>
          <w:lang w:eastAsia="zh-CN"/>
        </w:rPr>
      </w:pPr>
    </w:p>
    <w:p w14:paraId="0D0A5752">
      <w:pPr>
        <w:pStyle w:val="7"/>
        <w:spacing w:line="241" w:lineRule="auto"/>
        <w:rPr>
          <w:rFonts w:hint="eastAsia" w:ascii="仿宋" w:hAnsi="仿宋" w:eastAsia="仿宋" w:cs="仿宋"/>
          <w:color w:val="auto"/>
          <w:highlight w:val="none"/>
          <w:lang w:eastAsia="zh-CN"/>
        </w:rPr>
      </w:pPr>
    </w:p>
    <w:p w14:paraId="602E3DF9">
      <w:pPr>
        <w:pStyle w:val="7"/>
        <w:spacing w:line="241" w:lineRule="auto"/>
        <w:rPr>
          <w:rFonts w:hint="eastAsia" w:ascii="仿宋" w:hAnsi="仿宋" w:eastAsia="仿宋" w:cs="仿宋"/>
          <w:color w:val="auto"/>
          <w:highlight w:val="none"/>
          <w:lang w:eastAsia="zh-CN"/>
        </w:rPr>
      </w:pPr>
    </w:p>
    <w:p w14:paraId="1AA7D660">
      <w:pPr>
        <w:pStyle w:val="7"/>
        <w:spacing w:line="241" w:lineRule="auto"/>
        <w:rPr>
          <w:rFonts w:hint="eastAsia" w:ascii="仿宋" w:hAnsi="仿宋" w:eastAsia="仿宋" w:cs="仿宋"/>
          <w:color w:val="auto"/>
          <w:highlight w:val="none"/>
          <w:lang w:eastAsia="zh-CN"/>
        </w:rPr>
      </w:pPr>
    </w:p>
    <w:p w14:paraId="0EF75781">
      <w:pPr>
        <w:pStyle w:val="7"/>
        <w:spacing w:line="241" w:lineRule="auto"/>
        <w:rPr>
          <w:rFonts w:hint="eastAsia" w:ascii="仿宋" w:hAnsi="仿宋" w:eastAsia="仿宋" w:cs="仿宋"/>
          <w:color w:val="auto"/>
          <w:highlight w:val="none"/>
          <w:lang w:eastAsia="zh-CN"/>
        </w:rPr>
      </w:pPr>
    </w:p>
    <w:p w14:paraId="4ECD4ACC">
      <w:pPr>
        <w:pStyle w:val="7"/>
        <w:spacing w:line="241" w:lineRule="auto"/>
        <w:rPr>
          <w:rFonts w:hint="eastAsia" w:ascii="仿宋" w:hAnsi="仿宋" w:eastAsia="仿宋" w:cs="仿宋"/>
          <w:color w:val="auto"/>
          <w:highlight w:val="none"/>
          <w:lang w:eastAsia="zh-CN"/>
        </w:rPr>
      </w:pPr>
    </w:p>
    <w:p w14:paraId="40AE2B12">
      <w:pPr>
        <w:pStyle w:val="7"/>
        <w:spacing w:line="241" w:lineRule="auto"/>
        <w:rPr>
          <w:rFonts w:hint="eastAsia" w:ascii="仿宋" w:hAnsi="仿宋" w:eastAsia="仿宋" w:cs="仿宋"/>
          <w:color w:val="auto"/>
          <w:highlight w:val="none"/>
          <w:lang w:eastAsia="zh-CN"/>
        </w:rPr>
      </w:pPr>
    </w:p>
    <w:p w14:paraId="0B0F6426">
      <w:pPr>
        <w:pStyle w:val="7"/>
        <w:spacing w:line="241" w:lineRule="auto"/>
        <w:rPr>
          <w:rFonts w:hint="eastAsia" w:ascii="仿宋" w:hAnsi="仿宋" w:eastAsia="仿宋" w:cs="仿宋"/>
          <w:color w:val="auto"/>
          <w:highlight w:val="none"/>
          <w:lang w:eastAsia="zh-CN"/>
        </w:rPr>
      </w:pPr>
    </w:p>
    <w:p w14:paraId="026CC1EC">
      <w:pPr>
        <w:pStyle w:val="7"/>
        <w:spacing w:line="241" w:lineRule="auto"/>
        <w:rPr>
          <w:rFonts w:hint="eastAsia" w:ascii="仿宋" w:hAnsi="仿宋" w:eastAsia="仿宋" w:cs="仿宋"/>
          <w:color w:val="auto"/>
          <w:highlight w:val="none"/>
          <w:lang w:eastAsia="zh-CN"/>
        </w:rPr>
      </w:pPr>
    </w:p>
    <w:p w14:paraId="23B36E79">
      <w:pPr>
        <w:pStyle w:val="7"/>
        <w:spacing w:line="241" w:lineRule="auto"/>
        <w:rPr>
          <w:rFonts w:hint="eastAsia" w:ascii="仿宋" w:hAnsi="仿宋" w:eastAsia="仿宋" w:cs="仿宋"/>
          <w:color w:val="auto"/>
          <w:highlight w:val="none"/>
          <w:lang w:eastAsia="zh-CN"/>
        </w:rPr>
      </w:pPr>
    </w:p>
    <w:p w14:paraId="6A25FBA8">
      <w:pPr>
        <w:pStyle w:val="7"/>
        <w:spacing w:line="241" w:lineRule="auto"/>
        <w:rPr>
          <w:rFonts w:hint="eastAsia" w:ascii="仿宋" w:hAnsi="仿宋" w:eastAsia="仿宋" w:cs="仿宋"/>
          <w:color w:val="auto"/>
          <w:highlight w:val="none"/>
          <w:lang w:eastAsia="zh-CN"/>
        </w:rPr>
      </w:pPr>
    </w:p>
    <w:p w14:paraId="04B49374">
      <w:pPr>
        <w:pStyle w:val="7"/>
        <w:spacing w:line="241" w:lineRule="auto"/>
        <w:rPr>
          <w:rFonts w:hint="eastAsia" w:ascii="仿宋" w:hAnsi="仿宋" w:eastAsia="仿宋" w:cs="仿宋"/>
          <w:color w:val="auto"/>
          <w:highlight w:val="none"/>
          <w:lang w:eastAsia="zh-CN"/>
        </w:rPr>
      </w:pPr>
    </w:p>
    <w:p w14:paraId="1765659E">
      <w:pPr>
        <w:pStyle w:val="7"/>
        <w:spacing w:line="241" w:lineRule="auto"/>
        <w:rPr>
          <w:rFonts w:hint="eastAsia" w:ascii="仿宋" w:hAnsi="仿宋" w:eastAsia="仿宋" w:cs="仿宋"/>
          <w:color w:val="auto"/>
          <w:highlight w:val="none"/>
          <w:lang w:eastAsia="zh-CN"/>
        </w:rPr>
      </w:pPr>
    </w:p>
    <w:p w14:paraId="2BFB395B">
      <w:pPr>
        <w:pStyle w:val="7"/>
        <w:spacing w:line="241" w:lineRule="auto"/>
        <w:rPr>
          <w:rFonts w:hint="eastAsia" w:ascii="仿宋" w:hAnsi="仿宋" w:eastAsia="仿宋" w:cs="仿宋"/>
          <w:color w:val="auto"/>
          <w:highlight w:val="none"/>
          <w:lang w:eastAsia="zh-CN"/>
        </w:rPr>
      </w:pPr>
    </w:p>
    <w:p w14:paraId="40321735">
      <w:pPr>
        <w:pStyle w:val="7"/>
        <w:spacing w:line="241" w:lineRule="auto"/>
        <w:rPr>
          <w:rFonts w:hint="eastAsia" w:ascii="仿宋" w:hAnsi="仿宋" w:eastAsia="仿宋" w:cs="仿宋"/>
          <w:color w:val="auto"/>
          <w:highlight w:val="none"/>
          <w:lang w:eastAsia="zh-CN"/>
        </w:rPr>
      </w:pPr>
    </w:p>
    <w:p w14:paraId="59CCE08B">
      <w:pPr>
        <w:pStyle w:val="7"/>
        <w:spacing w:line="241" w:lineRule="auto"/>
        <w:rPr>
          <w:rFonts w:hint="eastAsia" w:ascii="仿宋" w:hAnsi="仿宋" w:eastAsia="仿宋" w:cs="仿宋"/>
          <w:color w:val="auto"/>
          <w:highlight w:val="none"/>
          <w:lang w:eastAsia="zh-CN"/>
        </w:rPr>
      </w:pPr>
    </w:p>
    <w:p w14:paraId="77759D8A">
      <w:pPr>
        <w:pStyle w:val="7"/>
        <w:spacing w:line="241" w:lineRule="auto"/>
        <w:rPr>
          <w:rFonts w:hint="eastAsia" w:ascii="仿宋" w:hAnsi="仿宋" w:eastAsia="仿宋" w:cs="仿宋"/>
          <w:color w:val="auto"/>
          <w:highlight w:val="none"/>
          <w:lang w:eastAsia="zh-CN"/>
        </w:rPr>
      </w:pPr>
    </w:p>
    <w:p w14:paraId="27608A68">
      <w:pPr>
        <w:pStyle w:val="7"/>
        <w:spacing w:line="241" w:lineRule="auto"/>
        <w:rPr>
          <w:rFonts w:hint="eastAsia" w:ascii="仿宋" w:hAnsi="仿宋" w:eastAsia="仿宋" w:cs="仿宋"/>
          <w:color w:val="auto"/>
          <w:highlight w:val="none"/>
          <w:lang w:eastAsia="zh-CN"/>
        </w:rPr>
      </w:pPr>
    </w:p>
    <w:p w14:paraId="197296FF">
      <w:pPr>
        <w:pStyle w:val="7"/>
        <w:spacing w:line="241" w:lineRule="auto"/>
        <w:rPr>
          <w:rFonts w:hint="eastAsia" w:ascii="仿宋" w:hAnsi="仿宋" w:eastAsia="仿宋" w:cs="仿宋"/>
          <w:color w:val="auto"/>
          <w:highlight w:val="none"/>
          <w:lang w:eastAsia="zh-CN"/>
        </w:rPr>
      </w:pPr>
    </w:p>
    <w:p w14:paraId="6C0DA423">
      <w:pPr>
        <w:pStyle w:val="7"/>
        <w:spacing w:line="241" w:lineRule="auto"/>
        <w:rPr>
          <w:rFonts w:hint="eastAsia" w:ascii="仿宋" w:hAnsi="仿宋" w:eastAsia="仿宋" w:cs="仿宋"/>
          <w:color w:val="auto"/>
          <w:highlight w:val="none"/>
          <w:lang w:eastAsia="zh-CN"/>
        </w:rPr>
      </w:pPr>
    </w:p>
    <w:p w14:paraId="02E6B5D0">
      <w:pPr>
        <w:pStyle w:val="7"/>
        <w:spacing w:line="241" w:lineRule="auto"/>
        <w:rPr>
          <w:rFonts w:hint="eastAsia" w:ascii="仿宋" w:hAnsi="仿宋" w:eastAsia="仿宋" w:cs="仿宋"/>
          <w:color w:val="auto"/>
          <w:highlight w:val="none"/>
          <w:lang w:eastAsia="zh-CN"/>
        </w:rPr>
      </w:pPr>
    </w:p>
    <w:p w14:paraId="169FD02A">
      <w:pPr>
        <w:pStyle w:val="7"/>
        <w:spacing w:line="241" w:lineRule="auto"/>
        <w:rPr>
          <w:rFonts w:hint="eastAsia" w:ascii="仿宋" w:hAnsi="仿宋" w:eastAsia="仿宋" w:cs="仿宋"/>
          <w:color w:val="auto"/>
          <w:highlight w:val="none"/>
          <w:lang w:eastAsia="zh-CN"/>
        </w:rPr>
      </w:pPr>
    </w:p>
    <w:p w14:paraId="1793DF7E">
      <w:pPr>
        <w:pStyle w:val="7"/>
        <w:spacing w:line="241" w:lineRule="auto"/>
        <w:rPr>
          <w:rFonts w:hint="eastAsia" w:ascii="仿宋" w:hAnsi="仿宋" w:eastAsia="仿宋" w:cs="仿宋"/>
          <w:color w:val="auto"/>
          <w:highlight w:val="none"/>
          <w:lang w:eastAsia="zh-CN"/>
        </w:rPr>
      </w:pPr>
    </w:p>
    <w:p w14:paraId="182AA6D4">
      <w:pPr>
        <w:pStyle w:val="7"/>
        <w:spacing w:line="241" w:lineRule="auto"/>
        <w:rPr>
          <w:rFonts w:hint="eastAsia" w:ascii="仿宋" w:hAnsi="仿宋" w:eastAsia="仿宋" w:cs="仿宋"/>
          <w:color w:val="auto"/>
          <w:highlight w:val="none"/>
          <w:lang w:eastAsia="zh-CN"/>
        </w:rPr>
      </w:pPr>
    </w:p>
    <w:p w14:paraId="7F0410A1">
      <w:pPr>
        <w:pStyle w:val="7"/>
        <w:spacing w:line="241" w:lineRule="auto"/>
        <w:rPr>
          <w:rFonts w:hint="eastAsia" w:ascii="仿宋" w:hAnsi="仿宋" w:eastAsia="仿宋" w:cs="仿宋"/>
          <w:color w:val="auto"/>
          <w:highlight w:val="none"/>
          <w:lang w:eastAsia="zh-CN"/>
        </w:rPr>
      </w:pPr>
    </w:p>
    <w:p w14:paraId="3F0DC66E">
      <w:pPr>
        <w:pStyle w:val="7"/>
        <w:spacing w:line="241" w:lineRule="auto"/>
        <w:rPr>
          <w:rFonts w:hint="eastAsia" w:ascii="仿宋" w:hAnsi="仿宋" w:eastAsia="仿宋" w:cs="仿宋"/>
          <w:color w:val="auto"/>
          <w:highlight w:val="none"/>
          <w:lang w:eastAsia="zh-CN"/>
        </w:rPr>
      </w:pPr>
    </w:p>
    <w:p w14:paraId="761EEE38">
      <w:pPr>
        <w:pStyle w:val="7"/>
        <w:spacing w:line="241" w:lineRule="auto"/>
        <w:rPr>
          <w:rFonts w:hint="eastAsia" w:ascii="仿宋" w:hAnsi="仿宋" w:eastAsia="仿宋" w:cs="仿宋"/>
          <w:color w:val="auto"/>
          <w:highlight w:val="none"/>
          <w:lang w:eastAsia="zh-CN"/>
        </w:rPr>
      </w:pPr>
    </w:p>
    <w:p w14:paraId="539EED24">
      <w:pPr>
        <w:pStyle w:val="7"/>
        <w:spacing w:line="241" w:lineRule="auto"/>
        <w:rPr>
          <w:rFonts w:hint="eastAsia" w:ascii="仿宋" w:hAnsi="仿宋" w:eastAsia="仿宋" w:cs="仿宋"/>
          <w:color w:val="auto"/>
          <w:highlight w:val="none"/>
          <w:lang w:eastAsia="zh-CN"/>
        </w:rPr>
      </w:pPr>
    </w:p>
    <w:p w14:paraId="28375C25">
      <w:pPr>
        <w:pStyle w:val="7"/>
        <w:spacing w:line="241" w:lineRule="auto"/>
        <w:rPr>
          <w:rFonts w:hint="eastAsia" w:ascii="仿宋" w:hAnsi="仿宋" w:eastAsia="仿宋" w:cs="仿宋"/>
          <w:color w:val="auto"/>
          <w:highlight w:val="none"/>
          <w:lang w:eastAsia="zh-CN"/>
        </w:rPr>
      </w:pPr>
    </w:p>
    <w:p w14:paraId="72BBC2CD">
      <w:pPr>
        <w:pStyle w:val="7"/>
        <w:spacing w:line="241" w:lineRule="auto"/>
        <w:rPr>
          <w:rFonts w:hint="eastAsia" w:ascii="仿宋" w:hAnsi="仿宋" w:eastAsia="仿宋" w:cs="仿宋"/>
          <w:color w:val="auto"/>
          <w:highlight w:val="none"/>
          <w:lang w:eastAsia="zh-CN"/>
        </w:rPr>
      </w:pPr>
    </w:p>
    <w:p w14:paraId="58F58EC4">
      <w:pPr>
        <w:pStyle w:val="7"/>
        <w:spacing w:line="241" w:lineRule="auto"/>
        <w:rPr>
          <w:rFonts w:hint="eastAsia" w:ascii="仿宋" w:hAnsi="仿宋" w:eastAsia="仿宋" w:cs="仿宋"/>
          <w:color w:val="auto"/>
          <w:highlight w:val="none"/>
          <w:lang w:eastAsia="zh-CN"/>
        </w:rPr>
      </w:pPr>
    </w:p>
    <w:p w14:paraId="474C516F">
      <w:pPr>
        <w:spacing w:before="75" w:line="227" w:lineRule="auto"/>
        <w:ind w:left="238"/>
        <w:jc w:val="center"/>
        <w:outlineLvl w:val="9"/>
        <w:rPr>
          <w:rFonts w:hint="eastAsia" w:ascii="仿宋" w:hAnsi="仿宋" w:eastAsia="仿宋" w:cs="仿宋"/>
          <w:color w:val="auto"/>
          <w:spacing w:val="10"/>
          <w:sz w:val="24"/>
          <w:szCs w:val="24"/>
          <w:highlight w:val="none"/>
          <w:lang w:eastAsia="zh-CN"/>
          <w14:textOutline w14:w="4394" w14:cap="flat" w14:cmpd="sng" w14:algn="ctr">
            <w14:solidFill>
              <w14:srgbClr w14:val="000000"/>
            </w14:solidFill>
            <w14:prstDash w14:val="solid"/>
            <w14:miter w14:val="0"/>
          </w14:textOutline>
        </w:rPr>
      </w:pPr>
      <w:bookmarkStart w:id="244" w:name="_Toc18704"/>
      <w:r>
        <w:rPr>
          <w:rFonts w:hint="eastAsia" w:ascii="仿宋" w:hAnsi="仿宋" w:eastAsia="仿宋" w:cs="仿宋"/>
          <w:color w:val="auto"/>
          <w:spacing w:val="10"/>
          <w:sz w:val="24"/>
          <w:szCs w:val="24"/>
          <w:highlight w:val="none"/>
          <w:lang w:eastAsia="zh-CN"/>
          <w14:textOutline w14:w="4394" w14:cap="flat" w14:cmpd="sng" w14:algn="ctr">
            <w14:solidFill>
              <w14:srgbClr w14:val="000000"/>
            </w14:solidFill>
            <w14:prstDash w14:val="solid"/>
            <w14:miter w14:val="0"/>
          </w14:textOutline>
        </w:rPr>
        <w:t>参加本次政府采购活动前3年内在经营活动中没有重大违法记录的书面</w:t>
      </w:r>
    </w:p>
    <w:p w14:paraId="07FF37CB">
      <w:pPr>
        <w:spacing w:before="75" w:line="227" w:lineRule="auto"/>
        <w:ind w:left="238"/>
        <w:jc w:val="center"/>
        <w:outlineLvl w:val="9"/>
        <w:rPr>
          <w:rFonts w:hint="eastAsia" w:ascii="仿宋" w:hAnsi="仿宋" w:eastAsia="仿宋" w:cs="仿宋"/>
          <w:color w:val="auto"/>
          <w:spacing w:val="10"/>
          <w:sz w:val="24"/>
          <w:szCs w:val="24"/>
          <w:highlight w:val="none"/>
          <w:lang w:eastAsia="zh-CN"/>
          <w14:textOutline w14:w="4394" w14:cap="flat" w14:cmpd="sng" w14:algn="ctr">
            <w14:solidFill>
              <w14:srgbClr w14:val="000000"/>
            </w14:solidFill>
            <w14:prstDash w14:val="solid"/>
            <w14:miter w14:val="0"/>
          </w14:textOutline>
        </w:rPr>
      </w:pPr>
    </w:p>
    <w:p w14:paraId="0FC33768">
      <w:pPr>
        <w:spacing w:before="75" w:line="227" w:lineRule="auto"/>
        <w:ind w:left="238"/>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14:textOutline w14:w="4394" w14:cap="flat" w14:cmpd="sng" w14:algn="ctr">
            <w14:solidFill>
              <w14:srgbClr w14:val="000000"/>
            </w14:solidFill>
            <w14:prstDash w14:val="solid"/>
            <w14:miter w14:val="0"/>
          </w14:textOutline>
        </w:rPr>
        <w:t>承诺函（</w:t>
      </w:r>
      <w:r>
        <w:rPr>
          <w:rFonts w:hint="eastAsia" w:ascii="仿宋" w:hAnsi="仿宋" w:eastAsia="仿宋" w:cs="仿宋"/>
          <w:color w:val="auto"/>
          <w:spacing w:val="9"/>
          <w:sz w:val="24"/>
          <w:szCs w:val="24"/>
          <w:highlight w:val="none"/>
          <w:lang w:eastAsia="zh-CN"/>
          <w14:textOutline w14:w="4394" w14:cap="flat" w14:cmpd="sng" w14:algn="ctr">
            <w14:solidFill>
              <w14:srgbClr w14:val="000000"/>
            </w14:solidFill>
            <w14:prstDash w14:val="solid"/>
            <w14:miter w14:val="0"/>
          </w14:textOutline>
        </w:rPr>
        <w:t>格式）</w:t>
      </w:r>
      <w:bookmarkEnd w:id="244"/>
    </w:p>
    <w:p w14:paraId="2649678C">
      <w:pPr>
        <w:spacing w:before="75" w:line="514" w:lineRule="auto"/>
        <w:ind w:firstLine="250" w:firstLineChars="1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我单位承诺在参加本次 （项目名称） 投标前三年内，无以下行为：重大违法行为；商业贿赂行为；政府采购法《第七十七条》，列入不良行为记录名单的各种行为；如有上述行为，我公司及项目参与人员自愿放弃本次项目的投标、报价资格，若为预中标、成交人，也自愿放弃中标、成交资格。</w:t>
      </w:r>
    </w:p>
    <w:p w14:paraId="7824F7CD">
      <w:pPr>
        <w:spacing w:before="75" w:line="514" w:lineRule="auto"/>
        <w:ind w:firstLine="250" w:firstLineChars="100"/>
        <w:rPr>
          <w:rFonts w:hint="eastAsia" w:ascii="仿宋" w:hAnsi="仿宋" w:eastAsia="仿宋" w:cs="仿宋"/>
          <w:color w:val="auto"/>
          <w:spacing w:val="5"/>
          <w:sz w:val="24"/>
          <w:szCs w:val="24"/>
          <w:highlight w:val="none"/>
          <w:lang w:eastAsia="zh-CN"/>
        </w:rPr>
      </w:pPr>
    </w:p>
    <w:p w14:paraId="0860D5B6">
      <w:pPr>
        <w:pStyle w:val="7"/>
        <w:spacing w:line="266" w:lineRule="auto"/>
        <w:rPr>
          <w:rFonts w:hint="eastAsia" w:ascii="仿宋" w:hAnsi="仿宋" w:eastAsia="仿宋" w:cs="仿宋"/>
          <w:color w:val="auto"/>
          <w:sz w:val="24"/>
          <w:szCs w:val="24"/>
          <w:highlight w:val="none"/>
          <w:lang w:eastAsia="zh-CN"/>
        </w:rPr>
      </w:pPr>
    </w:p>
    <w:p w14:paraId="2FA79D8C">
      <w:pPr>
        <w:spacing w:line="0" w:lineRule="atLeast"/>
        <w:jc w:val="left"/>
        <w:rPr>
          <w:rFonts w:hint="eastAsia" w:ascii="仿宋" w:hAnsi="仿宋" w:eastAsia="仿宋" w:cs="仿宋"/>
          <w:color w:val="auto"/>
          <w:spacing w:val="8"/>
          <w:position w:val="31"/>
          <w:sz w:val="24"/>
          <w:szCs w:val="24"/>
          <w:highlight w:val="none"/>
          <w:lang w:eastAsia="zh-CN"/>
        </w:rPr>
      </w:pPr>
      <w:r>
        <w:rPr>
          <w:rFonts w:hint="eastAsia" w:ascii="仿宋" w:hAnsi="仿宋" w:eastAsia="仿宋" w:cs="仿宋"/>
          <w:color w:val="auto"/>
          <w:spacing w:val="8"/>
          <w:position w:val="31"/>
          <w:sz w:val="24"/>
          <w:szCs w:val="24"/>
          <w:highlight w:val="none"/>
          <w:lang w:eastAsia="zh-CN"/>
        </w:rPr>
        <w:t>谈判供应商名称（电子公章）：</w:t>
      </w:r>
    </w:p>
    <w:p w14:paraId="41AE89EC">
      <w:pPr>
        <w:spacing w:line="0" w:lineRule="atLeast"/>
        <w:jc w:val="left"/>
        <w:rPr>
          <w:rFonts w:hint="eastAsia" w:ascii="仿宋" w:hAnsi="仿宋" w:eastAsia="仿宋" w:cs="仿宋"/>
          <w:color w:val="auto"/>
          <w:spacing w:val="8"/>
          <w:position w:val="31"/>
          <w:sz w:val="24"/>
          <w:szCs w:val="24"/>
          <w:highlight w:val="none"/>
          <w:lang w:eastAsia="zh-CN"/>
        </w:rPr>
      </w:pPr>
      <w:r>
        <w:rPr>
          <w:rFonts w:hint="eastAsia" w:ascii="仿宋" w:hAnsi="仿宋" w:eastAsia="仿宋" w:cs="仿宋"/>
          <w:color w:val="auto"/>
          <w:spacing w:val="8"/>
          <w:position w:val="31"/>
          <w:sz w:val="24"/>
          <w:szCs w:val="24"/>
          <w:highlight w:val="none"/>
          <w:lang w:eastAsia="zh-CN"/>
        </w:rPr>
        <w:t>谈判供应商法定代表人（电子签名或盖章）：</w:t>
      </w:r>
    </w:p>
    <w:p w14:paraId="1955B158">
      <w:pPr>
        <w:spacing w:line="0" w:lineRule="atLeast"/>
        <w:jc w:val="left"/>
        <w:rPr>
          <w:rFonts w:hint="eastAsia" w:ascii="仿宋" w:hAnsi="仿宋" w:eastAsia="仿宋" w:cs="仿宋"/>
          <w:color w:val="auto"/>
          <w:spacing w:val="8"/>
          <w:position w:val="31"/>
          <w:sz w:val="24"/>
          <w:szCs w:val="24"/>
          <w:highlight w:val="none"/>
          <w:lang w:eastAsia="zh-CN"/>
        </w:rPr>
      </w:pPr>
      <w:r>
        <w:rPr>
          <w:rFonts w:hint="eastAsia" w:ascii="仿宋" w:hAnsi="仿宋" w:eastAsia="仿宋" w:cs="仿宋"/>
          <w:color w:val="auto"/>
          <w:spacing w:val="8"/>
          <w:position w:val="31"/>
          <w:sz w:val="24"/>
          <w:szCs w:val="24"/>
          <w:highlight w:val="none"/>
          <w:lang w:eastAsia="zh-CN"/>
        </w:rPr>
        <w:t>日期：  年 月 日</w:t>
      </w:r>
    </w:p>
    <w:p w14:paraId="73716749">
      <w:pPr>
        <w:spacing w:line="0" w:lineRule="atLeast"/>
        <w:jc w:val="left"/>
        <w:rPr>
          <w:rFonts w:hint="eastAsia" w:ascii="仿宋" w:hAnsi="仿宋" w:eastAsia="仿宋" w:cs="仿宋"/>
          <w:color w:val="auto"/>
          <w:spacing w:val="8"/>
          <w:position w:val="31"/>
          <w:sz w:val="24"/>
          <w:szCs w:val="24"/>
          <w:highlight w:val="none"/>
          <w:lang w:eastAsia="zh-CN"/>
        </w:rPr>
        <w:sectPr>
          <w:footerReference r:id="rId12" w:type="default"/>
          <w:pgSz w:w="11906" w:h="16838"/>
          <w:pgMar w:top="1440" w:right="1800" w:bottom="1440" w:left="1800" w:header="0" w:footer="949" w:gutter="0"/>
          <w:pgNumType w:fmt="decimal"/>
          <w:cols w:space="720" w:num="1"/>
        </w:sectPr>
      </w:pPr>
    </w:p>
    <w:p w14:paraId="590B84BC">
      <w:pPr>
        <w:pStyle w:val="7"/>
        <w:spacing w:line="243" w:lineRule="auto"/>
        <w:rPr>
          <w:rFonts w:hint="eastAsia" w:ascii="仿宋" w:hAnsi="仿宋" w:eastAsia="仿宋" w:cs="仿宋"/>
          <w:color w:val="auto"/>
          <w:highlight w:val="none"/>
          <w:lang w:eastAsia="zh-CN"/>
        </w:rPr>
      </w:pPr>
    </w:p>
    <w:p w14:paraId="38653BEC">
      <w:pPr>
        <w:spacing w:before="91" w:line="219" w:lineRule="auto"/>
        <w:jc w:val="center"/>
        <w:outlineLvl w:val="2"/>
        <w:rPr>
          <w:rFonts w:hint="eastAsia" w:ascii="仿宋" w:hAnsi="仿宋" w:eastAsia="仿宋" w:cs="仿宋"/>
          <w:color w:val="auto"/>
          <w:sz w:val="24"/>
          <w:szCs w:val="24"/>
          <w:highlight w:val="none"/>
          <w:lang w:eastAsia="zh-CN"/>
        </w:rPr>
      </w:pPr>
      <w:bookmarkStart w:id="245" w:name="_Toc4251"/>
      <w:r>
        <w:rPr>
          <w:rFonts w:hint="eastAsia" w:ascii="仿宋" w:hAnsi="仿宋" w:eastAsia="仿宋" w:cs="仿宋"/>
          <w:color w:val="auto"/>
          <w:spacing w:val="-11"/>
          <w:sz w:val="24"/>
          <w:szCs w:val="24"/>
          <w:highlight w:val="none"/>
          <w:lang w:eastAsia="zh-CN"/>
          <w14:textOutline w14:w="5130" w14:cap="flat" w14:cmpd="sng" w14:algn="ctr">
            <w14:solidFill>
              <w14:srgbClr w14:val="000000"/>
            </w14:solidFill>
            <w14:prstDash w14:val="solid"/>
            <w14:miter w14:val="0"/>
          </w14:textOutline>
        </w:rPr>
        <w:t>（二）</w:t>
      </w:r>
      <w:r>
        <w:rPr>
          <w:rFonts w:hint="eastAsia" w:ascii="仿宋" w:hAnsi="仿宋" w:eastAsia="仿宋" w:cs="仿宋"/>
          <w:color w:val="auto"/>
          <w:spacing w:val="-11"/>
          <w:sz w:val="24"/>
          <w:szCs w:val="24"/>
          <w:highlight w:val="none"/>
          <w:lang w:eastAsia="zh-CN"/>
        </w:rPr>
        <w:t xml:space="preserve"> </w:t>
      </w:r>
      <w:r>
        <w:rPr>
          <w:rFonts w:hint="eastAsia" w:ascii="仿宋" w:hAnsi="仿宋" w:eastAsia="仿宋" w:cs="仿宋"/>
          <w:color w:val="auto"/>
          <w:spacing w:val="-11"/>
          <w:sz w:val="24"/>
          <w:szCs w:val="24"/>
          <w:highlight w:val="none"/>
          <w:lang w:eastAsia="zh-CN"/>
          <w14:textOutline w14:w="5130" w14:cap="flat" w14:cmpd="sng" w14:algn="ctr">
            <w14:solidFill>
              <w14:srgbClr w14:val="000000"/>
            </w14:solidFill>
            <w14:prstDash w14:val="solid"/>
            <w14:miter w14:val="0"/>
          </w14:textOutline>
        </w:rPr>
        <w:t>不参与围标串标承诺书</w:t>
      </w:r>
      <w:bookmarkEnd w:id="245"/>
    </w:p>
    <w:p w14:paraId="4946280F">
      <w:pPr>
        <w:pStyle w:val="7"/>
        <w:spacing w:line="267" w:lineRule="auto"/>
        <w:rPr>
          <w:rFonts w:hint="eastAsia" w:ascii="仿宋" w:hAnsi="仿宋" w:eastAsia="仿宋" w:cs="仿宋"/>
          <w:color w:val="auto"/>
          <w:sz w:val="24"/>
          <w:szCs w:val="24"/>
          <w:highlight w:val="none"/>
          <w:lang w:eastAsia="zh-CN"/>
        </w:rPr>
      </w:pPr>
    </w:p>
    <w:p w14:paraId="17DF7A86">
      <w:pPr>
        <w:spacing w:before="75" w:line="514" w:lineRule="auto"/>
        <w:ind w:firstLine="25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本人作为</w:t>
      </w:r>
      <w:r>
        <w:rPr>
          <w:rFonts w:hint="eastAsia" w:ascii="仿宋" w:hAnsi="仿宋" w:eastAsia="仿宋" w:cs="仿宋"/>
          <w:color w:val="auto"/>
          <w:spacing w:val="5"/>
          <w:sz w:val="24"/>
          <w:szCs w:val="24"/>
          <w:highlight w:val="none"/>
          <w:u w:val="single"/>
          <w:lang w:eastAsia="zh-CN"/>
        </w:rPr>
        <w:t>（单位名称）</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83"/>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的法人， 清楚知晓我公司本项目投标活</w:t>
      </w:r>
      <w:r>
        <w:rPr>
          <w:rFonts w:hint="eastAsia" w:ascii="仿宋" w:hAnsi="仿宋" w:eastAsia="仿宋" w:cs="仿宋"/>
          <w:color w:val="auto"/>
          <w:spacing w:val="4"/>
          <w:sz w:val="24"/>
          <w:szCs w:val="24"/>
          <w:highlight w:val="none"/>
          <w:lang w:eastAsia="zh-CN"/>
        </w:rPr>
        <w:t>动，对以下事项作出承诺：</w:t>
      </w:r>
    </w:p>
    <w:p w14:paraId="1B94204B">
      <w:pPr>
        <w:spacing w:line="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position w:val="31"/>
          <w:sz w:val="24"/>
          <w:szCs w:val="24"/>
          <w:highlight w:val="none"/>
          <w:lang w:eastAsia="zh-CN"/>
        </w:rPr>
        <w:t>一、我单位遵循公开、公平、公正、诚实守信的原则，依法依规参与本项目竞标。</w:t>
      </w:r>
    </w:p>
    <w:p w14:paraId="4C5A875E">
      <w:pPr>
        <w:spacing w:line="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二、我单位在本项目招标投标活动中，未参与</w:t>
      </w:r>
      <w:r>
        <w:rPr>
          <w:rFonts w:hint="eastAsia" w:ascii="仿宋" w:hAnsi="仿宋" w:eastAsia="仿宋" w:cs="仿宋"/>
          <w:color w:val="auto"/>
          <w:spacing w:val="7"/>
          <w:sz w:val="24"/>
          <w:szCs w:val="24"/>
          <w:highlight w:val="none"/>
          <w:lang w:eastAsia="zh-CN"/>
        </w:rPr>
        <w:t>围标串标。</w:t>
      </w:r>
    </w:p>
    <w:p w14:paraId="67FC96DD">
      <w:pPr>
        <w:pStyle w:val="7"/>
        <w:spacing w:line="0" w:lineRule="atLeast"/>
        <w:rPr>
          <w:rFonts w:hint="eastAsia" w:ascii="仿宋" w:hAnsi="仿宋" w:eastAsia="仿宋" w:cs="仿宋"/>
          <w:color w:val="auto"/>
          <w:sz w:val="24"/>
          <w:szCs w:val="24"/>
          <w:highlight w:val="none"/>
          <w:lang w:eastAsia="zh-CN"/>
        </w:rPr>
      </w:pPr>
    </w:p>
    <w:p w14:paraId="4F16A968">
      <w:pPr>
        <w:spacing w:line="0" w:lineRule="atLeast"/>
        <w:rPr>
          <w:rFonts w:hint="eastAsia" w:ascii="仿宋" w:hAnsi="仿宋" w:eastAsia="仿宋" w:cs="仿宋"/>
          <w:color w:val="auto"/>
          <w:spacing w:val="8"/>
          <w:position w:val="31"/>
          <w:sz w:val="24"/>
          <w:szCs w:val="24"/>
          <w:highlight w:val="none"/>
          <w:lang w:eastAsia="zh-CN"/>
        </w:rPr>
      </w:pPr>
      <w:r>
        <w:rPr>
          <w:rFonts w:hint="eastAsia" w:ascii="仿宋" w:hAnsi="仿宋" w:eastAsia="仿宋" w:cs="仿宋"/>
          <w:color w:val="auto"/>
          <w:spacing w:val="8"/>
          <w:position w:val="31"/>
          <w:sz w:val="24"/>
          <w:szCs w:val="24"/>
          <w:highlight w:val="none"/>
          <w:lang w:eastAsia="zh-CN"/>
        </w:rPr>
        <w:t>三、我单位如被查实在本项目招标投标活动中存在围标串标的，递交投标文件行为作为实施串通投标违法行为的关键环节，本人承担直接责任人员法律责任，接受相应行政处罚和失信惩戒。</w:t>
      </w:r>
    </w:p>
    <w:p w14:paraId="141E9DEF">
      <w:pPr>
        <w:spacing w:line="0" w:lineRule="atLeast"/>
        <w:jc w:val="right"/>
        <w:rPr>
          <w:rFonts w:hint="eastAsia" w:ascii="仿宋" w:hAnsi="仿宋" w:eastAsia="仿宋" w:cs="仿宋"/>
          <w:color w:val="auto"/>
          <w:spacing w:val="8"/>
          <w:position w:val="31"/>
          <w:sz w:val="24"/>
          <w:szCs w:val="24"/>
          <w:highlight w:val="none"/>
          <w:lang w:eastAsia="zh-CN"/>
        </w:rPr>
      </w:pPr>
    </w:p>
    <w:p w14:paraId="50847150">
      <w:pPr>
        <w:spacing w:line="0" w:lineRule="atLeast"/>
        <w:jc w:val="left"/>
        <w:rPr>
          <w:rFonts w:hint="eastAsia" w:ascii="仿宋" w:hAnsi="仿宋" w:eastAsia="仿宋" w:cs="仿宋"/>
          <w:color w:val="auto"/>
          <w:spacing w:val="8"/>
          <w:position w:val="31"/>
          <w:sz w:val="24"/>
          <w:szCs w:val="24"/>
          <w:highlight w:val="none"/>
          <w:lang w:eastAsia="zh-CN"/>
        </w:rPr>
      </w:pPr>
      <w:r>
        <w:rPr>
          <w:rFonts w:hint="eastAsia" w:ascii="仿宋" w:hAnsi="仿宋" w:eastAsia="仿宋" w:cs="仿宋"/>
          <w:color w:val="auto"/>
          <w:spacing w:val="8"/>
          <w:position w:val="31"/>
          <w:sz w:val="24"/>
          <w:szCs w:val="24"/>
          <w:highlight w:val="none"/>
          <w:lang w:eastAsia="zh-CN"/>
        </w:rPr>
        <w:t>谈判供应商名称（电子公章）：</w:t>
      </w:r>
    </w:p>
    <w:p w14:paraId="0837691C">
      <w:pPr>
        <w:spacing w:line="0" w:lineRule="atLeast"/>
        <w:jc w:val="left"/>
        <w:rPr>
          <w:rFonts w:hint="eastAsia" w:ascii="仿宋" w:hAnsi="仿宋" w:eastAsia="仿宋" w:cs="仿宋"/>
          <w:color w:val="auto"/>
          <w:spacing w:val="8"/>
          <w:position w:val="31"/>
          <w:sz w:val="24"/>
          <w:szCs w:val="24"/>
          <w:highlight w:val="none"/>
          <w:lang w:eastAsia="zh-CN"/>
        </w:rPr>
      </w:pPr>
      <w:r>
        <w:rPr>
          <w:rFonts w:hint="eastAsia" w:ascii="仿宋" w:hAnsi="仿宋" w:eastAsia="仿宋" w:cs="仿宋"/>
          <w:color w:val="auto"/>
          <w:spacing w:val="8"/>
          <w:position w:val="31"/>
          <w:sz w:val="24"/>
          <w:szCs w:val="24"/>
          <w:highlight w:val="none"/>
          <w:lang w:eastAsia="zh-CN"/>
        </w:rPr>
        <w:t>谈判供应商法定代表人（电子签名或盖章）：</w:t>
      </w:r>
    </w:p>
    <w:p w14:paraId="497D0734">
      <w:pPr>
        <w:spacing w:line="227"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3"/>
          <w:sz w:val="24"/>
          <w:szCs w:val="24"/>
          <w:highlight w:val="none"/>
          <w:lang w:eastAsia="zh-CN"/>
        </w:rPr>
        <w:t>日期 ：</w:t>
      </w:r>
      <w:r>
        <w:rPr>
          <w:rFonts w:hint="eastAsia" w:ascii="仿宋" w:hAnsi="仿宋" w:eastAsia="仿宋" w:cs="仿宋"/>
          <w:color w:val="auto"/>
          <w:spacing w:val="5"/>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年</w:t>
      </w:r>
      <w:r>
        <w:rPr>
          <w:rFonts w:hint="eastAsia" w:ascii="仿宋" w:hAnsi="仿宋" w:eastAsia="仿宋" w:cs="仿宋"/>
          <w:color w:val="auto"/>
          <w:spacing w:val="21"/>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月</w:t>
      </w:r>
      <w:r>
        <w:rPr>
          <w:rFonts w:hint="eastAsia" w:ascii="仿宋" w:hAnsi="仿宋" w:eastAsia="仿宋" w:cs="仿宋"/>
          <w:color w:val="auto"/>
          <w:spacing w:val="55"/>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日</w:t>
      </w:r>
    </w:p>
    <w:p w14:paraId="3A6F22FA">
      <w:pPr>
        <w:spacing w:line="227" w:lineRule="auto"/>
        <w:jc w:val="left"/>
        <w:rPr>
          <w:rFonts w:hint="eastAsia" w:ascii="仿宋" w:hAnsi="仿宋" w:eastAsia="仿宋" w:cs="仿宋"/>
          <w:color w:val="auto"/>
          <w:sz w:val="24"/>
          <w:szCs w:val="24"/>
          <w:highlight w:val="none"/>
          <w:lang w:eastAsia="zh-CN"/>
        </w:rPr>
        <w:sectPr>
          <w:headerReference r:id="rId13" w:type="default"/>
          <w:footerReference r:id="rId14" w:type="default"/>
          <w:pgSz w:w="11906" w:h="16838"/>
          <w:pgMar w:top="1440" w:right="1800" w:bottom="1440" w:left="1800" w:header="0" w:footer="949" w:gutter="0"/>
          <w:pgNumType w:fmt="decimal"/>
          <w:cols w:space="720" w:num="1"/>
        </w:sectPr>
      </w:pPr>
    </w:p>
    <w:p w14:paraId="67177533">
      <w:pPr>
        <w:spacing w:before="101" w:line="223" w:lineRule="auto"/>
        <w:outlineLvl w:val="1"/>
        <w:rPr>
          <w:rFonts w:hint="eastAsia" w:ascii="仿宋" w:hAnsi="仿宋" w:eastAsia="仿宋" w:cs="仿宋"/>
          <w:color w:val="auto"/>
          <w:spacing w:val="8"/>
          <w:sz w:val="31"/>
          <w:szCs w:val="31"/>
          <w:highlight w:val="none"/>
          <w:lang w:eastAsia="zh-CN"/>
          <w14:textOutline w14:w="5829" w14:cap="flat" w14:cmpd="sng" w14:algn="ctr">
            <w14:solidFill>
              <w14:srgbClr w14:val="000000"/>
            </w14:solidFill>
            <w14:prstDash w14:val="solid"/>
            <w14:miter w14:val="0"/>
          </w14:textOutline>
        </w:rPr>
      </w:pPr>
      <w:bookmarkStart w:id="246" w:name="_Toc12865"/>
      <w:r>
        <w:rPr>
          <w:rFonts w:hint="eastAsia" w:ascii="仿宋" w:hAnsi="仿宋" w:eastAsia="仿宋" w:cs="仿宋"/>
          <w:color w:val="auto"/>
          <w:spacing w:val="8"/>
          <w:sz w:val="31"/>
          <w:szCs w:val="31"/>
          <w:highlight w:val="none"/>
          <w:lang w:eastAsia="zh-CN"/>
          <w14:textOutline w14:w="5829" w14:cap="flat" w14:cmpd="sng" w14:algn="ctr">
            <w14:solidFill>
              <w14:srgbClr w14:val="000000"/>
            </w14:solidFill>
            <w14:prstDash w14:val="solid"/>
            <w14:miter w14:val="0"/>
          </w14:textOutline>
        </w:rPr>
        <w:t>二、报价响应文件</w:t>
      </w:r>
      <w:bookmarkEnd w:id="246"/>
    </w:p>
    <w:p w14:paraId="1152BC70">
      <w:pPr>
        <w:spacing w:before="91" w:line="219" w:lineRule="auto"/>
        <w:jc w:val="center"/>
        <w:outlineLvl w:val="2"/>
        <w:rPr>
          <w:rFonts w:hint="eastAsia" w:ascii="仿宋" w:hAnsi="仿宋" w:eastAsia="仿宋" w:cs="仿宋"/>
          <w:color w:val="auto"/>
          <w:sz w:val="28"/>
          <w:szCs w:val="28"/>
          <w:highlight w:val="none"/>
          <w:lang w:eastAsia="zh-CN"/>
        </w:rPr>
      </w:pPr>
      <w:bookmarkStart w:id="247" w:name="_Toc27883"/>
      <w:r>
        <w:rPr>
          <w:rFonts w:hint="eastAsia" w:ascii="仿宋" w:hAnsi="仿宋" w:eastAsia="仿宋" w:cs="仿宋"/>
          <w:color w:val="auto"/>
          <w:spacing w:val="-2"/>
          <w:sz w:val="28"/>
          <w:szCs w:val="28"/>
          <w:highlight w:val="none"/>
          <w:lang w:eastAsia="zh-CN"/>
          <w14:textOutline w14:w="5130" w14:cap="flat" w14:cmpd="sng" w14:algn="ctr">
            <w14:solidFill>
              <w14:srgbClr w14:val="000000"/>
            </w14:solidFill>
            <w14:prstDash w14:val="solid"/>
            <w14:miter w14:val="0"/>
          </w14:textOutline>
        </w:rPr>
        <w:t>报价一览表（首次报价）</w:t>
      </w:r>
      <w:bookmarkEnd w:id="247"/>
    </w:p>
    <w:p w14:paraId="1DC323A0">
      <w:pPr>
        <w:spacing w:before="315" w:line="499" w:lineRule="exact"/>
        <w:ind w:left="1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position w:val="20"/>
          <w:sz w:val="24"/>
          <w:szCs w:val="24"/>
          <w:highlight w:val="none"/>
          <w:lang w:eastAsia="zh-CN"/>
        </w:rPr>
        <w:t>项目编号:</w:t>
      </w:r>
    </w:p>
    <w:p w14:paraId="428FD922">
      <w:pPr>
        <w:spacing w:before="1" w:line="226" w:lineRule="auto"/>
        <w:ind w:left="1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lang w:eastAsia="zh-CN"/>
        </w:rPr>
        <w:t>项目名称:</w:t>
      </w:r>
    </w:p>
    <w:p w14:paraId="7547BA05">
      <w:pPr>
        <w:spacing w:line="24" w:lineRule="exact"/>
        <w:rPr>
          <w:rFonts w:hint="eastAsia" w:ascii="仿宋" w:hAnsi="仿宋" w:eastAsia="仿宋" w:cs="仿宋"/>
          <w:color w:val="auto"/>
          <w:sz w:val="24"/>
          <w:szCs w:val="24"/>
          <w:highlight w:val="none"/>
          <w:lang w:eastAsia="zh-CN"/>
        </w:rPr>
      </w:pPr>
    </w:p>
    <w:tbl>
      <w:tblPr>
        <w:tblStyle w:val="13"/>
        <w:tblpPr w:leftFromText="180" w:rightFromText="180" w:vertAnchor="text" w:horzAnchor="page" w:tblpXSpec="center" w:tblpY="140"/>
        <w:tblOverlap w:val="never"/>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6598"/>
      </w:tblGrid>
      <w:tr w14:paraId="5B7C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6" w:type="pct"/>
            <w:vAlign w:val="center"/>
          </w:tcPr>
          <w:p w14:paraId="03E43E78">
            <w:pPr>
              <w:jc w:val="center"/>
              <w:rPr>
                <w:rFonts w:hint="eastAsia" w:ascii="仿宋" w:hAnsi="仿宋" w:eastAsia="仿宋" w:cs="仿宋"/>
                <w:b/>
                <w:bCs/>
                <w:color w:val="auto"/>
                <w:sz w:val="22"/>
                <w:szCs w:val="22"/>
                <w:highlight w:val="none"/>
              </w:rPr>
            </w:pPr>
            <w:bookmarkStart w:id="248" w:name="_Toc7849"/>
            <w:bookmarkStart w:id="249" w:name="_Toc75899827"/>
            <w:bookmarkStart w:id="250" w:name="_Toc77002978"/>
            <w:bookmarkStart w:id="251" w:name="_Toc75898098"/>
            <w:r>
              <w:rPr>
                <w:rFonts w:hint="eastAsia" w:ascii="仿宋" w:hAnsi="仿宋" w:eastAsia="仿宋" w:cs="仿宋"/>
                <w:b/>
                <w:bCs/>
                <w:color w:val="auto"/>
                <w:sz w:val="22"/>
                <w:szCs w:val="22"/>
                <w:highlight w:val="none"/>
              </w:rPr>
              <w:t>供应商名称</w:t>
            </w:r>
          </w:p>
        </w:tc>
        <w:tc>
          <w:tcPr>
            <w:tcW w:w="3813" w:type="pct"/>
          </w:tcPr>
          <w:p w14:paraId="156EBB2B">
            <w:pPr>
              <w:jc w:val="center"/>
              <w:rPr>
                <w:rFonts w:hint="eastAsia" w:ascii="仿宋" w:hAnsi="仿宋" w:eastAsia="仿宋" w:cs="仿宋"/>
                <w:b/>
                <w:bCs/>
                <w:color w:val="auto"/>
                <w:sz w:val="22"/>
                <w:szCs w:val="22"/>
                <w:highlight w:val="none"/>
              </w:rPr>
            </w:pPr>
          </w:p>
        </w:tc>
      </w:tr>
      <w:tr w14:paraId="11F1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1186" w:type="pct"/>
            <w:vAlign w:val="center"/>
          </w:tcPr>
          <w:p w14:paraId="4D448E7A">
            <w:pPr>
              <w:jc w:val="center"/>
              <w:rPr>
                <w:rFonts w:hint="eastAsia" w:ascii="仿宋" w:hAnsi="仿宋" w:eastAsia="仿宋" w:cs="仿宋"/>
                <w:b/>
                <w:bCs/>
                <w:color w:val="auto"/>
                <w:sz w:val="22"/>
                <w:szCs w:val="22"/>
                <w:highlight w:val="none"/>
              </w:rPr>
            </w:pPr>
          </w:p>
          <w:p w14:paraId="765C9457">
            <w:pPr>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投标报价（元）</w:t>
            </w:r>
            <w:bookmarkEnd w:id="248"/>
            <w:bookmarkEnd w:id="249"/>
            <w:bookmarkEnd w:id="250"/>
            <w:bookmarkEnd w:id="251"/>
          </w:p>
        </w:tc>
        <w:tc>
          <w:tcPr>
            <w:tcW w:w="3813" w:type="pct"/>
          </w:tcPr>
          <w:p w14:paraId="6301AEAB">
            <w:pPr>
              <w:jc w:val="center"/>
              <w:rPr>
                <w:rFonts w:hint="eastAsia" w:ascii="仿宋" w:hAnsi="仿宋" w:eastAsia="仿宋" w:cs="仿宋"/>
                <w:b w:val="0"/>
                <w:bCs w:val="0"/>
                <w:color w:val="auto"/>
                <w:sz w:val="22"/>
                <w:szCs w:val="22"/>
                <w:highlight w:val="none"/>
                <w:lang w:eastAsia="zh-CN"/>
              </w:rPr>
            </w:pPr>
            <w:bookmarkStart w:id="252" w:name="_Toc75898099"/>
            <w:bookmarkStart w:id="253" w:name="_Toc77002979"/>
            <w:bookmarkStart w:id="254" w:name="_Toc10983"/>
            <w:bookmarkStart w:id="255" w:name="_Toc75899828"/>
          </w:p>
          <w:p w14:paraId="0DFABCE3">
            <w:pPr>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eastAsia="zh-CN"/>
              </w:rPr>
              <w:t>小写：          元；</w:t>
            </w:r>
          </w:p>
          <w:p w14:paraId="07030E7D">
            <w:pPr>
              <w:pStyle w:val="11"/>
              <w:rPr>
                <w:rFonts w:hint="eastAsia" w:ascii="仿宋" w:hAnsi="仿宋" w:eastAsia="仿宋" w:cs="仿宋"/>
                <w:b w:val="0"/>
                <w:bCs w:val="0"/>
                <w:color w:val="auto"/>
                <w:sz w:val="22"/>
                <w:szCs w:val="22"/>
                <w:highlight w:val="none"/>
                <w:lang w:eastAsia="zh-CN"/>
              </w:rPr>
            </w:pPr>
          </w:p>
          <w:p w14:paraId="4156B916">
            <w:pPr>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eastAsia="zh-CN"/>
              </w:rPr>
              <w:t>大写：          元</w:t>
            </w:r>
            <w:bookmarkEnd w:id="252"/>
            <w:bookmarkEnd w:id="253"/>
            <w:bookmarkEnd w:id="254"/>
            <w:bookmarkEnd w:id="255"/>
            <w:r>
              <w:rPr>
                <w:rFonts w:hint="eastAsia" w:ascii="仿宋" w:hAnsi="仿宋" w:eastAsia="仿宋" w:cs="仿宋"/>
                <w:b w:val="0"/>
                <w:bCs w:val="0"/>
                <w:color w:val="auto"/>
                <w:sz w:val="22"/>
                <w:szCs w:val="22"/>
                <w:highlight w:val="none"/>
                <w:lang w:eastAsia="zh-CN"/>
              </w:rPr>
              <w:t>；</w:t>
            </w:r>
          </w:p>
        </w:tc>
      </w:tr>
      <w:tr w14:paraId="271D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1186" w:type="pct"/>
            <w:vAlign w:val="center"/>
          </w:tcPr>
          <w:p w14:paraId="097E36A5">
            <w:pPr>
              <w:jc w:val="center"/>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合同履约期限</w:t>
            </w:r>
          </w:p>
        </w:tc>
        <w:tc>
          <w:tcPr>
            <w:tcW w:w="3813" w:type="pct"/>
            <w:vAlign w:val="center"/>
          </w:tcPr>
          <w:p w14:paraId="48D7E837">
            <w:pPr>
              <w:jc w:val="both"/>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val="en-US" w:eastAsia="zh-CN"/>
              </w:rPr>
              <w:t>合同签订后，乙方应按照甲方要求，分两批次进行供货，其中：（1）繁育种犬：合同签订之日起75个日历日内，完成犬只筹备、隔离、选取、体检、防疫驱虫等验收前全部工作；（2）待训警犬：合同签订之日起20个日历日内，完成犬只筹备、隔离、选取、体检、防疫驱虫等验收前全部工作。</w:t>
            </w:r>
          </w:p>
        </w:tc>
      </w:tr>
      <w:tr w14:paraId="23E3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186" w:type="pct"/>
            <w:vAlign w:val="center"/>
          </w:tcPr>
          <w:p w14:paraId="54E338DF">
            <w:pPr>
              <w:jc w:val="center"/>
              <w:rPr>
                <w:rFonts w:hint="default"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质保期</w:t>
            </w:r>
          </w:p>
        </w:tc>
        <w:tc>
          <w:tcPr>
            <w:tcW w:w="3813" w:type="pct"/>
            <w:vAlign w:val="center"/>
          </w:tcPr>
          <w:p w14:paraId="56E3FAEA">
            <w:pPr>
              <w:jc w:val="both"/>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1、</w:t>
            </w:r>
            <w:r>
              <w:rPr>
                <w:rFonts w:hint="default" w:ascii="仿宋" w:hAnsi="仿宋" w:eastAsia="仿宋" w:cs="仿宋"/>
                <w:b w:val="0"/>
                <w:bCs w:val="0"/>
                <w:color w:val="auto"/>
                <w:sz w:val="22"/>
                <w:szCs w:val="22"/>
                <w:highlight w:val="none"/>
                <w:lang w:val="en-US" w:eastAsia="zh-CN"/>
              </w:rPr>
              <w:t>繁育种犬：质保期自验收合格之日起12个月；须满足本项目对应犬种繁殖性能要求，成功完成配种并生育幼崽，且幼崽断奶成活率≥80%；乙方驻场繁育指导服务至上述要求全部达标后方可结束。</w:t>
            </w:r>
            <w:r>
              <w:rPr>
                <w:rFonts w:hint="eastAsia" w:ascii="仿宋" w:hAnsi="仿宋" w:eastAsia="仿宋" w:cs="仿宋"/>
                <w:b w:val="0"/>
                <w:bCs w:val="0"/>
                <w:color w:val="auto"/>
                <w:sz w:val="22"/>
                <w:szCs w:val="22"/>
                <w:highlight w:val="none"/>
                <w:lang w:val="en-US" w:eastAsia="zh-CN"/>
              </w:rPr>
              <w:t>2、</w:t>
            </w:r>
            <w:r>
              <w:rPr>
                <w:rFonts w:hint="default" w:ascii="仿宋" w:hAnsi="仿宋" w:eastAsia="仿宋" w:cs="仿宋"/>
                <w:b w:val="0"/>
                <w:bCs w:val="0"/>
                <w:color w:val="auto"/>
                <w:sz w:val="22"/>
                <w:szCs w:val="22"/>
                <w:highlight w:val="none"/>
                <w:lang w:val="en-US" w:eastAsia="zh-CN"/>
              </w:rPr>
              <w:t>待训警犬：质保期自验收合格之日起4个月，乙方按约定履行质保期内全部义务。</w:t>
            </w:r>
          </w:p>
        </w:tc>
      </w:tr>
      <w:tr w14:paraId="5F03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186" w:type="pct"/>
            <w:vAlign w:val="center"/>
          </w:tcPr>
          <w:p w14:paraId="20E703FF">
            <w:pPr>
              <w:jc w:val="center"/>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供货地点</w:t>
            </w:r>
          </w:p>
        </w:tc>
        <w:tc>
          <w:tcPr>
            <w:tcW w:w="3813" w:type="pct"/>
            <w:vAlign w:val="center"/>
          </w:tcPr>
          <w:p w14:paraId="338F8D66">
            <w:pPr>
              <w:rPr>
                <w:rFonts w:hint="eastAsia" w:ascii="仿宋" w:hAnsi="仿宋" w:eastAsia="仿宋" w:cs="仿宋"/>
                <w:b w:val="0"/>
                <w:bCs w:val="0"/>
                <w:color w:val="auto"/>
                <w:spacing w:val="13"/>
                <w:sz w:val="22"/>
                <w:szCs w:val="22"/>
                <w:highlight w:val="none"/>
                <w:lang w:eastAsia="zh-CN"/>
              </w:rPr>
            </w:pPr>
            <w:r>
              <w:rPr>
                <w:rFonts w:hint="eastAsia" w:ascii="仿宋" w:hAnsi="仿宋" w:eastAsia="仿宋" w:cs="仿宋"/>
                <w:b w:val="0"/>
                <w:bCs w:val="0"/>
                <w:color w:val="auto"/>
                <w:sz w:val="22"/>
                <w:szCs w:val="22"/>
                <w:highlight w:val="none"/>
                <w:lang w:val="en-US" w:eastAsia="zh-CN"/>
              </w:rPr>
              <w:t>乌鲁木齐县水西沟镇南康大道乌鲁木齐警犬训练基地，需按照甲方供货要求，乙方送至甲方指定地点并承担货运费用。</w:t>
            </w:r>
          </w:p>
        </w:tc>
      </w:tr>
      <w:tr w14:paraId="08A2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86" w:type="pct"/>
            <w:vAlign w:val="center"/>
          </w:tcPr>
          <w:p w14:paraId="7787CE28">
            <w:pPr>
              <w:jc w:val="center"/>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投标保证金是否缴纳</w:t>
            </w:r>
          </w:p>
        </w:tc>
        <w:tc>
          <w:tcPr>
            <w:tcW w:w="3813" w:type="pct"/>
            <w:vAlign w:val="center"/>
          </w:tcPr>
          <w:p w14:paraId="6228CBF6">
            <w:pPr>
              <w:jc w:val="center"/>
              <w:rPr>
                <w:rFonts w:hint="eastAsia" w:ascii="仿宋" w:hAnsi="仿宋" w:eastAsia="仿宋" w:cs="仿宋"/>
                <w:b/>
                <w:bCs/>
                <w:color w:val="auto"/>
                <w:sz w:val="22"/>
                <w:szCs w:val="22"/>
                <w:highlight w:val="none"/>
              </w:rPr>
            </w:pPr>
          </w:p>
        </w:tc>
      </w:tr>
      <w:tr w14:paraId="1279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186" w:type="pct"/>
            <w:vAlign w:val="center"/>
          </w:tcPr>
          <w:p w14:paraId="6DE2F5CB">
            <w:pPr>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备  注</w:t>
            </w:r>
          </w:p>
        </w:tc>
        <w:tc>
          <w:tcPr>
            <w:tcW w:w="3813" w:type="pct"/>
            <w:vAlign w:val="center"/>
          </w:tcPr>
          <w:p w14:paraId="7994A9C1">
            <w:pPr>
              <w:jc w:val="center"/>
              <w:rPr>
                <w:rFonts w:hint="eastAsia" w:ascii="仿宋" w:hAnsi="仿宋" w:eastAsia="仿宋" w:cs="仿宋"/>
                <w:b/>
                <w:bCs/>
                <w:color w:val="auto"/>
                <w:sz w:val="22"/>
                <w:szCs w:val="22"/>
                <w:highlight w:val="none"/>
              </w:rPr>
            </w:pPr>
          </w:p>
        </w:tc>
      </w:tr>
    </w:tbl>
    <w:p w14:paraId="77B9F8BB">
      <w:pPr>
        <w:pStyle w:val="7"/>
        <w:spacing w:line="259" w:lineRule="auto"/>
        <w:rPr>
          <w:rFonts w:hint="eastAsia" w:ascii="仿宋" w:hAnsi="仿宋" w:eastAsia="仿宋" w:cs="仿宋"/>
          <w:color w:val="auto"/>
          <w:spacing w:val="1"/>
          <w:position w:val="5"/>
          <w:sz w:val="24"/>
          <w:szCs w:val="24"/>
          <w:highlight w:val="none"/>
          <w:lang w:eastAsia="zh-CN"/>
        </w:rPr>
      </w:pPr>
      <w:r>
        <w:rPr>
          <w:rFonts w:hint="eastAsia" w:ascii="仿宋" w:hAnsi="仿宋" w:eastAsia="仿宋" w:cs="仿宋"/>
          <w:color w:val="auto"/>
          <w:spacing w:val="1"/>
          <w:position w:val="5"/>
          <w:sz w:val="24"/>
          <w:szCs w:val="24"/>
          <w:highlight w:val="none"/>
          <w:lang w:eastAsia="zh-CN"/>
        </w:rPr>
        <w:t xml:space="preserve">注：1、报价一经涂改，应在涂改处加盖单位公章或者由法定代表人或其委托代理人签字或盖章，否则其投标作无效标处理。  </w:t>
      </w:r>
    </w:p>
    <w:p w14:paraId="715A2B36">
      <w:pPr>
        <w:pStyle w:val="7"/>
        <w:spacing w:line="259" w:lineRule="auto"/>
        <w:rPr>
          <w:rFonts w:hint="eastAsia" w:ascii="仿宋" w:hAnsi="仿宋" w:eastAsia="仿宋" w:cs="仿宋"/>
          <w:color w:val="auto"/>
          <w:spacing w:val="1"/>
          <w:position w:val="5"/>
          <w:sz w:val="24"/>
          <w:szCs w:val="24"/>
          <w:highlight w:val="none"/>
          <w:lang w:eastAsia="zh-CN"/>
        </w:rPr>
      </w:pPr>
      <w:r>
        <w:rPr>
          <w:rFonts w:hint="eastAsia" w:ascii="仿宋" w:hAnsi="仿宋" w:eastAsia="仿宋" w:cs="仿宋"/>
          <w:color w:val="auto"/>
          <w:spacing w:val="1"/>
          <w:position w:val="5"/>
          <w:sz w:val="24"/>
          <w:szCs w:val="24"/>
          <w:highlight w:val="none"/>
          <w:lang w:eastAsia="zh-CN"/>
        </w:rPr>
        <w:t xml:space="preserve">   </w:t>
      </w:r>
      <w:r>
        <w:rPr>
          <w:rFonts w:hint="eastAsia" w:ascii="仿宋" w:hAnsi="仿宋" w:eastAsia="仿宋" w:cs="仿宋"/>
          <w:color w:val="auto"/>
          <w:spacing w:val="1"/>
          <w:position w:val="5"/>
          <w:sz w:val="24"/>
          <w:szCs w:val="24"/>
          <w:highlight w:val="none"/>
          <w:lang w:val="en-US" w:eastAsia="zh-CN"/>
        </w:rPr>
        <w:t xml:space="preserve"> </w:t>
      </w:r>
      <w:r>
        <w:rPr>
          <w:rFonts w:hint="eastAsia" w:ascii="仿宋" w:hAnsi="仿宋" w:eastAsia="仿宋" w:cs="仿宋"/>
          <w:color w:val="auto"/>
          <w:spacing w:val="1"/>
          <w:position w:val="5"/>
          <w:sz w:val="24"/>
          <w:szCs w:val="24"/>
          <w:highlight w:val="none"/>
          <w:lang w:eastAsia="zh-CN"/>
        </w:rPr>
        <w:t xml:space="preserve">2、报价包括项目实施所需的保费、管理费、利润、税费及其他一切费用。  </w:t>
      </w:r>
    </w:p>
    <w:p w14:paraId="352E8B32">
      <w:pPr>
        <w:pStyle w:val="7"/>
        <w:spacing w:line="259" w:lineRule="auto"/>
        <w:rPr>
          <w:rFonts w:hint="eastAsia" w:ascii="仿宋" w:hAnsi="仿宋" w:eastAsia="仿宋" w:cs="仿宋"/>
          <w:color w:val="auto"/>
          <w:spacing w:val="1"/>
          <w:position w:val="5"/>
          <w:sz w:val="24"/>
          <w:szCs w:val="24"/>
          <w:highlight w:val="none"/>
          <w:lang w:eastAsia="zh-CN"/>
        </w:rPr>
      </w:pPr>
      <w:r>
        <w:rPr>
          <w:rFonts w:hint="eastAsia" w:ascii="仿宋" w:hAnsi="仿宋" w:eastAsia="仿宋" w:cs="仿宋"/>
          <w:color w:val="auto"/>
          <w:spacing w:val="1"/>
          <w:position w:val="5"/>
          <w:sz w:val="24"/>
          <w:szCs w:val="24"/>
          <w:highlight w:val="none"/>
          <w:lang w:eastAsia="zh-CN"/>
        </w:rPr>
        <w:t xml:space="preserve">   </w:t>
      </w:r>
      <w:r>
        <w:rPr>
          <w:rFonts w:hint="eastAsia" w:ascii="仿宋" w:hAnsi="仿宋" w:eastAsia="仿宋" w:cs="仿宋"/>
          <w:color w:val="auto"/>
          <w:spacing w:val="1"/>
          <w:position w:val="5"/>
          <w:sz w:val="24"/>
          <w:szCs w:val="24"/>
          <w:highlight w:val="none"/>
          <w:lang w:val="en-US" w:eastAsia="zh-CN"/>
        </w:rPr>
        <w:t xml:space="preserve"> </w:t>
      </w:r>
      <w:r>
        <w:rPr>
          <w:rFonts w:hint="eastAsia" w:ascii="仿宋" w:hAnsi="仿宋" w:eastAsia="仿宋" w:cs="仿宋"/>
          <w:color w:val="auto"/>
          <w:spacing w:val="1"/>
          <w:position w:val="5"/>
          <w:sz w:val="24"/>
          <w:szCs w:val="24"/>
          <w:highlight w:val="none"/>
          <w:lang w:eastAsia="zh-CN"/>
        </w:rPr>
        <w:t>3、</w:t>
      </w:r>
      <w:r>
        <w:rPr>
          <w:rFonts w:hint="eastAsia" w:ascii="仿宋" w:hAnsi="仿宋" w:eastAsia="仿宋" w:cs="仿宋"/>
          <w:b/>
          <w:bCs/>
          <w:color w:val="auto"/>
          <w:spacing w:val="1"/>
          <w:position w:val="5"/>
          <w:sz w:val="24"/>
          <w:szCs w:val="24"/>
          <w:highlight w:val="none"/>
          <w:lang w:eastAsia="zh-CN"/>
        </w:rPr>
        <w:t>本表后须附详细的投标报价明细表，投标报价明细表中金额和开标一览表金额一致</w:t>
      </w:r>
      <w:r>
        <w:rPr>
          <w:rFonts w:hint="eastAsia" w:ascii="仿宋" w:hAnsi="仿宋" w:eastAsia="仿宋" w:cs="仿宋"/>
          <w:color w:val="auto"/>
          <w:spacing w:val="1"/>
          <w:position w:val="5"/>
          <w:sz w:val="24"/>
          <w:szCs w:val="24"/>
          <w:highlight w:val="none"/>
          <w:lang w:eastAsia="zh-CN"/>
        </w:rPr>
        <w:t>。</w:t>
      </w:r>
    </w:p>
    <w:p w14:paraId="18FA82DD">
      <w:pPr>
        <w:pStyle w:val="7"/>
        <w:spacing w:line="260" w:lineRule="auto"/>
        <w:rPr>
          <w:rFonts w:hint="eastAsia" w:ascii="仿宋" w:hAnsi="仿宋" w:eastAsia="仿宋" w:cs="仿宋"/>
          <w:color w:val="auto"/>
          <w:sz w:val="24"/>
          <w:szCs w:val="24"/>
          <w:highlight w:val="none"/>
          <w:lang w:eastAsia="zh-CN"/>
        </w:rPr>
      </w:pPr>
    </w:p>
    <w:p w14:paraId="0B40AD52">
      <w:pPr>
        <w:spacing w:before="75" w:line="227"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谈判供应商名称（电子公章）：</w:t>
      </w:r>
    </w:p>
    <w:p w14:paraId="7F22FF65">
      <w:pPr>
        <w:spacing w:before="157" w:line="439"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position w:val="15"/>
          <w:sz w:val="24"/>
          <w:szCs w:val="24"/>
          <w:highlight w:val="none"/>
          <w:lang w:eastAsia="zh-CN"/>
        </w:rPr>
        <w:t>谈判供应商法定代表人（电子签名或盖章</w:t>
      </w:r>
      <w:r>
        <w:rPr>
          <w:rFonts w:hint="eastAsia" w:ascii="仿宋" w:hAnsi="仿宋" w:eastAsia="仿宋" w:cs="仿宋"/>
          <w:color w:val="auto"/>
          <w:spacing w:val="11"/>
          <w:position w:val="15"/>
          <w:sz w:val="24"/>
          <w:szCs w:val="24"/>
          <w:highlight w:val="none"/>
          <w:lang w:eastAsia="zh-CN"/>
        </w:rPr>
        <w:t>）：</w:t>
      </w:r>
    </w:p>
    <w:p w14:paraId="10D256E8">
      <w:pPr>
        <w:spacing w:line="227" w:lineRule="auto"/>
        <w:jc w:val="both"/>
        <w:rPr>
          <w:rFonts w:hint="eastAsia" w:ascii="仿宋" w:hAnsi="仿宋" w:eastAsia="仿宋" w:cs="仿宋"/>
          <w:color w:val="auto"/>
          <w:sz w:val="23"/>
          <w:szCs w:val="23"/>
          <w:highlight w:val="none"/>
          <w:lang w:eastAsia="zh-CN"/>
        </w:rPr>
      </w:pPr>
      <w:r>
        <w:rPr>
          <w:rFonts w:hint="eastAsia" w:ascii="仿宋" w:hAnsi="仿宋" w:eastAsia="仿宋" w:cs="仿宋"/>
          <w:color w:val="auto"/>
          <w:spacing w:val="-23"/>
          <w:sz w:val="24"/>
          <w:szCs w:val="24"/>
          <w:highlight w:val="none"/>
          <w:lang w:eastAsia="zh-CN"/>
        </w:rPr>
        <w:t>日期：</w:t>
      </w:r>
      <w:r>
        <w:rPr>
          <w:rFonts w:hint="eastAsia" w:ascii="仿宋" w:hAnsi="仿宋" w:eastAsia="仿宋" w:cs="仿宋"/>
          <w:color w:val="auto"/>
          <w:spacing w:val="5"/>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年</w:t>
      </w:r>
      <w:r>
        <w:rPr>
          <w:rFonts w:hint="eastAsia" w:ascii="仿宋" w:hAnsi="仿宋" w:eastAsia="仿宋" w:cs="仿宋"/>
          <w:color w:val="auto"/>
          <w:spacing w:val="21"/>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月</w:t>
      </w:r>
      <w:r>
        <w:rPr>
          <w:rFonts w:hint="eastAsia" w:ascii="仿宋" w:hAnsi="仿宋" w:eastAsia="仿宋" w:cs="仿宋"/>
          <w:color w:val="auto"/>
          <w:spacing w:val="55"/>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日</w:t>
      </w:r>
    </w:p>
    <w:p w14:paraId="7DCFA811">
      <w:pPr>
        <w:rPr>
          <w:rFonts w:hint="eastAsia" w:ascii="仿宋" w:hAnsi="仿宋" w:eastAsia="仿宋" w:cs="仿宋"/>
          <w:color w:val="auto"/>
          <w:sz w:val="23"/>
          <w:szCs w:val="23"/>
          <w:highlight w:val="none"/>
          <w:lang w:eastAsia="zh-CN"/>
        </w:rPr>
      </w:pPr>
    </w:p>
    <w:p w14:paraId="2DCEFE41">
      <w:pPr>
        <w:spacing w:before="91" w:line="219" w:lineRule="auto"/>
        <w:ind w:left="3297"/>
        <w:rPr>
          <w:rFonts w:hint="eastAsia" w:ascii="仿宋" w:hAnsi="仿宋" w:eastAsia="仿宋" w:cs="仿宋"/>
          <w:color w:val="auto"/>
          <w:spacing w:val="-2"/>
          <w:sz w:val="28"/>
          <w:szCs w:val="28"/>
          <w:highlight w:val="none"/>
          <w:lang w:eastAsia="zh-CN"/>
          <w14:textOutline w14:w="5130" w14:cap="flat" w14:cmpd="sng" w14:algn="ctr">
            <w14:solidFill>
              <w14:srgbClr w14:val="000000"/>
            </w14:solidFill>
            <w14:prstDash w14:val="solid"/>
            <w14:miter w14:val="0"/>
          </w14:textOutline>
        </w:rPr>
      </w:pPr>
      <w:r>
        <w:rPr>
          <w:rFonts w:hint="eastAsia" w:ascii="仿宋" w:hAnsi="仿宋" w:eastAsia="仿宋" w:cs="仿宋"/>
          <w:color w:val="auto"/>
          <w:spacing w:val="-2"/>
          <w:sz w:val="28"/>
          <w:szCs w:val="28"/>
          <w:highlight w:val="none"/>
          <w:lang w:eastAsia="zh-CN"/>
          <w14:textOutline w14:w="5130" w14:cap="flat" w14:cmpd="sng" w14:algn="ctr">
            <w14:solidFill>
              <w14:srgbClr w14:val="000000"/>
            </w14:solidFill>
            <w14:prstDash w14:val="solid"/>
            <w14:miter w14:val="0"/>
          </w14:textOutline>
        </w:rPr>
        <w:t>投标报价明细表</w:t>
      </w:r>
    </w:p>
    <w:tbl>
      <w:tblPr>
        <w:tblStyle w:val="13"/>
        <w:tblW w:w="96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98"/>
        <w:gridCol w:w="1812"/>
        <w:gridCol w:w="957"/>
        <w:gridCol w:w="2045"/>
        <w:gridCol w:w="940"/>
        <w:gridCol w:w="1179"/>
        <w:gridCol w:w="1015"/>
        <w:gridCol w:w="879"/>
      </w:tblGrid>
      <w:tr w14:paraId="7ED6C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atLeast"/>
          <w:jc w:val="center"/>
        </w:trPr>
        <w:tc>
          <w:tcPr>
            <w:tcW w:w="798" w:type="dxa"/>
            <w:vAlign w:val="center"/>
          </w:tcPr>
          <w:p w14:paraId="24A0C40C">
            <w:pPr>
              <w:tabs>
                <w:tab w:val="left" w:pos="840"/>
              </w:tabs>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序号</w:t>
            </w:r>
          </w:p>
        </w:tc>
        <w:tc>
          <w:tcPr>
            <w:tcW w:w="1812" w:type="dxa"/>
            <w:vAlign w:val="center"/>
          </w:tcPr>
          <w:p w14:paraId="23C6C5B4">
            <w:pPr>
              <w:tabs>
                <w:tab w:val="left" w:pos="840"/>
              </w:tabs>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犬种</w:t>
            </w:r>
          </w:p>
        </w:tc>
        <w:tc>
          <w:tcPr>
            <w:tcW w:w="957" w:type="dxa"/>
            <w:vAlign w:val="center"/>
          </w:tcPr>
          <w:p w14:paraId="3A7DE1CE">
            <w:pPr>
              <w:tabs>
                <w:tab w:val="left" w:pos="840"/>
              </w:tabs>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性别</w:t>
            </w:r>
          </w:p>
        </w:tc>
        <w:tc>
          <w:tcPr>
            <w:tcW w:w="2045" w:type="dxa"/>
            <w:vAlign w:val="center"/>
          </w:tcPr>
          <w:p w14:paraId="332530E3">
            <w:pPr>
              <w:tabs>
                <w:tab w:val="left" w:pos="840"/>
              </w:tabs>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年龄</w:t>
            </w:r>
          </w:p>
        </w:tc>
        <w:tc>
          <w:tcPr>
            <w:tcW w:w="940" w:type="dxa"/>
            <w:shd w:val="clear" w:color="auto" w:fill="auto"/>
            <w:vAlign w:val="center"/>
          </w:tcPr>
          <w:p w14:paraId="0B9F53FD">
            <w:pPr>
              <w:tabs>
                <w:tab w:val="left" w:pos="840"/>
              </w:tabs>
              <w:jc w:val="center"/>
              <w:rPr>
                <w:rFonts w:hint="eastAsia" w:ascii="仿宋" w:hAnsi="仿宋" w:eastAsia="仿宋" w:cs="仿宋"/>
                <w:snapToGrid w:val="0"/>
                <w:color w:val="auto"/>
                <w:kern w:val="28"/>
                <w:sz w:val="24"/>
                <w:szCs w:val="24"/>
                <w:highlight w:val="none"/>
                <w:lang w:val="en-US" w:eastAsia="en-US" w:bidi="ar-SA"/>
              </w:rPr>
            </w:pPr>
            <w:r>
              <w:rPr>
                <w:rFonts w:hint="eastAsia" w:ascii="仿宋" w:hAnsi="仿宋" w:eastAsia="仿宋" w:cs="仿宋"/>
                <w:color w:val="auto"/>
                <w:kern w:val="28"/>
                <w:sz w:val="24"/>
                <w:szCs w:val="24"/>
                <w:highlight w:val="none"/>
              </w:rPr>
              <w:t>数量</w:t>
            </w:r>
          </w:p>
        </w:tc>
        <w:tc>
          <w:tcPr>
            <w:tcW w:w="1179" w:type="dxa"/>
            <w:vAlign w:val="center"/>
          </w:tcPr>
          <w:p w14:paraId="0E4431BC">
            <w:pPr>
              <w:tabs>
                <w:tab w:val="left" w:pos="840"/>
              </w:tabs>
              <w:jc w:val="center"/>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rPr>
              <w:t>单价</w:t>
            </w:r>
            <w:r>
              <w:rPr>
                <w:rFonts w:hint="eastAsia" w:ascii="仿宋" w:hAnsi="仿宋" w:eastAsia="仿宋" w:cs="仿宋"/>
                <w:color w:val="auto"/>
                <w:kern w:val="28"/>
                <w:sz w:val="24"/>
                <w:szCs w:val="24"/>
                <w:highlight w:val="none"/>
                <w:lang w:val="en-US" w:eastAsia="zh-CN"/>
              </w:rPr>
              <w:t>限价</w:t>
            </w:r>
          </w:p>
        </w:tc>
        <w:tc>
          <w:tcPr>
            <w:tcW w:w="1015" w:type="dxa"/>
            <w:vAlign w:val="center"/>
          </w:tcPr>
          <w:p w14:paraId="2AAC7168">
            <w:pPr>
              <w:tabs>
                <w:tab w:val="left" w:pos="840"/>
              </w:tabs>
              <w:jc w:val="center"/>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单价（万元）</w:t>
            </w:r>
          </w:p>
        </w:tc>
        <w:tc>
          <w:tcPr>
            <w:tcW w:w="879" w:type="dxa"/>
            <w:vAlign w:val="center"/>
          </w:tcPr>
          <w:p w14:paraId="3F2C4975">
            <w:pPr>
              <w:tabs>
                <w:tab w:val="left" w:pos="840"/>
              </w:tabs>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总价</w:t>
            </w:r>
            <w:r>
              <w:rPr>
                <w:rFonts w:hint="eastAsia" w:ascii="仿宋" w:hAnsi="仿宋" w:eastAsia="仿宋" w:cs="仿宋"/>
                <w:color w:val="auto"/>
                <w:kern w:val="28"/>
                <w:sz w:val="24"/>
                <w:szCs w:val="24"/>
                <w:highlight w:val="none"/>
                <w:lang w:val="en-US" w:eastAsia="zh-CN"/>
              </w:rPr>
              <w:t>（万元）</w:t>
            </w:r>
          </w:p>
        </w:tc>
      </w:tr>
      <w:tr w14:paraId="4C308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atLeast"/>
          <w:jc w:val="center"/>
        </w:trPr>
        <w:tc>
          <w:tcPr>
            <w:tcW w:w="798" w:type="dxa"/>
            <w:vAlign w:val="center"/>
          </w:tcPr>
          <w:p w14:paraId="7BE8AD32">
            <w:pPr>
              <w:jc w:val="center"/>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1</w:t>
            </w:r>
          </w:p>
        </w:tc>
        <w:tc>
          <w:tcPr>
            <w:tcW w:w="1812" w:type="dxa"/>
            <w:vAlign w:val="center"/>
          </w:tcPr>
          <w:p w14:paraId="6DB66FAC">
            <w:pPr>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德国牧羊犬</w:t>
            </w:r>
          </w:p>
        </w:tc>
        <w:tc>
          <w:tcPr>
            <w:tcW w:w="957" w:type="dxa"/>
            <w:vAlign w:val="center"/>
          </w:tcPr>
          <w:p w14:paraId="58B40BDF">
            <w:pPr>
              <w:tabs>
                <w:tab w:val="left" w:pos="840"/>
              </w:tabs>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母</w:t>
            </w:r>
          </w:p>
        </w:tc>
        <w:tc>
          <w:tcPr>
            <w:tcW w:w="2045" w:type="dxa"/>
            <w:vAlign w:val="center"/>
          </w:tcPr>
          <w:p w14:paraId="4C7DA18F">
            <w:pPr>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lang w:val="en-US" w:eastAsia="zh-CN"/>
              </w:rPr>
              <w:t>12</w:t>
            </w:r>
            <w:r>
              <w:rPr>
                <w:rFonts w:hint="eastAsia" w:ascii="仿宋" w:hAnsi="仿宋" w:eastAsia="仿宋" w:cs="仿宋"/>
                <w:color w:val="auto"/>
                <w:kern w:val="28"/>
                <w:sz w:val="24"/>
                <w:szCs w:val="24"/>
                <w:highlight w:val="none"/>
              </w:rPr>
              <w:t>个月-</w:t>
            </w:r>
            <w:r>
              <w:rPr>
                <w:rFonts w:hint="eastAsia" w:ascii="仿宋" w:hAnsi="仿宋" w:eastAsia="仿宋" w:cs="仿宋"/>
                <w:color w:val="auto"/>
                <w:kern w:val="28"/>
                <w:sz w:val="24"/>
                <w:szCs w:val="24"/>
                <w:highlight w:val="none"/>
                <w:lang w:val="en-US" w:eastAsia="zh-CN"/>
              </w:rPr>
              <w:t>30</w:t>
            </w:r>
            <w:r>
              <w:rPr>
                <w:rFonts w:hint="eastAsia" w:ascii="仿宋" w:hAnsi="仿宋" w:eastAsia="仿宋" w:cs="仿宋"/>
                <w:color w:val="auto"/>
                <w:kern w:val="28"/>
                <w:sz w:val="24"/>
                <w:szCs w:val="24"/>
                <w:highlight w:val="none"/>
              </w:rPr>
              <w:t>个月</w:t>
            </w:r>
          </w:p>
        </w:tc>
        <w:tc>
          <w:tcPr>
            <w:tcW w:w="940" w:type="dxa"/>
            <w:shd w:val="clear" w:color="auto" w:fill="auto"/>
            <w:vAlign w:val="center"/>
          </w:tcPr>
          <w:p w14:paraId="515723A4">
            <w:pPr>
              <w:tabs>
                <w:tab w:val="left" w:pos="840"/>
              </w:tabs>
              <w:jc w:val="center"/>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rPr>
              <w:t>1只</w:t>
            </w:r>
          </w:p>
        </w:tc>
        <w:tc>
          <w:tcPr>
            <w:tcW w:w="1179" w:type="dxa"/>
            <w:vAlign w:val="center"/>
          </w:tcPr>
          <w:p w14:paraId="0D4D7B88">
            <w:pPr>
              <w:keepNext w:val="0"/>
              <w:keepLines w:val="0"/>
              <w:widowControl/>
              <w:numPr>
                <w:ilvl w:val="-1"/>
                <w:numId w:val="0"/>
              </w:numPr>
              <w:suppressLineNumbers w:val="0"/>
              <w:adjustRightInd/>
              <w:spacing w:line="400" w:lineRule="exact"/>
              <w:ind w:left="0" w:leftChars="0" w:firstLine="0" w:firstLineChars="0"/>
              <w:jc w:val="center"/>
              <w:textAlignment w:val="auto"/>
              <w:outlineLvl w:val="9"/>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
                <w:sz w:val="24"/>
                <w:szCs w:val="24"/>
                <w:highlight w:val="none"/>
                <w:lang w:val="en-US" w:eastAsia="zh-CN"/>
              </w:rPr>
              <w:t>8万元</w:t>
            </w:r>
          </w:p>
        </w:tc>
        <w:tc>
          <w:tcPr>
            <w:tcW w:w="1015" w:type="dxa"/>
            <w:vAlign w:val="center"/>
          </w:tcPr>
          <w:p w14:paraId="4D8A4DE3">
            <w:pPr>
              <w:tabs>
                <w:tab w:val="left" w:pos="840"/>
              </w:tabs>
              <w:jc w:val="center"/>
              <w:rPr>
                <w:rFonts w:hint="eastAsia" w:ascii="仿宋" w:hAnsi="仿宋" w:eastAsia="仿宋" w:cs="仿宋"/>
                <w:color w:val="auto"/>
                <w:kern w:val="28"/>
                <w:sz w:val="24"/>
                <w:szCs w:val="24"/>
                <w:highlight w:val="none"/>
                <w:lang w:eastAsia="zh-CN"/>
              </w:rPr>
            </w:pPr>
          </w:p>
        </w:tc>
        <w:tc>
          <w:tcPr>
            <w:tcW w:w="879" w:type="dxa"/>
            <w:vAlign w:val="center"/>
          </w:tcPr>
          <w:p w14:paraId="3D9F7368">
            <w:pPr>
              <w:tabs>
                <w:tab w:val="left" w:pos="840"/>
              </w:tabs>
              <w:jc w:val="center"/>
              <w:rPr>
                <w:rFonts w:hint="eastAsia" w:ascii="仿宋" w:hAnsi="仿宋" w:eastAsia="仿宋" w:cs="仿宋"/>
                <w:color w:val="auto"/>
                <w:kern w:val="28"/>
                <w:sz w:val="24"/>
                <w:szCs w:val="24"/>
                <w:highlight w:val="none"/>
              </w:rPr>
            </w:pPr>
          </w:p>
        </w:tc>
      </w:tr>
      <w:tr w14:paraId="09862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atLeast"/>
          <w:jc w:val="center"/>
        </w:trPr>
        <w:tc>
          <w:tcPr>
            <w:tcW w:w="798" w:type="dxa"/>
            <w:vAlign w:val="center"/>
          </w:tcPr>
          <w:p w14:paraId="2C3A8E04">
            <w:pPr>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2</w:t>
            </w:r>
          </w:p>
        </w:tc>
        <w:tc>
          <w:tcPr>
            <w:tcW w:w="1812" w:type="dxa"/>
            <w:vAlign w:val="center"/>
          </w:tcPr>
          <w:p w14:paraId="28920B6C">
            <w:pPr>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昆明犬</w:t>
            </w:r>
          </w:p>
        </w:tc>
        <w:tc>
          <w:tcPr>
            <w:tcW w:w="957" w:type="dxa"/>
            <w:vAlign w:val="center"/>
          </w:tcPr>
          <w:p w14:paraId="2233EAB2">
            <w:pPr>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lang w:val="en-US" w:eastAsia="zh-CN"/>
              </w:rPr>
              <w:t>公</w:t>
            </w:r>
          </w:p>
        </w:tc>
        <w:tc>
          <w:tcPr>
            <w:tcW w:w="2045" w:type="dxa"/>
            <w:vAlign w:val="center"/>
          </w:tcPr>
          <w:p w14:paraId="0A434465">
            <w:pPr>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lang w:val="en-US" w:eastAsia="zh-CN"/>
              </w:rPr>
              <w:t>1</w:t>
            </w:r>
            <w:r>
              <w:rPr>
                <w:rFonts w:hint="eastAsia" w:ascii="仿宋" w:hAnsi="仿宋" w:eastAsia="仿宋" w:cs="仿宋"/>
                <w:color w:val="auto"/>
                <w:kern w:val="28"/>
                <w:sz w:val="24"/>
                <w:szCs w:val="24"/>
                <w:highlight w:val="none"/>
              </w:rPr>
              <w:t>8个月-</w:t>
            </w:r>
            <w:r>
              <w:rPr>
                <w:rFonts w:hint="eastAsia" w:ascii="仿宋" w:hAnsi="仿宋" w:eastAsia="仿宋" w:cs="仿宋"/>
                <w:color w:val="auto"/>
                <w:kern w:val="28"/>
                <w:sz w:val="24"/>
                <w:szCs w:val="24"/>
                <w:highlight w:val="none"/>
                <w:lang w:val="en-US" w:eastAsia="zh-CN"/>
              </w:rPr>
              <w:t>36</w:t>
            </w:r>
            <w:r>
              <w:rPr>
                <w:rFonts w:hint="eastAsia" w:ascii="仿宋" w:hAnsi="仿宋" w:eastAsia="仿宋" w:cs="仿宋"/>
                <w:color w:val="auto"/>
                <w:kern w:val="28"/>
                <w:sz w:val="24"/>
                <w:szCs w:val="24"/>
                <w:highlight w:val="none"/>
              </w:rPr>
              <w:t>个月</w:t>
            </w:r>
          </w:p>
        </w:tc>
        <w:tc>
          <w:tcPr>
            <w:tcW w:w="940" w:type="dxa"/>
            <w:shd w:val="clear" w:color="auto" w:fill="auto"/>
            <w:vAlign w:val="center"/>
          </w:tcPr>
          <w:p w14:paraId="56F7562B">
            <w:pPr>
              <w:tabs>
                <w:tab w:val="left" w:pos="840"/>
              </w:tabs>
              <w:jc w:val="center"/>
              <w:rPr>
                <w:rFonts w:hint="eastAsia" w:ascii="仿宋" w:hAnsi="仿宋" w:eastAsia="仿宋" w:cs="仿宋"/>
                <w:snapToGrid w:val="0"/>
                <w:color w:val="auto"/>
                <w:kern w:val="28"/>
                <w:sz w:val="24"/>
                <w:szCs w:val="24"/>
                <w:highlight w:val="none"/>
                <w:lang w:val="en-US" w:eastAsia="en-US" w:bidi="ar-SA"/>
              </w:rPr>
            </w:pPr>
            <w:r>
              <w:rPr>
                <w:rFonts w:hint="eastAsia" w:ascii="仿宋" w:hAnsi="仿宋" w:eastAsia="仿宋" w:cs="仿宋"/>
                <w:color w:val="auto"/>
                <w:kern w:val="28"/>
                <w:sz w:val="24"/>
                <w:szCs w:val="24"/>
                <w:highlight w:val="none"/>
                <w:lang w:val="en-US" w:eastAsia="zh-CN"/>
              </w:rPr>
              <w:t>1只</w:t>
            </w:r>
          </w:p>
        </w:tc>
        <w:tc>
          <w:tcPr>
            <w:tcW w:w="1179" w:type="dxa"/>
            <w:vAlign w:val="center"/>
          </w:tcPr>
          <w:p w14:paraId="521DBD82">
            <w:pPr>
              <w:keepNext w:val="0"/>
              <w:keepLines w:val="0"/>
              <w:widowControl/>
              <w:numPr>
                <w:ilvl w:val="-1"/>
                <w:numId w:val="0"/>
              </w:numPr>
              <w:suppressLineNumbers w:val="0"/>
              <w:adjustRightInd/>
              <w:spacing w:line="400" w:lineRule="exact"/>
              <w:ind w:left="0" w:leftChars="0" w:firstLine="0" w:firstLineChars="0"/>
              <w:jc w:val="center"/>
              <w:textAlignment w:val="auto"/>
              <w:outlineLvl w:val="9"/>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
                <w:sz w:val="24"/>
                <w:szCs w:val="24"/>
                <w:highlight w:val="none"/>
                <w:lang w:val="en-US" w:eastAsia="zh-CN"/>
              </w:rPr>
              <w:t>8万元</w:t>
            </w:r>
          </w:p>
        </w:tc>
        <w:tc>
          <w:tcPr>
            <w:tcW w:w="1015" w:type="dxa"/>
            <w:vAlign w:val="center"/>
          </w:tcPr>
          <w:p w14:paraId="3F49F01F">
            <w:pPr>
              <w:tabs>
                <w:tab w:val="left" w:pos="840"/>
              </w:tabs>
              <w:jc w:val="center"/>
              <w:rPr>
                <w:rFonts w:hint="eastAsia" w:ascii="仿宋" w:hAnsi="仿宋" w:eastAsia="仿宋" w:cs="仿宋"/>
                <w:color w:val="auto"/>
                <w:kern w:val="28"/>
                <w:sz w:val="24"/>
                <w:szCs w:val="24"/>
                <w:highlight w:val="none"/>
              </w:rPr>
            </w:pPr>
          </w:p>
        </w:tc>
        <w:tc>
          <w:tcPr>
            <w:tcW w:w="879" w:type="dxa"/>
            <w:vAlign w:val="center"/>
          </w:tcPr>
          <w:p w14:paraId="6336D74C">
            <w:pPr>
              <w:tabs>
                <w:tab w:val="left" w:pos="840"/>
              </w:tabs>
              <w:jc w:val="center"/>
              <w:rPr>
                <w:rFonts w:hint="eastAsia" w:ascii="仿宋" w:hAnsi="仿宋" w:eastAsia="仿宋" w:cs="仿宋"/>
                <w:color w:val="auto"/>
                <w:kern w:val="28"/>
                <w:sz w:val="24"/>
                <w:szCs w:val="24"/>
                <w:highlight w:val="none"/>
              </w:rPr>
            </w:pPr>
          </w:p>
        </w:tc>
      </w:tr>
      <w:tr w14:paraId="039C9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atLeast"/>
          <w:jc w:val="center"/>
        </w:trPr>
        <w:tc>
          <w:tcPr>
            <w:tcW w:w="798" w:type="dxa"/>
            <w:vAlign w:val="center"/>
          </w:tcPr>
          <w:p w14:paraId="4F2DBCD3">
            <w:pPr>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3</w:t>
            </w:r>
          </w:p>
        </w:tc>
        <w:tc>
          <w:tcPr>
            <w:tcW w:w="1812" w:type="dxa"/>
            <w:vAlign w:val="center"/>
          </w:tcPr>
          <w:p w14:paraId="5FBA3863">
            <w:pPr>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昆明犬</w:t>
            </w:r>
          </w:p>
        </w:tc>
        <w:tc>
          <w:tcPr>
            <w:tcW w:w="957" w:type="dxa"/>
            <w:vAlign w:val="center"/>
          </w:tcPr>
          <w:p w14:paraId="54B88493">
            <w:pPr>
              <w:jc w:val="center"/>
              <w:rPr>
                <w:rFonts w:hint="eastAsia" w:ascii="仿宋" w:hAnsi="仿宋" w:eastAsia="仿宋" w:cs="仿宋"/>
                <w:color w:val="auto"/>
                <w:kern w:val="28"/>
                <w:sz w:val="24"/>
                <w:szCs w:val="24"/>
                <w:highlight w:val="none"/>
              </w:rPr>
            </w:pPr>
            <w:r>
              <w:rPr>
                <w:rFonts w:hint="default" w:ascii="仿宋" w:hAnsi="仿宋" w:eastAsia="仿宋" w:cs="仿宋"/>
                <w:color w:val="auto"/>
                <w:kern w:val="28"/>
                <w:sz w:val="24"/>
                <w:szCs w:val="24"/>
                <w:highlight w:val="none"/>
                <w:lang w:val="en-US" w:eastAsia="zh-CN"/>
              </w:rPr>
              <w:t>母</w:t>
            </w:r>
          </w:p>
        </w:tc>
        <w:tc>
          <w:tcPr>
            <w:tcW w:w="2045" w:type="dxa"/>
            <w:vAlign w:val="center"/>
          </w:tcPr>
          <w:p w14:paraId="4EB0C033">
            <w:pPr>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lang w:val="en-US" w:eastAsia="zh-CN"/>
              </w:rPr>
              <w:t>12</w:t>
            </w:r>
            <w:r>
              <w:rPr>
                <w:rFonts w:hint="eastAsia" w:ascii="仿宋" w:hAnsi="仿宋" w:eastAsia="仿宋" w:cs="仿宋"/>
                <w:color w:val="auto"/>
                <w:kern w:val="28"/>
                <w:sz w:val="24"/>
                <w:szCs w:val="24"/>
                <w:highlight w:val="none"/>
              </w:rPr>
              <w:t>个月-</w:t>
            </w:r>
            <w:r>
              <w:rPr>
                <w:rFonts w:hint="eastAsia" w:ascii="仿宋" w:hAnsi="仿宋" w:eastAsia="仿宋" w:cs="仿宋"/>
                <w:color w:val="auto"/>
                <w:kern w:val="28"/>
                <w:sz w:val="24"/>
                <w:szCs w:val="24"/>
                <w:highlight w:val="none"/>
                <w:lang w:val="en-US" w:eastAsia="zh-CN"/>
              </w:rPr>
              <w:t>30</w:t>
            </w:r>
            <w:r>
              <w:rPr>
                <w:rFonts w:hint="eastAsia" w:ascii="仿宋" w:hAnsi="仿宋" w:eastAsia="仿宋" w:cs="仿宋"/>
                <w:color w:val="auto"/>
                <w:kern w:val="28"/>
                <w:sz w:val="24"/>
                <w:szCs w:val="24"/>
                <w:highlight w:val="none"/>
              </w:rPr>
              <w:t>个月</w:t>
            </w:r>
          </w:p>
        </w:tc>
        <w:tc>
          <w:tcPr>
            <w:tcW w:w="940" w:type="dxa"/>
            <w:shd w:val="clear" w:color="auto" w:fill="auto"/>
            <w:vAlign w:val="center"/>
          </w:tcPr>
          <w:p w14:paraId="4F879C8C">
            <w:pPr>
              <w:tabs>
                <w:tab w:val="left" w:pos="840"/>
              </w:tabs>
              <w:jc w:val="center"/>
              <w:rPr>
                <w:rFonts w:hint="eastAsia" w:ascii="仿宋" w:hAnsi="仿宋" w:eastAsia="仿宋" w:cs="仿宋"/>
                <w:snapToGrid w:val="0"/>
                <w:color w:val="auto"/>
                <w:kern w:val="28"/>
                <w:sz w:val="24"/>
                <w:szCs w:val="24"/>
                <w:highlight w:val="none"/>
                <w:lang w:val="en-US" w:eastAsia="en-US" w:bidi="ar-SA"/>
              </w:rPr>
            </w:pPr>
            <w:r>
              <w:rPr>
                <w:rFonts w:hint="eastAsia" w:ascii="仿宋" w:hAnsi="仿宋" w:eastAsia="仿宋" w:cs="仿宋"/>
                <w:color w:val="auto"/>
                <w:kern w:val="28"/>
                <w:sz w:val="24"/>
                <w:szCs w:val="24"/>
                <w:highlight w:val="none"/>
                <w:lang w:val="en-US" w:eastAsia="zh-CN"/>
              </w:rPr>
              <w:t>3只</w:t>
            </w:r>
          </w:p>
        </w:tc>
        <w:tc>
          <w:tcPr>
            <w:tcW w:w="1179" w:type="dxa"/>
            <w:vAlign w:val="center"/>
          </w:tcPr>
          <w:p w14:paraId="578C84F8">
            <w:pPr>
              <w:keepNext w:val="0"/>
              <w:keepLines w:val="0"/>
              <w:widowControl/>
              <w:numPr>
                <w:ilvl w:val="-1"/>
                <w:numId w:val="0"/>
              </w:numPr>
              <w:suppressLineNumbers w:val="0"/>
              <w:adjustRightInd/>
              <w:spacing w:line="400" w:lineRule="exact"/>
              <w:ind w:left="0" w:leftChars="0" w:firstLine="0" w:firstLineChars="0"/>
              <w:jc w:val="center"/>
              <w:textAlignment w:val="auto"/>
              <w:outlineLvl w:val="9"/>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
                <w:sz w:val="24"/>
                <w:szCs w:val="24"/>
                <w:highlight w:val="none"/>
                <w:lang w:val="en-US" w:eastAsia="zh-CN"/>
              </w:rPr>
              <w:t>8万元</w:t>
            </w:r>
          </w:p>
        </w:tc>
        <w:tc>
          <w:tcPr>
            <w:tcW w:w="1015" w:type="dxa"/>
            <w:vAlign w:val="center"/>
          </w:tcPr>
          <w:p w14:paraId="535A20F4">
            <w:pPr>
              <w:tabs>
                <w:tab w:val="left" w:pos="840"/>
              </w:tabs>
              <w:jc w:val="center"/>
              <w:rPr>
                <w:rFonts w:hint="eastAsia" w:ascii="仿宋" w:hAnsi="仿宋" w:eastAsia="仿宋" w:cs="仿宋"/>
                <w:color w:val="auto"/>
                <w:kern w:val="28"/>
                <w:sz w:val="24"/>
                <w:szCs w:val="24"/>
                <w:highlight w:val="none"/>
              </w:rPr>
            </w:pPr>
          </w:p>
        </w:tc>
        <w:tc>
          <w:tcPr>
            <w:tcW w:w="879" w:type="dxa"/>
            <w:vAlign w:val="center"/>
          </w:tcPr>
          <w:p w14:paraId="2F8F6B63">
            <w:pPr>
              <w:tabs>
                <w:tab w:val="left" w:pos="840"/>
              </w:tabs>
              <w:jc w:val="center"/>
              <w:rPr>
                <w:rFonts w:hint="eastAsia" w:ascii="仿宋" w:hAnsi="仿宋" w:eastAsia="仿宋" w:cs="仿宋"/>
                <w:color w:val="auto"/>
                <w:kern w:val="28"/>
                <w:sz w:val="24"/>
                <w:szCs w:val="24"/>
                <w:highlight w:val="none"/>
              </w:rPr>
            </w:pPr>
          </w:p>
        </w:tc>
      </w:tr>
      <w:tr w14:paraId="7E707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atLeast"/>
          <w:jc w:val="center"/>
        </w:trPr>
        <w:tc>
          <w:tcPr>
            <w:tcW w:w="798" w:type="dxa"/>
            <w:vAlign w:val="center"/>
          </w:tcPr>
          <w:p w14:paraId="61E33EC1">
            <w:pPr>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4</w:t>
            </w:r>
          </w:p>
        </w:tc>
        <w:tc>
          <w:tcPr>
            <w:tcW w:w="1812" w:type="dxa"/>
            <w:vAlign w:val="center"/>
          </w:tcPr>
          <w:p w14:paraId="2603931A">
            <w:pPr>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史宾格犬</w:t>
            </w:r>
          </w:p>
        </w:tc>
        <w:tc>
          <w:tcPr>
            <w:tcW w:w="957" w:type="dxa"/>
            <w:vAlign w:val="center"/>
          </w:tcPr>
          <w:p w14:paraId="6FC1C39C">
            <w:pPr>
              <w:jc w:val="center"/>
              <w:rPr>
                <w:rFonts w:hint="eastAsia" w:ascii="仿宋" w:hAnsi="仿宋" w:eastAsia="仿宋" w:cs="仿宋"/>
                <w:color w:val="auto"/>
                <w:kern w:val="28"/>
                <w:sz w:val="24"/>
                <w:szCs w:val="24"/>
                <w:highlight w:val="none"/>
                <w:lang w:val="en-US"/>
              </w:rPr>
            </w:pPr>
            <w:r>
              <w:rPr>
                <w:rFonts w:hint="default" w:ascii="仿宋" w:hAnsi="仿宋" w:eastAsia="仿宋" w:cs="仿宋"/>
                <w:color w:val="auto"/>
                <w:kern w:val="28"/>
                <w:sz w:val="24"/>
                <w:szCs w:val="24"/>
                <w:highlight w:val="none"/>
                <w:lang w:val="en-US" w:eastAsia="zh-CN"/>
              </w:rPr>
              <w:t>母</w:t>
            </w:r>
          </w:p>
        </w:tc>
        <w:tc>
          <w:tcPr>
            <w:tcW w:w="2045" w:type="dxa"/>
            <w:vAlign w:val="center"/>
          </w:tcPr>
          <w:p w14:paraId="3182748C">
            <w:pPr>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lang w:val="en-US" w:eastAsia="zh-CN"/>
              </w:rPr>
              <w:t>12</w:t>
            </w:r>
            <w:r>
              <w:rPr>
                <w:rFonts w:hint="eastAsia" w:ascii="仿宋" w:hAnsi="仿宋" w:eastAsia="仿宋" w:cs="仿宋"/>
                <w:color w:val="auto"/>
                <w:kern w:val="28"/>
                <w:sz w:val="24"/>
                <w:szCs w:val="24"/>
                <w:highlight w:val="none"/>
              </w:rPr>
              <w:t>个月-</w:t>
            </w:r>
            <w:r>
              <w:rPr>
                <w:rFonts w:hint="eastAsia" w:ascii="仿宋" w:hAnsi="仿宋" w:eastAsia="仿宋" w:cs="仿宋"/>
                <w:color w:val="auto"/>
                <w:kern w:val="28"/>
                <w:sz w:val="24"/>
                <w:szCs w:val="24"/>
                <w:highlight w:val="none"/>
                <w:lang w:val="en-US" w:eastAsia="zh-CN"/>
              </w:rPr>
              <w:t>30</w:t>
            </w:r>
            <w:r>
              <w:rPr>
                <w:rFonts w:hint="eastAsia" w:ascii="仿宋" w:hAnsi="仿宋" w:eastAsia="仿宋" w:cs="仿宋"/>
                <w:color w:val="auto"/>
                <w:kern w:val="28"/>
                <w:sz w:val="24"/>
                <w:szCs w:val="24"/>
                <w:highlight w:val="none"/>
              </w:rPr>
              <w:t>个月</w:t>
            </w:r>
          </w:p>
        </w:tc>
        <w:tc>
          <w:tcPr>
            <w:tcW w:w="940" w:type="dxa"/>
            <w:shd w:val="clear" w:color="auto" w:fill="auto"/>
            <w:vAlign w:val="center"/>
          </w:tcPr>
          <w:p w14:paraId="02A3F0ED">
            <w:pPr>
              <w:tabs>
                <w:tab w:val="left" w:pos="840"/>
              </w:tabs>
              <w:jc w:val="center"/>
              <w:rPr>
                <w:rFonts w:hint="eastAsia" w:ascii="仿宋" w:hAnsi="仿宋" w:eastAsia="仿宋" w:cs="仿宋"/>
                <w:snapToGrid w:val="0"/>
                <w:color w:val="auto"/>
                <w:kern w:val="28"/>
                <w:sz w:val="24"/>
                <w:szCs w:val="24"/>
                <w:highlight w:val="none"/>
                <w:lang w:val="en-US" w:eastAsia="en-US" w:bidi="ar-SA"/>
              </w:rPr>
            </w:pPr>
            <w:r>
              <w:rPr>
                <w:rFonts w:hint="eastAsia" w:ascii="仿宋" w:hAnsi="仿宋" w:eastAsia="仿宋" w:cs="仿宋"/>
                <w:color w:val="auto"/>
                <w:kern w:val="28"/>
                <w:sz w:val="24"/>
                <w:szCs w:val="24"/>
                <w:highlight w:val="none"/>
                <w:lang w:val="en-US" w:eastAsia="zh-CN"/>
              </w:rPr>
              <w:t>1只</w:t>
            </w:r>
          </w:p>
        </w:tc>
        <w:tc>
          <w:tcPr>
            <w:tcW w:w="1179" w:type="dxa"/>
            <w:vAlign w:val="center"/>
          </w:tcPr>
          <w:p w14:paraId="3AF0194A">
            <w:pPr>
              <w:keepNext w:val="0"/>
              <w:keepLines w:val="0"/>
              <w:widowControl/>
              <w:numPr>
                <w:ilvl w:val="-1"/>
                <w:numId w:val="0"/>
              </w:numPr>
              <w:suppressLineNumbers w:val="0"/>
              <w:adjustRightInd/>
              <w:spacing w:line="400" w:lineRule="exact"/>
              <w:ind w:left="0" w:leftChars="0" w:firstLine="0" w:firstLineChars="0"/>
              <w:jc w:val="center"/>
              <w:textAlignment w:val="auto"/>
              <w:outlineLvl w:val="9"/>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
                <w:sz w:val="24"/>
                <w:szCs w:val="24"/>
                <w:highlight w:val="none"/>
                <w:lang w:val="en-US" w:eastAsia="zh-CN"/>
              </w:rPr>
              <w:t>8万元</w:t>
            </w:r>
          </w:p>
        </w:tc>
        <w:tc>
          <w:tcPr>
            <w:tcW w:w="1015" w:type="dxa"/>
            <w:vAlign w:val="center"/>
          </w:tcPr>
          <w:p w14:paraId="5E55C5FB">
            <w:pPr>
              <w:tabs>
                <w:tab w:val="left" w:pos="840"/>
              </w:tabs>
              <w:jc w:val="center"/>
              <w:rPr>
                <w:rFonts w:hint="eastAsia" w:ascii="仿宋" w:hAnsi="仿宋" w:eastAsia="仿宋" w:cs="仿宋"/>
                <w:color w:val="auto"/>
                <w:kern w:val="28"/>
                <w:sz w:val="24"/>
                <w:szCs w:val="24"/>
                <w:highlight w:val="none"/>
              </w:rPr>
            </w:pPr>
          </w:p>
        </w:tc>
        <w:tc>
          <w:tcPr>
            <w:tcW w:w="879" w:type="dxa"/>
            <w:vAlign w:val="center"/>
          </w:tcPr>
          <w:p w14:paraId="75D90BB4">
            <w:pPr>
              <w:tabs>
                <w:tab w:val="left" w:pos="840"/>
              </w:tabs>
              <w:jc w:val="center"/>
              <w:rPr>
                <w:rFonts w:hint="eastAsia" w:ascii="仿宋" w:hAnsi="仿宋" w:eastAsia="仿宋" w:cs="仿宋"/>
                <w:color w:val="auto"/>
                <w:kern w:val="28"/>
                <w:sz w:val="24"/>
                <w:szCs w:val="24"/>
                <w:highlight w:val="none"/>
              </w:rPr>
            </w:pPr>
          </w:p>
        </w:tc>
      </w:tr>
      <w:tr w14:paraId="38E53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atLeast"/>
          <w:jc w:val="center"/>
        </w:trPr>
        <w:tc>
          <w:tcPr>
            <w:tcW w:w="798" w:type="dxa"/>
            <w:vAlign w:val="center"/>
          </w:tcPr>
          <w:p w14:paraId="2BE0F27A">
            <w:pPr>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5</w:t>
            </w:r>
          </w:p>
        </w:tc>
        <w:tc>
          <w:tcPr>
            <w:tcW w:w="1812" w:type="dxa"/>
            <w:vAlign w:val="center"/>
          </w:tcPr>
          <w:p w14:paraId="1BE58AB5">
            <w:pPr>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德国牧羊犬</w:t>
            </w:r>
          </w:p>
        </w:tc>
        <w:tc>
          <w:tcPr>
            <w:tcW w:w="957" w:type="dxa"/>
            <w:vAlign w:val="center"/>
          </w:tcPr>
          <w:p w14:paraId="53403E0C">
            <w:pPr>
              <w:tabs>
                <w:tab w:val="left" w:pos="840"/>
              </w:tabs>
              <w:jc w:val="center"/>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公</w:t>
            </w:r>
          </w:p>
        </w:tc>
        <w:tc>
          <w:tcPr>
            <w:tcW w:w="2045" w:type="dxa"/>
            <w:vAlign w:val="center"/>
          </w:tcPr>
          <w:p w14:paraId="114A46C6">
            <w:pPr>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8个月-</w:t>
            </w:r>
            <w:r>
              <w:rPr>
                <w:rFonts w:hint="eastAsia" w:ascii="仿宋" w:hAnsi="仿宋" w:eastAsia="仿宋" w:cs="仿宋"/>
                <w:color w:val="auto"/>
                <w:kern w:val="28"/>
                <w:sz w:val="24"/>
                <w:szCs w:val="24"/>
                <w:highlight w:val="none"/>
                <w:lang w:val="en-US" w:eastAsia="zh-CN"/>
              </w:rPr>
              <w:t>18</w:t>
            </w:r>
            <w:r>
              <w:rPr>
                <w:rFonts w:hint="eastAsia" w:ascii="仿宋" w:hAnsi="仿宋" w:eastAsia="仿宋" w:cs="仿宋"/>
                <w:color w:val="auto"/>
                <w:kern w:val="28"/>
                <w:sz w:val="24"/>
                <w:szCs w:val="24"/>
                <w:highlight w:val="none"/>
              </w:rPr>
              <w:t>个月</w:t>
            </w:r>
          </w:p>
        </w:tc>
        <w:tc>
          <w:tcPr>
            <w:tcW w:w="940" w:type="dxa"/>
            <w:shd w:val="clear" w:color="auto" w:fill="auto"/>
            <w:vAlign w:val="center"/>
          </w:tcPr>
          <w:p w14:paraId="53B367CC">
            <w:pPr>
              <w:tabs>
                <w:tab w:val="left" w:pos="840"/>
              </w:tabs>
              <w:jc w:val="center"/>
              <w:rPr>
                <w:rFonts w:hint="eastAsia" w:ascii="仿宋" w:hAnsi="仿宋" w:eastAsia="仿宋" w:cs="仿宋"/>
                <w:snapToGrid w:val="0"/>
                <w:color w:val="auto"/>
                <w:kern w:val="28"/>
                <w:sz w:val="24"/>
                <w:szCs w:val="24"/>
                <w:highlight w:val="none"/>
                <w:lang w:val="en-US" w:eastAsia="en-US" w:bidi="ar-SA"/>
              </w:rPr>
            </w:pPr>
            <w:r>
              <w:rPr>
                <w:rFonts w:hint="eastAsia" w:ascii="仿宋" w:hAnsi="仿宋" w:eastAsia="仿宋" w:cs="仿宋"/>
                <w:color w:val="auto"/>
                <w:kern w:val="28"/>
                <w:sz w:val="24"/>
                <w:szCs w:val="24"/>
                <w:highlight w:val="none"/>
                <w:lang w:val="en-US" w:eastAsia="zh-CN"/>
              </w:rPr>
              <w:t>15只</w:t>
            </w:r>
          </w:p>
        </w:tc>
        <w:tc>
          <w:tcPr>
            <w:tcW w:w="1179" w:type="dxa"/>
            <w:vAlign w:val="center"/>
          </w:tcPr>
          <w:p w14:paraId="4DD7CB81">
            <w:pPr>
              <w:keepNext w:val="0"/>
              <w:keepLines w:val="0"/>
              <w:widowControl/>
              <w:numPr>
                <w:ilvl w:val="-1"/>
                <w:numId w:val="0"/>
              </w:numPr>
              <w:suppressLineNumbers w:val="0"/>
              <w:adjustRightInd/>
              <w:spacing w:line="400" w:lineRule="exact"/>
              <w:ind w:left="0" w:leftChars="0" w:firstLine="0" w:firstLineChars="0"/>
              <w:jc w:val="center"/>
              <w:textAlignment w:val="auto"/>
              <w:outlineLvl w:val="9"/>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i w:val="0"/>
                <w:color w:val="auto"/>
                <w:kern w:val="0"/>
                <w:sz w:val="24"/>
                <w:szCs w:val="24"/>
                <w:highlight w:val="none"/>
                <w:u w:val="none"/>
                <w:lang w:val="en-US" w:eastAsia="zh-CN" w:bidi="ar"/>
              </w:rPr>
              <w:t>万元</w:t>
            </w:r>
          </w:p>
        </w:tc>
        <w:tc>
          <w:tcPr>
            <w:tcW w:w="1015" w:type="dxa"/>
            <w:vAlign w:val="center"/>
          </w:tcPr>
          <w:p w14:paraId="2C30D00B">
            <w:pPr>
              <w:tabs>
                <w:tab w:val="left" w:pos="840"/>
              </w:tabs>
              <w:jc w:val="center"/>
              <w:rPr>
                <w:rFonts w:hint="eastAsia" w:ascii="仿宋" w:hAnsi="仿宋" w:eastAsia="仿宋" w:cs="仿宋"/>
                <w:color w:val="auto"/>
                <w:kern w:val="28"/>
                <w:sz w:val="24"/>
                <w:szCs w:val="24"/>
                <w:highlight w:val="none"/>
              </w:rPr>
            </w:pPr>
          </w:p>
        </w:tc>
        <w:tc>
          <w:tcPr>
            <w:tcW w:w="879" w:type="dxa"/>
            <w:vAlign w:val="center"/>
          </w:tcPr>
          <w:p w14:paraId="146FB1FF">
            <w:pPr>
              <w:tabs>
                <w:tab w:val="left" w:pos="840"/>
              </w:tabs>
              <w:jc w:val="center"/>
              <w:rPr>
                <w:rFonts w:hint="eastAsia" w:ascii="仿宋" w:hAnsi="仿宋" w:eastAsia="仿宋" w:cs="仿宋"/>
                <w:color w:val="auto"/>
                <w:kern w:val="28"/>
                <w:sz w:val="24"/>
                <w:szCs w:val="24"/>
                <w:highlight w:val="none"/>
              </w:rPr>
            </w:pPr>
          </w:p>
        </w:tc>
      </w:tr>
      <w:tr w14:paraId="2D07B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atLeast"/>
          <w:jc w:val="center"/>
        </w:trPr>
        <w:tc>
          <w:tcPr>
            <w:tcW w:w="798" w:type="dxa"/>
            <w:vAlign w:val="center"/>
          </w:tcPr>
          <w:p w14:paraId="66AD4074">
            <w:pPr>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6</w:t>
            </w:r>
          </w:p>
        </w:tc>
        <w:tc>
          <w:tcPr>
            <w:tcW w:w="1812" w:type="dxa"/>
            <w:vAlign w:val="center"/>
          </w:tcPr>
          <w:p w14:paraId="1B01566C">
            <w:pPr>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马里努阿犬</w:t>
            </w:r>
          </w:p>
        </w:tc>
        <w:tc>
          <w:tcPr>
            <w:tcW w:w="957" w:type="dxa"/>
            <w:vAlign w:val="center"/>
          </w:tcPr>
          <w:p w14:paraId="04BAC9A3">
            <w:pPr>
              <w:tabs>
                <w:tab w:val="left" w:pos="840"/>
              </w:tabs>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公</w:t>
            </w:r>
          </w:p>
        </w:tc>
        <w:tc>
          <w:tcPr>
            <w:tcW w:w="2045" w:type="dxa"/>
            <w:vAlign w:val="center"/>
          </w:tcPr>
          <w:p w14:paraId="281D0702">
            <w:pPr>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8个月-</w:t>
            </w:r>
            <w:r>
              <w:rPr>
                <w:rFonts w:hint="eastAsia" w:ascii="仿宋" w:hAnsi="仿宋" w:eastAsia="仿宋" w:cs="仿宋"/>
                <w:color w:val="auto"/>
                <w:kern w:val="28"/>
                <w:sz w:val="24"/>
                <w:szCs w:val="24"/>
                <w:highlight w:val="none"/>
                <w:lang w:val="en-US" w:eastAsia="zh-CN"/>
              </w:rPr>
              <w:t>18</w:t>
            </w:r>
            <w:r>
              <w:rPr>
                <w:rFonts w:hint="eastAsia" w:ascii="仿宋" w:hAnsi="仿宋" w:eastAsia="仿宋" w:cs="仿宋"/>
                <w:color w:val="auto"/>
                <w:kern w:val="28"/>
                <w:sz w:val="24"/>
                <w:szCs w:val="24"/>
                <w:highlight w:val="none"/>
              </w:rPr>
              <w:t>个月</w:t>
            </w:r>
          </w:p>
        </w:tc>
        <w:tc>
          <w:tcPr>
            <w:tcW w:w="940" w:type="dxa"/>
            <w:shd w:val="clear" w:color="auto" w:fill="auto"/>
            <w:vAlign w:val="center"/>
          </w:tcPr>
          <w:p w14:paraId="3B47B786">
            <w:pPr>
              <w:tabs>
                <w:tab w:val="left" w:pos="840"/>
              </w:tabs>
              <w:jc w:val="center"/>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rPr>
              <w:t>10只</w:t>
            </w:r>
          </w:p>
        </w:tc>
        <w:tc>
          <w:tcPr>
            <w:tcW w:w="1179" w:type="dxa"/>
            <w:vAlign w:val="center"/>
          </w:tcPr>
          <w:p w14:paraId="554B09D3">
            <w:pPr>
              <w:keepNext w:val="0"/>
              <w:keepLines w:val="0"/>
              <w:widowControl/>
              <w:numPr>
                <w:ilvl w:val="-1"/>
                <w:numId w:val="0"/>
              </w:numPr>
              <w:suppressLineNumbers w:val="0"/>
              <w:adjustRightInd/>
              <w:spacing w:line="400" w:lineRule="exact"/>
              <w:ind w:left="0" w:leftChars="0" w:firstLine="0" w:firstLineChars="0"/>
              <w:jc w:val="center"/>
              <w:textAlignment w:val="auto"/>
              <w:outlineLvl w:val="9"/>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i w:val="0"/>
                <w:color w:val="auto"/>
                <w:kern w:val="0"/>
                <w:sz w:val="24"/>
                <w:szCs w:val="24"/>
                <w:highlight w:val="none"/>
                <w:u w:val="none"/>
                <w:lang w:val="en-US" w:eastAsia="zh-CN" w:bidi="ar"/>
              </w:rPr>
              <w:t>万元</w:t>
            </w:r>
          </w:p>
        </w:tc>
        <w:tc>
          <w:tcPr>
            <w:tcW w:w="1015" w:type="dxa"/>
            <w:vAlign w:val="center"/>
          </w:tcPr>
          <w:p w14:paraId="18CBD69C">
            <w:pPr>
              <w:tabs>
                <w:tab w:val="left" w:pos="840"/>
              </w:tabs>
              <w:jc w:val="center"/>
              <w:rPr>
                <w:rFonts w:hint="default" w:ascii="仿宋" w:hAnsi="仿宋" w:eastAsia="仿宋" w:cs="仿宋"/>
                <w:color w:val="auto"/>
                <w:kern w:val="28"/>
                <w:sz w:val="24"/>
                <w:szCs w:val="24"/>
                <w:highlight w:val="none"/>
                <w:lang w:val="en-US" w:eastAsia="zh-CN"/>
              </w:rPr>
            </w:pPr>
          </w:p>
        </w:tc>
        <w:tc>
          <w:tcPr>
            <w:tcW w:w="879" w:type="dxa"/>
            <w:vAlign w:val="center"/>
          </w:tcPr>
          <w:p w14:paraId="625A50EA">
            <w:pPr>
              <w:tabs>
                <w:tab w:val="left" w:pos="840"/>
              </w:tabs>
              <w:jc w:val="center"/>
              <w:rPr>
                <w:rFonts w:hint="eastAsia" w:ascii="仿宋" w:hAnsi="仿宋" w:eastAsia="仿宋" w:cs="仿宋"/>
                <w:color w:val="auto"/>
                <w:kern w:val="28"/>
                <w:sz w:val="24"/>
                <w:szCs w:val="24"/>
                <w:highlight w:val="none"/>
              </w:rPr>
            </w:pPr>
          </w:p>
        </w:tc>
      </w:tr>
      <w:tr w14:paraId="57DB6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atLeast"/>
          <w:jc w:val="center"/>
        </w:trPr>
        <w:tc>
          <w:tcPr>
            <w:tcW w:w="798" w:type="dxa"/>
            <w:vAlign w:val="center"/>
          </w:tcPr>
          <w:p w14:paraId="23EAA70A">
            <w:pPr>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7</w:t>
            </w:r>
          </w:p>
        </w:tc>
        <w:tc>
          <w:tcPr>
            <w:tcW w:w="1812" w:type="dxa"/>
            <w:vAlign w:val="center"/>
          </w:tcPr>
          <w:p w14:paraId="7BE2FEF9">
            <w:pPr>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昆明犬</w:t>
            </w:r>
          </w:p>
        </w:tc>
        <w:tc>
          <w:tcPr>
            <w:tcW w:w="957" w:type="dxa"/>
            <w:vAlign w:val="center"/>
          </w:tcPr>
          <w:p w14:paraId="1A8960D9">
            <w:pPr>
              <w:tabs>
                <w:tab w:val="left" w:pos="840"/>
              </w:tabs>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公</w:t>
            </w:r>
          </w:p>
        </w:tc>
        <w:tc>
          <w:tcPr>
            <w:tcW w:w="2045" w:type="dxa"/>
            <w:vAlign w:val="center"/>
          </w:tcPr>
          <w:p w14:paraId="0FF314BD">
            <w:pPr>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8个月-</w:t>
            </w:r>
            <w:r>
              <w:rPr>
                <w:rFonts w:hint="eastAsia" w:ascii="仿宋" w:hAnsi="仿宋" w:eastAsia="仿宋" w:cs="仿宋"/>
                <w:color w:val="auto"/>
                <w:kern w:val="28"/>
                <w:sz w:val="24"/>
                <w:szCs w:val="24"/>
                <w:highlight w:val="none"/>
                <w:lang w:val="en-US" w:eastAsia="zh-CN"/>
              </w:rPr>
              <w:t>18</w:t>
            </w:r>
            <w:r>
              <w:rPr>
                <w:rFonts w:hint="eastAsia" w:ascii="仿宋" w:hAnsi="仿宋" w:eastAsia="仿宋" w:cs="仿宋"/>
                <w:color w:val="auto"/>
                <w:kern w:val="28"/>
                <w:sz w:val="24"/>
                <w:szCs w:val="24"/>
                <w:highlight w:val="none"/>
              </w:rPr>
              <w:t>个月</w:t>
            </w:r>
          </w:p>
        </w:tc>
        <w:tc>
          <w:tcPr>
            <w:tcW w:w="940" w:type="dxa"/>
            <w:shd w:val="clear" w:color="auto" w:fill="auto"/>
            <w:vAlign w:val="center"/>
          </w:tcPr>
          <w:p w14:paraId="7AC85E15">
            <w:pPr>
              <w:tabs>
                <w:tab w:val="left" w:pos="840"/>
              </w:tabs>
              <w:jc w:val="center"/>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rPr>
              <w:t>15只</w:t>
            </w:r>
          </w:p>
        </w:tc>
        <w:tc>
          <w:tcPr>
            <w:tcW w:w="1179" w:type="dxa"/>
            <w:vAlign w:val="center"/>
          </w:tcPr>
          <w:p w14:paraId="4B06C5B0">
            <w:pPr>
              <w:keepNext w:val="0"/>
              <w:keepLines w:val="0"/>
              <w:widowControl/>
              <w:numPr>
                <w:ilvl w:val="-1"/>
                <w:numId w:val="0"/>
              </w:numPr>
              <w:suppressLineNumbers w:val="0"/>
              <w:adjustRightInd/>
              <w:spacing w:line="400" w:lineRule="exact"/>
              <w:ind w:left="0" w:leftChars="0" w:firstLine="0" w:firstLineChars="0"/>
              <w:jc w:val="center"/>
              <w:textAlignment w:val="auto"/>
              <w:outlineLvl w:val="9"/>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i w:val="0"/>
                <w:color w:val="auto"/>
                <w:kern w:val="0"/>
                <w:sz w:val="24"/>
                <w:szCs w:val="24"/>
                <w:highlight w:val="none"/>
                <w:u w:val="none"/>
                <w:lang w:val="en-US" w:eastAsia="zh-CN" w:bidi="ar"/>
              </w:rPr>
              <w:t>万元</w:t>
            </w:r>
          </w:p>
        </w:tc>
        <w:tc>
          <w:tcPr>
            <w:tcW w:w="1015" w:type="dxa"/>
            <w:vAlign w:val="center"/>
          </w:tcPr>
          <w:p w14:paraId="0F695B30">
            <w:pPr>
              <w:tabs>
                <w:tab w:val="left" w:pos="840"/>
              </w:tabs>
              <w:jc w:val="center"/>
              <w:rPr>
                <w:rFonts w:hint="eastAsia" w:ascii="仿宋" w:hAnsi="仿宋" w:eastAsia="仿宋" w:cs="仿宋"/>
                <w:color w:val="auto"/>
                <w:kern w:val="28"/>
                <w:sz w:val="24"/>
                <w:szCs w:val="24"/>
                <w:highlight w:val="none"/>
                <w:lang w:val="en-US" w:eastAsia="zh-CN"/>
              </w:rPr>
            </w:pPr>
          </w:p>
        </w:tc>
        <w:tc>
          <w:tcPr>
            <w:tcW w:w="879" w:type="dxa"/>
            <w:vAlign w:val="center"/>
          </w:tcPr>
          <w:p w14:paraId="3B1FA4D0">
            <w:pPr>
              <w:tabs>
                <w:tab w:val="left" w:pos="840"/>
              </w:tabs>
              <w:jc w:val="center"/>
              <w:rPr>
                <w:rFonts w:hint="eastAsia" w:ascii="仿宋" w:hAnsi="仿宋" w:eastAsia="仿宋" w:cs="仿宋"/>
                <w:color w:val="auto"/>
                <w:kern w:val="28"/>
                <w:sz w:val="24"/>
                <w:szCs w:val="24"/>
                <w:highlight w:val="none"/>
              </w:rPr>
            </w:pPr>
          </w:p>
        </w:tc>
      </w:tr>
      <w:tr w14:paraId="1C52C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atLeast"/>
          <w:jc w:val="center"/>
        </w:trPr>
        <w:tc>
          <w:tcPr>
            <w:tcW w:w="798" w:type="dxa"/>
            <w:vAlign w:val="center"/>
          </w:tcPr>
          <w:p w14:paraId="1E577D39">
            <w:pPr>
              <w:jc w:val="center"/>
              <w:rPr>
                <w:rFonts w:hint="default"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8</w:t>
            </w:r>
          </w:p>
        </w:tc>
        <w:tc>
          <w:tcPr>
            <w:tcW w:w="1812" w:type="dxa"/>
            <w:vAlign w:val="center"/>
          </w:tcPr>
          <w:p w14:paraId="6E37885A">
            <w:pPr>
              <w:jc w:val="center"/>
              <w:rPr>
                <w:rFonts w:hint="default"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史宾格犬</w:t>
            </w:r>
          </w:p>
        </w:tc>
        <w:tc>
          <w:tcPr>
            <w:tcW w:w="957" w:type="dxa"/>
            <w:vAlign w:val="center"/>
          </w:tcPr>
          <w:p w14:paraId="0CB47C83">
            <w:pPr>
              <w:tabs>
                <w:tab w:val="left" w:pos="840"/>
              </w:tabs>
              <w:jc w:val="center"/>
              <w:rPr>
                <w:rFonts w:hint="eastAsia" w:ascii="仿宋" w:hAnsi="仿宋" w:eastAsia="仿宋" w:cs="仿宋"/>
                <w:color w:val="auto"/>
                <w:kern w:val="28"/>
                <w:sz w:val="24"/>
                <w:szCs w:val="24"/>
                <w:highlight w:val="none"/>
                <w:lang w:val="en-US" w:eastAsia="zh-CN"/>
              </w:rPr>
            </w:pPr>
            <w:r>
              <w:rPr>
                <w:rFonts w:hint="default" w:ascii="仿宋" w:hAnsi="仿宋" w:eastAsia="仿宋" w:cs="仿宋"/>
                <w:color w:val="auto"/>
                <w:kern w:val="28"/>
                <w:sz w:val="24"/>
                <w:szCs w:val="24"/>
                <w:highlight w:val="none"/>
                <w:lang w:val="en-US" w:eastAsia="zh-CN"/>
              </w:rPr>
              <w:t>公</w:t>
            </w:r>
          </w:p>
        </w:tc>
        <w:tc>
          <w:tcPr>
            <w:tcW w:w="2045" w:type="dxa"/>
            <w:vAlign w:val="center"/>
          </w:tcPr>
          <w:p w14:paraId="2149BF8A">
            <w:pPr>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8个月-</w:t>
            </w:r>
            <w:r>
              <w:rPr>
                <w:rFonts w:hint="eastAsia" w:ascii="仿宋" w:hAnsi="仿宋" w:eastAsia="仿宋" w:cs="仿宋"/>
                <w:color w:val="auto"/>
                <w:kern w:val="28"/>
                <w:sz w:val="24"/>
                <w:szCs w:val="24"/>
                <w:highlight w:val="none"/>
                <w:lang w:val="en-US" w:eastAsia="zh-CN"/>
              </w:rPr>
              <w:t>18</w:t>
            </w:r>
            <w:r>
              <w:rPr>
                <w:rFonts w:hint="eastAsia" w:ascii="仿宋" w:hAnsi="仿宋" w:eastAsia="仿宋" w:cs="仿宋"/>
                <w:color w:val="auto"/>
                <w:kern w:val="28"/>
                <w:sz w:val="24"/>
                <w:szCs w:val="24"/>
                <w:highlight w:val="none"/>
              </w:rPr>
              <w:t>个月</w:t>
            </w:r>
          </w:p>
        </w:tc>
        <w:tc>
          <w:tcPr>
            <w:tcW w:w="940" w:type="dxa"/>
            <w:shd w:val="clear" w:color="auto" w:fill="auto"/>
            <w:vAlign w:val="center"/>
          </w:tcPr>
          <w:p w14:paraId="485EB128">
            <w:pPr>
              <w:tabs>
                <w:tab w:val="left" w:pos="840"/>
              </w:tabs>
              <w:jc w:val="center"/>
              <w:rPr>
                <w:rFonts w:hint="eastAsia" w:ascii="仿宋" w:hAnsi="仿宋" w:eastAsia="仿宋" w:cs="仿宋"/>
                <w:snapToGrid w:val="0"/>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rPr>
              <w:t>5只</w:t>
            </w:r>
          </w:p>
        </w:tc>
        <w:tc>
          <w:tcPr>
            <w:tcW w:w="1179" w:type="dxa"/>
            <w:vAlign w:val="center"/>
          </w:tcPr>
          <w:p w14:paraId="4D8C8CEA">
            <w:pPr>
              <w:keepNext w:val="0"/>
              <w:keepLines w:val="0"/>
              <w:widowControl/>
              <w:numPr>
                <w:ilvl w:val="-1"/>
                <w:numId w:val="0"/>
              </w:numPr>
              <w:suppressLineNumbers w:val="0"/>
              <w:adjustRightInd/>
              <w:spacing w:line="400" w:lineRule="exact"/>
              <w:ind w:left="0" w:leftChars="0" w:firstLine="0" w:firstLineChars="0"/>
              <w:jc w:val="center"/>
              <w:textAlignment w:val="auto"/>
              <w:outlineLvl w:val="9"/>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i w:val="0"/>
                <w:color w:val="auto"/>
                <w:kern w:val="0"/>
                <w:sz w:val="24"/>
                <w:szCs w:val="24"/>
                <w:highlight w:val="none"/>
                <w:u w:val="none"/>
                <w:lang w:val="en-US" w:eastAsia="zh-CN" w:bidi="ar"/>
              </w:rPr>
              <w:t>万元</w:t>
            </w:r>
          </w:p>
        </w:tc>
        <w:tc>
          <w:tcPr>
            <w:tcW w:w="1015" w:type="dxa"/>
            <w:vAlign w:val="center"/>
          </w:tcPr>
          <w:p w14:paraId="68B4F01E">
            <w:pPr>
              <w:tabs>
                <w:tab w:val="left" w:pos="840"/>
              </w:tabs>
              <w:jc w:val="center"/>
              <w:rPr>
                <w:rFonts w:hint="eastAsia" w:ascii="仿宋" w:hAnsi="仿宋" w:eastAsia="仿宋" w:cs="仿宋"/>
                <w:color w:val="auto"/>
                <w:kern w:val="28"/>
                <w:sz w:val="24"/>
                <w:szCs w:val="24"/>
                <w:highlight w:val="none"/>
                <w:lang w:val="en-US" w:eastAsia="zh-CN"/>
              </w:rPr>
            </w:pPr>
          </w:p>
        </w:tc>
        <w:tc>
          <w:tcPr>
            <w:tcW w:w="879" w:type="dxa"/>
            <w:vAlign w:val="center"/>
          </w:tcPr>
          <w:p w14:paraId="245E29A8">
            <w:pPr>
              <w:tabs>
                <w:tab w:val="left" w:pos="840"/>
              </w:tabs>
              <w:jc w:val="center"/>
              <w:rPr>
                <w:rFonts w:hint="eastAsia" w:ascii="仿宋" w:hAnsi="仿宋" w:eastAsia="仿宋" w:cs="仿宋"/>
                <w:color w:val="auto"/>
                <w:kern w:val="28"/>
                <w:sz w:val="24"/>
                <w:szCs w:val="24"/>
                <w:highlight w:val="none"/>
              </w:rPr>
            </w:pPr>
          </w:p>
        </w:tc>
      </w:tr>
      <w:tr w14:paraId="358BE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atLeast"/>
          <w:jc w:val="center"/>
        </w:trPr>
        <w:tc>
          <w:tcPr>
            <w:tcW w:w="5612" w:type="dxa"/>
            <w:gridSpan w:val="4"/>
            <w:vAlign w:val="center"/>
          </w:tcPr>
          <w:p w14:paraId="6C390D76">
            <w:pPr>
              <w:jc w:val="center"/>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合计</w:t>
            </w:r>
          </w:p>
        </w:tc>
        <w:tc>
          <w:tcPr>
            <w:tcW w:w="940" w:type="dxa"/>
            <w:vAlign w:val="center"/>
          </w:tcPr>
          <w:p w14:paraId="7E25A7FF">
            <w:pPr>
              <w:tabs>
                <w:tab w:val="left" w:pos="840"/>
              </w:tabs>
              <w:jc w:val="center"/>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lang w:val="en-US" w:eastAsia="zh-CN"/>
              </w:rPr>
              <w:t>51只</w:t>
            </w:r>
          </w:p>
        </w:tc>
        <w:tc>
          <w:tcPr>
            <w:tcW w:w="1179" w:type="dxa"/>
            <w:vAlign w:val="center"/>
          </w:tcPr>
          <w:p w14:paraId="14249904">
            <w:pPr>
              <w:keepNext w:val="0"/>
              <w:keepLines w:val="0"/>
              <w:widowControl/>
              <w:numPr>
                <w:ilvl w:val="-1"/>
                <w:numId w:val="0"/>
              </w:numPr>
              <w:suppressLineNumbers w:val="0"/>
              <w:adjustRightInd/>
              <w:spacing w:line="400" w:lineRule="exact"/>
              <w:ind w:left="0" w:leftChars="0" w:firstLine="0" w:firstLineChars="0"/>
              <w:jc w:val="center"/>
              <w:textAlignment w:val="auto"/>
              <w:outlineLvl w:val="9"/>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
                <w:sz w:val="24"/>
                <w:szCs w:val="24"/>
                <w:highlight w:val="none"/>
                <w:lang w:val="en-US" w:eastAsia="zh-CN"/>
              </w:rPr>
              <w:t>93</w:t>
            </w:r>
            <w:r>
              <w:rPr>
                <w:rFonts w:hint="eastAsia" w:ascii="仿宋" w:hAnsi="仿宋" w:eastAsia="仿宋" w:cs="仿宋"/>
                <w:i w:val="0"/>
                <w:color w:val="auto"/>
                <w:kern w:val="0"/>
                <w:sz w:val="24"/>
                <w:szCs w:val="24"/>
                <w:highlight w:val="none"/>
                <w:u w:val="none"/>
                <w:lang w:val="en-US" w:eastAsia="zh-CN" w:bidi="ar"/>
              </w:rPr>
              <w:t>万元</w:t>
            </w:r>
          </w:p>
        </w:tc>
        <w:tc>
          <w:tcPr>
            <w:tcW w:w="1015" w:type="dxa"/>
            <w:vAlign w:val="center"/>
          </w:tcPr>
          <w:p w14:paraId="20DE1DE1">
            <w:pPr>
              <w:tabs>
                <w:tab w:val="left" w:pos="840"/>
              </w:tabs>
              <w:jc w:val="center"/>
              <w:rPr>
                <w:rFonts w:hint="default" w:ascii="仿宋" w:hAnsi="仿宋" w:eastAsia="仿宋" w:cs="仿宋"/>
                <w:color w:val="auto"/>
                <w:kern w:val="28"/>
                <w:sz w:val="24"/>
                <w:szCs w:val="24"/>
                <w:highlight w:val="none"/>
                <w:lang w:val="en-US" w:eastAsia="zh-CN"/>
              </w:rPr>
            </w:pPr>
          </w:p>
        </w:tc>
        <w:tc>
          <w:tcPr>
            <w:tcW w:w="879" w:type="dxa"/>
            <w:shd w:val="clear" w:color="auto" w:fill="auto"/>
            <w:vAlign w:val="center"/>
          </w:tcPr>
          <w:p w14:paraId="07A944F3">
            <w:pPr>
              <w:tabs>
                <w:tab w:val="left" w:pos="840"/>
              </w:tabs>
              <w:jc w:val="center"/>
              <w:rPr>
                <w:rFonts w:hint="eastAsia" w:ascii="仿宋" w:hAnsi="仿宋" w:eastAsia="仿宋" w:cs="仿宋"/>
                <w:snapToGrid w:val="0"/>
                <w:color w:val="auto"/>
                <w:kern w:val="28"/>
                <w:sz w:val="24"/>
                <w:szCs w:val="24"/>
                <w:highlight w:val="none"/>
                <w:lang w:val="en-US" w:eastAsia="zh-CN" w:bidi="ar-SA"/>
              </w:rPr>
            </w:pPr>
          </w:p>
        </w:tc>
      </w:tr>
      <w:tr w14:paraId="0459D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67" w:hRule="atLeast"/>
          <w:jc w:val="center"/>
        </w:trPr>
        <w:tc>
          <w:tcPr>
            <w:tcW w:w="9625" w:type="dxa"/>
            <w:gridSpan w:val="8"/>
            <w:vAlign w:val="center"/>
          </w:tcPr>
          <w:p w14:paraId="641CD7AD">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大写（人民币）：</w:t>
            </w:r>
          </w:p>
        </w:tc>
      </w:tr>
    </w:tbl>
    <w:p w14:paraId="473B6DF7">
      <w:pPr>
        <w:rPr>
          <w:rFonts w:hint="eastAsia" w:ascii="仿宋" w:hAnsi="仿宋" w:eastAsia="仿宋" w:cs="仿宋"/>
          <w:color w:val="auto"/>
          <w:spacing w:val="1"/>
          <w:position w:val="5"/>
          <w:sz w:val="24"/>
          <w:szCs w:val="24"/>
          <w:highlight w:val="none"/>
          <w:lang w:eastAsia="zh-CN"/>
        </w:rPr>
      </w:pPr>
    </w:p>
    <w:p w14:paraId="4128AD4D">
      <w:pPr>
        <w:rPr>
          <w:rFonts w:hint="eastAsia" w:ascii="仿宋" w:hAnsi="仿宋" w:eastAsia="仿宋" w:cs="仿宋"/>
          <w:b/>
          <w:bCs/>
          <w:color w:val="auto"/>
          <w:spacing w:val="1"/>
          <w:position w:val="5"/>
          <w:sz w:val="24"/>
          <w:szCs w:val="24"/>
          <w:highlight w:val="none"/>
          <w:lang w:eastAsia="zh-CN"/>
        </w:rPr>
      </w:pPr>
      <w:r>
        <w:rPr>
          <w:rFonts w:hint="eastAsia" w:ascii="仿宋" w:hAnsi="仿宋" w:eastAsia="仿宋" w:cs="仿宋"/>
          <w:b/>
          <w:bCs/>
          <w:color w:val="auto"/>
          <w:spacing w:val="1"/>
          <w:position w:val="5"/>
          <w:sz w:val="24"/>
          <w:szCs w:val="24"/>
          <w:highlight w:val="none"/>
          <w:lang w:eastAsia="zh-CN"/>
        </w:rPr>
        <w:t>备注：</w:t>
      </w:r>
      <w:r>
        <w:rPr>
          <w:rFonts w:hint="eastAsia" w:ascii="仿宋" w:hAnsi="仿宋" w:eastAsia="仿宋" w:cs="仿宋"/>
          <w:color w:val="auto"/>
          <w:spacing w:val="1"/>
          <w:position w:val="5"/>
          <w:sz w:val="24"/>
          <w:szCs w:val="24"/>
          <w:highlight w:val="none"/>
          <w:lang w:val="en-US" w:eastAsia="zh-CN"/>
        </w:rPr>
        <w:t>1.</w:t>
      </w:r>
      <w:r>
        <w:rPr>
          <w:rFonts w:hint="eastAsia" w:ascii="仿宋" w:hAnsi="仿宋" w:eastAsia="仿宋" w:cs="仿宋"/>
          <w:color w:val="auto"/>
          <w:spacing w:val="1"/>
          <w:position w:val="5"/>
          <w:sz w:val="24"/>
          <w:szCs w:val="24"/>
          <w:highlight w:val="none"/>
          <w:lang w:eastAsia="zh-CN"/>
        </w:rPr>
        <w:t>所有货款以人民币进行结算，该价格中包括但不仅限于货款、运输、装卸、保险、税金、货到就位，以及售后、存储、调换、隔离观察、犬只体检、疫苗接种等一切税金和费用，甲方不承担任何费用。</w:t>
      </w:r>
    </w:p>
    <w:p w14:paraId="5BCA0556">
      <w:pPr>
        <w:pStyle w:val="7"/>
        <w:spacing w:line="243" w:lineRule="auto"/>
        <w:ind w:firstLine="726" w:firstLineChars="300"/>
        <w:rPr>
          <w:rFonts w:hint="default" w:ascii="仿宋" w:hAnsi="仿宋" w:eastAsia="仿宋" w:cs="仿宋"/>
          <w:b w:val="0"/>
          <w:bCs w:val="0"/>
          <w:color w:val="auto"/>
          <w:spacing w:val="1"/>
          <w:position w:val="5"/>
          <w:sz w:val="24"/>
          <w:szCs w:val="24"/>
          <w:highlight w:val="none"/>
          <w:lang w:val="en-US" w:eastAsia="zh-CN"/>
        </w:rPr>
      </w:pPr>
      <w:r>
        <w:rPr>
          <w:rFonts w:hint="eastAsia" w:ascii="仿宋" w:hAnsi="仿宋" w:eastAsia="仿宋" w:cs="仿宋"/>
          <w:b w:val="0"/>
          <w:bCs w:val="0"/>
          <w:color w:val="auto"/>
          <w:spacing w:val="1"/>
          <w:position w:val="5"/>
          <w:sz w:val="24"/>
          <w:szCs w:val="24"/>
          <w:highlight w:val="none"/>
          <w:lang w:val="en-US" w:eastAsia="zh-CN"/>
        </w:rPr>
        <w:t>2.</w:t>
      </w:r>
      <w:r>
        <w:rPr>
          <w:rFonts w:hint="eastAsia" w:ascii="仿宋" w:hAnsi="仿宋" w:eastAsia="仿宋" w:cs="仿宋"/>
          <w:b w:val="0"/>
          <w:bCs w:val="0"/>
          <w:color w:val="auto"/>
          <w:spacing w:val="9"/>
          <w:sz w:val="24"/>
          <w:szCs w:val="24"/>
          <w:highlight w:val="none"/>
          <w:lang w:eastAsia="zh-CN"/>
        </w:rPr>
        <w:t>本项目设定有单价限价，供应商报价不得超出单价限价，超出单价限价做无效标处理</w:t>
      </w:r>
    </w:p>
    <w:p w14:paraId="15486B9F">
      <w:pPr>
        <w:spacing w:before="75" w:line="227" w:lineRule="auto"/>
        <w:rPr>
          <w:rFonts w:hint="eastAsia" w:ascii="仿宋" w:hAnsi="仿宋" w:eastAsia="仿宋" w:cs="仿宋"/>
          <w:color w:val="auto"/>
          <w:spacing w:val="5"/>
          <w:sz w:val="24"/>
          <w:szCs w:val="24"/>
          <w:highlight w:val="none"/>
          <w:lang w:eastAsia="zh-CN"/>
        </w:rPr>
      </w:pPr>
    </w:p>
    <w:p w14:paraId="712369A6">
      <w:pPr>
        <w:spacing w:before="75" w:line="227" w:lineRule="auto"/>
        <w:rPr>
          <w:rFonts w:hint="eastAsia" w:ascii="仿宋" w:hAnsi="仿宋" w:eastAsia="仿宋" w:cs="仿宋"/>
          <w:color w:val="auto"/>
          <w:spacing w:val="5"/>
          <w:sz w:val="24"/>
          <w:szCs w:val="24"/>
          <w:highlight w:val="none"/>
          <w:lang w:eastAsia="zh-CN"/>
        </w:rPr>
      </w:pPr>
    </w:p>
    <w:p w14:paraId="7D3010ED">
      <w:pPr>
        <w:spacing w:before="75" w:line="227"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谈判供应商名称（电子公章）：</w:t>
      </w:r>
    </w:p>
    <w:p w14:paraId="2010F1BC">
      <w:pPr>
        <w:spacing w:before="157" w:line="439" w:lineRule="exact"/>
        <w:rPr>
          <w:rFonts w:hint="eastAsia" w:ascii="仿宋" w:hAnsi="仿宋" w:eastAsia="仿宋" w:cs="仿宋"/>
          <w:color w:val="auto"/>
          <w:spacing w:val="6"/>
          <w:position w:val="15"/>
          <w:sz w:val="24"/>
          <w:szCs w:val="24"/>
          <w:highlight w:val="none"/>
          <w:lang w:eastAsia="zh-CN"/>
        </w:rPr>
      </w:pPr>
    </w:p>
    <w:p w14:paraId="2AA9C80C">
      <w:pPr>
        <w:spacing w:before="157" w:line="439"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position w:val="15"/>
          <w:sz w:val="24"/>
          <w:szCs w:val="24"/>
          <w:highlight w:val="none"/>
          <w:lang w:eastAsia="zh-CN"/>
        </w:rPr>
        <w:t>谈判供应商法定代表人（电子签名或盖章</w:t>
      </w:r>
      <w:r>
        <w:rPr>
          <w:rFonts w:hint="eastAsia" w:ascii="仿宋" w:hAnsi="仿宋" w:eastAsia="仿宋" w:cs="仿宋"/>
          <w:color w:val="auto"/>
          <w:spacing w:val="11"/>
          <w:position w:val="15"/>
          <w:sz w:val="24"/>
          <w:szCs w:val="24"/>
          <w:highlight w:val="none"/>
          <w:lang w:eastAsia="zh-CN"/>
        </w:rPr>
        <w:t>）：</w:t>
      </w:r>
    </w:p>
    <w:p w14:paraId="3CD8C217">
      <w:pPr>
        <w:spacing w:line="227" w:lineRule="auto"/>
        <w:rPr>
          <w:rFonts w:hint="eastAsia" w:ascii="仿宋" w:hAnsi="仿宋" w:eastAsia="仿宋" w:cs="仿宋"/>
          <w:color w:val="auto"/>
          <w:spacing w:val="-23"/>
          <w:sz w:val="24"/>
          <w:szCs w:val="24"/>
          <w:highlight w:val="none"/>
          <w:lang w:eastAsia="zh-CN"/>
        </w:rPr>
      </w:pPr>
    </w:p>
    <w:p w14:paraId="02607606">
      <w:pPr>
        <w:spacing w:line="227" w:lineRule="auto"/>
        <w:rPr>
          <w:rFonts w:hint="eastAsia" w:ascii="仿宋" w:hAnsi="仿宋" w:eastAsia="仿宋" w:cs="仿宋"/>
          <w:color w:val="auto"/>
          <w:spacing w:val="-23"/>
          <w:sz w:val="24"/>
          <w:szCs w:val="24"/>
          <w:highlight w:val="none"/>
          <w:lang w:eastAsia="zh-CN"/>
        </w:rPr>
      </w:pPr>
    </w:p>
    <w:p w14:paraId="6AE9E950">
      <w:pPr>
        <w:spacing w:line="227"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3"/>
          <w:sz w:val="24"/>
          <w:szCs w:val="24"/>
          <w:highlight w:val="none"/>
          <w:lang w:eastAsia="zh-CN"/>
        </w:rPr>
        <w:t>日期：</w:t>
      </w:r>
      <w:r>
        <w:rPr>
          <w:rFonts w:hint="eastAsia" w:ascii="仿宋" w:hAnsi="仿宋" w:eastAsia="仿宋" w:cs="仿宋"/>
          <w:color w:val="auto"/>
          <w:spacing w:val="5"/>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年</w:t>
      </w:r>
      <w:r>
        <w:rPr>
          <w:rFonts w:hint="eastAsia" w:ascii="仿宋" w:hAnsi="仿宋" w:eastAsia="仿宋" w:cs="仿宋"/>
          <w:color w:val="auto"/>
          <w:spacing w:val="21"/>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月</w:t>
      </w:r>
      <w:r>
        <w:rPr>
          <w:rFonts w:hint="eastAsia" w:ascii="仿宋" w:hAnsi="仿宋" w:eastAsia="仿宋" w:cs="仿宋"/>
          <w:color w:val="auto"/>
          <w:spacing w:val="55"/>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日</w:t>
      </w:r>
    </w:p>
    <w:p w14:paraId="77DFB97C">
      <w:pPr>
        <w:pStyle w:val="7"/>
        <w:spacing w:line="243" w:lineRule="auto"/>
        <w:rPr>
          <w:rFonts w:hint="eastAsia" w:ascii="仿宋" w:hAnsi="仿宋" w:eastAsia="仿宋" w:cs="仿宋"/>
          <w:b/>
          <w:bCs/>
          <w:color w:val="auto"/>
          <w:spacing w:val="1"/>
          <w:position w:val="5"/>
          <w:sz w:val="23"/>
          <w:szCs w:val="23"/>
          <w:highlight w:val="none"/>
          <w:lang w:eastAsia="zh-CN"/>
        </w:rPr>
      </w:pPr>
    </w:p>
    <w:p w14:paraId="0B4F1CE7">
      <w:pPr>
        <w:rPr>
          <w:rFonts w:hint="eastAsia" w:ascii="仿宋" w:hAnsi="仿宋" w:eastAsia="仿宋" w:cs="仿宋"/>
          <w:b/>
          <w:bCs/>
          <w:color w:val="auto"/>
          <w:spacing w:val="1"/>
          <w:position w:val="5"/>
          <w:sz w:val="23"/>
          <w:szCs w:val="23"/>
          <w:highlight w:val="none"/>
          <w:lang w:eastAsia="zh-CN"/>
        </w:rPr>
      </w:pPr>
      <w:r>
        <w:rPr>
          <w:rFonts w:hint="eastAsia" w:ascii="仿宋" w:hAnsi="仿宋" w:eastAsia="仿宋" w:cs="仿宋"/>
          <w:b/>
          <w:bCs/>
          <w:color w:val="auto"/>
          <w:spacing w:val="1"/>
          <w:position w:val="5"/>
          <w:sz w:val="23"/>
          <w:szCs w:val="23"/>
          <w:highlight w:val="none"/>
          <w:lang w:eastAsia="zh-CN"/>
        </w:rPr>
        <w:br w:type="page"/>
      </w:r>
    </w:p>
    <w:p w14:paraId="3E9EF371">
      <w:pPr>
        <w:spacing w:before="101" w:line="225" w:lineRule="auto"/>
        <w:outlineLvl w:val="1"/>
        <w:rPr>
          <w:rFonts w:hint="eastAsia" w:ascii="仿宋" w:hAnsi="仿宋" w:eastAsia="仿宋" w:cs="仿宋"/>
          <w:color w:val="auto"/>
          <w:spacing w:val="10"/>
          <w:sz w:val="31"/>
          <w:szCs w:val="31"/>
          <w:highlight w:val="none"/>
          <w:lang w:eastAsia="zh-CN"/>
          <w14:textOutline w14:w="5829" w14:cap="flat" w14:cmpd="sng" w14:algn="ctr">
            <w14:solidFill>
              <w14:srgbClr w14:val="000000"/>
            </w14:solidFill>
            <w14:prstDash w14:val="solid"/>
            <w14:miter w14:val="0"/>
          </w14:textOutline>
        </w:rPr>
      </w:pPr>
      <w:bookmarkStart w:id="256" w:name="_Toc1232"/>
      <w:r>
        <w:rPr>
          <w:rFonts w:hint="eastAsia" w:ascii="仿宋" w:hAnsi="仿宋" w:eastAsia="仿宋" w:cs="仿宋"/>
          <w:color w:val="auto"/>
          <w:spacing w:val="10"/>
          <w:sz w:val="31"/>
          <w:szCs w:val="31"/>
          <w:highlight w:val="none"/>
          <w:lang w:eastAsia="zh-CN"/>
          <w14:textOutline w14:w="5829" w14:cap="flat" w14:cmpd="sng" w14:algn="ctr">
            <w14:solidFill>
              <w14:srgbClr w14:val="000000"/>
            </w14:solidFill>
            <w14:prstDash w14:val="solid"/>
            <w14:miter w14:val="0"/>
          </w14:textOutline>
        </w:rPr>
        <w:t>三、商务技术响应文件</w:t>
      </w:r>
      <w:bookmarkEnd w:id="256"/>
    </w:p>
    <w:p w14:paraId="3F44EC87">
      <w:pPr>
        <w:pStyle w:val="7"/>
        <w:spacing w:line="243" w:lineRule="auto"/>
        <w:rPr>
          <w:rFonts w:hint="eastAsia" w:ascii="仿宋" w:hAnsi="仿宋" w:eastAsia="仿宋" w:cs="仿宋"/>
          <w:color w:val="auto"/>
          <w:highlight w:val="none"/>
          <w:lang w:eastAsia="zh-CN"/>
        </w:rPr>
      </w:pPr>
    </w:p>
    <w:p w14:paraId="7EFA4DE7">
      <w:pPr>
        <w:spacing w:before="91" w:line="221" w:lineRule="auto"/>
        <w:ind w:left="11"/>
        <w:outlineLvl w:val="2"/>
        <w:rPr>
          <w:rFonts w:hint="eastAsia" w:ascii="仿宋" w:hAnsi="仿宋" w:eastAsia="仿宋" w:cs="仿宋"/>
          <w:color w:val="auto"/>
          <w:sz w:val="28"/>
          <w:szCs w:val="28"/>
          <w:highlight w:val="none"/>
          <w:lang w:eastAsia="zh-CN"/>
        </w:rPr>
      </w:pPr>
      <w:bookmarkStart w:id="257" w:name="_Toc12650"/>
      <w:r>
        <w:rPr>
          <w:rFonts w:hint="eastAsia" w:ascii="仿宋" w:hAnsi="仿宋" w:eastAsia="仿宋" w:cs="仿宋"/>
          <w:color w:val="auto"/>
          <w:spacing w:val="-5"/>
          <w:sz w:val="28"/>
          <w:szCs w:val="28"/>
          <w:highlight w:val="none"/>
          <w:lang w:eastAsia="zh-CN"/>
          <w14:textOutline w14:w="5130" w14:cap="flat" w14:cmpd="sng" w14:algn="ctr">
            <w14:solidFill>
              <w14:srgbClr w14:val="000000"/>
            </w14:solidFill>
            <w14:prstDash w14:val="solid"/>
            <w14:miter w14:val="0"/>
          </w14:textOutline>
        </w:rPr>
        <w:t>（一）谈判响应函</w:t>
      </w:r>
      <w:bookmarkEnd w:id="257"/>
    </w:p>
    <w:p w14:paraId="04765A98">
      <w:pPr>
        <w:spacing w:before="27" w:line="186"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14:textOutline w14:w="5130" w14:cap="flat" w14:cmpd="sng" w14:algn="ctr">
            <w14:solidFill>
              <w14:srgbClr w14:val="000000"/>
            </w14:solidFill>
            <w14:prstDash w14:val="solid"/>
            <w14:miter w14:val="0"/>
          </w14:textOutline>
        </w:rPr>
        <w:t>谈判响应函</w:t>
      </w:r>
    </w:p>
    <w:p w14:paraId="1F33EB04">
      <w:pPr>
        <w:spacing w:before="145" w:line="227" w:lineRule="auto"/>
        <w:ind w:left="4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u w:val="single"/>
          <w:lang w:eastAsia="zh-CN"/>
        </w:rPr>
        <w:t>(代理机构名称)</w:t>
      </w:r>
      <w:r>
        <w:rPr>
          <w:rFonts w:hint="eastAsia" w:ascii="仿宋" w:hAnsi="仿宋" w:eastAsia="仿宋" w:cs="仿宋"/>
          <w:color w:val="auto"/>
          <w:spacing w:val="2"/>
          <w:sz w:val="24"/>
          <w:szCs w:val="24"/>
          <w:highlight w:val="none"/>
          <w:lang w:eastAsia="zh-CN"/>
        </w:rPr>
        <w:t>：</w:t>
      </w:r>
    </w:p>
    <w:p w14:paraId="67C4F250">
      <w:pPr>
        <w:spacing w:before="215" w:line="402" w:lineRule="auto"/>
        <w:ind w:firstLine="36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依据贵方</w:t>
      </w:r>
      <w:r>
        <w:rPr>
          <w:rFonts w:hint="eastAsia" w:ascii="仿宋" w:hAnsi="仿宋" w:eastAsia="仿宋" w:cs="仿宋"/>
          <w:color w:val="auto"/>
          <w:spacing w:val="-8"/>
          <w:sz w:val="24"/>
          <w:szCs w:val="24"/>
          <w:highlight w:val="none"/>
          <w:u w:val="single"/>
          <w:lang w:eastAsia="zh-CN"/>
        </w:rPr>
        <w:t xml:space="preserve"> （项目名称/文件编号）</w:t>
      </w:r>
      <w:r>
        <w:rPr>
          <w:rFonts w:hint="eastAsia" w:ascii="仿宋" w:hAnsi="仿宋" w:eastAsia="仿宋" w:cs="仿宋"/>
          <w:color w:val="auto"/>
          <w:spacing w:val="34"/>
          <w:sz w:val="24"/>
          <w:szCs w:val="24"/>
          <w:highlight w:val="none"/>
          <w:u w:val="single"/>
          <w:lang w:eastAsia="zh-CN"/>
        </w:rPr>
        <w:t xml:space="preserve"> </w:t>
      </w:r>
      <w:r>
        <w:rPr>
          <w:rFonts w:hint="eastAsia" w:ascii="仿宋" w:hAnsi="仿宋" w:eastAsia="仿宋" w:cs="仿宋"/>
          <w:color w:val="auto"/>
          <w:spacing w:val="-8"/>
          <w:sz w:val="24"/>
          <w:szCs w:val="24"/>
          <w:highlight w:val="none"/>
          <w:lang w:eastAsia="zh-CN"/>
        </w:rPr>
        <w:t>项目政府采购的谈判邀请，</w:t>
      </w:r>
      <w:r>
        <w:rPr>
          <w:rFonts w:hint="eastAsia" w:ascii="仿宋" w:hAnsi="仿宋" w:eastAsia="仿宋" w:cs="仿宋"/>
          <w:color w:val="auto"/>
          <w:spacing w:val="72"/>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我方</w:t>
      </w:r>
      <w:r>
        <w:rPr>
          <w:rFonts w:hint="eastAsia" w:ascii="仿宋" w:hAnsi="仿宋" w:eastAsia="仿宋" w:cs="仿宋"/>
          <w:color w:val="auto"/>
          <w:spacing w:val="-9"/>
          <w:sz w:val="24"/>
          <w:szCs w:val="24"/>
          <w:highlight w:val="none"/>
          <w:u w:val="single"/>
          <w:lang w:eastAsia="zh-CN"/>
        </w:rPr>
        <w:t xml:space="preserve"> （姓名和职务）</w:t>
      </w:r>
      <w:r>
        <w:rPr>
          <w:rFonts w:hint="eastAsia" w:ascii="仿宋" w:hAnsi="仿宋" w:eastAsia="仿宋" w:cs="仿宋"/>
          <w:color w:val="auto"/>
          <w:spacing w:val="32"/>
          <w:sz w:val="24"/>
          <w:szCs w:val="24"/>
          <w:highlight w:val="none"/>
          <w:u w:val="single"/>
          <w:lang w:eastAsia="zh-CN"/>
        </w:rPr>
        <w:t xml:space="preserve"> </w:t>
      </w:r>
      <w:r>
        <w:rPr>
          <w:rFonts w:hint="eastAsia" w:ascii="仿宋" w:hAnsi="仿宋" w:eastAsia="仿宋" w:cs="仿宋"/>
          <w:color w:val="auto"/>
          <w:spacing w:val="-9"/>
          <w:sz w:val="24"/>
          <w:szCs w:val="24"/>
          <w:highlight w:val="none"/>
          <w:lang w:eastAsia="zh-CN"/>
        </w:rPr>
        <w:t>经正式</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授权并代表谈判供应商</w:t>
      </w:r>
      <w:r>
        <w:rPr>
          <w:rFonts w:hint="eastAsia" w:ascii="仿宋" w:hAnsi="仿宋" w:eastAsia="仿宋" w:cs="仿宋"/>
          <w:color w:val="auto"/>
          <w:spacing w:val="4"/>
          <w:sz w:val="24"/>
          <w:szCs w:val="24"/>
          <w:highlight w:val="none"/>
          <w:u w:val="single"/>
          <w:lang w:eastAsia="zh-CN"/>
        </w:rPr>
        <w:t xml:space="preserve"> （谈判供应商名称） </w:t>
      </w:r>
      <w:r>
        <w:rPr>
          <w:rFonts w:hint="eastAsia" w:ascii="仿宋" w:hAnsi="仿宋" w:eastAsia="仿宋" w:cs="仿宋"/>
          <w:color w:val="auto"/>
          <w:spacing w:val="4"/>
          <w:sz w:val="24"/>
          <w:szCs w:val="24"/>
          <w:highlight w:val="none"/>
          <w:lang w:eastAsia="zh-CN"/>
        </w:rPr>
        <w:t>提交下述竞争性谈判响应文件，在</w:t>
      </w:r>
      <w:r>
        <w:rPr>
          <w:rFonts w:hint="eastAsia" w:ascii="仿宋" w:hAnsi="仿宋" w:eastAsia="仿宋" w:cs="仿宋"/>
          <w:color w:val="auto"/>
          <w:spacing w:val="3"/>
          <w:sz w:val="24"/>
          <w:szCs w:val="24"/>
          <w:highlight w:val="none"/>
          <w:lang w:eastAsia="zh-CN"/>
        </w:rPr>
        <w:t>政采云平台上</w:t>
      </w:r>
      <w:r>
        <w:rPr>
          <w:rFonts w:hint="eastAsia" w:ascii="仿宋" w:hAnsi="仿宋" w:eastAsia="仿宋" w:cs="仿宋"/>
          <w:color w:val="auto"/>
          <w:spacing w:val="6"/>
          <w:sz w:val="24"/>
          <w:szCs w:val="24"/>
          <w:highlight w:val="none"/>
          <w:lang w:eastAsia="zh-CN"/>
        </w:rPr>
        <w:t>传电子响应文件一份。</w:t>
      </w:r>
    </w:p>
    <w:p w14:paraId="0EF9BC4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1.资格响应文件；</w:t>
      </w:r>
    </w:p>
    <w:p w14:paraId="6EB09AB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2.报价响应文件；</w:t>
      </w:r>
    </w:p>
    <w:p w14:paraId="2AD7BE2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3.商务技术响应文件；</w:t>
      </w:r>
    </w:p>
    <w:p w14:paraId="6617FC2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8"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 按竞争性谈判文件谈判须知和技术规格要求提供的有关文件；</w:t>
      </w:r>
    </w:p>
    <w:p w14:paraId="474CB5D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在此，我方宣布同意如下：</w:t>
      </w:r>
    </w:p>
    <w:p w14:paraId="5B0F0EF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1）将按竞争性谈判文件的约定履行合同责任和义务；</w:t>
      </w:r>
    </w:p>
    <w:p w14:paraId="329DDA8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2） 已详细审查全部竞争性谈判文件我们完全理解并同意放弃对这方面有不明及误解的权力；</w:t>
      </w:r>
    </w:p>
    <w:p w14:paraId="1B0F21F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3）同意提供按照贵方可能要求的与其谈判有关的一切数据或资料；</w:t>
      </w:r>
    </w:p>
    <w:p w14:paraId="2BDCD5D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4)本谈判有效期为自首次递交响应文件截止时间起计算90个日历日；</w:t>
      </w:r>
    </w:p>
    <w:p w14:paraId="0CFFF42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5)接受谈判文件关于支付代理服务费的约定。</w:t>
      </w:r>
    </w:p>
    <w:p w14:paraId="62380941">
      <w:pPr>
        <w:pStyle w:val="7"/>
        <w:spacing w:line="319" w:lineRule="auto"/>
        <w:rPr>
          <w:rFonts w:hint="eastAsia" w:ascii="仿宋" w:hAnsi="仿宋" w:eastAsia="仿宋" w:cs="仿宋"/>
          <w:color w:val="auto"/>
          <w:sz w:val="24"/>
          <w:szCs w:val="24"/>
          <w:highlight w:val="none"/>
          <w:lang w:eastAsia="zh-CN"/>
        </w:rPr>
      </w:pPr>
    </w:p>
    <w:p w14:paraId="03E03433">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lang w:eastAsia="zh-CN"/>
        </w:rPr>
      </w:pPr>
    </w:p>
    <w:p w14:paraId="0F01F4D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电话/传真：</w:t>
      </w:r>
    </w:p>
    <w:p w14:paraId="0F18488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谈判供应商名称（电子公章）：</w:t>
      </w:r>
    </w:p>
    <w:p w14:paraId="5D00A6DD">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position w:val="20"/>
          <w:sz w:val="24"/>
          <w:szCs w:val="24"/>
          <w:highlight w:val="none"/>
          <w:lang w:eastAsia="zh-CN"/>
        </w:rPr>
        <w:t>谈判供应商法定代表人（电子签名或盖章</w:t>
      </w:r>
      <w:r>
        <w:rPr>
          <w:rFonts w:hint="eastAsia" w:ascii="仿宋" w:hAnsi="仿宋" w:eastAsia="仿宋" w:cs="仿宋"/>
          <w:color w:val="auto"/>
          <w:spacing w:val="11"/>
          <w:position w:val="20"/>
          <w:sz w:val="24"/>
          <w:szCs w:val="24"/>
          <w:highlight w:val="none"/>
          <w:lang w:eastAsia="zh-CN"/>
        </w:rPr>
        <w:t>）：</w:t>
      </w:r>
    </w:p>
    <w:p w14:paraId="0220F106">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3"/>
          <w:sz w:val="24"/>
          <w:szCs w:val="24"/>
          <w:highlight w:val="none"/>
          <w:lang w:eastAsia="zh-CN"/>
        </w:rPr>
        <w:t>日期：</w:t>
      </w:r>
      <w:r>
        <w:rPr>
          <w:rFonts w:hint="eastAsia" w:ascii="仿宋" w:hAnsi="仿宋" w:eastAsia="仿宋" w:cs="仿宋"/>
          <w:color w:val="auto"/>
          <w:spacing w:val="5"/>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年</w:t>
      </w:r>
      <w:r>
        <w:rPr>
          <w:rFonts w:hint="eastAsia" w:ascii="仿宋" w:hAnsi="仿宋" w:eastAsia="仿宋" w:cs="仿宋"/>
          <w:color w:val="auto"/>
          <w:spacing w:val="21"/>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月</w:t>
      </w:r>
      <w:r>
        <w:rPr>
          <w:rFonts w:hint="eastAsia" w:ascii="仿宋" w:hAnsi="仿宋" w:eastAsia="仿宋" w:cs="仿宋"/>
          <w:color w:val="auto"/>
          <w:spacing w:val="55"/>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日</w:t>
      </w:r>
    </w:p>
    <w:p w14:paraId="471D7D82">
      <w:pPr>
        <w:keepNext w:val="0"/>
        <w:keepLines w:val="0"/>
        <w:pageBreakBefore w:val="0"/>
        <w:widowControl/>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color w:val="auto"/>
          <w:sz w:val="24"/>
          <w:szCs w:val="24"/>
          <w:highlight w:val="none"/>
          <w:lang w:eastAsia="zh-CN"/>
        </w:rPr>
        <w:sectPr>
          <w:footerReference r:id="rId15" w:type="default"/>
          <w:pgSz w:w="11906" w:h="16838"/>
          <w:pgMar w:top="1440" w:right="1800" w:bottom="1440" w:left="1800" w:header="0" w:footer="812" w:gutter="0"/>
          <w:pgNumType w:fmt="decimal"/>
          <w:cols w:space="720" w:num="1"/>
        </w:sectPr>
      </w:pPr>
    </w:p>
    <w:p w14:paraId="5CC6EE44">
      <w:pPr>
        <w:pStyle w:val="7"/>
        <w:spacing w:line="244" w:lineRule="auto"/>
        <w:rPr>
          <w:rFonts w:hint="eastAsia" w:ascii="仿宋" w:hAnsi="仿宋" w:eastAsia="仿宋" w:cs="仿宋"/>
          <w:color w:val="auto"/>
          <w:highlight w:val="none"/>
          <w:lang w:eastAsia="zh-CN"/>
        </w:rPr>
      </w:pPr>
    </w:p>
    <w:p w14:paraId="7CE111E6">
      <w:pPr>
        <w:spacing w:before="91" w:line="219" w:lineRule="auto"/>
        <w:ind w:left="10"/>
        <w:outlineLvl w:val="2"/>
        <w:rPr>
          <w:rFonts w:hint="eastAsia" w:ascii="仿宋" w:hAnsi="仿宋" w:eastAsia="仿宋" w:cs="仿宋"/>
          <w:color w:val="auto"/>
          <w:sz w:val="28"/>
          <w:szCs w:val="28"/>
          <w:highlight w:val="none"/>
          <w:lang w:eastAsia="zh-CN"/>
        </w:rPr>
      </w:pPr>
      <w:bookmarkStart w:id="258" w:name="_Toc10991"/>
      <w:r>
        <w:rPr>
          <w:rFonts w:hint="eastAsia" w:ascii="仿宋" w:hAnsi="仿宋" w:eastAsia="仿宋" w:cs="仿宋"/>
          <w:color w:val="auto"/>
          <w:spacing w:val="-3"/>
          <w:sz w:val="28"/>
          <w:szCs w:val="28"/>
          <w:highlight w:val="none"/>
          <w:lang w:eastAsia="zh-CN"/>
          <w14:textOutline w14:w="5130" w14:cap="flat" w14:cmpd="sng" w14:algn="ctr">
            <w14:solidFill>
              <w14:srgbClr w14:val="000000"/>
            </w14:solidFill>
            <w14:prstDash w14:val="solid"/>
            <w14:miter w14:val="0"/>
          </w14:textOutline>
        </w:rPr>
        <w:t>（二）法定授权人委托书</w:t>
      </w:r>
      <w:bookmarkEnd w:id="258"/>
    </w:p>
    <w:p w14:paraId="6128EF05">
      <w:pPr>
        <w:spacing w:before="147" w:line="219"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14:textOutline w14:w="5130" w14:cap="flat" w14:cmpd="sng" w14:algn="ctr">
            <w14:solidFill>
              <w14:srgbClr w14:val="000000"/>
            </w14:solidFill>
            <w14:prstDash w14:val="solid"/>
            <w14:miter w14:val="0"/>
          </w14:textOutline>
        </w:rPr>
        <w:t>法定授权人委托书</w:t>
      </w:r>
    </w:p>
    <w:p w14:paraId="2D78B63D">
      <w:pPr>
        <w:pStyle w:val="7"/>
        <w:spacing w:line="468" w:lineRule="auto"/>
        <w:rPr>
          <w:rFonts w:hint="eastAsia" w:ascii="仿宋" w:hAnsi="仿宋" w:eastAsia="仿宋" w:cs="仿宋"/>
          <w:color w:val="auto"/>
          <w:sz w:val="24"/>
          <w:szCs w:val="24"/>
          <w:highlight w:val="none"/>
          <w:lang w:eastAsia="zh-CN"/>
        </w:rPr>
      </w:pPr>
    </w:p>
    <w:p w14:paraId="04700714">
      <w:pPr>
        <w:spacing w:before="75" w:line="374" w:lineRule="auto"/>
        <w:ind w:firstLine="48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本授权书声明：注册于</w:t>
      </w:r>
      <w:r>
        <w:rPr>
          <w:rFonts w:hint="eastAsia" w:ascii="仿宋" w:hAnsi="仿宋" w:eastAsia="仿宋" w:cs="仿宋"/>
          <w:color w:val="auto"/>
          <w:spacing w:val="6"/>
          <w:sz w:val="24"/>
          <w:szCs w:val="24"/>
          <w:highlight w:val="none"/>
          <w:u w:val="single"/>
          <w:lang w:eastAsia="zh-CN"/>
        </w:rPr>
        <w:t xml:space="preserve">  （供应商住址）</w:t>
      </w:r>
      <w:r>
        <w:rPr>
          <w:rFonts w:hint="eastAsia" w:ascii="仿宋" w:hAnsi="仿宋" w:eastAsia="仿宋" w:cs="仿宋"/>
          <w:color w:val="auto"/>
          <w:spacing w:val="6"/>
          <w:sz w:val="24"/>
          <w:szCs w:val="24"/>
          <w:highlight w:val="none"/>
          <w:lang w:eastAsia="zh-CN"/>
        </w:rPr>
        <w:t>的</w:t>
      </w:r>
      <w:r>
        <w:rPr>
          <w:rFonts w:hint="eastAsia" w:ascii="仿宋" w:hAnsi="仿宋" w:eastAsia="仿宋" w:cs="仿宋"/>
          <w:color w:val="auto"/>
          <w:spacing w:val="6"/>
          <w:sz w:val="24"/>
          <w:szCs w:val="24"/>
          <w:highlight w:val="none"/>
          <w:u w:val="single"/>
          <w:lang w:eastAsia="zh-CN"/>
        </w:rPr>
        <w:t>（供应商名称）</w:t>
      </w:r>
      <w:r>
        <w:rPr>
          <w:rFonts w:hint="eastAsia" w:ascii="仿宋" w:hAnsi="仿宋" w:eastAsia="仿宋" w:cs="仿宋"/>
          <w:color w:val="auto"/>
          <w:spacing w:val="6"/>
          <w:sz w:val="24"/>
          <w:szCs w:val="24"/>
          <w:highlight w:val="none"/>
          <w:lang w:eastAsia="zh-CN"/>
        </w:rPr>
        <w:t>的</w:t>
      </w:r>
      <w:r>
        <w:rPr>
          <w:rFonts w:hint="eastAsia" w:ascii="仿宋" w:hAnsi="仿宋" w:eastAsia="仿宋" w:cs="仿宋"/>
          <w:color w:val="auto"/>
          <w:spacing w:val="6"/>
          <w:sz w:val="24"/>
          <w:szCs w:val="24"/>
          <w:highlight w:val="none"/>
          <w:u w:val="single"/>
          <w:lang w:eastAsia="zh-CN"/>
        </w:rPr>
        <w:t>（法定代表人姓名、</w:t>
      </w:r>
      <w:r>
        <w:rPr>
          <w:rFonts w:hint="eastAsia" w:ascii="仿宋" w:hAnsi="仿宋" w:eastAsia="仿宋" w:cs="仿宋"/>
          <w:color w:val="auto"/>
          <w:spacing w:val="5"/>
          <w:sz w:val="24"/>
          <w:szCs w:val="24"/>
          <w:highlight w:val="none"/>
          <w:u w:val="single"/>
          <w:lang w:eastAsia="zh-CN"/>
        </w:rPr>
        <w:t>职务）</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9"/>
          <w:sz w:val="24"/>
          <w:szCs w:val="24"/>
          <w:highlight w:val="none"/>
          <w:lang w:eastAsia="zh-CN"/>
        </w:rPr>
        <w:t>代表本公司授权</w:t>
      </w:r>
      <w:r>
        <w:rPr>
          <w:rFonts w:hint="eastAsia" w:ascii="仿宋" w:hAnsi="仿宋" w:eastAsia="仿宋" w:cs="仿宋"/>
          <w:color w:val="auto"/>
          <w:spacing w:val="9"/>
          <w:sz w:val="24"/>
          <w:szCs w:val="24"/>
          <w:highlight w:val="none"/>
          <w:u w:val="single"/>
          <w:lang w:eastAsia="zh-CN"/>
        </w:rPr>
        <w:t>（授权代理人的姓名、职务）</w:t>
      </w:r>
      <w:r>
        <w:rPr>
          <w:rFonts w:hint="eastAsia" w:ascii="仿宋" w:hAnsi="仿宋" w:eastAsia="仿宋" w:cs="仿宋"/>
          <w:color w:val="auto"/>
          <w:spacing w:val="9"/>
          <w:sz w:val="24"/>
          <w:szCs w:val="24"/>
          <w:highlight w:val="none"/>
          <w:lang w:eastAsia="zh-CN"/>
        </w:rPr>
        <w:t>为本公司的合法代理人，就贵方组织</w:t>
      </w:r>
      <w:r>
        <w:rPr>
          <w:rFonts w:hint="eastAsia" w:ascii="仿宋" w:hAnsi="仿宋" w:eastAsia="仿宋" w:cs="仿宋"/>
          <w:color w:val="auto"/>
          <w:spacing w:val="9"/>
          <w:sz w:val="24"/>
          <w:szCs w:val="24"/>
          <w:highlight w:val="none"/>
          <w:u w:val="single"/>
          <w:lang w:eastAsia="zh-CN"/>
        </w:rPr>
        <w:t>（项目名</w:t>
      </w:r>
      <w:r>
        <w:rPr>
          <w:rFonts w:hint="eastAsia" w:ascii="仿宋" w:hAnsi="仿宋" w:eastAsia="仿宋" w:cs="仿宋"/>
          <w:color w:val="auto"/>
          <w:spacing w:val="11"/>
          <w:sz w:val="24"/>
          <w:szCs w:val="24"/>
          <w:highlight w:val="none"/>
          <w:u w:val="single"/>
          <w:lang w:eastAsia="zh-CN"/>
        </w:rPr>
        <w:t>称）</w:t>
      </w:r>
      <w:r>
        <w:rPr>
          <w:rFonts w:hint="eastAsia" w:ascii="仿宋" w:hAnsi="仿宋" w:eastAsia="仿宋" w:cs="仿宋"/>
          <w:color w:val="auto"/>
          <w:spacing w:val="11"/>
          <w:sz w:val="24"/>
          <w:szCs w:val="24"/>
          <w:highlight w:val="none"/>
          <w:lang w:eastAsia="zh-CN"/>
        </w:rPr>
        <w:t>项目（项目编号</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7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11"/>
          <w:sz w:val="24"/>
          <w:szCs w:val="24"/>
          <w:highlight w:val="none"/>
          <w:lang w:eastAsia="zh-CN"/>
        </w:rPr>
        <w:t xml:space="preserve">以本公司名义处理一切与之有关的事宜。供应商授权 </w:t>
      </w:r>
      <w:r>
        <w:rPr>
          <w:rFonts w:hint="eastAsia" w:ascii="仿宋" w:hAnsi="仿宋" w:eastAsia="仿宋" w:cs="仿宋"/>
          <w:color w:val="auto"/>
          <w:spacing w:val="10"/>
          <w:sz w:val="24"/>
          <w:szCs w:val="24"/>
          <w:highlight w:val="none"/>
          <w:lang w:eastAsia="zh-CN"/>
        </w:rPr>
        <w:t>代理人在投标过程中所签署的一切文件和处理与之有关的一切事务，本公司均予</w:t>
      </w:r>
      <w:r>
        <w:rPr>
          <w:rFonts w:hint="eastAsia" w:ascii="仿宋" w:hAnsi="仿宋" w:eastAsia="仿宋" w:cs="仿宋"/>
          <w:color w:val="auto"/>
          <w:spacing w:val="9"/>
          <w:sz w:val="24"/>
          <w:szCs w:val="24"/>
          <w:highlight w:val="none"/>
          <w:lang w:eastAsia="zh-CN"/>
        </w:rPr>
        <w:t>以认可并对</w:t>
      </w:r>
    </w:p>
    <w:p w14:paraId="2981A9B0">
      <w:pPr>
        <w:spacing w:line="227" w:lineRule="auto"/>
        <w:ind w:left="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此承担责任。</w:t>
      </w:r>
    </w:p>
    <w:p w14:paraId="4E386B76">
      <w:pPr>
        <w:spacing w:before="184" w:line="227"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供应商授权代理人无转委托权。特此授权。</w:t>
      </w:r>
    </w:p>
    <w:p w14:paraId="799850C6">
      <w:pPr>
        <w:pStyle w:val="7"/>
        <w:spacing w:line="286" w:lineRule="auto"/>
        <w:rPr>
          <w:rFonts w:hint="eastAsia" w:ascii="仿宋" w:hAnsi="仿宋" w:eastAsia="仿宋" w:cs="仿宋"/>
          <w:color w:val="auto"/>
          <w:sz w:val="24"/>
          <w:szCs w:val="24"/>
          <w:highlight w:val="none"/>
          <w:lang w:eastAsia="zh-CN"/>
        </w:rPr>
      </w:pPr>
    </w:p>
    <w:p w14:paraId="368F299B">
      <w:pPr>
        <w:pStyle w:val="7"/>
        <w:spacing w:line="286" w:lineRule="auto"/>
        <w:rPr>
          <w:rFonts w:hint="eastAsia" w:ascii="仿宋" w:hAnsi="仿宋" w:eastAsia="仿宋" w:cs="仿宋"/>
          <w:color w:val="auto"/>
          <w:sz w:val="24"/>
          <w:szCs w:val="24"/>
          <w:highlight w:val="none"/>
          <w:lang w:eastAsia="zh-CN"/>
        </w:rPr>
      </w:pPr>
    </w:p>
    <w:p w14:paraId="7568D322">
      <w:pPr>
        <w:spacing w:before="75" w:line="227" w:lineRule="auto"/>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本授权书于</w:t>
      </w:r>
      <w:r>
        <w:rPr>
          <w:rFonts w:hint="eastAsia" w:ascii="仿宋" w:hAnsi="仿宋" w:eastAsia="仿宋" w:cs="仿宋"/>
          <w:color w:val="auto"/>
          <w:spacing w:val="-102"/>
          <w:sz w:val="24"/>
          <w:szCs w:val="24"/>
          <w:highlight w:val="none"/>
          <w:lang w:eastAsia="zh-CN"/>
        </w:rPr>
        <w:t xml:space="preserve"> </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9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年</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9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月</w:t>
      </w:r>
      <w:r>
        <w:rPr>
          <w:rFonts w:hint="eastAsia" w:ascii="仿宋" w:hAnsi="仿宋" w:eastAsia="仿宋" w:cs="仿宋"/>
          <w:color w:val="auto"/>
          <w:spacing w:val="-115"/>
          <w:sz w:val="24"/>
          <w:szCs w:val="24"/>
          <w:highlight w:val="none"/>
          <w:lang w:eastAsia="zh-CN"/>
        </w:rPr>
        <w:t xml:space="preserve"> </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5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日生效，特此声明。</w:t>
      </w:r>
    </w:p>
    <w:p w14:paraId="46464E67">
      <w:pPr>
        <w:pStyle w:val="7"/>
        <w:spacing w:line="250" w:lineRule="auto"/>
        <w:rPr>
          <w:rFonts w:hint="eastAsia" w:ascii="仿宋" w:hAnsi="仿宋" w:eastAsia="仿宋" w:cs="仿宋"/>
          <w:color w:val="auto"/>
          <w:sz w:val="24"/>
          <w:szCs w:val="24"/>
          <w:highlight w:val="none"/>
          <w:lang w:eastAsia="zh-CN"/>
        </w:rPr>
      </w:pPr>
    </w:p>
    <w:p w14:paraId="2D737359">
      <w:pPr>
        <w:pStyle w:val="7"/>
        <w:spacing w:line="250" w:lineRule="auto"/>
        <w:rPr>
          <w:rFonts w:hint="eastAsia" w:ascii="仿宋" w:hAnsi="仿宋" w:eastAsia="仿宋" w:cs="仿宋"/>
          <w:color w:val="auto"/>
          <w:sz w:val="24"/>
          <w:szCs w:val="24"/>
          <w:highlight w:val="none"/>
          <w:lang w:eastAsia="zh-CN"/>
        </w:rPr>
      </w:pPr>
    </w:p>
    <w:p w14:paraId="212D68A3">
      <w:pPr>
        <w:pStyle w:val="7"/>
        <w:spacing w:line="250" w:lineRule="auto"/>
        <w:rPr>
          <w:rFonts w:hint="eastAsia" w:ascii="仿宋" w:hAnsi="仿宋" w:eastAsia="仿宋" w:cs="仿宋"/>
          <w:color w:val="auto"/>
          <w:sz w:val="24"/>
          <w:szCs w:val="24"/>
          <w:highlight w:val="none"/>
          <w:lang w:eastAsia="zh-CN"/>
        </w:rPr>
      </w:pPr>
    </w:p>
    <w:p w14:paraId="4CBAF0E3">
      <w:pPr>
        <w:pStyle w:val="7"/>
        <w:spacing w:line="250" w:lineRule="auto"/>
        <w:rPr>
          <w:rFonts w:hint="eastAsia" w:ascii="仿宋" w:hAnsi="仿宋" w:eastAsia="仿宋" w:cs="仿宋"/>
          <w:color w:val="auto"/>
          <w:sz w:val="24"/>
          <w:szCs w:val="24"/>
          <w:highlight w:val="none"/>
          <w:lang w:eastAsia="zh-CN"/>
        </w:rPr>
      </w:pPr>
    </w:p>
    <w:p w14:paraId="6E4180F8">
      <w:pPr>
        <w:pStyle w:val="7"/>
        <w:spacing w:line="250" w:lineRule="auto"/>
        <w:rPr>
          <w:rFonts w:hint="eastAsia" w:ascii="仿宋" w:hAnsi="仿宋" w:eastAsia="仿宋" w:cs="仿宋"/>
          <w:color w:val="auto"/>
          <w:sz w:val="24"/>
          <w:szCs w:val="24"/>
          <w:highlight w:val="none"/>
          <w:lang w:eastAsia="zh-CN"/>
        </w:rPr>
      </w:pPr>
    </w:p>
    <w:p w14:paraId="2A760F15">
      <w:pPr>
        <w:pStyle w:val="7"/>
        <w:spacing w:line="250" w:lineRule="auto"/>
        <w:rPr>
          <w:rFonts w:hint="eastAsia" w:ascii="仿宋" w:hAnsi="仿宋" w:eastAsia="仿宋" w:cs="仿宋"/>
          <w:color w:val="auto"/>
          <w:sz w:val="24"/>
          <w:szCs w:val="24"/>
          <w:highlight w:val="none"/>
          <w:lang w:eastAsia="zh-CN"/>
        </w:rPr>
      </w:pPr>
    </w:p>
    <w:p w14:paraId="59BD4E1D">
      <w:pPr>
        <w:spacing w:before="75" w:line="227" w:lineRule="auto"/>
        <w:ind w:left="25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（附授权代理人身份证正反两面扫描件）</w:t>
      </w:r>
    </w:p>
    <w:p w14:paraId="06BDC91A">
      <w:pPr>
        <w:pStyle w:val="7"/>
        <w:spacing w:line="265" w:lineRule="auto"/>
        <w:rPr>
          <w:rFonts w:hint="eastAsia" w:ascii="仿宋" w:hAnsi="仿宋" w:eastAsia="仿宋" w:cs="仿宋"/>
          <w:color w:val="auto"/>
          <w:sz w:val="24"/>
          <w:szCs w:val="24"/>
          <w:highlight w:val="none"/>
          <w:lang w:eastAsia="zh-CN"/>
        </w:rPr>
      </w:pPr>
    </w:p>
    <w:p w14:paraId="548F268A">
      <w:pPr>
        <w:pStyle w:val="7"/>
        <w:spacing w:line="265" w:lineRule="auto"/>
        <w:rPr>
          <w:rFonts w:hint="eastAsia" w:ascii="仿宋" w:hAnsi="仿宋" w:eastAsia="仿宋" w:cs="仿宋"/>
          <w:color w:val="auto"/>
          <w:sz w:val="24"/>
          <w:szCs w:val="24"/>
          <w:highlight w:val="none"/>
          <w:lang w:eastAsia="zh-CN"/>
        </w:rPr>
      </w:pPr>
    </w:p>
    <w:p w14:paraId="1DFE8D29">
      <w:pPr>
        <w:pStyle w:val="7"/>
        <w:spacing w:line="265" w:lineRule="auto"/>
        <w:rPr>
          <w:rFonts w:hint="eastAsia" w:ascii="仿宋" w:hAnsi="仿宋" w:eastAsia="仿宋" w:cs="仿宋"/>
          <w:color w:val="auto"/>
          <w:sz w:val="24"/>
          <w:szCs w:val="24"/>
          <w:highlight w:val="none"/>
          <w:lang w:eastAsia="zh-CN"/>
        </w:rPr>
      </w:pPr>
    </w:p>
    <w:p w14:paraId="31D32E79">
      <w:pPr>
        <w:pStyle w:val="7"/>
        <w:spacing w:line="265" w:lineRule="auto"/>
        <w:rPr>
          <w:rFonts w:hint="eastAsia" w:ascii="仿宋" w:hAnsi="仿宋" w:eastAsia="仿宋" w:cs="仿宋"/>
          <w:color w:val="auto"/>
          <w:sz w:val="24"/>
          <w:szCs w:val="24"/>
          <w:highlight w:val="none"/>
          <w:lang w:eastAsia="zh-CN"/>
        </w:rPr>
      </w:pPr>
    </w:p>
    <w:p w14:paraId="5E8978A1">
      <w:pPr>
        <w:pStyle w:val="7"/>
        <w:spacing w:line="265" w:lineRule="auto"/>
        <w:rPr>
          <w:rFonts w:hint="eastAsia" w:ascii="仿宋" w:hAnsi="仿宋" w:eastAsia="仿宋" w:cs="仿宋"/>
          <w:color w:val="auto"/>
          <w:sz w:val="24"/>
          <w:szCs w:val="24"/>
          <w:highlight w:val="none"/>
          <w:lang w:eastAsia="zh-CN"/>
        </w:rPr>
      </w:pPr>
    </w:p>
    <w:p w14:paraId="4C9A4B44">
      <w:pPr>
        <w:pStyle w:val="7"/>
        <w:spacing w:line="265" w:lineRule="auto"/>
        <w:rPr>
          <w:rFonts w:hint="eastAsia" w:ascii="仿宋" w:hAnsi="仿宋" w:eastAsia="仿宋" w:cs="仿宋"/>
          <w:color w:val="auto"/>
          <w:sz w:val="24"/>
          <w:szCs w:val="24"/>
          <w:highlight w:val="none"/>
          <w:lang w:eastAsia="zh-CN"/>
        </w:rPr>
      </w:pPr>
    </w:p>
    <w:p w14:paraId="2E26AF26">
      <w:pPr>
        <w:spacing w:before="76" w:line="227"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谈判供应商名称（电子公章）：</w:t>
      </w:r>
    </w:p>
    <w:p w14:paraId="47C1CA0C">
      <w:pPr>
        <w:spacing w:before="219" w:line="5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position w:val="20"/>
          <w:sz w:val="24"/>
          <w:szCs w:val="24"/>
          <w:highlight w:val="none"/>
          <w:lang w:eastAsia="zh-CN"/>
        </w:rPr>
        <w:t>谈判供应商法定代表人（电子签名或盖章</w:t>
      </w:r>
      <w:r>
        <w:rPr>
          <w:rFonts w:hint="eastAsia" w:ascii="仿宋" w:hAnsi="仿宋" w:eastAsia="仿宋" w:cs="仿宋"/>
          <w:color w:val="auto"/>
          <w:spacing w:val="11"/>
          <w:position w:val="20"/>
          <w:sz w:val="24"/>
          <w:szCs w:val="24"/>
          <w:highlight w:val="none"/>
          <w:lang w:eastAsia="zh-CN"/>
        </w:rPr>
        <w:t>）：</w:t>
      </w:r>
    </w:p>
    <w:p w14:paraId="3AF80132">
      <w:pPr>
        <w:spacing w:line="227"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3"/>
          <w:sz w:val="24"/>
          <w:szCs w:val="24"/>
          <w:highlight w:val="none"/>
          <w:lang w:eastAsia="zh-CN"/>
        </w:rPr>
        <w:t>日期：</w:t>
      </w:r>
      <w:r>
        <w:rPr>
          <w:rFonts w:hint="eastAsia" w:ascii="仿宋" w:hAnsi="仿宋" w:eastAsia="仿宋" w:cs="仿宋"/>
          <w:color w:val="auto"/>
          <w:spacing w:val="5"/>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年</w:t>
      </w:r>
      <w:r>
        <w:rPr>
          <w:rFonts w:hint="eastAsia" w:ascii="仿宋" w:hAnsi="仿宋" w:eastAsia="仿宋" w:cs="仿宋"/>
          <w:color w:val="auto"/>
          <w:spacing w:val="21"/>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月</w:t>
      </w:r>
      <w:r>
        <w:rPr>
          <w:rFonts w:hint="eastAsia" w:ascii="仿宋" w:hAnsi="仿宋" w:eastAsia="仿宋" w:cs="仿宋"/>
          <w:color w:val="auto"/>
          <w:spacing w:val="55"/>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日</w:t>
      </w:r>
    </w:p>
    <w:p w14:paraId="0517F4F6">
      <w:pPr>
        <w:spacing w:line="227" w:lineRule="auto"/>
        <w:rPr>
          <w:rFonts w:hint="eastAsia" w:ascii="仿宋" w:hAnsi="仿宋" w:eastAsia="仿宋" w:cs="仿宋"/>
          <w:color w:val="auto"/>
          <w:sz w:val="24"/>
          <w:szCs w:val="24"/>
          <w:highlight w:val="none"/>
          <w:lang w:eastAsia="zh-CN"/>
        </w:rPr>
        <w:sectPr>
          <w:footerReference r:id="rId16" w:type="default"/>
          <w:pgSz w:w="11906" w:h="16838"/>
          <w:pgMar w:top="1440" w:right="1800" w:bottom="1440" w:left="1800" w:header="0" w:footer="812" w:gutter="0"/>
          <w:pgNumType w:fmt="decimal"/>
          <w:cols w:space="720" w:num="1"/>
        </w:sectPr>
      </w:pPr>
    </w:p>
    <w:p w14:paraId="7936D423">
      <w:pPr>
        <w:spacing w:before="91" w:line="219"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1"/>
          <w:sz w:val="24"/>
          <w:szCs w:val="24"/>
          <w:highlight w:val="none"/>
          <w:lang w:eastAsia="zh-CN"/>
        </w:rPr>
        <w:t>附：</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color w:val="auto"/>
          <w:spacing w:val="-11"/>
          <w:sz w:val="24"/>
          <w:szCs w:val="24"/>
          <w:highlight w:val="none"/>
          <w:lang w:eastAsia="zh-CN"/>
        </w:rPr>
        <w:t>法定代表人身份证明书</w:t>
      </w:r>
    </w:p>
    <w:p w14:paraId="5E8F1F0B">
      <w:pPr>
        <w:pStyle w:val="7"/>
        <w:spacing w:line="268" w:lineRule="auto"/>
        <w:rPr>
          <w:rFonts w:hint="eastAsia" w:ascii="仿宋" w:hAnsi="仿宋" w:eastAsia="仿宋" w:cs="仿宋"/>
          <w:color w:val="auto"/>
          <w:sz w:val="24"/>
          <w:szCs w:val="24"/>
          <w:highlight w:val="none"/>
          <w:lang w:eastAsia="zh-CN"/>
        </w:rPr>
      </w:pPr>
    </w:p>
    <w:p w14:paraId="6589BFAF">
      <w:pPr>
        <w:pStyle w:val="7"/>
        <w:spacing w:line="268" w:lineRule="auto"/>
        <w:rPr>
          <w:rFonts w:hint="eastAsia" w:ascii="仿宋" w:hAnsi="仿宋" w:eastAsia="仿宋" w:cs="仿宋"/>
          <w:color w:val="auto"/>
          <w:sz w:val="24"/>
          <w:szCs w:val="24"/>
          <w:highlight w:val="none"/>
          <w:lang w:eastAsia="zh-CN"/>
        </w:rPr>
      </w:pPr>
    </w:p>
    <w:p w14:paraId="6E25962C">
      <w:pPr>
        <w:spacing w:before="75" w:line="465" w:lineRule="exact"/>
        <w:ind w:left="45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position w:val="17"/>
          <w:sz w:val="24"/>
          <w:szCs w:val="24"/>
          <w:highlight w:val="none"/>
          <w:lang w:eastAsia="zh-CN"/>
        </w:rPr>
        <w:t>单位名称：</w:t>
      </w:r>
    </w:p>
    <w:p w14:paraId="1397F81B">
      <w:pPr>
        <w:spacing w:line="227" w:lineRule="auto"/>
        <w:ind w:left="45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单位类型：</w:t>
      </w:r>
    </w:p>
    <w:p w14:paraId="6688F5D3">
      <w:pPr>
        <w:spacing w:before="182" w:line="228" w:lineRule="auto"/>
        <w:ind w:left="45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住</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8"/>
          <w:sz w:val="24"/>
          <w:szCs w:val="24"/>
          <w:highlight w:val="none"/>
          <w:lang w:eastAsia="zh-CN"/>
        </w:rPr>
        <w:t>所：</w:t>
      </w:r>
    </w:p>
    <w:p w14:paraId="28A79FB3">
      <w:pPr>
        <w:spacing w:before="184" w:line="227" w:lineRule="auto"/>
        <w:ind w:left="45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8"/>
          <w:sz w:val="24"/>
          <w:szCs w:val="24"/>
          <w:highlight w:val="none"/>
          <w:lang w:eastAsia="zh-CN"/>
        </w:rPr>
        <w:t>成立日期：</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18"/>
          <w:sz w:val="24"/>
          <w:szCs w:val="24"/>
          <w:highlight w:val="none"/>
          <w:lang w:eastAsia="zh-CN"/>
        </w:rPr>
        <w:t>年</w:t>
      </w:r>
      <w:r>
        <w:rPr>
          <w:rFonts w:hint="eastAsia" w:ascii="仿宋" w:hAnsi="仿宋" w:eastAsia="仿宋" w:cs="仿宋"/>
          <w:color w:val="auto"/>
          <w:spacing w:val="20"/>
          <w:sz w:val="24"/>
          <w:szCs w:val="24"/>
          <w:highlight w:val="none"/>
          <w:lang w:eastAsia="zh-CN"/>
        </w:rPr>
        <w:t xml:space="preserve"> </w:t>
      </w:r>
      <w:r>
        <w:rPr>
          <w:rFonts w:hint="eastAsia" w:ascii="仿宋" w:hAnsi="仿宋" w:eastAsia="仿宋" w:cs="仿宋"/>
          <w:color w:val="auto"/>
          <w:spacing w:val="-18"/>
          <w:sz w:val="24"/>
          <w:szCs w:val="24"/>
          <w:highlight w:val="none"/>
          <w:lang w:eastAsia="zh-CN"/>
        </w:rPr>
        <w:t>月</w:t>
      </w:r>
      <w:r>
        <w:rPr>
          <w:rFonts w:hint="eastAsia" w:ascii="仿宋" w:hAnsi="仿宋" w:eastAsia="仿宋" w:cs="仿宋"/>
          <w:color w:val="auto"/>
          <w:spacing w:val="56"/>
          <w:sz w:val="24"/>
          <w:szCs w:val="24"/>
          <w:highlight w:val="none"/>
          <w:lang w:eastAsia="zh-CN"/>
        </w:rPr>
        <w:t xml:space="preserve"> </w:t>
      </w:r>
      <w:r>
        <w:rPr>
          <w:rFonts w:hint="eastAsia" w:ascii="仿宋" w:hAnsi="仿宋" w:eastAsia="仿宋" w:cs="仿宋"/>
          <w:color w:val="auto"/>
          <w:spacing w:val="-18"/>
          <w:sz w:val="24"/>
          <w:szCs w:val="24"/>
          <w:highlight w:val="none"/>
          <w:lang w:eastAsia="zh-CN"/>
        </w:rPr>
        <w:t>日</w:t>
      </w:r>
    </w:p>
    <w:p w14:paraId="3FA35A17">
      <w:pPr>
        <w:spacing w:before="185" w:line="228" w:lineRule="auto"/>
        <w:ind w:left="44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营业期限：</w:t>
      </w:r>
    </w:p>
    <w:p w14:paraId="4D546D4C">
      <w:pPr>
        <w:pStyle w:val="7"/>
        <w:spacing w:line="285" w:lineRule="auto"/>
        <w:rPr>
          <w:rFonts w:hint="eastAsia" w:ascii="仿宋" w:hAnsi="仿宋" w:eastAsia="仿宋" w:cs="仿宋"/>
          <w:color w:val="auto"/>
          <w:sz w:val="24"/>
          <w:szCs w:val="24"/>
          <w:highlight w:val="none"/>
          <w:lang w:eastAsia="zh-CN"/>
        </w:rPr>
      </w:pPr>
    </w:p>
    <w:p w14:paraId="3E10D6AD">
      <w:pPr>
        <w:pStyle w:val="7"/>
        <w:spacing w:line="286" w:lineRule="auto"/>
        <w:rPr>
          <w:rFonts w:hint="eastAsia" w:ascii="仿宋" w:hAnsi="仿宋" w:eastAsia="仿宋" w:cs="仿宋"/>
          <w:color w:val="auto"/>
          <w:sz w:val="24"/>
          <w:szCs w:val="24"/>
          <w:highlight w:val="none"/>
          <w:lang w:eastAsia="zh-CN"/>
        </w:rPr>
      </w:pPr>
    </w:p>
    <w:p w14:paraId="2665FCE1">
      <w:pPr>
        <w:spacing w:before="76" w:line="227" w:lineRule="auto"/>
        <w:ind w:left="45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姓</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名：性别：</w:t>
      </w:r>
    </w:p>
    <w:p w14:paraId="47A14521">
      <w:pPr>
        <w:spacing w:before="182" w:line="227" w:lineRule="auto"/>
        <w:ind w:left="46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4"/>
          <w:sz w:val="24"/>
          <w:szCs w:val="24"/>
          <w:highlight w:val="none"/>
          <w:lang w:eastAsia="zh-CN"/>
        </w:rPr>
        <w:t>系</w:t>
      </w:r>
      <w:r>
        <w:rPr>
          <w:rFonts w:hint="eastAsia" w:ascii="仿宋" w:hAnsi="仿宋" w:eastAsia="仿宋" w:cs="仿宋"/>
          <w:color w:val="auto"/>
          <w:spacing w:val="9"/>
          <w:sz w:val="24"/>
          <w:szCs w:val="24"/>
          <w:highlight w:val="none"/>
          <w:u w:val="single"/>
          <w:lang w:eastAsia="zh-CN"/>
        </w:rPr>
        <w:t xml:space="preserve">     </w:t>
      </w:r>
      <w:r>
        <w:rPr>
          <w:rFonts w:hint="eastAsia" w:ascii="仿宋" w:hAnsi="仿宋" w:eastAsia="仿宋" w:cs="仿宋"/>
          <w:color w:val="auto"/>
          <w:spacing w:val="-14"/>
          <w:sz w:val="24"/>
          <w:szCs w:val="24"/>
          <w:highlight w:val="none"/>
          <w:u w:val="single"/>
          <w:lang w:eastAsia="zh-CN"/>
        </w:rPr>
        <w:t>（供应商名称）</w:t>
      </w:r>
      <w:r>
        <w:rPr>
          <w:rFonts w:hint="eastAsia" w:ascii="仿宋" w:hAnsi="仿宋" w:eastAsia="仿宋" w:cs="仿宋"/>
          <w:color w:val="auto"/>
          <w:spacing w:val="8"/>
          <w:sz w:val="24"/>
          <w:szCs w:val="24"/>
          <w:highlight w:val="none"/>
          <w:u w:val="single"/>
          <w:lang w:eastAsia="zh-CN"/>
        </w:rPr>
        <w:t xml:space="preserve">    </w:t>
      </w:r>
      <w:r>
        <w:rPr>
          <w:rFonts w:hint="eastAsia" w:ascii="仿宋" w:hAnsi="仿宋" w:eastAsia="仿宋" w:cs="仿宋"/>
          <w:color w:val="auto"/>
          <w:spacing w:val="-83"/>
          <w:sz w:val="24"/>
          <w:szCs w:val="24"/>
          <w:highlight w:val="none"/>
          <w:lang w:eastAsia="zh-CN"/>
        </w:rPr>
        <w:t xml:space="preserve"> </w:t>
      </w:r>
      <w:r>
        <w:rPr>
          <w:rFonts w:hint="eastAsia" w:ascii="仿宋" w:hAnsi="仿宋" w:eastAsia="仿宋" w:cs="仿宋"/>
          <w:color w:val="auto"/>
          <w:spacing w:val="-14"/>
          <w:sz w:val="24"/>
          <w:szCs w:val="24"/>
          <w:highlight w:val="none"/>
          <w:lang w:eastAsia="zh-CN"/>
        </w:rPr>
        <w:t>的法定代表人。</w:t>
      </w:r>
    </w:p>
    <w:p w14:paraId="22B1B9DC">
      <w:pPr>
        <w:pStyle w:val="7"/>
        <w:spacing w:line="287" w:lineRule="auto"/>
        <w:rPr>
          <w:rFonts w:hint="eastAsia" w:ascii="仿宋" w:hAnsi="仿宋" w:eastAsia="仿宋" w:cs="仿宋"/>
          <w:color w:val="auto"/>
          <w:sz w:val="24"/>
          <w:szCs w:val="24"/>
          <w:highlight w:val="none"/>
          <w:lang w:eastAsia="zh-CN"/>
        </w:rPr>
      </w:pPr>
    </w:p>
    <w:p w14:paraId="7479D9AB">
      <w:pPr>
        <w:pStyle w:val="7"/>
        <w:spacing w:line="288" w:lineRule="auto"/>
        <w:rPr>
          <w:rFonts w:hint="eastAsia" w:ascii="仿宋" w:hAnsi="仿宋" w:eastAsia="仿宋" w:cs="仿宋"/>
          <w:color w:val="auto"/>
          <w:sz w:val="24"/>
          <w:szCs w:val="24"/>
          <w:highlight w:val="none"/>
          <w:lang w:eastAsia="zh-CN"/>
        </w:rPr>
      </w:pPr>
    </w:p>
    <w:p w14:paraId="021AB40F">
      <w:pPr>
        <w:spacing w:before="75" w:line="227" w:lineRule="auto"/>
        <w:ind w:left="45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特此证明。</w:t>
      </w:r>
    </w:p>
    <w:p w14:paraId="3EB0C9CB">
      <w:pPr>
        <w:pStyle w:val="7"/>
        <w:spacing w:line="249" w:lineRule="auto"/>
        <w:rPr>
          <w:rFonts w:hint="eastAsia" w:ascii="仿宋" w:hAnsi="仿宋" w:eastAsia="仿宋" w:cs="仿宋"/>
          <w:color w:val="auto"/>
          <w:sz w:val="24"/>
          <w:szCs w:val="24"/>
          <w:highlight w:val="none"/>
          <w:lang w:eastAsia="zh-CN"/>
        </w:rPr>
      </w:pPr>
    </w:p>
    <w:p w14:paraId="712CE0E3">
      <w:pPr>
        <w:pStyle w:val="7"/>
        <w:spacing w:line="249" w:lineRule="auto"/>
        <w:rPr>
          <w:rFonts w:hint="eastAsia" w:ascii="仿宋" w:hAnsi="仿宋" w:eastAsia="仿宋" w:cs="仿宋"/>
          <w:color w:val="auto"/>
          <w:sz w:val="24"/>
          <w:szCs w:val="24"/>
          <w:highlight w:val="none"/>
          <w:lang w:eastAsia="zh-CN"/>
        </w:rPr>
      </w:pPr>
    </w:p>
    <w:p w14:paraId="26AF1C28">
      <w:pPr>
        <w:pStyle w:val="7"/>
        <w:spacing w:line="249" w:lineRule="auto"/>
        <w:rPr>
          <w:rFonts w:hint="eastAsia" w:ascii="仿宋" w:hAnsi="仿宋" w:eastAsia="仿宋" w:cs="仿宋"/>
          <w:color w:val="auto"/>
          <w:sz w:val="24"/>
          <w:szCs w:val="24"/>
          <w:highlight w:val="none"/>
          <w:lang w:eastAsia="zh-CN"/>
        </w:rPr>
      </w:pPr>
    </w:p>
    <w:p w14:paraId="5B5A073C">
      <w:pPr>
        <w:pStyle w:val="7"/>
        <w:spacing w:line="250" w:lineRule="auto"/>
        <w:rPr>
          <w:rFonts w:hint="eastAsia" w:ascii="仿宋" w:hAnsi="仿宋" w:eastAsia="仿宋" w:cs="仿宋"/>
          <w:color w:val="auto"/>
          <w:sz w:val="24"/>
          <w:szCs w:val="24"/>
          <w:highlight w:val="none"/>
          <w:lang w:eastAsia="zh-CN"/>
        </w:rPr>
      </w:pPr>
    </w:p>
    <w:p w14:paraId="7E93DA4D">
      <w:pPr>
        <w:pStyle w:val="7"/>
        <w:spacing w:line="250" w:lineRule="auto"/>
        <w:rPr>
          <w:rFonts w:hint="eastAsia" w:ascii="仿宋" w:hAnsi="仿宋" w:eastAsia="仿宋" w:cs="仿宋"/>
          <w:color w:val="auto"/>
          <w:sz w:val="24"/>
          <w:szCs w:val="24"/>
          <w:highlight w:val="none"/>
          <w:lang w:eastAsia="zh-CN"/>
        </w:rPr>
      </w:pPr>
    </w:p>
    <w:p w14:paraId="6F8F1E55">
      <w:pPr>
        <w:pStyle w:val="7"/>
        <w:spacing w:line="250" w:lineRule="auto"/>
        <w:rPr>
          <w:rFonts w:hint="eastAsia" w:ascii="仿宋" w:hAnsi="仿宋" w:eastAsia="仿宋" w:cs="仿宋"/>
          <w:color w:val="auto"/>
          <w:sz w:val="24"/>
          <w:szCs w:val="24"/>
          <w:highlight w:val="none"/>
          <w:lang w:eastAsia="zh-CN"/>
        </w:rPr>
      </w:pPr>
    </w:p>
    <w:p w14:paraId="522FDFB7">
      <w:pPr>
        <w:spacing w:before="75" w:line="227" w:lineRule="auto"/>
        <w:ind w:left="202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（附法定代表人身份证正反两面扫描件）</w:t>
      </w:r>
    </w:p>
    <w:p w14:paraId="03790A8B">
      <w:pPr>
        <w:pStyle w:val="7"/>
        <w:spacing w:line="276" w:lineRule="auto"/>
        <w:rPr>
          <w:rFonts w:hint="eastAsia" w:ascii="仿宋" w:hAnsi="仿宋" w:eastAsia="仿宋" w:cs="仿宋"/>
          <w:color w:val="auto"/>
          <w:sz w:val="24"/>
          <w:szCs w:val="24"/>
          <w:highlight w:val="none"/>
          <w:lang w:eastAsia="zh-CN"/>
        </w:rPr>
      </w:pPr>
    </w:p>
    <w:p w14:paraId="2BA38F74">
      <w:pPr>
        <w:pStyle w:val="7"/>
        <w:spacing w:line="276" w:lineRule="auto"/>
        <w:rPr>
          <w:rFonts w:hint="eastAsia" w:ascii="仿宋" w:hAnsi="仿宋" w:eastAsia="仿宋" w:cs="仿宋"/>
          <w:color w:val="auto"/>
          <w:sz w:val="24"/>
          <w:szCs w:val="24"/>
          <w:highlight w:val="none"/>
          <w:lang w:eastAsia="zh-CN"/>
        </w:rPr>
      </w:pPr>
    </w:p>
    <w:p w14:paraId="3D6C9721">
      <w:pPr>
        <w:pStyle w:val="7"/>
        <w:spacing w:line="277" w:lineRule="auto"/>
        <w:rPr>
          <w:rFonts w:hint="eastAsia" w:ascii="仿宋" w:hAnsi="仿宋" w:eastAsia="仿宋" w:cs="仿宋"/>
          <w:color w:val="auto"/>
          <w:sz w:val="24"/>
          <w:szCs w:val="24"/>
          <w:highlight w:val="none"/>
          <w:lang w:eastAsia="zh-CN"/>
        </w:rPr>
      </w:pPr>
    </w:p>
    <w:p w14:paraId="7EA91120">
      <w:pPr>
        <w:pStyle w:val="7"/>
        <w:spacing w:line="277" w:lineRule="auto"/>
        <w:rPr>
          <w:rFonts w:hint="eastAsia" w:ascii="仿宋" w:hAnsi="仿宋" w:eastAsia="仿宋" w:cs="仿宋"/>
          <w:color w:val="auto"/>
          <w:sz w:val="24"/>
          <w:szCs w:val="24"/>
          <w:highlight w:val="none"/>
          <w:lang w:eastAsia="zh-CN"/>
        </w:rPr>
      </w:pPr>
    </w:p>
    <w:p w14:paraId="382130FA">
      <w:pPr>
        <w:pStyle w:val="7"/>
        <w:spacing w:line="277" w:lineRule="auto"/>
        <w:rPr>
          <w:rFonts w:hint="eastAsia" w:ascii="仿宋" w:hAnsi="仿宋" w:eastAsia="仿宋" w:cs="仿宋"/>
          <w:color w:val="auto"/>
          <w:sz w:val="24"/>
          <w:szCs w:val="24"/>
          <w:highlight w:val="none"/>
          <w:lang w:eastAsia="zh-CN"/>
        </w:rPr>
      </w:pPr>
    </w:p>
    <w:p w14:paraId="26C21005">
      <w:pPr>
        <w:pStyle w:val="7"/>
        <w:spacing w:line="277" w:lineRule="auto"/>
        <w:rPr>
          <w:rFonts w:hint="eastAsia" w:ascii="仿宋" w:hAnsi="仿宋" w:eastAsia="仿宋" w:cs="仿宋"/>
          <w:color w:val="auto"/>
          <w:sz w:val="24"/>
          <w:szCs w:val="24"/>
          <w:highlight w:val="none"/>
          <w:lang w:eastAsia="zh-CN"/>
        </w:rPr>
      </w:pPr>
    </w:p>
    <w:p w14:paraId="6678970F">
      <w:pPr>
        <w:spacing w:before="75" w:line="341" w:lineRule="exact"/>
        <w:ind w:left="45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position w:val="7"/>
          <w:sz w:val="24"/>
          <w:szCs w:val="24"/>
          <w:highlight w:val="none"/>
          <w:lang w:eastAsia="zh-CN"/>
        </w:rPr>
        <w:t>谈判供应商名称（电子公章）：</w:t>
      </w:r>
    </w:p>
    <w:p w14:paraId="2EC7A0F5">
      <w:pPr>
        <w:spacing w:before="1" w:line="227" w:lineRule="auto"/>
        <w:ind w:left="497"/>
        <w:rPr>
          <w:rFonts w:hint="eastAsia" w:ascii="仿宋" w:hAnsi="仿宋" w:eastAsia="仿宋" w:cs="仿宋"/>
          <w:color w:val="auto"/>
          <w:sz w:val="24"/>
          <w:szCs w:val="24"/>
          <w:highlight w:val="none"/>
          <w:lang w:eastAsia="zh-CN"/>
        </w:rPr>
        <w:sectPr>
          <w:footerReference r:id="rId17" w:type="default"/>
          <w:pgSz w:w="11906" w:h="16838"/>
          <w:pgMar w:top="1440" w:right="1800" w:bottom="1440" w:left="1800" w:header="0" w:footer="812" w:gutter="0"/>
          <w:pgNumType w:fmt="decimal"/>
          <w:cols w:space="720" w:num="1"/>
        </w:sectPr>
      </w:pPr>
      <w:r>
        <w:rPr>
          <w:rFonts w:hint="eastAsia" w:ascii="仿宋" w:hAnsi="仿宋" w:eastAsia="仿宋" w:cs="仿宋"/>
          <w:color w:val="auto"/>
          <w:spacing w:val="-18"/>
          <w:sz w:val="24"/>
          <w:szCs w:val="24"/>
          <w:highlight w:val="none"/>
          <w:lang w:eastAsia="zh-CN"/>
        </w:rPr>
        <w:t>日</w:t>
      </w:r>
      <w:r>
        <w:rPr>
          <w:rFonts w:hint="eastAsia" w:ascii="仿宋" w:hAnsi="仿宋" w:eastAsia="仿宋" w:cs="仿宋"/>
          <w:color w:val="auto"/>
          <w:spacing w:val="10"/>
          <w:sz w:val="24"/>
          <w:szCs w:val="24"/>
          <w:highlight w:val="none"/>
          <w:lang w:eastAsia="zh-CN"/>
        </w:rPr>
        <w:t xml:space="preserve">   </w:t>
      </w:r>
      <w:r>
        <w:rPr>
          <w:rFonts w:hint="eastAsia" w:ascii="仿宋" w:hAnsi="仿宋" w:eastAsia="仿宋" w:cs="仿宋"/>
          <w:color w:val="auto"/>
          <w:spacing w:val="-18"/>
          <w:sz w:val="24"/>
          <w:szCs w:val="24"/>
          <w:highlight w:val="none"/>
          <w:lang w:eastAsia="zh-CN"/>
        </w:rPr>
        <w:t>期：  年</w:t>
      </w:r>
      <w:r>
        <w:rPr>
          <w:rFonts w:hint="eastAsia" w:ascii="仿宋" w:hAnsi="仿宋" w:eastAsia="仿宋" w:cs="仿宋"/>
          <w:color w:val="auto"/>
          <w:spacing w:val="22"/>
          <w:sz w:val="24"/>
          <w:szCs w:val="24"/>
          <w:highlight w:val="none"/>
          <w:lang w:eastAsia="zh-CN"/>
        </w:rPr>
        <w:t xml:space="preserve"> </w:t>
      </w:r>
      <w:r>
        <w:rPr>
          <w:rFonts w:hint="eastAsia" w:ascii="仿宋" w:hAnsi="仿宋" w:eastAsia="仿宋" w:cs="仿宋"/>
          <w:color w:val="auto"/>
          <w:spacing w:val="-18"/>
          <w:sz w:val="24"/>
          <w:szCs w:val="24"/>
          <w:highlight w:val="none"/>
          <w:lang w:eastAsia="zh-CN"/>
        </w:rPr>
        <w:t>月</w:t>
      </w:r>
      <w:r>
        <w:rPr>
          <w:rFonts w:hint="eastAsia" w:ascii="仿宋" w:hAnsi="仿宋" w:eastAsia="仿宋" w:cs="仿宋"/>
          <w:color w:val="auto"/>
          <w:spacing w:val="55"/>
          <w:sz w:val="24"/>
          <w:szCs w:val="24"/>
          <w:highlight w:val="none"/>
          <w:lang w:eastAsia="zh-CN"/>
        </w:rPr>
        <w:t xml:space="preserve"> </w:t>
      </w:r>
      <w:r>
        <w:rPr>
          <w:rFonts w:hint="eastAsia" w:ascii="仿宋" w:hAnsi="仿宋" w:eastAsia="仿宋" w:cs="仿宋"/>
          <w:color w:val="auto"/>
          <w:spacing w:val="-18"/>
          <w:sz w:val="24"/>
          <w:szCs w:val="24"/>
          <w:highlight w:val="none"/>
          <w:lang w:eastAsia="zh-CN"/>
        </w:rPr>
        <w:t>日</w:t>
      </w:r>
    </w:p>
    <w:p w14:paraId="6CD3168E">
      <w:pPr>
        <w:spacing w:before="91" w:line="219" w:lineRule="auto"/>
        <w:ind w:left="10"/>
        <w:outlineLvl w:val="2"/>
        <w:rPr>
          <w:rFonts w:hint="eastAsia" w:ascii="仿宋" w:hAnsi="仿宋" w:eastAsia="仿宋" w:cs="仿宋"/>
          <w:color w:val="auto"/>
          <w:spacing w:val="-3"/>
          <w:sz w:val="28"/>
          <w:szCs w:val="28"/>
          <w:highlight w:val="none"/>
          <w:lang w:eastAsia="zh-CN"/>
          <w14:textOutline w14:w="5130" w14:cap="flat" w14:cmpd="sng" w14:algn="ctr">
            <w14:solidFill>
              <w14:srgbClr w14:val="000000"/>
            </w14:solidFill>
            <w14:prstDash w14:val="solid"/>
            <w14:miter w14:val="0"/>
          </w14:textOutline>
        </w:rPr>
      </w:pPr>
      <w:bookmarkStart w:id="259" w:name="_Toc27602"/>
      <w:r>
        <w:rPr>
          <w:rFonts w:hint="eastAsia" w:ascii="仿宋" w:hAnsi="仿宋" w:eastAsia="仿宋" w:cs="仿宋"/>
          <w:color w:val="auto"/>
          <w:spacing w:val="-3"/>
          <w:sz w:val="28"/>
          <w:szCs w:val="28"/>
          <w:highlight w:val="none"/>
          <w:lang w:eastAsia="zh-CN"/>
          <w14:textOutline w14:w="5130" w14:cap="flat" w14:cmpd="sng" w14:algn="ctr">
            <w14:solidFill>
              <w14:srgbClr w14:val="000000"/>
            </w14:solidFill>
            <w14:prstDash w14:val="solid"/>
            <w14:miter w14:val="0"/>
          </w14:textOutline>
        </w:rPr>
        <w:t>（三）拟派本项目负责人及主要人员情况表</w:t>
      </w:r>
      <w:bookmarkEnd w:id="259"/>
    </w:p>
    <w:tbl>
      <w:tblPr>
        <w:tblStyle w:val="1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891"/>
        <w:gridCol w:w="561"/>
        <w:gridCol w:w="339"/>
        <w:gridCol w:w="321"/>
        <w:gridCol w:w="665"/>
        <w:gridCol w:w="619"/>
        <w:gridCol w:w="894"/>
        <w:gridCol w:w="184"/>
        <w:gridCol w:w="1103"/>
        <w:gridCol w:w="174"/>
        <w:gridCol w:w="520"/>
        <w:gridCol w:w="494"/>
        <w:gridCol w:w="66"/>
        <w:gridCol w:w="1440"/>
      </w:tblGrid>
      <w:tr w14:paraId="1EA9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9360" w:type="dxa"/>
            <w:gridSpan w:val="16"/>
            <w:vAlign w:val="center"/>
          </w:tcPr>
          <w:p w14:paraId="0E23F936">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拟派项目负责人资料情况</w:t>
            </w:r>
          </w:p>
        </w:tc>
      </w:tr>
      <w:tr w14:paraId="4116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89" w:type="dxa"/>
            <w:gridSpan w:val="2"/>
            <w:vAlign w:val="center"/>
          </w:tcPr>
          <w:p w14:paraId="0F3E205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452" w:type="dxa"/>
            <w:gridSpan w:val="2"/>
            <w:vAlign w:val="center"/>
          </w:tcPr>
          <w:p w14:paraId="73D4D2D2">
            <w:pPr>
              <w:jc w:val="center"/>
              <w:rPr>
                <w:rFonts w:hint="eastAsia" w:ascii="仿宋" w:hAnsi="仿宋" w:eastAsia="仿宋" w:cs="仿宋"/>
                <w:color w:val="auto"/>
                <w:sz w:val="24"/>
                <w:szCs w:val="24"/>
                <w:highlight w:val="none"/>
              </w:rPr>
            </w:pPr>
          </w:p>
        </w:tc>
        <w:tc>
          <w:tcPr>
            <w:tcW w:w="1325" w:type="dxa"/>
            <w:gridSpan w:val="3"/>
            <w:vAlign w:val="center"/>
          </w:tcPr>
          <w:p w14:paraId="3B1C1A8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1697" w:type="dxa"/>
            <w:gridSpan w:val="3"/>
            <w:vAlign w:val="center"/>
          </w:tcPr>
          <w:p w14:paraId="5140C61C">
            <w:pPr>
              <w:jc w:val="center"/>
              <w:rPr>
                <w:rFonts w:hint="eastAsia" w:ascii="仿宋" w:hAnsi="仿宋" w:eastAsia="仿宋" w:cs="仿宋"/>
                <w:color w:val="auto"/>
                <w:sz w:val="24"/>
                <w:szCs w:val="24"/>
                <w:highlight w:val="none"/>
              </w:rPr>
            </w:pPr>
          </w:p>
        </w:tc>
        <w:tc>
          <w:tcPr>
            <w:tcW w:w="1797" w:type="dxa"/>
            <w:gridSpan w:val="3"/>
            <w:vAlign w:val="center"/>
          </w:tcPr>
          <w:p w14:paraId="3631A34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2000" w:type="dxa"/>
            <w:gridSpan w:val="3"/>
            <w:vAlign w:val="center"/>
          </w:tcPr>
          <w:p w14:paraId="18B1CD0A">
            <w:pPr>
              <w:jc w:val="center"/>
              <w:rPr>
                <w:rFonts w:hint="eastAsia" w:ascii="仿宋" w:hAnsi="仿宋" w:eastAsia="仿宋" w:cs="仿宋"/>
                <w:color w:val="auto"/>
                <w:sz w:val="24"/>
                <w:szCs w:val="24"/>
                <w:highlight w:val="none"/>
              </w:rPr>
            </w:pPr>
          </w:p>
        </w:tc>
      </w:tr>
      <w:tr w14:paraId="0349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89" w:type="dxa"/>
            <w:gridSpan w:val="2"/>
            <w:vAlign w:val="center"/>
          </w:tcPr>
          <w:p w14:paraId="2AE5B32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452" w:type="dxa"/>
            <w:gridSpan w:val="2"/>
            <w:vAlign w:val="center"/>
          </w:tcPr>
          <w:p w14:paraId="75A68D14">
            <w:pPr>
              <w:jc w:val="center"/>
              <w:rPr>
                <w:rFonts w:hint="eastAsia" w:ascii="仿宋" w:hAnsi="仿宋" w:eastAsia="仿宋" w:cs="仿宋"/>
                <w:color w:val="auto"/>
                <w:sz w:val="24"/>
                <w:szCs w:val="24"/>
                <w:highlight w:val="none"/>
              </w:rPr>
            </w:pPr>
          </w:p>
        </w:tc>
        <w:tc>
          <w:tcPr>
            <w:tcW w:w="1325" w:type="dxa"/>
            <w:gridSpan w:val="3"/>
            <w:vAlign w:val="center"/>
          </w:tcPr>
          <w:p w14:paraId="5858436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697" w:type="dxa"/>
            <w:gridSpan w:val="3"/>
            <w:vAlign w:val="center"/>
          </w:tcPr>
          <w:p w14:paraId="3326135D">
            <w:pPr>
              <w:jc w:val="center"/>
              <w:rPr>
                <w:rFonts w:hint="eastAsia" w:ascii="仿宋" w:hAnsi="仿宋" w:eastAsia="仿宋" w:cs="仿宋"/>
                <w:color w:val="auto"/>
                <w:sz w:val="24"/>
                <w:szCs w:val="24"/>
                <w:highlight w:val="none"/>
              </w:rPr>
            </w:pPr>
          </w:p>
        </w:tc>
        <w:tc>
          <w:tcPr>
            <w:tcW w:w="1797" w:type="dxa"/>
            <w:gridSpan w:val="3"/>
            <w:vAlign w:val="center"/>
          </w:tcPr>
          <w:p w14:paraId="3C4DCEC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2000" w:type="dxa"/>
            <w:gridSpan w:val="3"/>
            <w:vAlign w:val="center"/>
          </w:tcPr>
          <w:p w14:paraId="6876AF83">
            <w:pPr>
              <w:jc w:val="center"/>
              <w:rPr>
                <w:rFonts w:hint="eastAsia" w:ascii="仿宋" w:hAnsi="仿宋" w:eastAsia="仿宋" w:cs="仿宋"/>
                <w:color w:val="auto"/>
                <w:sz w:val="24"/>
                <w:szCs w:val="24"/>
                <w:highlight w:val="none"/>
              </w:rPr>
            </w:pPr>
          </w:p>
        </w:tc>
      </w:tr>
      <w:tr w14:paraId="1A1A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089" w:type="dxa"/>
            <w:gridSpan w:val="2"/>
            <w:vAlign w:val="center"/>
          </w:tcPr>
          <w:p w14:paraId="357251E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8271" w:type="dxa"/>
            <w:gridSpan w:val="14"/>
            <w:vAlign w:val="center"/>
          </w:tcPr>
          <w:p w14:paraId="5F7DFCC2">
            <w:pPr>
              <w:jc w:val="center"/>
              <w:rPr>
                <w:rFonts w:hint="eastAsia" w:ascii="仿宋" w:hAnsi="仿宋" w:eastAsia="仿宋" w:cs="仿宋"/>
                <w:color w:val="auto"/>
                <w:sz w:val="24"/>
                <w:szCs w:val="24"/>
                <w:highlight w:val="none"/>
              </w:rPr>
            </w:pPr>
          </w:p>
        </w:tc>
      </w:tr>
      <w:tr w14:paraId="05E1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089" w:type="dxa"/>
            <w:gridSpan w:val="2"/>
            <w:vAlign w:val="center"/>
          </w:tcPr>
          <w:p w14:paraId="4285008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参加工作时间</w:t>
            </w:r>
          </w:p>
        </w:tc>
        <w:tc>
          <w:tcPr>
            <w:tcW w:w="1452" w:type="dxa"/>
            <w:gridSpan w:val="2"/>
            <w:vAlign w:val="center"/>
          </w:tcPr>
          <w:p w14:paraId="548F53AD">
            <w:pPr>
              <w:jc w:val="center"/>
              <w:rPr>
                <w:rFonts w:hint="eastAsia" w:ascii="仿宋" w:hAnsi="仿宋" w:eastAsia="仿宋" w:cs="仿宋"/>
                <w:color w:val="auto"/>
                <w:sz w:val="24"/>
                <w:szCs w:val="24"/>
                <w:highlight w:val="none"/>
              </w:rPr>
            </w:pPr>
          </w:p>
        </w:tc>
        <w:tc>
          <w:tcPr>
            <w:tcW w:w="4819" w:type="dxa"/>
            <w:gridSpan w:val="9"/>
            <w:vAlign w:val="center"/>
          </w:tcPr>
          <w:p w14:paraId="5136EF82">
            <w:pPr>
              <w:widowControl w:val="0"/>
              <w:jc w:val="both"/>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从事</w:t>
            </w:r>
            <w:r>
              <w:rPr>
                <w:rFonts w:hint="eastAsia" w:ascii="仿宋" w:hAnsi="仿宋" w:eastAsia="仿宋" w:cs="仿宋"/>
                <w:color w:val="auto"/>
                <w:sz w:val="24"/>
                <w:szCs w:val="24"/>
                <w:highlight w:val="none"/>
                <w:lang w:eastAsia="zh-CN"/>
              </w:rPr>
              <w:t>同类</w:t>
            </w:r>
            <w:r>
              <w:rPr>
                <w:rFonts w:hint="eastAsia" w:ascii="仿宋" w:hAnsi="仿宋" w:eastAsia="仿宋" w:cs="仿宋"/>
                <w:color w:val="auto"/>
                <w:kern w:val="2"/>
                <w:sz w:val="24"/>
                <w:szCs w:val="24"/>
                <w:highlight w:val="none"/>
                <w:lang w:eastAsia="zh-CN"/>
              </w:rPr>
              <w:t>项目负责人年限</w:t>
            </w:r>
          </w:p>
        </w:tc>
        <w:tc>
          <w:tcPr>
            <w:tcW w:w="2000" w:type="dxa"/>
            <w:gridSpan w:val="3"/>
            <w:vAlign w:val="center"/>
          </w:tcPr>
          <w:p w14:paraId="13B50160">
            <w:pPr>
              <w:jc w:val="center"/>
              <w:rPr>
                <w:rFonts w:hint="eastAsia" w:ascii="仿宋" w:hAnsi="仿宋" w:eastAsia="仿宋" w:cs="仿宋"/>
                <w:color w:val="auto"/>
                <w:sz w:val="24"/>
                <w:szCs w:val="24"/>
                <w:highlight w:val="none"/>
                <w:lang w:eastAsia="zh-CN"/>
              </w:rPr>
            </w:pPr>
          </w:p>
        </w:tc>
      </w:tr>
      <w:tr w14:paraId="0003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089" w:type="dxa"/>
            <w:gridSpan w:val="2"/>
            <w:vAlign w:val="center"/>
          </w:tcPr>
          <w:p w14:paraId="14B3237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具有认证资质</w:t>
            </w:r>
          </w:p>
        </w:tc>
        <w:tc>
          <w:tcPr>
            <w:tcW w:w="8271" w:type="dxa"/>
            <w:gridSpan w:val="14"/>
            <w:vAlign w:val="center"/>
          </w:tcPr>
          <w:p w14:paraId="51E41C14">
            <w:pPr>
              <w:jc w:val="center"/>
              <w:rPr>
                <w:rFonts w:hint="eastAsia" w:ascii="仿宋" w:hAnsi="仿宋" w:eastAsia="仿宋" w:cs="仿宋"/>
                <w:color w:val="auto"/>
                <w:sz w:val="24"/>
                <w:szCs w:val="24"/>
                <w:highlight w:val="none"/>
              </w:rPr>
            </w:pPr>
          </w:p>
        </w:tc>
      </w:tr>
      <w:tr w14:paraId="0448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360" w:type="dxa"/>
            <w:gridSpan w:val="16"/>
            <w:vAlign w:val="center"/>
          </w:tcPr>
          <w:p w14:paraId="1AC112F5">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已完成的部分同类项目情况</w:t>
            </w:r>
          </w:p>
        </w:tc>
      </w:tr>
      <w:tr w14:paraId="17BF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018" w:type="dxa"/>
            <w:vAlign w:val="center"/>
          </w:tcPr>
          <w:p w14:paraId="75F5B38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p w14:paraId="5304698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2183" w:type="dxa"/>
            <w:gridSpan w:val="5"/>
            <w:vAlign w:val="center"/>
          </w:tcPr>
          <w:p w14:paraId="67054F9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2178" w:type="dxa"/>
            <w:gridSpan w:val="3"/>
            <w:vAlign w:val="center"/>
          </w:tcPr>
          <w:p w14:paraId="39A455D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主要工作内容</w:t>
            </w:r>
          </w:p>
        </w:tc>
        <w:tc>
          <w:tcPr>
            <w:tcW w:w="1287" w:type="dxa"/>
            <w:gridSpan w:val="2"/>
            <w:vAlign w:val="center"/>
          </w:tcPr>
          <w:p w14:paraId="70796EB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项目金额</w:t>
            </w:r>
          </w:p>
        </w:tc>
        <w:tc>
          <w:tcPr>
            <w:tcW w:w="1188" w:type="dxa"/>
            <w:gridSpan w:val="3"/>
            <w:vAlign w:val="center"/>
          </w:tcPr>
          <w:p w14:paraId="72FB521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完成日期</w:t>
            </w:r>
          </w:p>
        </w:tc>
        <w:tc>
          <w:tcPr>
            <w:tcW w:w="1506" w:type="dxa"/>
            <w:gridSpan w:val="2"/>
            <w:vAlign w:val="center"/>
          </w:tcPr>
          <w:p w14:paraId="3023874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成果质量</w:t>
            </w:r>
          </w:p>
          <w:p w14:paraId="7095651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等级评定</w:t>
            </w:r>
          </w:p>
        </w:tc>
      </w:tr>
      <w:tr w14:paraId="4677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vAlign w:val="center"/>
          </w:tcPr>
          <w:p w14:paraId="440666A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183" w:type="dxa"/>
            <w:gridSpan w:val="5"/>
            <w:vAlign w:val="center"/>
          </w:tcPr>
          <w:p w14:paraId="6E29E72A">
            <w:pPr>
              <w:jc w:val="center"/>
              <w:rPr>
                <w:rFonts w:hint="eastAsia" w:ascii="仿宋" w:hAnsi="仿宋" w:eastAsia="仿宋" w:cs="仿宋"/>
                <w:color w:val="auto"/>
                <w:sz w:val="24"/>
                <w:szCs w:val="24"/>
                <w:highlight w:val="none"/>
              </w:rPr>
            </w:pPr>
          </w:p>
        </w:tc>
        <w:tc>
          <w:tcPr>
            <w:tcW w:w="2178" w:type="dxa"/>
            <w:gridSpan w:val="3"/>
            <w:vAlign w:val="center"/>
          </w:tcPr>
          <w:p w14:paraId="4F032342">
            <w:pPr>
              <w:jc w:val="center"/>
              <w:rPr>
                <w:rFonts w:hint="eastAsia" w:ascii="仿宋" w:hAnsi="仿宋" w:eastAsia="仿宋" w:cs="仿宋"/>
                <w:color w:val="auto"/>
                <w:sz w:val="24"/>
                <w:szCs w:val="24"/>
                <w:highlight w:val="none"/>
              </w:rPr>
            </w:pPr>
          </w:p>
        </w:tc>
        <w:tc>
          <w:tcPr>
            <w:tcW w:w="1287" w:type="dxa"/>
            <w:gridSpan w:val="2"/>
            <w:vAlign w:val="center"/>
          </w:tcPr>
          <w:p w14:paraId="514ECB77">
            <w:pPr>
              <w:jc w:val="center"/>
              <w:rPr>
                <w:rFonts w:hint="eastAsia" w:ascii="仿宋" w:hAnsi="仿宋" w:eastAsia="仿宋" w:cs="仿宋"/>
                <w:color w:val="auto"/>
                <w:sz w:val="24"/>
                <w:szCs w:val="24"/>
                <w:highlight w:val="none"/>
              </w:rPr>
            </w:pPr>
          </w:p>
        </w:tc>
        <w:tc>
          <w:tcPr>
            <w:tcW w:w="1188" w:type="dxa"/>
            <w:gridSpan w:val="3"/>
            <w:vAlign w:val="center"/>
          </w:tcPr>
          <w:p w14:paraId="59318FEB">
            <w:pPr>
              <w:jc w:val="center"/>
              <w:rPr>
                <w:rFonts w:hint="eastAsia" w:ascii="仿宋" w:hAnsi="仿宋" w:eastAsia="仿宋" w:cs="仿宋"/>
                <w:color w:val="auto"/>
                <w:sz w:val="24"/>
                <w:szCs w:val="24"/>
                <w:highlight w:val="none"/>
              </w:rPr>
            </w:pPr>
          </w:p>
        </w:tc>
        <w:tc>
          <w:tcPr>
            <w:tcW w:w="1506" w:type="dxa"/>
            <w:gridSpan w:val="2"/>
            <w:vAlign w:val="center"/>
          </w:tcPr>
          <w:p w14:paraId="633741B7">
            <w:pPr>
              <w:jc w:val="center"/>
              <w:rPr>
                <w:rFonts w:hint="eastAsia" w:ascii="仿宋" w:hAnsi="仿宋" w:eastAsia="仿宋" w:cs="仿宋"/>
                <w:color w:val="auto"/>
                <w:sz w:val="24"/>
                <w:szCs w:val="24"/>
                <w:highlight w:val="none"/>
              </w:rPr>
            </w:pPr>
          </w:p>
        </w:tc>
      </w:tr>
      <w:tr w14:paraId="5A2F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vAlign w:val="center"/>
          </w:tcPr>
          <w:p w14:paraId="5DDF1A7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183" w:type="dxa"/>
            <w:gridSpan w:val="5"/>
            <w:vAlign w:val="center"/>
          </w:tcPr>
          <w:p w14:paraId="770840B4">
            <w:pPr>
              <w:jc w:val="center"/>
              <w:rPr>
                <w:rFonts w:hint="eastAsia" w:ascii="仿宋" w:hAnsi="仿宋" w:eastAsia="仿宋" w:cs="仿宋"/>
                <w:color w:val="auto"/>
                <w:sz w:val="24"/>
                <w:szCs w:val="24"/>
                <w:highlight w:val="none"/>
              </w:rPr>
            </w:pPr>
          </w:p>
        </w:tc>
        <w:tc>
          <w:tcPr>
            <w:tcW w:w="2178" w:type="dxa"/>
            <w:gridSpan w:val="3"/>
            <w:vAlign w:val="center"/>
          </w:tcPr>
          <w:p w14:paraId="5B93A2B0">
            <w:pPr>
              <w:jc w:val="center"/>
              <w:rPr>
                <w:rFonts w:hint="eastAsia" w:ascii="仿宋" w:hAnsi="仿宋" w:eastAsia="仿宋" w:cs="仿宋"/>
                <w:color w:val="auto"/>
                <w:sz w:val="24"/>
                <w:szCs w:val="24"/>
                <w:highlight w:val="none"/>
              </w:rPr>
            </w:pPr>
          </w:p>
        </w:tc>
        <w:tc>
          <w:tcPr>
            <w:tcW w:w="1287" w:type="dxa"/>
            <w:gridSpan w:val="2"/>
            <w:vAlign w:val="center"/>
          </w:tcPr>
          <w:p w14:paraId="5E9950EE">
            <w:pPr>
              <w:jc w:val="center"/>
              <w:rPr>
                <w:rFonts w:hint="eastAsia" w:ascii="仿宋" w:hAnsi="仿宋" w:eastAsia="仿宋" w:cs="仿宋"/>
                <w:color w:val="auto"/>
                <w:sz w:val="24"/>
                <w:szCs w:val="24"/>
                <w:highlight w:val="none"/>
              </w:rPr>
            </w:pPr>
          </w:p>
        </w:tc>
        <w:tc>
          <w:tcPr>
            <w:tcW w:w="1188" w:type="dxa"/>
            <w:gridSpan w:val="3"/>
            <w:vAlign w:val="center"/>
          </w:tcPr>
          <w:p w14:paraId="4CC964EE">
            <w:pPr>
              <w:jc w:val="center"/>
              <w:rPr>
                <w:rFonts w:hint="eastAsia" w:ascii="仿宋" w:hAnsi="仿宋" w:eastAsia="仿宋" w:cs="仿宋"/>
                <w:color w:val="auto"/>
                <w:sz w:val="24"/>
                <w:szCs w:val="24"/>
                <w:highlight w:val="none"/>
              </w:rPr>
            </w:pPr>
          </w:p>
        </w:tc>
        <w:tc>
          <w:tcPr>
            <w:tcW w:w="1506" w:type="dxa"/>
            <w:gridSpan w:val="2"/>
            <w:vAlign w:val="center"/>
          </w:tcPr>
          <w:p w14:paraId="12D61D04">
            <w:pPr>
              <w:jc w:val="center"/>
              <w:rPr>
                <w:rFonts w:hint="eastAsia" w:ascii="仿宋" w:hAnsi="仿宋" w:eastAsia="仿宋" w:cs="仿宋"/>
                <w:color w:val="auto"/>
                <w:sz w:val="24"/>
                <w:szCs w:val="24"/>
                <w:highlight w:val="none"/>
              </w:rPr>
            </w:pPr>
          </w:p>
        </w:tc>
      </w:tr>
      <w:tr w14:paraId="65C9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vAlign w:val="center"/>
          </w:tcPr>
          <w:p w14:paraId="0696F58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183" w:type="dxa"/>
            <w:gridSpan w:val="5"/>
            <w:vAlign w:val="center"/>
          </w:tcPr>
          <w:p w14:paraId="3DDD3E4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178" w:type="dxa"/>
            <w:gridSpan w:val="3"/>
            <w:vAlign w:val="center"/>
          </w:tcPr>
          <w:p w14:paraId="200128D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287" w:type="dxa"/>
            <w:gridSpan w:val="2"/>
            <w:vAlign w:val="center"/>
          </w:tcPr>
          <w:p w14:paraId="2A75C5E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188" w:type="dxa"/>
            <w:gridSpan w:val="3"/>
            <w:vAlign w:val="center"/>
          </w:tcPr>
          <w:p w14:paraId="53196C9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506" w:type="dxa"/>
            <w:gridSpan w:val="2"/>
            <w:vAlign w:val="center"/>
          </w:tcPr>
          <w:p w14:paraId="5F2217E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r w14:paraId="2299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360" w:type="dxa"/>
            <w:gridSpan w:val="16"/>
            <w:vAlign w:val="center"/>
          </w:tcPr>
          <w:p w14:paraId="64AFD1B0">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拟参与本项目主要人员情况</w:t>
            </w:r>
          </w:p>
        </w:tc>
      </w:tr>
      <w:tr w14:paraId="7670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089" w:type="dxa"/>
            <w:gridSpan w:val="2"/>
            <w:vAlign w:val="center"/>
          </w:tcPr>
          <w:p w14:paraId="4F0C900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891" w:type="dxa"/>
            <w:vAlign w:val="center"/>
          </w:tcPr>
          <w:p w14:paraId="70CAA51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900" w:type="dxa"/>
            <w:gridSpan w:val="2"/>
            <w:vAlign w:val="center"/>
          </w:tcPr>
          <w:p w14:paraId="0CACAE4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605" w:type="dxa"/>
            <w:gridSpan w:val="3"/>
            <w:vAlign w:val="center"/>
          </w:tcPr>
          <w:p w14:paraId="211AC15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078" w:type="dxa"/>
            <w:gridSpan w:val="2"/>
            <w:vAlign w:val="center"/>
          </w:tcPr>
          <w:p w14:paraId="45C2972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277" w:type="dxa"/>
            <w:gridSpan w:val="2"/>
            <w:vAlign w:val="center"/>
          </w:tcPr>
          <w:p w14:paraId="0D4B57B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080" w:type="dxa"/>
            <w:gridSpan w:val="3"/>
            <w:vAlign w:val="center"/>
          </w:tcPr>
          <w:p w14:paraId="0A144E8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经验年限</w:t>
            </w:r>
          </w:p>
        </w:tc>
        <w:tc>
          <w:tcPr>
            <w:tcW w:w="1440" w:type="dxa"/>
            <w:vAlign w:val="center"/>
          </w:tcPr>
          <w:p w14:paraId="3E4D384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拟任职务</w:t>
            </w:r>
          </w:p>
        </w:tc>
      </w:tr>
      <w:tr w14:paraId="53BE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089" w:type="dxa"/>
            <w:gridSpan w:val="2"/>
            <w:vAlign w:val="center"/>
          </w:tcPr>
          <w:p w14:paraId="53F10FBA">
            <w:pPr>
              <w:jc w:val="center"/>
              <w:rPr>
                <w:rFonts w:hint="eastAsia" w:ascii="仿宋" w:hAnsi="仿宋" w:eastAsia="仿宋" w:cs="仿宋"/>
                <w:color w:val="auto"/>
                <w:sz w:val="24"/>
                <w:szCs w:val="24"/>
                <w:highlight w:val="none"/>
              </w:rPr>
            </w:pPr>
          </w:p>
        </w:tc>
        <w:tc>
          <w:tcPr>
            <w:tcW w:w="891" w:type="dxa"/>
            <w:vAlign w:val="center"/>
          </w:tcPr>
          <w:p w14:paraId="58FC198E">
            <w:pPr>
              <w:jc w:val="center"/>
              <w:rPr>
                <w:rFonts w:hint="eastAsia" w:ascii="仿宋" w:hAnsi="仿宋" w:eastAsia="仿宋" w:cs="仿宋"/>
                <w:color w:val="auto"/>
                <w:sz w:val="24"/>
                <w:szCs w:val="24"/>
                <w:highlight w:val="none"/>
              </w:rPr>
            </w:pPr>
          </w:p>
        </w:tc>
        <w:tc>
          <w:tcPr>
            <w:tcW w:w="900" w:type="dxa"/>
            <w:gridSpan w:val="2"/>
            <w:vAlign w:val="center"/>
          </w:tcPr>
          <w:p w14:paraId="4057DDE9">
            <w:pPr>
              <w:jc w:val="center"/>
              <w:rPr>
                <w:rFonts w:hint="eastAsia" w:ascii="仿宋" w:hAnsi="仿宋" w:eastAsia="仿宋" w:cs="仿宋"/>
                <w:color w:val="auto"/>
                <w:sz w:val="24"/>
                <w:szCs w:val="24"/>
                <w:highlight w:val="none"/>
              </w:rPr>
            </w:pPr>
          </w:p>
        </w:tc>
        <w:tc>
          <w:tcPr>
            <w:tcW w:w="1605" w:type="dxa"/>
            <w:gridSpan w:val="3"/>
            <w:vAlign w:val="center"/>
          </w:tcPr>
          <w:p w14:paraId="2DFFAAB9">
            <w:pPr>
              <w:jc w:val="center"/>
              <w:rPr>
                <w:rFonts w:hint="eastAsia" w:ascii="仿宋" w:hAnsi="仿宋" w:eastAsia="仿宋" w:cs="仿宋"/>
                <w:color w:val="auto"/>
                <w:sz w:val="24"/>
                <w:szCs w:val="24"/>
                <w:highlight w:val="none"/>
              </w:rPr>
            </w:pPr>
          </w:p>
        </w:tc>
        <w:tc>
          <w:tcPr>
            <w:tcW w:w="1078" w:type="dxa"/>
            <w:gridSpan w:val="2"/>
            <w:vAlign w:val="center"/>
          </w:tcPr>
          <w:p w14:paraId="763B2D7E">
            <w:pPr>
              <w:jc w:val="center"/>
              <w:rPr>
                <w:rFonts w:hint="eastAsia" w:ascii="仿宋" w:hAnsi="仿宋" w:eastAsia="仿宋" w:cs="仿宋"/>
                <w:color w:val="auto"/>
                <w:sz w:val="24"/>
                <w:szCs w:val="24"/>
                <w:highlight w:val="none"/>
              </w:rPr>
            </w:pPr>
          </w:p>
        </w:tc>
        <w:tc>
          <w:tcPr>
            <w:tcW w:w="1277" w:type="dxa"/>
            <w:gridSpan w:val="2"/>
            <w:vAlign w:val="center"/>
          </w:tcPr>
          <w:p w14:paraId="1DB5535F">
            <w:pPr>
              <w:jc w:val="center"/>
              <w:rPr>
                <w:rFonts w:hint="eastAsia" w:ascii="仿宋" w:hAnsi="仿宋" w:eastAsia="仿宋" w:cs="仿宋"/>
                <w:color w:val="auto"/>
                <w:sz w:val="24"/>
                <w:szCs w:val="24"/>
                <w:highlight w:val="none"/>
              </w:rPr>
            </w:pPr>
          </w:p>
        </w:tc>
        <w:tc>
          <w:tcPr>
            <w:tcW w:w="1080" w:type="dxa"/>
            <w:gridSpan w:val="3"/>
            <w:vAlign w:val="center"/>
          </w:tcPr>
          <w:p w14:paraId="698559A4">
            <w:pPr>
              <w:jc w:val="center"/>
              <w:rPr>
                <w:rFonts w:hint="eastAsia" w:ascii="仿宋" w:hAnsi="仿宋" w:eastAsia="仿宋" w:cs="仿宋"/>
                <w:color w:val="auto"/>
                <w:sz w:val="24"/>
                <w:szCs w:val="24"/>
                <w:highlight w:val="none"/>
              </w:rPr>
            </w:pPr>
          </w:p>
        </w:tc>
        <w:tc>
          <w:tcPr>
            <w:tcW w:w="1440" w:type="dxa"/>
            <w:vAlign w:val="center"/>
          </w:tcPr>
          <w:p w14:paraId="676B84B7">
            <w:pPr>
              <w:jc w:val="center"/>
              <w:rPr>
                <w:rFonts w:hint="eastAsia" w:ascii="仿宋" w:hAnsi="仿宋" w:eastAsia="仿宋" w:cs="仿宋"/>
                <w:color w:val="auto"/>
                <w:sz w:val="24"/>
                <w:szCs w:val="24"/>
                <w:highlight w:val="none"/>
              </w:rPr>
            </w:pPr>
          </w:p>
        </w:tc>
      </w:tr>
      <w:tr w14:paraId="1858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089" w:type="dxa"/>
            <w:gridSpan w:val="2"/>
            <w:vAlign w:val="center"/>
          </w:tcPr>
          <w:p w14:paraId="452B5DB5">
            <w:pPr>
              <w:jc w:val="center"/>
              <w:rPr>
                <w:rFonts w:hint="eastAsia" w:ascii="仿宋" w:hAnsi="仿宋" w:eastAsia="仿宋" w:cs="仿宋"/>
                <w:color w:val="auto"/>
                <w:sz w:val="24"/>
                <w:szCs w:val="24"/>
                <w:highlight w:val="none"/>
              </w:rPr>
            </w:pPr>
          </w:p>
        </w:tc>
        <w:tc>
          <w:tcPr>
            <w:tcW w:w="891" w:type="dxa"/>
            <w:vAlign w:val="center"/>
          </w:tcPr>
          <w:p w14:paraId="739E8C22">
            <w:pPr>
              <w:jc w:val="center"/>
              <w:rPr>
                <w:rFonts w:hint="eastAsia" w:ascii="仿宋" w:hAnsi="仿宋" w:eastAsia="仿宋" w:cs="仿宋"/>
                <w:color w:val="auto"/>
                <w:sz w:val="24"/>
                <w:szCs w:val="24"/>
                <w:highlight w:val="none"/>
              </w:rPr>
            </w:pPr>
          </w:p>
        </w:tc>
        <w:tc>
          <w:tcPr>
            <w:tcW w:w="900" w:type="dxa"/>
            <w:gridSpan w:val="2"/>
            <w:vAlign w:val="center"/>
          </w:tcPr>
          <w:p w14:paraId="6D8B74C1">
            <w:pPr>
              <w:jc w:val="center"/>
              <w:rPr>
                <w:rFonts w:hint="eastAsia" w:ascii="仿宋" w:hAnsi="仿宋" w:eastAsia="仿宋" w:cs="仿宋"/>
                <w:color w:val="auto"/>
                <w:sz w:val="24"/>
                <w:szCs w:val="24"/>
                <w:highlight w:val="none"/>
              </w:rPr>
            </w:pPr>
          </w:p>
        </w:tc>
        <w:tc>
          <w:tcPr>
            <w:tcW w:w="1605" w:type="dxa"/>
            <w:gridSpan w:val="3"/>
            <w:vAlign w:val="center"/>
          </w:tcPr>
          <w:p w14:paraId="75282ECB">
            <w:pPr>
              <w:jc w:val="center"/>
              <w:rPr>
                <w:rFonts w:hint="eastAsia" w:ascii="仿宋" w:hAnsi="仿宋" w:eastAsia="仿宋" w:cs="仿宋"/>
                <w:color w:val="auto"/>
                <w:sz w:val="24"/>
                <w:szCs w:val="24"/>
                <w:highlight w:val="none"/>
              </w:rPr>
            </w:pPr>
          </w:p>
        </w:tc>
        <w:tc>
          <w:tcPr>
            <w:tcW w:w="1078" w:type="dxa"/>
            <w:gridSpan w:val="2"/>
            <w:vAlign w:val="center"/>
          </w:tcPr>
          <w:p w14:paraId="144DDA66">
            <w:pPr>
              <w:jc w:val="center"/>
              <w:rPr>
                <w:rFonts w:hint="eastAsia" w:ascii="仿宋" w:hAnsi="仿宋" w:eastAsia="仿宋" w:cs="仿宋"/>
                <w:color w:val="auto"/>
                <w:sz w:val="24"/>
                <w:szCs w:val="24"/>
                <w:highlight w:val="none"/>
              </w:rPr>
            </w:pPr>
          </w:p>
        </w:tc>
        <w:tc>
          <w:tcPr>
            <w:tcW w:w="1277" w:type="dxa"/>
            <w:gridSpan w:val="2"/>
            <w:vAlign w:val="center"/>
          </w:tcPr>
          <w:p w14:paraId="1E6FBCB7">
            <w:pPr>
              <w:jc w:val="center"/>
              <w:rPr>
                <w:rFonts w:hint="eastAsia" w:ascii="仿宋" w:hAnsi="仿宋" w:eastAsia="仿宋" w:cs="仿宋"/>
                <w:color w:val="auto"/>
                <w:sz w:val="24"/>
                <w:szCs w:val="24"/>
                <w:highlight w:val="none"/>
              </w:rPr>
            </w:pPr>
          </w:p>
        </w:tc>
        <w:tc>
          <w:tcPr>
            <w:tcW w:w="1080" w:type="dxa"/>
            <w:gridSpan w:val="3"/>
            <w:vAlign w:val="center"/>
          </w:tcPr>
          <w:p w14:paraId="211D9396">
            <w:pPr>
              <w:jc w:val="center"/>
              <w:rPr>
                <w:rFonts w:hint="eastAsia" w:ascii="仿宋" w:hAnsi="仿宋" w:eastAsia="仿宋" w:cs="仿宋"/>
                <w:color w:val="auto"/>
                <w:sz w:val="24"/>
                <w:szCs w:val="24"/>
                <w:highlight w:val="none"/>
              </w:rPr>
            </w:pPr>
          </w:p>
        </w:tc>
        <w:tc>
          <w:tcPr>
            <w:tcW w:w="1440" w:type="dxa"/>
            <w:vAlign w:val="center"/>
          </w:tcPr>
          <w:p w14:paraId="470914AB">
            <w:pPr>
              <w:jc w:val="center"/>
              <w:rPr>
                <w:rFonts w:hint="eastAsia" w:ascii="仿宋" w:hAnsi="仿宋" w:eastAsia="仿宋" w:cs="仿宋"/>
                <w:color w:val="auto"/>
                <w:sz w:val="24"/>
                <w:szCs w:val="24"/>
                <w:highlight w:val="none"/>
              </w:rPr>
            </w:pPr>
          </w:p>
        </w:tc>
      </w:tr>
      <w:tr w14:paraId="5E0D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089" w:type="dxa"/>
            <w:gridSpan w:val="2"/>
            <w:vAlign w:val="center"/>
          </w:tcPr>
          <w:p w14:paraId="33042F1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891" w:type="dxa"/>
            <w:vAlign w:val="center"/>
          </w:tcPr>
          <w:p w14:paraId="410224B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900" w:type="dxa"/>
            <w:gridSpan w:val="2"/>
            <w:vAlign w:val="center"/>
          </w:tcPr>
          <w:p w14:paraId="10BBF29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605" w:type="dxa"/>
            <w:gridSpan w:val="3"/>
            <w:vAlign w:val="center"/>
          </w:tcPr>
          <w:p w14:paraId="361C0AD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78" w:type="dxa"/>
            <w:gridSpan w:val="2"/>
            <w:vAlign w:val="center"/>
          </w:tcPr>
          <w:p w14:paraId="4D56A75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277" w:type="dxa"/>
            <w:gridSpan w:val="2"/>
            <w:vAlign w:val="center"/>
          </w:tcPr>
          <w:p w14:paraId="4724CE4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80" w:type="dxa"/>
            <w:gridSpan w:val="3"/>
            <w:vAlign w:val="center"/>
          </w:tcPr>
          <w:p w14:paraId="1BD9004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4E2F358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440" w:type="dxa"/>
            <w:vAlign w:val="center"/>
          </w:tcPr>
          <w:p w14:paraId="4AF0E616">
            <w:pPr>
              <w:jc w:val="center"/>
              <w:rPr>
                <w:rFonts w:hint="eastAsia" w:ascii="仿宋" w:hAnsi="仿宋" w:eastAsia="仿宋" w:cs="仿宋"/>
                <w:color w:val="auto"/>
                <w:sz w:val="24"/>
                <w:szCs w:val="24"/>
                <w:highlight w:val="none"/>
              </w:rPr>
            </w:pPr>
          </w:p>
        </w:tc>
      </w:tr>
    </w:tbl>
    <w:p w14:paraId="6CC9A170">
      <w:pPr>
        <w:tabs>
          <w:tab w:val="left" w:pos="1050"/>
          <w:tab w:val="left" w:pos="1838"/>
        </w:tabs>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注： 1、上表列出的人员，须附其资质证书的复印件（身份证、学位证、职称证、其他相关认证等）；</w:t>
      </w:r>
    </w:p>
    <w:p w14:paraId="0249DADF">
      <w:pPr>
        <w:tabs>
          <w:tab w:val="left" w:pos="1050"/>
          <w:tab w:val="left" w:pos="1838"/>
        </w:tabs>
        <w:spacing w:line="360" w:lineRule="auto"/>
        <w:ind w:firstLine="614" w:firstLineChars="255"/>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2、须出具上述人员在本公司服务的外部证明，如：（如加盖社会保险基金管理中心印章的打印日期在本项目投标截止日之前六个月以内任意一个月的《投保单》或《社会保险参保人员证明》，或单位代缴个人所得税税单等）复印件。</w:t>
      </w:r>
    </w:p>
    <w:p w14:paraId="285B2FE5">
      <w:pPr>
        <w:pStyle w:val="7"/>
        <w:spacing w:line="243" w:lineRule="auto"/>
        <w:rPr>
          <w:rFonts w:hint="eastAsia" w:ascii="仿宋" w:hAnsi="仿宋" w:eastAsia="仿宋" w:cs="仿宋"/>
          <w:color w:val="auto"/>
          <w:sz w:val="24"/>
          <w:szCs w:val="24"/>
          <w:highlight w:val="none"/>
          <w:lang w:eastAsia="zh-CN"/>
        </w:rPr>
      </w:pPr>
    </w:p>
    <w:p w14:paraId="4C5E87DE">
      <w:pPr>
        <w:spacing w:before="76" w:line="227"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谈判供应商名称（电子公章）：</w:t>
      </w:r>
    </w:p>
    <w:p w14:paraId="30B04574">
      <w:pPr>
        <w:spacing w:before="219" w:line="5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position w:val="20"/>
          <w:sz w:val="24"/>
          <w:szCs w:val="24"/>
          <w:highlight w:val="none"/>
          <w:lang w:eastAsia="zh-CN"/>
        </w:rPr>
        <w:t>谈判供应商法定代表人（电子签名或盖章</w:t>
      </w:r>
      <w:r>
        <w:rPr>
          <w:rFonts w:hint="eastAsia" w:ascii="仿宋" w:hAnsi="仿宋" w:eastAsia="仿宋" w:cs="仿宋"/>
          <w:color w:val="auto"/>
          <w:spacing w:val="11"/>
          <w:position w:val="20"/>
          <w:sz w:val="24"/>
          <w:szCs w:val="24"/>
          <w:highlight w:val="none"/>
          <w:lang w:eastAsia="zh-CN"/>
        </w:rPr>
        <w:t>）：</w:t>
      </w:r>
    </w:p>
    <w:p w14:paraId="651E9F00">
      <w:pPr>
        <w:spacing w:line="227" w:lineRule="auto"/>
        <w:rPr>
          <w:rFonts w:hint="eastAsia" w:ascii="仿宋" w:hAnsi="仿宋" w:eastAsia="仿宋" w:cs="仿宋"/>
          <w:color w:val="auto"/>
          <w:spacing w:val="-23"/>
          <w:sz w:val="24"/>
          <w:szCs w:val="24"/>
          <w:highlight w:val="none"/>
          <w:lang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auto"/>
          <w:spacing w:val="-23"/>
          <w:sz w:val="24"/>
          <w:szCs w:val="24"/>
          <w:highlight w:val="none"/>
          <w:lang w:eastAsia="zh-CN"/>
        </w:rPr>
        <w:t>日期：</w:t>
      </w:r>
      <w:r>
        <w:rPr>
          <w:rFonts w:hint="eastAsia" w:ascii="仿宋" w:hAnsi="仿宋" w:eastAsia="仿宋" w:cs="仿宋"/>
          <w:color w:val="auto"/>
          <w:spacing w:val="5"/>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年</w:t>
      </w:r>
      <w:r>
        <w:rPr>
          <w:rFonts w:hint="eastAsia" w:ascii="仿宋" w:hAnsi="仿宋" w:eastAsia="仿宋" w:cs="仿宋"/>
          <w:color w:val="auto"/>
          <w:spacing w:val="21"/>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月</w:t>
      </w:r>
      <w:r>
        <w:rPr>
          <w:rFonts w:hint="eastAsia" w:ascii="仿宋" w:hAnsi="仿宋" w:eastAsia="仿宋" w:cs="仿宋"/>
          <w:color w:val="auto"/>
          <w:spacing w:val="55"/>
          <w:sz w:val="24"/>
          <w:szCs w:val="24"/>
          <w:highlight w:val="none"/>
          <w:lang w:eastAsia="zh-CN"/>
        </w:rPr>
        <w:t xml:space="preserve"> </w:t>
      </w:r>
      <w:r>
        <w:rPr>
          <w:rFonts w:hint="eastAsia" w:ascii="仿宋" w:hAnsi="仿宋" w:eastAsia="仿宋" w:cs="仿宋"/>
          <w:color w:val="auto"/>
          <w:spacing w:val="-23"/>
          <w:sz w:val="24"/>
          <w:szCs w:val="24"/>
          <w:highlight w:val="none"/>
          <w:lang w:eastAsia="zh-CN"/>
        </w:rPr>
        <w:t>日</w:t>
      </w:r>
    </w:p>
    <w:p w14:paraId="25693370">
      <w:pPr>
        <w:spacing w:line="463" w:lineRule="exact"/>
        <w:ind w:right="223"/>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（四）商务和技术偏差表</w:t>
      </w:r>
    </w:p>
    <w:p w14:paraId="4ADF6020">
      <w:pPr>
        <w:spacing w:line="160" w:lineRule="exact"/>
        <w:ind w:firstLine="320" w:firstLineChars="200"/>
        <w:rPr>
          <w:rFonts w:hint="eastAsia" w:ascii="仿宋" w:hAnsi="仿宋" w:eastAsia="仿宋" w:cs="仿宋"/>
          <w:color w:val="auto"/>
          <w:sz w:val="16"/>
          <w:szCs w:val="16"/>
          <w:highlight w:val="none"/>
          <w:lang w:eastAsia="zh-CN"/>
        </w:rPr>
      </w:pPr>
    </w:p>
    <w:p w14:paraId="488EAD47">
      <w:pPr>
        <w:jc w:val="center"/>
        <w:rPr>
          <w:rFonts w:hint="eastAsia" w:ascii="仿宋" w:hAnsi="仿宋" w:eastAsia="仿宋" w:cs="仿宋"/>
          <w:color w:val="auto"/>
          <w:highlight w:val="none"/>
          <w:lang w:eastAsia="zh-CN"/>
        </w:rPr>
      </w:pPr>
      <w:r>
        <w:rPr>
          <w:rFonts w:hint="eastAsia" w:ascii="仿宋" w:hAnsi="仿宋" w:eastAsia="仿宋" w:cs="仿宋"/>
          <w:b/>
          <w:bCs/>
          <w:color w:val="auto"/>
          <w:sz w:val="28"/>
          <w:szCs w:val="28"/>
          <w:highlight w:val="none"/>
          <w:lang w:eastAsia="zh-CN"/>
        </w:rPr>
        <w:t>（一）技术规格偏离表</w:t>
      </w:r>
    </w:p>
    <w:p w14:paraId="4B6DD46D">
      <w:pPr>
        <w:ind w:left="1080" w:leftChars="257" w:hanging="540"/>
        <w:rPr>
          <w:rFonts w:hint="eastAsia" w:ascii="仿宋" w:hAnsi="仿宋" w:eastAsia="仿宋" w:cs="仿宋"/>
          <w:color w:val="auto"/>
          <w:highlight w:val="none"/>
          <w:lang w:eastAsia="zh-CN"/>
        </w:rPr>
      </w:pPr>
    </w:p>
    <w:p w14:paraId="419037E6">
      <w:pPr>
        <w:ind w:firstLine="630" w:firstLineChars="3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项目名称:                       项目编号:                 包号:</w:t>
      </w:r>
    </w:p>
    <w:tbl>
      <w:tblPr>
        <w:tblStyle w:val="13"/>
        <w:tblW w:w="1417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516"/>
        <w:gridCol w:w="1484"/>
        <w:gridCol w:w="804"/>
        <w:gridCol w:w="1238"/>
        <w:gridCol w:w="5883"/>
        <w:gridCol w:w="788"/>
        <w:gridCol w:w="796"/>
        <w:gridCol w:w="876"/>
      </w:tblGrid>
      <w:tr w14:paraId="0F36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789" w:type="dxa"/>
            <w:vAlign w:val="center"/>
          </w:tcPr>
          <w:p w14:paraId="01F1F549">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序号</w:t>
            </w:r>
          </w:p>
        </w:tc>
        <w:tc>
          <w:tcPr>
            <w:tcW w:w="1516" w:type="dxa"/>
            <w:vAlign w:val="center"/>
          </w:tcPr>
          <w:p w14:paraId="5322BBAB">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货物名称</w:t>
            </w:r>
          </w:p>
        </w:tc>
        <w:tc>
          <w:tcPr>
            <w:tcW w:w="1484" w:type="dxa"/>
            <w:vAlign w:val="center"/>
          </w:tcPr>
          <w:p w14:paraId="07959F71">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货物品种</w:t>
            </w:r>
          </w:p>
        </w:tc>
        <w:tc>
          <w:tcPr>
            <w:tcW w:w="804" w:type="dxa"/>
            <w:vAlign w:val="center"/>
          </w:tcPr>
          <w:p w14:paraId="0CD70015">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数量</w:t>
            </w:r>
          </w:p>
        </w:tc>
        <w:tc>
          <w:tcPr>
            <w:tcW w:w="1238" w:type="dxa"/>
            <w:vAlign w:val="center"/>
          </w:tcPr>
          <w:p w14:paraId="74E5026D">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lang w:eastAsia="zh-CN"/>
              </w:rPr>
              <w:t>谈判</w:t>
            </w:r>
            <w:r>
              <w:rPr>
                <w:rFonts w:hint="eastAsia" w:ascii="仿宋" w:hAnsi="仿宋" w:eastAsia="仿宋" w:cs="仿宋"/>
                <w:b/>
                <w:color w:val="auto"/>
                <w:kern w:val="2"/>
                <w:sz w:val="21"/>
                <w:szCs w:val="21"/>
                <w:highlight w:val="none"/>
              </w:rPr>
              <w:t>文件条款号</w:t>
            </w:r>
          </w:p>
        </w:tc>
        <w:tc>
          <w:tcPr>
            <w:tcW w:w="5883" w:type="dxa"/>
            <w:vAlign w:val="center"/>
          </w:tcPr>
          <w:p w14:paraId="0A9C8700">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default" w:ascii="仿宋" w:hAnsi="仿宋" w:eastAsia="仿宋" w:cs="仿宋"/>
                <w:b/>
                <w:color w:val="auto"/>
                <w:kern w:val="2"/>
                <w:sz w:val="21"/>
                <w:szCs w:val="21"/>
                <w:highlight w:val="none"/>
                <w:lang w:val="en-US" w:eastAsia="zh-CN"/>
              </w:rPr>
            </w:pPr>
            <w:r>
              <w:rPr>
                <w:rFonts w:hint="eastAsia" w:ascii="仿宋" w:hAnsi="仿宋" w:eastAsia="仿宋" w:cs="仿宋"/>
                <w:b/>
                <w:color w:val="auto"/>
                <w:kern w:val="2"/>
                <w:sz w:val="21"/>
                <w:szCs w:val="21"/>
                <w:highlight w:val="none"/>
                <w:lang w:val="en-US" w:eastAsia="zh-CN"/>
              </w:rPr>
              <w:t>需求参数要求</w:t>
            </w:r>
          </w:p>
        </w:tc>
        <w:tc>
          <w:tcPr>
            <w:tcW w:w="788" w:type="dxa"/>
            <w:vAlign w:val="center"/>
          </w:tcPr>
          <w:p w14:paraId="377E6A28">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default" w:ascii="仿宋" w:hAnsi="仿宋" w:eastAsia="仿宋" w:cs="仿宋"/>
                <w:b/>
                <w:color w:val="auto"/>
                <w:kern w:val="2"/>
                <w:sz w:val="21"/>
                <w:szCs w:val="21"/>
                <w:highlight w:val="none"/>
                <w:lang w:val="en-US"/>
              </w:rPr>
            </w:pPr>
            <w:r>
              <w:rPr>
                <w:rFonts w:hint="eastAsia" w:ascii="仿宋" w:hAnsi="仿宋" w:eastAsia="仿宋" w:cs="仿宋"/>
                <w:b/>
                <w:color w:val="auto"/>
                <w:kern w:val="2"/>
                <w:sz w:val="21"/>
                <w:szCs w:val="21"/>
                <w:highlight w:val="none"/>
                <w:lang w:val="en-US" w:eastAsia="zh-CN"/>
              </w:rPr>
              <w:t>供应商响应需求参数情况</w:t>
            </w:r>
          </w:p>
        </w:tc>
        <w:tc>
          <w:tcPr>
            <w:tcW w:w="796" w:type="dxa"/>
            <w:vAlign w:val="center"/>
          </w:tcPr>
          <w:p w14:paraId="5FEF7B3A">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lang w:val="en-US" w:eastAsia="zh-CN"/>
              </w:rPr>
              <w:t>偏离情况（负偏离满足/正偏离）</w:t>
            </w:r>
          </w:p>
        </w:tc>
        <w:tc>
          <w:tcPr>
            <w:tcW w:w="876" w:type="dxa"/>
            <w:vAlign w:val="center"/>
          </w:tcPr>
          <w:p w14:paraId="0CC9610F">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证明材料</w:t>
            </w:r>
          </w:p>
        </w:tc>
      </w:tr>
      <w:tr w14:paraId="28A9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9" w:type="dxa"/>
            <w:vAlign w:val="center"/>
          </w:tcPr>
          <w:p w14:paraId="466948E4">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w:t>
            </w:r>
          </w:p>
        </w:tc>
        <w:tc>
          <w:tcPr>
            <w:tcW w:w="1516" w:type="dxa"/>
            <w:vAlign w:val="center"/>
          </w:tcPr>
          <w:p w14:paraId="4DFAF0F6">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德国牧羊犬母犬（12-30月）</w:t>
            </w:r>
          </w:p>
        </w:tc>
        <w:tc>
          <w:tcPr>
            <w:tcW w:w="1484" w:type="dxa"/>
            <w:vAlign w:val="center"/>
          </w:tcPr>
          <w:p w14:paraId="474AD860">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德国牧羊犬母犬（12-30月）</w:t>
            </w:r>
          </w:p>
        </w:tc>
        <w:tc>
          <w:tcPr>
            <w:tcW w:w="804" w:type="dxa"/>
            <w:vAlign w:val="center"/>
          </w:tcPr>
          <w:p w14:paraId="508286F0">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spacing w:val="9"/>
                <w:sz w:val="21"/>
                <w:szCs w:val="21"/>
                <w:highlight w:val="none"/>
                <w:lang w:eastAsia="zh-CN"/>
              </w:rPr>
              <w:t>头</w:t>
            </w:r>
          </w:p>
        </w:tc>
        <w:tc>
          <w:tcPr>
            <w:tcW w:w="1238" w:type="dxa"/>
            <w:vAlign w:val="center"/>
          </w:tcPr>
          <w:p w14:paraId="59451D6E">
            <w:pPr>
              <w:keepNext w:val="0"/>
              <w:keepLines w:val="0"/>
              <w:pageBreakBefore w:val="0"/>
              <w:overflowPunct/>
              <w:topLinePunct w:val="0"/>
              <w:bidi w:val="0"/>
              <w:adjustRightInd w:val="0"/>
              <w:snapToGrid w:val="0"/>
              <w:spacing w:line="0" w:lineRule="atLeast"/>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第三章采购需求</w:t>
            </w:r>
          </w:p>
        </w:tc>
        <w:tc>
          <w:tcPr>
            <w:tcW w:w="5883" w:type="dxa"/>
            <w:vAlign w:val="center"/>
          </w:tcPr>
          <w:p w14:paraId="5C492DF9">
            <w:pPr>
              <w:pStyle w:val="21"/>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年龄：12-30个月之间。</w:t>
            </w:r>
          </w:p>
          <w:p w14:paraId="4ECED4CC">
            <w:pPr>
              <w:pStyle w:val="21"/>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体型：</w:t>
            </w:r>
            <w:r>
              <w:rPr>
                <w:rFonts w:hint="eastAsia" w:ascii="仿宋" w:hAnsi="仿宋" w:eastAsia="仿宋" w:cs="仿宋"/>
                <w:color w:val="auto"/>
                <w:kern w:val="2"/>
                <w:sz w:val="21"/>
                <w:szCs w:val="21"/>
                <w:highlight w:val="none"/>
                <w:lang w:val="en-US" w:eastAsia="zh-CN"/>
              </w:rPr>
              <w:t>体型中等，各部位匀称，</w:t>
            </w:r>
            <w:r>
              <w:rPr>
                <w:rFonts w:hint="eastAsia" w:ascii="仿宋" w:hAnsi="仿宋" w:eastAsia="仿宋" w:cs="仿宋"/>
                <w:color w:val="auto"/>
                <w:kern w:val="2"/>
                <w:sz w:val="21"/>
                <w:szCs w:val="21"/>
                <w:highlight w:val="none"/>
              </w:rPr>
              <w:t>体高60-65cm，体长63-67cm，体重26-31kg。</w:t>
            </w:r>
          </w:p>
          <w:p w14:paraId="2B066644">
            <w:pPr>
              <w:pStyle w:val="21"/>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外貌：头呈楔形，耳大小适中，呈三角形直立，眼杏仁形，鼻镜黑色，牙齿剪式咬合，唇紧凑。颈长短适中，皮肤紧凑，肌肉发达，鬐甲高于背腰线，胸宽适度，背腰平直，腹紧缩，荐高略低于体高，荐部以23度斜下。前肢平行，后肢有力，角度适中，爪紧凑，呈丸状。静立时尾自然下垂过飞节，呈马刀形。被毛粗细长短适宜，随季节而变化，密生坚固，毛色为黑色、狼青色</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太极色</w:t>
            </w:r>
            <w:r>
              <w:rPr>
                <w:rFonts w:hint="eastAsia" w:ascii="仿宋" w:hAnsi="仿宋" w:eastAsia="仿宋" w:cs="仿宋"/>
                <w:color w:val="auto"/>
                <w:kern w:val="2"/>
                <w:sz w:val="21"/>
                <w:szCs w:val="21"/>
                <w:highlight w:val="none"/>
              </w:rPr>
              <w:t>。</w:t>
            </w:r>
          </w:p>
          <w:p w14:paraId="4491996A">
            <w:pPr>
              <w:pStyle w:val="21"/>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警用性能：犬的嗅、听、视觉灵敏，体质健壮。</w:t>
            </w:r>
          </w:p>
          <w:p w14:paraId="07EE3B96">
            <w:pPr>
              <w:pStyle w:val="21"/>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繁殖性能：性特征明显。生殖系统发育正常，母犬有效乳头数4对以上，大小适中，分布均匀</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性周期正常，母性好；平均窝产仔数6头以上，仔犬初生的平均体重不低于0.4kg，2月龄平均体重不低于4kg，断奶成活率80%以上。</w:t>
            </w:r>
          </w:p>
          <w:p w14:paraId="305197A7">
            <w:pPr>
              <w:pStyle w:val="21"/>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遗传疾病：无髋关节发育不良，疝气、隐睾、瞎乳头等遗传疾病。</w:t>
            </w:r>
          </w:p>
        </w:tc>
        <w:tc>
          <w:tcPr>
            <w:tcW w:w="788" w:type="dxa"/>
            <w:vAlign w:val="center"/>
          </w:tcPr>
          <w:p w14:paraId="6993E6FC">
            <w:pPr>
              <w:keepNext w:val="0"/>
              <w:keepLines w:val="0"/>
              <w:pageBreakBefore w:val="0"/>
              <w:overflowPunct/>
              <w:topLinePunct w:val="0"/>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p>
        </w:tc>
        <w:tc>
          <w:tcPr>
            <w:tcW w:w="796" w:type="dxa"/>
            <w:vAlign w:val="center"/>
          </w:tcPr>
          <w:p w14:paraId="1061D7BF">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p>
        </w:tc>
        <w:tc>
          <w:tcPr>
            <w:tcW w:w="876" w:type="dxa"/>
            <w:vAlign w:val="center"/>
          </w:tcPr>
          <w:p w14:paraId="1764BCD0">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承诺或说明</w:t>
            </w:r>
          </w:p>
        </w:tc>
      </w:tr>
      <w:tr w14:paraId="798A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9" w:hRule="atLeast"/>
        </w:trPr>
        <w:tc>
          <w:tcPr>
            <w:tcW w:w="789" w:type="dxa"/>
            <w:vAlign w:val="center"/>
          </w:tcPr>
          <w:p w14:paraId="3EB2DE0B">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2</w:t>
            </w:r>
          </w:p>
        </w:tc>
        <w:tc>
          <w:tcPr>
            <w:tcW w:w="1516" w:type="dxa"/>
            <w:vAlign w:val="center"/>
          </w:tcPr>
          <w:p w14:paraId="14CC55F6">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昆明犬公犬（18-36月）</w:t>
            </w:r>
          </w:p>
        </w:tc>
        <w:tc>
          <w:tcPr>
            <w:tcW w:w="1484" w:type="dxa"/>
            <w:vAlign w:val="center"/>
          </w:tcPr>
          <w:p w14:paraId="37A26E57">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昆明犬公犬（18-36月）</w:t>
            </w:r>
          </w:p>
        </w:tc>
        <w:tc>
          <w:tcPr>
            <w:tcW w:w="804" w:type="dxa"/>
            <w:vAlign w:val="center"/>
          </w:tcPr>
          <w:p w14:paraId="5E131134">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spacing w:val="9"/>
                <w:sz w:val="21"/>
                <w:szCs w:val="21"/>
                <w:highlight w:val="none"/>
                <w:lang w:eastAsia="zh-CN"/>
              </w:rPr>
              <w:t>头</w:t>
            </w:r>
          </w:p>
        </w:tc>
        <w:tc>
          <w:tcPr>
            <w:tcW w:w="1238" w:type="dxa"/>
            <w:vAlign w:val="center"/>
          </w:tcPr>
          <w:p w14:paraId="13BD5C77">
            <w:pPr>
              <w:keepNext w:val="0"/>
              <w:keepLines w:val="0"/>
              <w:pageBreakBefore w:val="0"/>
              <w:overflowPunct/>
              <w:topLinePunct w:val="0"/>
              <w:bidi w:val="0"/>
              <w:adjustRightInd w:val="0"/>
              <w:snapToGrid w:val="0"/>
              <w:spacing w:line="0" w:lineRule="atLeast"/>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第三章采购需求</w:t>
            </w:r>
          </w:p>
        </w:tc>
        <w:tc>
          <w:tcPr>
            <w:tcW w:w="5883" w:type="dxa"/>
            <w:vAlign w:val="center"/>
          </w:tcPr>
          <w:p w14:paraId="017FC91C">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公犬年龄：18-36个月之间。</w:t>
            </w:r>
          </w:p>
          <w:p w14:paraId="12E75D85">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体型：昆明犬体型适中，外形匀称，略呈方形。公犬体高65—70cm，体长70—76cm，体重35—43kg；母犬体高60—65cm，体长65—70cm，体重32—38kg。</w:t>
            </w:r>
          </w:p>
          <w:p w14:paraId="7F8C2816">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外貌：毛色有狼青，草黄，黑背黄腹。头部呈楔形，外形轮廓明显。吻部比额部稍长或等长。鼻梁平直，鼻镜黑色。两耳自然直立、大小适中。眼呈杏仁形，暗褐色（狼青和黑背犬）或杏黄色（草黄犬）。牙齿呈剪式咬合。颈部肌肉结实，外观紧凑。背腰平直，体高与荐高接近。胸稍窄，胸深小于体高的一半。腹部收缩。前肢直立，肩关节约呈直角，肘部平行向后，掌部与垂直线的角度小于20度。股部肌肉发达，后肢相对直立，跗关节强健而有弹性。趾部紧密，脚垫厚而有弹性。尾形为剑状或钩状，尾巴长度适宜、安静时自然下垂，兴奋时略向上翘起。</w:t>
            </w:r>
          </w:p>
          <w:p w14:paraId="3E9692D2">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警用性能：活泼兴奋，嗅觉灵敏，胆大勇敢，攻击性强，衔取兴奋，占有欲强，服从性好，体能好。</w:t>
            </w:r>
          </w:p>
          <w:p w14:paraId="4DA71909">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繁殖性能：性特征明显，生殖器官发育正常。公犬性欲强，精液品质好，精子活力0.6以上；母犬有效乳头数4对以上，大小适中，排列整齐，分布均匀，母犬性周期正常，平均窝产仔数不低于6头，断奶成活率不低于80%。</w:t>
            </w:r>
          </w:p>
          <w:p w14:paraId="7F783828">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遗传疾病：无髋关节发育不良、疝气、隐睾、瞎乳头等遗传疾病。</w:t>
            </w:r>
          </w:p>
        </w:tc>
        <w:tc>
          <w:tcPr>
            <w:tcW w:w="788" w:type="dxa"/>
            <w:vAlign w:val="center"/>
          </w:tcPr>
          <w:p w14:paraId="150F2C03">
            <w:pPr>
              <w:keepNext w:val="0"/>
              <w:keepLines w:val="0"/>
              <w:pageBreakBefore w:val="0"/>
              <w:overflowPunct/>
              <w:topLinePunct w:val="0"/>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p>
        </w:tc>
        <w:tc>
          <w:tcPr>
            <w:tcW w:w="796" w:type="dxa"/>
            <w:vAlign w:val="center"/>
          </w:tcPr>
          <w:p w14:paraId="39CD2CB8">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p>
        </w:tc>
        <w:tc>
          <w:tcPr>
            <w:tcW w:w="876" w:type="dxa"/>
            <w:vAlign w:val="center"/>
          </w:tcPr>
          <w:p w14:paraId="7803D6FD">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承诺或说明</w:t>
            </w:r>
          </w:p>
        </w:tc>
      </w:tr>
      <w:tr w14:paraId="7388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9" w:type="dxa"/>
            <w:vAlign w:val="center"/>
          </w:tcPr>
          <w:p w14:paraId="38981576">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3</w:t>
            </w:r>
          </w:p>
        </w:tc>
        <w:tc>
          <w:tcPr>
            <w:tcW w:w="1516" w:type="dxa"/>
            <w:vAlign w:val="center"/>
          </w:tcPr>
          <w:p w14:paraId="18B789A4">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昆明犬母犬（12-30月）</w:t>
            </w:r>
          </w:p>
        </w:tc>
        <w:tc>
          <w:tcPr>
            <w:tcW w:w="1484" w:type="dxa"/>
            <w:vAlign w:val="center"/>
          </w:tcPr>
          <w:p w14:paraId="15C03A16">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昆明犬母犬（12-30月）</w:t>
            </w:r>
          </w:p>
        </w:tc>
        <w:tc>
          <w:tcPr>
            <w:tcW w:w="804" w:type="dxa"/>
            <w:vAlign w:val="center"/>
          </w:tcPr>
          <w:p w14:paraId="44D72E52">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3</w:t>
            </w:r>
            <w:r>
              <w:rPr>
                <w:rFonts w:hint="eastAsia" w:ascii="仿宋" w:hAnsi="仿宋" w:eastAsia="仿宋" w:cs="仿宋"/>
                <w:color w:val="auto"/>
                <w:spacing w:val="9"/>
                <w:sz w:val="21"/>
                <w:szCs w:val="21"/>
                <w:highlight w:val="none"/>
                <w:lang w:eastAsia="zh-CN"/>
              </w:rPr>
              <w:t>头</w:t>
            </w:r>
          </w:p>
        </w:tc>
        <w:tc>
          <w:tcPr>
            <w:tcW w:w="1238" w:type="dxa"/>
            <w:vAlign w:val="center"/>
          </w:tcPr>
          <w:p w14:paraId="3792700F">
            <w:pPr>
              <w:keepNext w:val="0"/>
              <w:keepLines w:val="0"/>
              <w:pageBreakBefore w:val="0"/>
              <w:overflowPunct/>
              <w:topLinePunct w:val="0"/>
              <w:bidi w:val="0"/>
              <w:adjustRightInd w:val="0"/>
              <w:snapToGrid w:val="0"/>
              <w:spacing w:line="0" w:lineRule="atLeast"/>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第三章采购需求</w:t>
            </w:r>
          </w:p>
        </w:tc>
        <w:tc>
          <w:tcPr>
            <w:tcW w:w="5883" w:type="dxa"/>
            <w:vAlign w:val="center"/>
          </w:tcPr>
          <w:p w14:paraId="4FC84285">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母犬年龄：12-30个月之间。</w:t>
            </w:r>
          </w:p>
          <w:p w14:paraId="2214C313">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体型：昆明犬体型适中，外形匀称，略呈方形。公犬体高65—70cm，体长70—76cm，体重35—43kg；母犬体高60—65cm，体长65—70cm，体重32—38kg。</w:t>
            </w:r>
          </w:p>
          <w:p w14:paraId="459B388B">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外貌：毛色有狼青，草黄，黑背黄腹。头部呈楔形，外形轮廓明显。吻部比额部稍长或等长。鼻梁平直，鼻镜黑色。两耳自然直立、大小适中。眼呈杏仁形，暗褐色（狼青和黑背犬）或杏黄色（草黄犬）。牙齿呈剪式咬合。颈部肌肉结实，外观紧凑。背腰平直，体高与荐高接近。胸稍窄，胸深小于体高的一半。腹部收缩。前肢直立，肩关节约呈直角，肘部平行向后，掌部与垂直线的角度小于20度。股部肌肉发达，后肢相对直立，跗关节强健而有弹性。趾部紧密，脚垫厚而有弹性。尾形为剑状或钩状，尾巴长度适宜、安静时自然下垂，兴奋时略向上翘起。</w:t>
            </w:r>
          </w:p>
          <w:p w14:paraId="08AB1DCC">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警用性能：活泼兴奋，嗅觉灵敏，胆大勇敢，攻击性强，衔取兴奋，占有欲强，服从性好，体能好。</w:t>
            </w:r>
          </w:p>
          <w:p w14:paraId="65EEB5BC">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繁殖性能：性特征明显，生殖器官发育正常。公犬性欲强，精液品质好，精子活力0.6以上；母犬有效乳头数4对以上，大小适中，排列整齐，分布均匀，母犬性周期正常，平均窝产仔数不低于6头，断奶成活率不低于80%。</w:t>
            </w:r>
          </w:p>
          <w:p w14:paraId="5CB3D94A">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遗传疾病：无髋关节发育不良、疝气、隐睾、瞎乳头等遗传疾病。</w:t>
            </w:r>
          </w:p>
        </w:tc>
        <w:tc>
          <w:tcPr>
            <w:tcW w:w="788" w:type="dxa"/>
            <w:vAlign w:val="center"/>
          </w:tcPr>
          <w:p w14:paraId="30489E66">
            <w:pPr>
              <w:keepNext w:val="0"/>
              <w:keepLines w:val="0"/>
              <w:pageBreakBefore w:val="0"/>
              <w:overflowPunct/>
              <w:topLinePunct w:val="0"/>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p>
        </w:tc>
        <w:tc>
          <w:tcPr>
            <w:tcW w:w="796" w:type="dxa"/>
            <w:vAlign w:val="center"/>
          </w:tcPr>
          <w:p w14:paraId="0A28B464">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p>
        </w:tc>
        <w:tc>
          <w:tcPr>
            <w:tcW w:w="876" w:type="dxa"/>
            <w:vAlign w:val="center"/>
          </w:tcPr>
          <w:p w14:paraId="495D53B0">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承诺或说明</w:t>
            </w:r>
          </w:p>
        </w:tc>
      </w:tr>
      <w:tr w14:paraId="049C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9" w:type="dxa"/>
            <w:vAlign w:val="center"/>
          </w:tcPr>
          <w:p w14:paraId="7A7F5101">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4</w:t>
            </w:r>
          </w:p>
        </w:tc>
        <w:tc>
          <w:tcPr>
            <w:tcW w:w="1516" w:type="dxa"/>
            <w:vAlign w:val="center"/>
          </w:tcPr>
          <w:p w14:paraId="6B428E08">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史宾格犬母犬（12-30月）</w:t>
            </w:r>
          </w:p>
        </w:tc>
        <w:tc>
          <w:tcPr>
            <w:tcW w:w="1484" w:type="dxa"/>
            <w:vAlign w:val="center"/>
          </w:tcPr>
          <w:p w14:paraId="26021496">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史宾格犬母犬（12-30月）</w:t>
            </w:r>
          </w:p>
        </w:tc>
        <w:tc>
          <w:tcPr>
            <w:tcW w:w="804" w:type="dxa"/>
            <w:vAlign w:val="center"/>
          </w:tcPr>
          <w:p w14:paraId="5F110734">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spacing w:val="9"/>
                <w:sz w:val="21"/>
                <w:szCs w:val="21"/>
                <w:highlight w:val="none"/>
                <w:lang w:eastAsia="zh-CN"/>
              </w:rPr>
              <w:t>头</w:t>
            </w:r>
          </w:p>
        </w:tc>
        <w:tc>
          <w:tcPr>
            <w:tcW w:w="1238" w:type="dxa"/>
            <w:shd w:val="clear" w:color="auto" w:fill="auto"/>
            <w:vAlign w:val="center"/>
          </w:tcPr>
          <w:p w14:paraId="0D26AD77">
            <w:pPr>
              <w:keepNext w:val="0"/>
              <w:keepLines w:val="0"/>
              <w:pageBreakBefore w:val="0"/>
              <w:overflowPunct/>
              <w:topLinePunct w:val="0"/>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第三章采购需求</w:t>
            </w:r>
          </w:p>
        </w:tc>
        <w:tc>
          <w:tcPr>
            <w:tcW w:w="5883" w:type="dxa"/>
            <w:vAlign w:val="center"/>
          </w:tcPr>
          <w:p w14:paraId="63484CF4">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年龄：12-30个月之间。</w:t>
            </w:r>
          </w:p>
          <w:p w14:paraId="0EFD0BD0">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体型：史宾格犬属中小体型。体形匀称、结实有力、结构紧凑。公犬体高42—48cm，体长49—54cm，体重15—20kg，母犬体高41—46cm，体长44—52cm，体重12—18kg。</w:t>
            </w:r>
          </w:p>
          <w:p w14:paraId="1C0846A2">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外貌：毛色为褐色白斑或黑色白斑。耳、胸、四肢、腹下及尾有饰毛。头宽、大小适中。吻长。眼灵活，有神。耳长而宽、下垂。躯干结实有力。胸深，肋扩张良好。前肢挺直，后肢肌肉发达。尾根低，自然下垂（可断尾三分之一）。</w:t>
            </w:r>
          </w:p>
          <w:p w14:paraId="4C5DC6C4">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警用性能：活泼兴奋，胆大，衔取欲强，温顺友善，耐力强。</w:t>
            </w:r>
          </w:p>
          <w:p w14:paraId="154A79C4">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繁殖性能：性特征明显，生殖器官发育正常，母犬有效乳头4对以上，大小适中排列整齐，分布均匀。母犬性周期稳定，平均窝产仔数7头以上，断奶成活率80%以上。</w:t>
            </w:r>
          </w:p>
        </w:tc>
        <w:tc>
          <w:tcPr>
            <w:tcW w:w="788" w:type="dxa"/>
            <w:vAlign w:val="center"/>
          </w:tcPr>
          <w:p w14:paraId="38615011">
            <w:pPr>
              <w:keepNext w:val="0"/>
              <w:keepLines w:val="0"/>
              <w:pageBreakBefore w:val="0"/>
              <w:overflowPunct/>
              <w:topLinePunct w:val="0"/>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p>
        </w:tc>
        <w:tc>
          <w:tcPr>
            <w:tcW w:w="796" w:type="dxa"/>
            <w:vAlign w:val="center"/>
          </w:tcPr>
          <w:p w14:paraId="56CF3AC1">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p>
        </w:tc>
        <w:tc>
          <w:tcPr>
            <w:tcW w:w="876" w:type="dxa"/>
            <w:vAlign w:val="center"/>
          </w:tcPr>
          <w:p w14:paraId="7FE56D0D">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承诺或说明</w:t>
            </w:r>
          </w:p>
        </w:tc>
      </w:tr>
      <w:tr w14:paraId="0D7C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9" w:type="dxa"/>
            <w:vAlign w:val="center"/>
          </w:tcPr>
          <w:p w14:paraId="16E19729">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5</w:t>
            </w:r>
          </w:p>
        </w:tc>
        <w:tc>
          <w:tcPr>
            <w:tcW w:w="1516" w:type="dxa"/>
            <w:vAlign w:val="center"/>
          </w:tcPr>
          <w:p w14:paraId="17E66BA9">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德国牧羊犬公犬（8-18月）</w:t>
            </w:r>
          </w:p>
        </w:tc>
        <w:tc>
          <w:tcPr>
            <w:tcW w:w="1484" w:type="dxa"/>
            <w:vAlign w:val="center"/>
          </w:tcPr>
          <w:p w14:paraId="79A60C86">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德国牧羊犬公犬（8-18月）</w:t>
            </w:r>
          </w:p>
        </w:tc>
        <w:tc>
          <w:tcPr>
            <w:tcW w:w="804" w:type="dxa"/>
            <w:vAlign w:val="center"/>
          </w:tcPr>
          <w:p w14:paraId="653E2FC3">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kern w:val="2"/>
                <w:sz w:val="21"/>
                <w:szCs w:val="21"/>
                <w:highlight w:val="none"/>
                <w:lang w:eastAsia="zh-CN"/>
              </w:rPr>
              <w:t>5</w:t>
            </w:r>
            <w:r>
              <w:rPr>
                <w:rFonts w:hint="eastAsia" w:ascii="仿宋" w:hAnsi="仿宋" w:eastAsia="仿宋" w:cs="仿宋"/>
                <w:color w:val="auto"/>
                <w:spacing w:val="9"/>
                <w:sz w:val="21"/>
                <w:szCs w:val="21"/>
                <w:highlight w:val="none"/>
                <w:lang w:eastAsia="zh-CN"/>
              </w:rPr>
              <w:t>头</w:t>
            </w:r>
          </w:p>
        </w:tc>
        <w:tc>
          <w:tcPr>
            <w:tcW w:w="1238" w:type="dxa"/>
            <w:shd w:val="clear" w:color="auto" w:fill="auto"/>
            <w:vAlign w:val="center"/>
          </w:tcPr>
          <w:p w14:paraId="61A5FCBC">
            <w:pPr>
              <w:keepNext w:val="0"/>
              <w:keepLines w:val="0"/>
              <w:pageBreakBefore w:val="0"/>
              <w:overflowPunct/>
              <w:topLinePunct w:val="0"/>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第三章采购需求</w:t>
            </w:r>
          </w:p>
        </w:tc>
        <w:tc>
          <w:tcPr>
            <w:tcW w:w="5883" w:type="dxa"/>
            <w:vAlign w:val="center"/>
          </w:tcPr>
          <w:p w14:paraId="42D70240">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体型：体型中等，各部位匀称，体重≥27.5kg,体长73.0cm,体高≥59.5cm,胸围≥74.2cm,胸深≥26.0cm，荐高≥57.5cm，头长≥26.2cm。</w:t>
            </w:r>
          </w:p>
          <w:p w14:paraId="7C96D49A">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年龄：8-18个月之间。</w:t>
            </w:r>
          </w:p>
          <w:p w14:paraId="12752803">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外貌：头呈楔形，耳大小适中，呈三角形直立，眼杏仁形，</w:t>
            </w:r>
          </w:p>
          <w:p w14:paraId="3D840BBF">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鼻镜黑色，牙齿剪式咬合，唇紧凑。颈长短适中，皮肤紧凑，肌肉发达，鬐甲高于背腰线，胸宽适度，背腰平直，腹紧缩。前肢平行，后肢有力，角度适中，爪紧凑，呈丸状。静立时尾自然下垂过飞节，呈马刀形。被毛粗细长短适宜，随季节而变化，密生坚固，毛色为黑色、狼青色、太极色。</w:t>
            </w:r>
          </w:p>
          <w:p w14:paraId="6B8CD861">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警用性能：犬的嗅、听、视觉灵敏，体质健壮。</w:t>
            </w:r>
          </w:p>
          <w:p w14:paraId="6BB9D386">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健康状况：无传染病（如犬瘟热、细小病毒）、寄生虫病，疫苗接种齐全（含狂犬病、犬瘟热、细小病毒等核心疫苗）；精神状态良好，体温、呼吸、心率正常，体表无外伤、皮肤病。</w:t>
            </w:r>
          </w:p>
        </w:tc>
        <w:tc>
          <w:tcPr>
            <w:tcW w:w="788" w:type="dxa"/>
            <w:vAlign w:val="center"/>
          </w:tcPr>
          <w:p w14:paraId="44CA2B47">
            <w:pPr>
              <w:keepNext w:val="0"/>
              <w:keepLines w:val="0"/>
              <w:pageBreakBefore w:val="0"/>
              <w:overflowPunct/>
              <w:topLinePunct w:val="0"/>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p>
        </w:tc>
        <w:tc>
          <w:tcPr>
            <w:tcW w:w="796" w:type="dxa"/>
            <w:vAlign w:val="center"/>
          </w:tcPr>
          <w:p w14:paraId="2396480D">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p>
        </w:tc>
        <w:tc>
          <w:tcPr>
            <w:tcW w:w="876" w:type="dxa"/>
            <w:vAlign w:val="center"/>
          </w:tcPr>
          <w:p w14:paraId="6F323471">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承诺或说明</w:t>
            </w:r>
          </w:p>
        </w:tc>
      </w:tr>
      <w:tr w14:paraId="6491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9" w:type="dxa"/>
            <w:vAlign w:val="center"/>
          </w:tcPr>
          <w:p w14:paraId="5B167AFA">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6</w:t>
            </w:r>
          </w:p>
        </w:tc>
        <w:tc>
          <w:tcPr>
            <w:tcW w:w="1516" w:type="dxa"/>
            <w:vAlign w:val="center"/>
          </w:tcPr>
          <w:p w14:paraId="41263A6D">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马里努阿犬公犬（8-18月）</w:t>
            </w:r>
          </w:p>
        </w:tc>
        <w:tc>
          <w:tcPr>
            <w:tcW w:w="1484" w:type="dxa"/>
            <w:vAlign w:val="center"/>
          </w:tcPr>
          <w:p w14:paraId="78C533B8">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马里努阿犬公犬（8-18月）</w:t>
            </w:r>
          </w:p>
        </w:tc>
        <w:tc>
          <w:tcPr>
            <w:tcW w:w="804" w:type="dxa"/>
            <w:vAlign w:val="center"/>
          </w:tcPr>
          <w:p w14:paraId="20E9E0B8">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10头</w:t>
            </w:r>
          </w:p>
        </w:tc>
        <w:tc>
          <w:tcPr>
            <w:tcW w:w="1238" w:type="dxa"/>
            <w:shd w:val="clear" w:color="auto" w:fill="auto"/>
            <w:vAlign w:val="center"/>
          </w:tcPr>
          <w:p w14:paraId="4B5B418D">
            <w:pPr>
              <w:keepNext w:val="0"/>
              <w:keepLines w:val="0"/>
              <w:pageBreakBefore w:val="0"/>
              <w:overflowPunct/>
              <w:topLinePunct w:val="0"/>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第三章采购需求</w:t>
            </w:r>
          </w:p>
        </w:tc>
        <w:tc>
          <w:tcPr>
            <w:tcW w:w="5883" w:type="dxa"/>
            <w:vAlign w:val="center"/>
          </w:tcPr>
          <w:p w14:paraId="3F743D92">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体型：马里努阿犬体型中等，外形匀称呈方形，头颈高昂。</w:t>
            </w:r>
          </w:p>
          <w:p w14:paraId="42A4F354">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身躯精干、肌肉发达。体重≥21.0kg,体长≥60.3cm,体高≥55.9cm,胸围≥65.8cm,胸深≥23.0cm，荐高≥55.7cm。</w:t>
            </w:r>
          </w:p>
          <w:p w14:paraId="5D537272">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年龄：8-18个月之间。</w:t>
            </w:r>
          </w:p>
          <w:p w14:paraId="05DC316E">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外貌：皮薄、被毛短，浅黄褐色到深褐色，毛尖为黑色，口吻部毛色为黑色。头部轮廓分明、大小与身躯相称。眼小、眼睑黑色，眼球褐色。耳大小适中，呈三角形、自然直立。额顶部平坦，额段适中。吻尖，鼻梁平直，鼻镜黑色。唇呈黑色紧密。牙齿排列整齐、剪式或钳式咬合。颈圆皮肤紧凑，鬐甲部突出，背腰平直结实。胸深而不宽，最低点应达肘部。腹部发育适中，轻微收腹，腰部短而宽。荐部中等长，逐渐下斜。两前肢直立、平行。股部肌肉发达，两后肢平行，比前肢稍长。脚垫厚，猫形爪，为黑色或少数白趾尖。尾长适中，根部发达，静立时下垂达飞节，兴奋时翘尾、尾稍卷但不扭曲。</w:t>
            </w:r>
          </w:p>
          <w:p w14:paraId="5EBCD6FE">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警用性能：活泼兴奋，嗅觉灵敏。胆大凶猛，攻击力强，警觉性高，探求反射强，衔取兴奋，占有欲强。服从性好。体能好，奔跑快，跳跃性好，耐力持久。</w:t>
            </w:r>
          </w:p>
          <w:p w14:paraId="59CFCEF1">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健康状况：无传染病、寄生虫病，疫苗接种齐全；无髋关节发育不良、肘关节异常等遗传疾病，精神状态良好，体表无明显缺陷。</w:t>
            </w:r>
          </w:p>
        </w:tc>
        <w:tc>
          <w:tcPr>
            <w:tcW w:w="788" w:type="dxa"/>
            <w:vAlign w:val="center"/>
          </w:tcPr>
          <w:p w14:paraId="5BE1A9D4">
            <w:pPr>
              <w:keepNext w:val="0"/>
              <w:keepLines w:val="0"/>
              <w:pageBreakBefore w:val="0"/>
              <w:overflowPunct/>
              <w:topLinePunct w:val="0"/>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p>
        </w:tc>
        <w:tc>
          <w:tcPr>
            <w:tcW w:w="796" w:type="dxa"/>
            <w:vAlign w:val="center"/>
          </w:tcPr>
          <w:p w14:paraId="3D9731BA">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p>
        </w:tc>
        <w:tc>
          <w:tcPr>
            <w:tcW w:w="876" w:type="dxa"/>
            <w:vAlign w:val="center"/>
          </w:tcPr>
          <w:p w14:paraId="1626256A">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承诺或说明</w:t>
            </w:r>
          </w:p>
        </w:tc>
      </w:tr>
      <w:tr w14:paraId="7F18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9" w:type="dxa"/>
            <w:vAlign w:val="center"/>
          </w:tcPr>
          <w:p w14:paraId="7332210F">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7</w:t>
            </w:r>
          </w:p>
        </w:tc>
        <w:tc>
          <w:tcPr>
            <w:tcW w:w="1516" w:type="dxa"/>
            <w:vAlign w:val="center"/>
          </w:tcPr>
          <w:p w14:paraId="0CF8C3EB">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昆明犬公犬（8-18月）</w:t>
            </w:r>
          </w:p>
        </w:tc>
        <w:tc>
          <w:tcPr>
            <w:tcW w:w="1484" w:type="dxa"/>
            <w:vAlign w:val="center"/>
          </w:tcPr>
          <w:p w14:paraId="0A2E57F5">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昆明犬公犬（8-18月）</w:t>
            </w:r>
          </w:p>
        </w:tc>
        <w:tc>
          <w:tcPr>
            <w:tcW w:w="804" w:type="dxa"/>
            <w:vAlign w:val="center"/>
          </w:tcPr>
          <w:p w14:paraId="44C20ABA">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15头</w:t>
            </w:r>
          </w:p>
        </w:tc>
        <w:tc>
          <w:tcPr>
            <w:tcW w:w="1238" w:type="dxa"/>
            <w:shd w:val="clear" w:color="auto" w:fill="auto"/>
            <w:vAlign w:val="center"/>
          </w:tcPr>
          <w:p w14:paraId="4B7BF761">
            <w:pPr>
              <w:keepNext w:val="0"/>
              <w:keepLines w:val="0"/>
              <w:pageBreakBefore w:val="0"/>
              <w:overflowPunct/>
              <w:topLinePunct w:val="0"/>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第三章采购需求</w:t>
            </w:r>
          </w:p>
        </w:tc>
        <w:tc>
          <w:tcPr>
            <w:tcW w:w="5883" w:type="dxa"/>
            <w:vAlign w:val="center"/>
          </w:tcPr>
          <w:p w14:paraId="04884652">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体型：昆明犬体型适中，外形匀称，略呈方形。体重≥21.1kg,体长≥60.9cm,体高≥57.5cm,胸围≥67.1cm,胸深≥25.8cm，荐高≥54.6cm，头长≥23.9cm。</w:t>
            </w:r>
          </w:p>
          <w:p w14:paraId="74F47A21">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年龄：8-18个月之间。</w:t>
            </w:r>
          </w:p>
          <w:p w14:paraId="5BA1FCEB">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外貌：毛色有狼青，草黄，黑背黄腹。头部呈楔形，外形轮廓明显。吻部比额部稍长或等长。鼻梁平直，鼻镜黑色。两耳自然直立、大小适中。眼呈杏仁形，暗褐色（狼青和黑背犬）或杏黄色（草黄犬）。牙齿呈剪式咬合。颈部肌肉结实，外观紧凑。背腰平直，体高与荐高接近。胸稍窄，胸深小于体高的一半。腹部收缩。前肢直立，肩关节约呈直角，肘部平行向后。股部肌肉发达，后肢相对直立，跗关节强健而有弹性。趾部紧密，脚垫厚而有弹性。尾形为剑状或钩状，尾巴长度适宜、安静时自然下垂，兴奋时略向上翘起。</w:t>
            </w:r>
          </w:p>
          <w:p w14:paraId="193D9C19">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警用潜力：</w:t>
            </w:r>
            <w:r>
              <w:rPr>
                <w:rFonts w:hint="eastAsia" w:ascii="仿宋" w:hAnsi="仿宋" w:eastAsia="仿宋" w:cs="仿宋"/>
                <w:color w:val="auto"/>
                <w:kern w:val="2"/>
                <w:sz w:val="21"/>
                <w:szCs w:val="21"/>
                <w:highlight w:val="none"/>
                <w:lang w:eastAsia="zh-CN"/>
              </w:rPr>
              <w:t>活泼兴奋，嗅觉灵敏，胆大勇敢，攻击性强，衔取兴奋，占有欲强，服从性好，体能好。</w:t>
            </w:r>
          </w:p>
          <w:p w14:paraId="7003B8DA">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健康状况：无传染病、寄生虫病，疫苗接种齐全；无遗传</w:t>
            </w:r>
          </w:p>
          <w:p w14:paraId="44287BD8">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疾病（如髋关节发育不良、疝气等），精神状态良好，体表无外伤或皮肤病。</w:t>
            </w:r>
          </w:p>
        </w:tc>
        <w:tc>
          <w:tcPr>
            <w:tcW w:w="788" w:type="dxa"/>
            <w:vAlign w:val="center"/>
          </w:tcPr>
          <w:p w14:paraId="3A6E3CEC">
            <w:pPr>
              <w:keepNext w:val="0"/>
              <w:keepLines w:val="0"/>
              <w:pageBreakBefore w:val="0"/>
              <w:overflowPunct/>
              <w:topLinePunct w:val="0"/>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p>
        </w:tc>
        <w:tc>
          <w:tcPr>
            <w:tcW w:w="796" w:type="dxa"/>
            <w:vAlign w:val="center"/>
          </w:tcPr>
          <w:p w14:paraId="0D0925DF">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p>
        </w:tc>
        <w:tc>
          <w:tcPr>
            <w:tcW w:w="876" w:type="dxa"/>
            <w:vAlign w:val="center"/>
          </w:tcPr>
          <w:p w14:paraId="08F58E7D">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承诺或说明</w:t>
            </w:r>
          </w:p>
        </w:tc>
      </w:tr>
      <w:tr w14:paraId="2C02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9" w:type="dxa"/>
            <w:vAlign w:val="center"/>
          </w:tcPr>
          <w:p w14:paraId="7A04EBBE">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8</w:t>
            </w:r>
          </w:p>
        </w:tc>
        <w:tc>
          <w:tcPr>
            <w:tcW w:w="1516" w:type="dxa"/>
            <w:vAlign w:val="center"/>
          </w:tcPr>
          <w:p w14:paraId="76BBBB00">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史宾格犬公犬（8-18月）</w:t>
            </w:r>
          </w:p>
        </w:tc>
        <w:tc>
          <w:tcPr>
            <w:tcW w:w="1484" w:type="dxa"/>
            <w:vAlign w:val="center"/>
          </w:tcPr>
          <w:p w14:paraId="275CCC49">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史宾格犬公犬（8-18月）</w:t>
            </w:r>
          </w:p>
        </w:tc>
        <w:tc>
          <w:tcPr>
            <w:tcW w:w="804" w:type="dxa"/>
            <w:vAlign w:val="center"/>
          </w:tcPr>
          <w:p w14:paraId="58FB6142">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5头</w:t>
            </w:r>
          </w:p>
        </w:tc>
        <w:tc>
          <w:tcPr>
            <w:tcW w:w="1238" w:type="dxa"/>
            <w:shd w:val="clear" w:color="auto" w:fill="auto"/>
            <w:vAlign w:val="center"/>
          </w:tcPr>
          <w:p w14:paraId="7347D72E">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第三章采购需求</w:t>
            </w:r>
          </w:p>
        </w:tc>
        <w:tc>
          <w:tcPr>
            <w:tcW w:w="5883" w:type="dxa"/>
            <w:vAlign w:val="center"/>
          </w:tcPr>
          <w:p w14:paraId="5D79FC41">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体型：史宾格犬属中小体型。体形匀称、结实有力、结构紧凑。体重≥13.3kg,体长≥43.3cm,体高≥39.9cm,胸围≥42.0cm,胸深≥17.5cm，荐高≥38.7cm。</w:t>
            </w:r>
          </w:p>
          <w:p w14:paraId="5FE00FD0">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年龄：8-18个月之间。</w:t>
            </w:r>
          </w:p>
          <w:p w14:paraId="672BA938">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外貌：毛色为褐色白斑或黑色白斑。耳、胸、四肢、腹下及尾有饰毛。头宽、大小适中。吻长。眼灵活，有神。耳长而宽、下垂。躯干结实有力。胸深，肋扩张良好。前肢挺直，后肢肌肉发达。尾根低，自然下垂（可断尾三分之一）。</w:t>
            </w:r>
          </w:p>
          <w:p w14:paraId="272F7BFA">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警用性能：活泼兴奋，胆大，衔取欲强，温顺友善，耐力强。</w:t>
            </w:r>
          </w:p>
          <w:p w14:paraId="7DAF1754">
            <w:pPr>
              <w:keepNext w:val="0"/>
              <w:keepLines w:val="0"/>
              <w:pageBreakBefore w:val="0"/>
              <w:kinsoku/>
              <w:wordWrap w:val="0"/>
              <w:overflowPunct/>
              <w:topLinePunct w:val="0"/>
              <w:autoSpaceDE/>
              <w:autoSpaceDN/>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健康状况：无传染病、寄生虫病，疫苗接种齐全；无遗传疾病（如髋关节发育不良、眼疾等），精神状态良好，呼吸顺畅，无咳嗽、流涕等异常症状。</w:t>
            </w:r>
          </w:p>
        </w:tc>
        <w:tc>
          <w:tcPr>
            <w:tcW w:w="788" w:type="dxa"/>
            <w:vAlign w:val="center"/>
          </w:tcPr>
          <w:p w14:paraId="6A6170C5">
            <w:pPr>
              <w:keepNext w:val="0"/>
              <w:keepLines w:val="0"/>
              <w:pageBreakBefore w:val="0"/>
              <w:overflowPunct/>
              <w:topLinePunct w:val="0"/>
              <w:bidi w:val="0"/>
              <w:adjustRightInd w:val="0"/>
              <w:snapToGrid w:val="0"/>
              <w:spacing w:line="0" w:lineRule="atLeast"/>
              <w:ind w:left="0" w:leftChars="0" w:right="0" w:rightChars="0" w:firstLine="0" w:firstLineChars="0"/>
              <w:jc w:val="left"/>
              <w:rPr>
                <w:rFonts w:hint="eastAsia" w:ascii="仿宋" w:hAnsi="仿宋" w:eastAsia="仿宋" w:cs="仿宋"/>
                <w:color w:val="auto"/>
                <w:kern w:val="2"/>
                <w:sz w:val="21"/>
                <w:szCs w:val="21"/>
                <w:highlight w:val="none"/>
                <w:lang w:eastAsia="zh-CN"/>
              </w:rPr>
            </w:pPr>
          </w:p>
        </w:tc>
        <w:tc>
          <w:tcPr>
            <w:tcW w:w="796" w:type="dxa"/>
            <w:vAlign w:val="center"/>
          </w:tcPr>
          <w:p w14:paraId="61BE491A">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p>
        </w:tc>
        <w:tc>
          <w:tcPr>
            <w:tcW w:w="876" w:type="dxa"/>
            <w:vAlign w:val="center"/>
          </w:tcPr>
          <w:p w14:paraId="4460E9DC">
            <w:pPr>
              <w:keepNext w:val="0"/>
              <w:keepLines w:val="0"/>
              <w:pageBreakBefore w:val="0"/>
              <w:overflowPunct/>
              <w:topLinePunct w:val="0"/>
              <w:bidi w:val="0"/>
              <w:adjustRightInd w:val="0"/>
              <w:snapToGrid w:val="0"/>
              <w:spacing w:line="0" w:lineRule="atLeast"/>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承诺或说明</w:t>
            </w:r>
          </w:p>
        </w:tc>
      </w:tr>
    </w:tbl>
    <w:p w14:paraId="3D879DF0">
      <w:pPr>
        <w:spacing w:line="240" w:lineRule="auto"/>
        <w:ind w:left="1080" w:leftChars="257" w:hanging="54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谈判供应商名称（电子公章）：</w:t>
      </w:r>
    </w:p>
    <w:p w14:paraId="6FA42F02">
      <w:pPr>
        <w:spacing w:line="240" w:lineRule="auto"/>
        <w:ind w:left="1080" w:leftChars="257" w:hanging="54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谈判供应商法定代表人（电子签名或盖章）：</w:t>
      </w:r>
    </w:p>
    <w:p w14:paraId="4D7A6D0B">
      <w:pPr>
        <w:spacing w:line="240" w:lineRule="auto"/>
        <w:ind w:left="1080" w:leftChars="257" w:hanging="54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日期：  年 月  日</w:t>
      </w:r>
    </w:p>
    <w:p w14:paraId="40E7471B">
      <w:pPr>
        <w:spacing w:line="240" w:lineRule="auto"/>
        <w:ind w:left="1080" w:leftChars="257" w:hanging="54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投标人保证：除技术规格偏差表列出的偏差外，投标人响应</w:t>
      </w:r>
      <w:r>
        <w:rPr>
          <w:rFonts w:hint="eastAsia" w:ascii="仿宋" w:hAnsi="仿宋" w:eastAsia="仿宋" w:cs="仿宋"/>
          <w:color w:val="auto"/>
          <w:highlight w:val="none"/>
          <w:lang w:val="en-US" w:eastAsia="zh-CN"/>
        </w:rPr>
        <w:t>采购</w:t>
      </w:r>
      <w:r>
        <w:rPr>
          <w:rFonts w:hint="eastAsia" w:ascii="仿宋" w:hAnsi="仿宋" w:eastAsia="仿宋" w:cs="仿宋"/>
          <w:color w:val="auto"/>
          <w:highlight w:val="none"/>
          <w:lang w:eastAsia="zh-CN"/>
        </w:rPr>
        <w:t>文件的全部要求。</w:t>
      </w:r>
    </w:p>
    <w:p w14:paraId="649B3189">
      <w:pPr>
        <w:rPr>
          <w:rFonts w:hint="eastAsia" w:ascii="仿宋" w:hAnsi="仿宋" w:eastAsia="仿宋" w:cs="仿宋"/>
          <w:color w:val="auto"/>
          <w:highlight w:val="none"/>
          <w:lang w:eastAsia="zh-CN"/>
        </w:rPr>
      </w:pPr>
    </w:p>
    <w:p w14:paraId="1D80AD57">
      <w:pPr>
        <w:rPr>
          <w:rFonts w:hint="eastAsia" w:ascii="仿宋" w:hAnsi="仿宋" w:eastAsia="仿宋" w:cs="仿宋"/>
          <w:b/>
          <w:bCs/>
          <w:color w:val="auto"/>
          <w:sz w:val="28"/>
          <w:szCs w:val="28"/>
          <w:highlight w:val="none"/>
          <w:lang w:eastAsia="zh-CN"/>
        </w:rPr>
      </w:pPr>
      <w:bookmarkStart w:id="260" w:name="_Toc24190"/>
      <w:r>
        <w:rPr>
          <w:rFonts w:hint="eastAsia" w:ascii="仿宋" w:hAnsi="仿宋" w:eastAsia="仿宋" w:cs="仿宋"/>
          <w:b/>
          <w:bCs/>
          <w:color w:val="auto"/>
          <w:sz w:val="28"/>
          <w:szCs w:val="28"/>
          <w:highlight w:val="none"/>
          <w:lang w:eastAsia="zh-CN"/>
        </w:rPr>
        <w:br w:type="page"/>
      </w:r>
    </w:p>
    <w:p w14:paraId="6974C66A">
      <w:pPr>
        <w:jc w:val="center"/>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（二）商务条款偏离表</w:t>
      </w:r>
      <w:bookmarkEnd w:id="260"/>
    </w:p>
    <w:p w14:paraId="33D02D06">
      <w:pPr>
        <w:ind w:left="1080" w:leftChars="257" w:hanging="540"/>
        <w:rPr>
          <w:rFonts w:hint="eastAsia" w:ascii="仿宋" w:hAnsi="仿宋" w:eastAsia="仿宋" w:cs="仿宋"/>
          <w:color w:val="auto"/>
          <w:highlight w:val="none"/>
          <w:lang w:eastAsia="zh-CN"/>
        </w:rPr>
      </w:pPr>
    </w:p>
    <w:p w14:paraId="1DE89793">
      <w:pPr>
        <w:ind w:left="1080" w:leftChars="257" w:hanging="540"/>
        <w:rPr>
          <w:rFonts w:hint="eastAsia" w:ascii="仿宋" w:hAnsi="仿宋" w:eastAsia="仿宋" w:cs="仿宋"/>
          <w:color w:val="auto"/>
          <w:highlight w:val="none"/>
          <w:lang w:eastAsia="zh-CN"/>
        </w:rPr>
      </w:pPr>
    </w:p>
    <w:p w14:paraId="6192FEE8">
      <w:pPr>
        <w:ind w:left="1080" w:leftChars="257" w:hanging="54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lang w:eastAsia="zh-CN"/>
        </w:rPr>
        <w:t xml:space="preserve">项目名称:                      </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lang w:eastAsia="zh-CN"/>
        </w:rPr>
        <w:t xml:space="preserve">编号:        </w:t>
      </w:r>
      <w:r>
        <w:rPr>
          <w:rFonts w:hint="eastAsia" w:ascii="仿宋" w:hAnsi="仿宋" w:eastAsia="仿宋" w:cs="仿宋"/>
          <w:color w:val="auto"/>
          <w:highlight w:val="none"/>
          <w:lang w:eastAsia="zh-CN"/>
        </w:rPr>
        <w:t xml:space="preserve">    </w:t>
      </w:r>
    </w:p>
    <w:tbl>
      <w:tblPr>
        <w:tblStyle w:val="13"/>
        <w:tblW w:w="1496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73"/>
        <w:gridCol w:w="1358"/>
        <w:gridCol w:w="6629"/>
        <w:gridCol w:w="1166"/>
        <w:gridCol w:w="2202"/>
        <w:gridCol w:w="794"/>
      </w:tblGrid>
      <w:tr w14:paraId="1A8E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846" w:type="dxa"/>
            <w:vAlign w:val="center"/>
          </w:tcPr>
          <w:p w14:paraId="605A4BA3">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序号</w:t>
            </w:r>
          </w:p>
        </w:tc>
        <w:tc>
          <w:tcPr>
            <w:tcW w:w="1973" w:type="dxa"/>
            <w:vAlign w:val="center"/>
          </w:tcPr>
          <w:p w14:paraId="798C0141">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lang w:eastAsia="zh-CN"/>
              </w:rPr>
              <w:t>谈判</w:t>
            </w:r>
            <w:r>
              <w:rPr>
                <w:rFonts w:hint="eastAsia" w:ascii="仿宋" w:hAnsi="仿宋" w:eastAsia="仿宋" w:cs="仿宋"/>
                <w:b/>
                <w:color w:val="auto"/>
                <w:kern w:val="2"/>
                <w:sz w:val="21"/>
                <w:szCs w:val="21"/>
                <w:highlight w:val="none"/>
              </w:rPr>
              <w:t>文件条款号</w:t>
            </w:r>
          </w:p>
        </w:tc>
        <w:tc>
          <w:tcPr>
            <w:tcW w:w="1358" w:type="dxa"/>
            <w:vAlign w:val="center"/>
          </w:tcPr>
          <w:p w14:paraId="65828C97">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b/>
                <w:color w:val="auto"/>
                <w:kern w:val="2"/>
                <w:sz w:val="21"/>
                <w:szCs w:val="21"/>
                <w:highlight w:val="none"/>
                <w:lang w:val="en-US" w:eastAsia="zh-CN"/>
              </w:rPr>
            </w:pPr>
            <w:r>
              <w:rPr>
                <w:rFonts w:hint="eastAsia" w:ascii="仿宋" w:hAnsi="仿宋" w:eastAsia="仿宋" w:cs="仿宋"/>
                <w:b/>
                <w:color w:val="auto"/>
                <w:kern w:val="2"/>
                <w:sz w:val="21"/>
                <w:szCs w:val="21"/>
                <w:highlight w:val="none"/>
                <w:lang w:val="en-US" w:eastAsia="zh-CN"/>
              </w:rPr>
              <w:t>名称</w:t>
            </w:r>
          </w:p>
        </w:tc>
        <w:tc>
          <w:tcPr>
            <w:tcW w:w="6629" w:type="dxa"/>
            <w:vAlign w:val="center"/>
          </w:tcPr>
          <w:p w14:paraId="7C7A79C3">
            <w:pPr>
              <w:snapToGrid w:val="0"/>
              <w:ind w:left="0" w:leftChars="0" w:right="0" w:rightChars="0" w:firstLine="0" w:firstLineChars="0"/>
              <w:jc w:val="center"/>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lang w:val="en-US" w:eastAsia="zh-CN"/>
              </w:rPr>
              <w:t>采购</w:t>
            </w:r>
            <w:r>
              <w:rPr>
                <w:rFonts w:hint="eastAsia" w:ascii="仿宋" w:hAnsi="仿宋" w:eastAsia="仿宋" w:cs="仿宋"/>
                <w:b/>
                <w:color w:val="auto"/>
                <w:kern w:val="2"/>
                <w:sz w:val="21"/>
                <w:szCs w:val="21"/>
                <w:highlight w:val="none"/>
              </w:rPr>
              <w:t>文件的商务条款</w:t>
            </w:r>
          </w:p>
        </w:tc>
        <w:tc>
          <w:tcPr>
            <w:tcW w:w="1166" w:type="dxa"/>
            <w:vAlign w:val="center"/>
          </w:tcPr>
          <w:p w14:paraId="731886AF">
            <w:pPr>
              <w:snapToGrid w:val="0"/>
              <w:ind w:left="0" w:leftChars="0" w:right="0" w:rightChars="0" w:firstLine="0" w:firstLineChars="0"/>
              <w:jc w:val="center"/>
              <w:rPr>
                <w:rFonts w:hint="default" w:ascii="仿宋" w:hAnsi="仿宋" w:eastAsia="仿宋" w:cs="仿宋"/>
                <w:b/>
                <w:color w:val="auto"/>
                <w:kern w:val="2"/>
                <w:sz w:val="21"/>
                <w:szCs w:val="21"/>
                <w:highlight w:val="none"/>
                <w:lang w:val="en-US" w:eastAsia="zh-CN"/>
              </w:rPr>
            </w:pPr>
            <w:r>
              <w:rPr>
                <w:rFonts w:hint="eastAsia" w:ascii="仿宋" w:hAnsi="仿宋" w:eastAsia="仿宋" w:cs="仿宋"/>
                <w:b/>
                <w:color w:val="auto"/>
                <w:kern w:val="2"/>
                <w:sz w:val="21"/>
                <w:szCs w:val="21"/>
                <w:highlight w:val="none"/>
                <w:lang w:val="en-US" w:eastAsia="zh-CN"/>
              </w:rPr>
              <w:t>供应商响应采购文件商务条款情况</w:t>
            </w:r>
          </w:p>
        </w:tc>
        <w:tc>
          <w:tcPr>
            <w:tcW w:w="2202" w:type="dxa"/>
            <w:vAlign w:val="center"/>
          </w:tcPr>
          <w:p w14:paraId="34E58F92">
            <w:pPr>
              <w:snapToGrid w:val="0"/>
              <w:ind w:left="0" w:leftChars="0" w:right="0" w:rightChars="0" w:firstLine="0" w:firstLineChars="0"/>
              <w:jc w:val="center"/>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lang w:val="en-US" w:eastAsia="zh-CN"/>
              </w:rPr>
              <w:t>偏离情况（负偏离满足/正偏离）</w:t>
            </w:r>
          </w:p>
        </w:tc>
        <w:tc>
          <w:tcPr>
            <w:tcW w:w="794" w:type="dxa"/>
            <w:vAlign w:val="center"/>
          </w:tcPr>
          <w:p w14:paraId="3E2EFF1D">
            <w:pPr>
              <w:snapToGrid w:val="0"/>
              <w:ind w:left="0" w:leftChars="0" w:right="0" w:rightChars="0" w:firstLine="0" w:firstLineChars="0"/>
              <w:jc w:val="center"/>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证明材料</w:t>
            </w:r>
          </w:p>
        </w:tc>
      </w:tr>
      <w:tr w14:paraId="78B3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6" w:type="dxa"/>
            <w:vAlign w:val="center"/>
          </w:tcPr>
          <w:p w14:paraId="58556B91">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w:t>
            </w:r>
          </w:p>
        </w:tc>
        <w:tc>
          <w:tcPr>
            <w:tcW w:w="1973" w:type="dxa"/>
            <w:vAlign w:val="center"/>
          </w:tcPr>
          <w:p w14:paraId="23E18905">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第</w:t>
            </w:r>
            <w:r>
              <w:rPr>
                <w:rFonts w:hint="eastAsia" w:ascii="仿宋" w:hAnsi="仿宋" w:eastAsia="仿宋" w:cs="仿宋"/>
                <w:color w:val="auto"/>
                <w:kern w:val="2"/>
                <w:sz w:val="21"/>
                <w:szCs w:val="21"/>
                <w:highlight w:val="none"/>
                <w:lang w:eastAsia="zh-CN"/>
              </w:rPr>
              <w:t>三</w:t>
            </w:r>
            <w:r>
              <w:rPr>
                <w:rFonts w:hint="eastAsia" w:ascii="仿宋" w:hAnsi="仿宋" w:eastAsia="仿宋" w:cs="仿宋"/>
                <w:color w:val="auto"/>
                <w:kern w:val="2"/>
                <w:sz w:val="21"/>
                <w:szCs w:val="21"/>
                <w:highlight w:val="none"/>
              </w:rPr>
              <w:t>章</w:t>
            </w:r>
            <w:r>
              <w:rPr>
                <w:rFonts w:hint="eastAsia" w:ascii="仿宋" w:hAnsi="仿宋" w:eastAsia="仿宋" w:cs="仿宋"/>
                <w:color w:val="auto"/>
                <w:kern w:val="2"/>
                <w:sz w:val="21"/>
                <w:szCs w:val="21"/>
                <w:highlight w:val="none"/>
                <w:lang w:eastAsia="zh-CN"/>
              </w:rPr>
              <w:t>采购需求</w:t>
            </w:r>
          </w:p>
        </w:tc>
        <w:tc>
          <w:tcPr>
            <w:tcW w:w="1358" w:type="dxa"/>
            <w:vAlign w:val="center"/>
          </w:tcPr>
          <w:p w14:paraId="3CE84DED">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合同履约期限</w:t>
            </w:r>
          </w:p>
        </w:tc>
        <w:tc>
          <w:tcPr>
            <w:tcW w:w="6629" w:type="dxa"/>
            <w:vAlign w:val="center"/>
          </w:tcPr>
          <w:p w14:paraId="71249D0F">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kern w:val="2"/>
                <w:sz w:val="21"/>
                <w:szCs w:val="21"/>
                <w:highlight w:val="none"/>
                <w:lang w:val="en-US" w:eastAsia="zh-CN"/>
              </w:rPr>
              <w:t>合同签订后，乙方应按照甲方要求，分两批次</w:t>
            </w:r>
            <w:r>
              <w:rPr>
                <w:rFonts w:hint="eastAsia" w:ascii="仿宋" w:hAnsi="仿宋" w:eastAsia="仿宋" w:cs="仿宋"/>
                <w:color w:val="auto"/>
                <w:kern w:val="2"/>
                <w:sz w:val="21"/>
                <w:szCs w:val="21"/>
                <w:highlight w:val="none"/>
                <w:lang w:eastAsia="zh-CN"/>
              </w:rPr>
              <w:t>进行</w:t>
            </w:r>
            <w:r>
              <w:rPr>
                <w:rFonts w:hint="eastAsia" w:ascii="仿宋" w:hAnsi="仿宋" w:eastAsia="仿宋" w:cs="仿宋"/>
                <w:color w:val="auto"/>
                <w:kern w:val="2"/>
                <w:sz w:val="21"/>
                <w:szCs w:val="21"/>
                <w:highlight w:val="none"/>
                <w:lang w:val="en-US" w:eastAsia="zh-CN"/>
              </w:rPr>
              <w:t>供货，其中：（1）繁育种犬：合同签订之日起75个日历日内，完成犬只筹备、隔离、选取、体检、防疫驱虫等验收前全部工作；（2）待训警犬：合同签订之日起20个日历日内，完成犬只筹备、隔离、选取、体检、防疫驱虫等验收前全部工作。</w:t>
            </w:r>
          </w:p>
        </w:tc>
        <w:tc>
          <w:tcPr>
            <w:tcW w:w="1166" w:type="dxa"/>
            <w:vAlign w:val="center"/>
          </w:tcPr>
          <w:p w14:paraId="1E9ADD20">
            <w:pPr>
              <w:snapToGrid w:val="0"/>
              <w:ind w:left="0" w:leftChars="0" w:right="0" w:rightChars="0" w:firstLine="0" w:firstLineChars="0"/>
              <w:jc w:val="left"/>
              <w:rPr>
                <w:rFonts w:hint="eastAsia" w:ascii="仿宋" w:hAnsi="仿宋" w:eastAsia="仿宋" w:cs="仿宋"/>
                <w:color w:val="auto"/>
                <w:kern w:val="2"/>
                <w:sz w:val="21"/>
                <w:szCs w:val="21"/>
                <w:highlight w:val="none"/>
                <w:lang w:eastAsia="zh-CN"/>
              </w:rPr>
            </w:pPr>
          </w:p>
        </w:tc>
        <w:tc>
          <w:tcPr>
            <w:tcW w:w="2202" w:type="dxa"/>
            <w:vAlign w:val="center"/>
          </w:tcPr>
          <w:p w14:paraId="332744E1">
            <w:pPr>
              <w:snapToGrid w:val="0"/>
              <w:ind w:left="0" w:leftChars="0" w:right="0" w:rightChars="0" w:firstLine="0" w:firstLineChars="0"/>
              <w:jc w:val="center"/>
              <w:rPr>
                <w:rFonts w:hint="eastAsia" w:ascii="仿宋" w:hAnsi="仿宋" w:eastAsia="仿宋" w:cs="仿宋"/>
                <w:color w:val="auto"/>
                <w:kern w:val="2"/>
                <w:sz w:val="21"/>
                <w:szCs w:val="21"/>
                <w:highlight w:val="none"/>
              </w:rPr>
            </w:pPr>
          </w:p>
        </w:tc>
        <w:tc>
          <w:tcPr>
            <w:tcW w:w="794" w:type="dxa"/>
            <w:vAlign w:val="center"/>
          </w:tcPr>
          <w:p w14:paraId="268F4A19">
            <w:pPr>
              <w:snapToGrid w:val="0"/>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承诺或说明</w:t>
            </w:r>
          </w:p>
        </w:tc>
      </w:tr>
      <w:tr w14:paraId="44F2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846" w:type="dxa"/>
            <w:vAlign w:val="center"/>
          </w:tcPr>
          <w:p w14:paraId="004C5A4F">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2</w:t>
            </w:r>
          </w:p>
        </w:tc>
        <w:tc>
          <w:tcPr>
            <w:tcW w:w="1973" w:type="dxa"/>
            <w:vAlign w:val="center"/>
          </w:tcPr>
          <w:p w14:paraId="7132AB5F">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第</w:t>
            </w:r>
            <w:r>
              <w:rPr>
                <w:rFonts w:hint="eastAsia" w:ascii="仿宋" w:hAnsi="仿宋" w:eastAsia="仿宋" w:cs="仿宋"/>
                <w:color w:val="auto"/>
                <w:kern w:val="2"/>
                <w:sz w:val="21"/>
                <w:szCs w:val="21"/>
                <w:highlight w:val="none"/>
                <w:lang w:eastAsia="zh-CN"/>
              </w:rPr>
              <w:t>三</w:t>
            </w:r>
            <w:r>
              <w:rPr>
                <w:rFonts w:hint="eastAsia" w:ascii="仿宋" w:hAnsi="仿宋" w:eastAsia="仿宋" w:cs="仿宋"/>
                <w:color w:val="auto"/>
                <w:kern w:val="2"/>
                <w:sz w:val="21"/>
                <w:szCs w:val="21"/>
                <w:highlight w:val="none"/>
              </w:rPr>
              <w:t>章</w:t>
            </w:r>
            <w:r>
              <w:rPr>
                <w:rFonts w:hint="eastAsia" w:ascii="仿宋" w:hAnsi="仿宋" w:eastAsia="仿宋" w:cs="仿宋"/>
                <w:color w:val="auto"/>
                <w:kern w:val="2"/>
                <w:sz w:val="21"/>
                <w:szCs w:val="21"/>
                <w:highlight w:val="none"/>
                <w:lang w:eastAsia="zh-CN"/>
              </w:rPr>
              <w:t>采购需求</w:t>
            </w:r>
          </w:p>
        </w:tc>
        <w:tc>
          <w:tcPr>
            <w:tcW w:w="1358" w:type="dxa"/>
            <w:vAlign w:val="center"/>
          </w:tcPr>
          <w:p w14:paraId="07517172">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供货</w:t>
            </w:r>
            <w:r>
              <w:rPr>
                <w:rFonts w:hint="eastAsia" w:ascii="仿宋" w:hAnsi="仿宋" w:eastAsia="仿宋" w:cs="仿宋"/>
                <w:color w:val="auto"/>
                <w:kern w:val="2"/>
                <w:sz w:val="21"/>
                <w:szCs w:val="21"/>
                <w:highlight w:val="none"/>
              </w:rPr>
              <w:t>地点</w:t>
            </w:r>
            <w:r>
              <w:rPr>
                <w:rFonts w:hint="eastAsia" w:ascii="仿宋" w:hAnsi="仿宋" w:eastAsia="仿宋" w:cs="仿宋"/>
                <w:color w:val="auto"/>
                <w:kern w:val="2"/>
                <w:sz w:val="21"/>
                <w:szCs w:val="21"/>
                <w:highlight w:val="none"/>
                <w:lang w:val="en-US" w:eastAsia="zh-CN"/>
              </w:rPr>
              <w:t>及要求</w:t>
            </w:r>
          </w:p>
        </w:tc>
        <w:tc>
          <w:tcPr>
            <w:tcW w:w="6629" w:type="dxa"/>
            <w:vAlign w:val="center"/>
          </w:tcPr>
          <w:p w14:paraId="4EAAD413">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乌鲁木齐县水西沟镇南康大道乌鲁木齐警犬训练基地</w:t>
            </w:r>
            <w:r>
              <w:rPr>
                <w:rFonts w:hint="eastAsia" w:ascii="仿宋" w:hAnsi="仿宋" w:eastAsia="仿宋" w:cs="仿宋"/>
                <w:color w:val="auto"/>
                <w:kern w:val="2"/>
                <w:sz w:val="21"/>
                <w:szCs w:val="21"/>
                <w:highlight w:val="none"/>
                <w:lang w:val="en-US" w:eastAsia="zh-CN"/>
              </w:rPr>
              <w:t>，需按照甲方供货要求，乙方送至甲方指定地点并承担货运费用。</w:t>
            </w:r>
          </w:p>
          <w:p w14:paraId="30758FD4">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lang w:eastAsia="zh-CN"/>
              </w:rPr>
            </w:pPr>
          </w:p>
        </w:tc>
        <w:tc>
          <w:tcPr>
            <w:tcW w:w="1166" w:type="dxa"/>
            <w:vAlign w:val="center"/>
          </w:tcPr>
          <w:p w14:paraId="7478D12D">
            <w:pPr>
              <w:snapToGrid w:val="0"/>
              <w:ind w:left="0" w:leftChars="0" w:right="0" w:rightChars="0" w:firstLine="0" w:firstLineChars="0"/>
              <w:jc w:val="left"/>
              <w:rPr>
                <w:rFonts w:hint="eastAsia" w:ascii="仿宋" w:hAnsi="仿宋" w:eastAsia="仿宋" w:cs="仿宋"/>
                <w:color w:val="auto"/>
                <w:kern w:val="2"/>
                <w:sz w:val="21"/>
                <w:szCs w:val="21"/>
                <w:highlight w:val="none"/>
                <w:lang w:eastAsia="zh-CN"/>
              </w:rPr>
            </w:pPr>
          </w:p>
        </w:tc>
        <w:tc>
          <w:tcPr>
            <w:tcW w:w="2202" w:type="dxa"/>
            <w:vAlign w:val="center"/>
          </w:tcPr>
          <w:p w14:paraId="6BF37451">
            <w:pPr>
              <w:snapToGrid w:val="0"/>
              <w:ind w:left="0" w:leftChars="0" w:right="0" w:rightChars="0" w:firstLine="0" w:firstLineChars="0"/>
              <w:jc w:val="center"/>
              <w:rPr>
                <w:rFonts w:hint="eastAsia" w:ascii="仿宋" w:hAnsi="仿宋" w:eastAsia="仿宋" w:cs="仿宋"/>
                <w:color w:val="auto"/>
                <w:kern w:val="2"/>
                <w:sz w:val="21"/>
                <w:szCs w:val="21"/>
                <w:highlight w:val="none"/>
              </w:rPr>
            </w:pPr>
          </w:p>
        </w:tc>
        <w:tc>
          <w:tcPr>
            <w:tcW w:w="794" w:type="dxa"/>
            <w:vAlign w:val="center"/>
          </w:tcPr>
          <w:p w14:paraId="2AC828B4">
            <w:pPr>
              <w:snapToGrid w:val="0"/>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承诺或说明</w:t>
            </w:r>
          </w:p>
        </w:tc>
      </w:tr>
      <w:tr w14:paraId="6E5F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6" w:type="dxa"/>
            <w:vAlign w:val="center"/>
          </w:tcPr>
          <w:p w14:paraId="628F0B57">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3</w:t>
            </w:r>
          </w:p>
        </w:tc>
        <w:tc>
          <w:tcPr>
            <w:tcW w:w="1973" w:type="dxa"/>
            <w:vAlign w:val="center"/>
          </w:tcPr>
          <w:p w14:paraId="2EB3A66E">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第</w:t>
            </w:r>
            <w:r>
              <w:rPr>
                <w:rFonts w:hint="eastAsia" w:ascii="仿宋" w:hAnsi="仿宋" w:eastAsia="仿宋" w:cs="仿宋"/>
                <w:color w:val="auto"/>
                <w:kern w:val="2"/>
                <w:sz w:val="21"/>
                <w:szCs w:val="21"/>
                <w:highlight w:val="none"/>
                <w:lang w:eastAsia="zh-CN"/>
              </w:rPr>
              <w:t>三</w:t>
            </w:r>
            <w:r>
              <w:rPr>
                <w:rFonts w:hint="eastAsia" w:ascii="仿宋" w:hAnsi="仿宋" w:eastAsia="仿宋" w:cs="仿宋"/>
                <w:color w:val="auto"/>
                <w:kern w:val="2"/>
                <w:sz w:val="21"/>
                <w:szCs w:val="21"/>
                <w:highlight w:val="none"/>
              </w:rPr>
              <w:t>章</w:t>
            </w:r>
            <w:r>
              <w:rPr>
                <w:rFonts w:hint="eastAsia" w:ascii="仿宋" w:hAnsi="仿宋" w:eastAsia="仿宋" w:cs="仿宋"/>
                <w:color w:val="auto"/>
                <w:kern w:val="2"/>
                <w:sz w:val="21"/>
                <w:szCs w:val="21"/>
                <w:highlight w:val="none"/>
                <w:lang w:eastAsia="zh-CN"/>
              </w:rPr>
              <w:t>采购需求</w:t>
            </w:r>
          </w:p>
        </w:tc>
        <w:tc>
          <w:tcPr>
            <w:tcW w:w="1358" w:type="dxa"/>
            <w:vAlign w:val="center"/>
          </w:tcPr>
          <w:p w14:paraId="3271B967">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eastAsia="zh-CN"/>
              </w:rPr>
              <w:t>谈判</w:t>
            </w:r>
            <w:r>
              <w:rPr>
                <w:rFonts w:hint="eastAsia" w:ascii="仿宋" w:hAnsi="仿宋" w:eastAsia="仿宋" w:cs="仿宋"/>
                <w:color w:val="auto"/>
                <w:kern w:val="2"/>
                <w:sz w:val="21"/>
                <w:szCs w:val="21"/>
                <w:highlight w:val="none"/>
              </w:rPr>
              <w:t>有效期</w:t>
            </w:r>
          </w:p>
        </w:tc>
        <w:tc>
          <w:tcPr>
            <w:tcW w:w="6629" w:type="dxa"/>
            <w:vAlign w:val="center"/>
          </w:tcPr>
          <w:p w14:paraId="3F759A0A">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自首次递交响应文件截止时间起计算 90 个日历日</w:t>
            </w:r>
          </w:p>
        </w:tc>
        <w:tc>
          <w:tcPr>
            <w:tcW w:w="1166" w:type="dxa"/>
            <w:vAlign w:val="center"/>
          </w:tcPr>
          <w:p w14:paraId="0B05393C">
            <w:pPr>
              <w:snapToGrid w:val="0"/>
              <w:ind w:left="0" w:leftChars="0" w:right="0" w:rightChars="0" w:firstLine="0" w:firstLineChars="0"/>
              <w:jc w:val="left"/>
              <w:rPr>
                <w:rFonts w:hint="eastAsia" w:ascii="仿宋" w:hAnsi="仿宋" w:eastAsia="仿宋" w:cs="仿宋"/>
                <w:color w:val="auto"/>
                <w:kern w:val="2"/>
                <w:sz w:val="21"/>
                <w:szCs w:val="21"/>
                <w:highlight w:val="none"/>
                <w:lang w:eastAsia="zh-CN"/>
              </w:rPr>
            </w:pPr>
          </w:p>
        </w:tc>
        <w:tc>
          <w:tcPr>
            <w:tcW w:w="2202" w:type="dxa"/>
            <w:vAlign w:val="center"/>
          </w:tcPr>
          <w:p w14:paraId="0A928195">
            <w:pPr>
              <w:snapToGrid w:val="0"/>
              <w:ind w:left="0" w:leftChars="0" w:right="0" w:rightChars="0" w:firstLine="0" w:firstLineChars="0"/>
              <w:jc w:val="center"/>
              <w:rPr>
                <w:rFonts w:hint="eastAsia" w:ascii="仿宋" w:hAnsi="仿宋" w:eastAsia="仿宋" w:cs="仿宋"/>
                <w:color w:val="auto"/>
                <w:kern w:val="2"/>
                <w:sz w:val="21"/>
                <w:szCs w:val="21"/>
                <w:highlight w:val="none"/>
              </w:rPr>
            </w:pPr>
          </w:p>
        </w:tc>
        <w:tc>
          <w:tcPr>
            <w:tcW w:w="794" w:type="dxa"/>
            <w:vAlign w:val="center"/>
          </w:tcPr>
          <w:p w14:paraId="200DE29C">
            <w:pPr>
              <w:snapToGrid w:val="0"/>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承诺或说明</w:t>
            </w:r>
          </w:p>
        </w:tc>
      </w:tr>
      <w:tr w14:paraId="3FD4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6" w:type="dxa"/>
            <w:vAlign w:val="center"/>
          </w:tcPr>
          <w:p w14:paraId="443D6B35">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4</w:t>
            </w:r>
          </w:p>
        </w:tc>
        <w:tc>
          <w:tcPr>
            <w:tcW w:w="1973" w:type="dxa"/>
            <w:vAlign w:val="center"/>
          </w:tcPr>
          <w:p w14:paraId="7E6C0E60">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第</w:t>
            </w:r>
            <w:r>
              <w:rPr>
                <w:rFonts w:hint="eastAsia" w:ascii="仿宋" w:hAnsi="仿宋" w:eastAsia="仿宋" w:cs="仿宋"/>
                <w:color w:val="auto"/>
                <w:kern w:val="2"/>
                <w:sz w:val="21"/>
                <w:szCs w:val="21"/>
                <w:highlight w:val="none"/>
                <w:lang w:eastAsia="zh-CN"/>
              </w:rPr>
              <w:t>三</w:t>
            </w:r>
            <w:r>
              <w:rPr>
                <w:rFonts w:hint="eastAsia" w:ascii="仿宋" w:hAnsi="仿宋" w:eastAsia="仿宋" w:cs="仿宋"/>
                <w:color w:val="auto"/>
                <w:kern w:val="2"/>
                <w:sz w:val="21"/>
                <w:szCs w:val="21"/>
                <w:highlight w:val="none"/>
              </w:rPr>
              <w:t>章</w:t>
            </w:r>
            <w:r>
              <w:rPr>
                <w:rFonts w:hint="eastAsia" w:ascii="仿宋" w:hAnsi="仿宋" w:eastAsia="仿宋" w:cs="仿宋"/>
                <w:color w:val="auto"/>
                <w:kern w:val="2"/>
                <w:sz w:val="21"/>
                <w:szCs w:val="21"/>
                <w:highlight w:val="none"/>
                <w:lang w:eastAsia="zh-CN"/>
              </w:rPr>
              <w:t>采购需求</w:t>
            </w:r>
          </w:p>
        </w:tc>
        <w:tc>
          <w:tcPr>
            <w:tcW w:w="1358" w:type="dxa"/>
            <w:vAlign w:val="center"/>
          </w:tcPr>
          <w:p w14:paraId="249CE9C3">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付款方式</w:t>
            </w:r>
          </w:p>
        </w:tc>
        <w:tc>
          <w:tcPr>
            <w:tcW w:w="6629" w:type="dxa"/>
            <w:vAlign w:val="center"/>
          </w:tcPr>
          <w:p w14:paraId="57ABBD3E">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成交通知书下达后7个日历日内，乙方向甲方提供成交价格3%的</w:t>
            </w:r>
            <w:r>
              <w:rPr>
                <w:rFonts w:hint="eastAsia" w:ascii="仿宋" w:hAnsi="仿宋" w:eastAsia="仿宋" w:cs="仿宋"/>
                <w:color w:val="auto"/>
                <w:kern w:val="0"/>
                <w:sz w:val="21"/>
                <w:szCs w:val="21"/>
                <w:highlight w:val="none"/>
                <w:lang w:val="en-US" w:eastAsia="zh-CN"/>
              </w:rPr>
              <w:t>，见索即付、不可撤销的独立</w:t>
            </w:r>
            <w:r>
              <w:rPr>
                <w:rFonts w:hint="eastAsia" w:ascii="仿宋" w:hAnsi="仿宋" w:eastAsia="仿宋" w:cs="仿宋"/>
                <w:color w:val="auto"/>
                <w:sz w:val="21"/>
                <w:szCs w:val="21"/>
                <w:highlight w:val="none"/>
                <w:lang w:val="en-US" w:eastAsia="zh-CN"/>
              </w:rPr>
              <w:t>履约保函（期限90个日历日），</w:t>
            </w:r>
            <w:r>
              <w:rPr>
                <w:rFonts w:hint="eastAsia" w:ascii="仿宋" w:hAnsi="仿宋" w:eastAsia="仿宋" w:cs="仿宋"/>
                <w:color w:val="auto"/>
                <w:sz w:val="21"/>
                <w:szCs w:val="21"/>
                <w:highlight w:val="none"/>
                <w:lang w:eastAsia="zh-CN"/>
              </w:rPr>
              <w:t>履约保函缴纳后，后期如乙方无故不履行合同，</w:t>
            </w:r>
            <w:r>
              <w:rPr>
                <w:rFonts w:hint="eastAsia" w:ascii="仿宋" w:hAnsi="仿宋" w:eastAsia="仿宋" w:cs="仿宋"/>
                <w:color w:val="auto"/>
                <w:sz w:val="21"/>
                <w:szCs w:val="21"/>
                <w:highlight w:val="none"/>
                <w:lang w:val="en-US" w:eastAsia="zh-CN"/>
              </w:rPr>
              <w:t>甲方有权索兑保函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乙方按要求分批次进行供货履约，其中，（1）繁育种犬：合同签订之日起75个日历日内，完成犬只筹备、隔离、选取、体检、防疫驱虫等验收前全部工作；（2）待训警犬：合同签订之日起20个日历日内，完成犬只筹备、隔离、选取、体检、防疫驱虫等验收前全部工作。履约完毕并验收合格后，</w:t>
            </w:r>
            <w:r>
              <w:rPr>
                <w:rFonts w:hint="eastAsia" w:ascii="仿宋" w:hAnsi="仿宋" w:eastAsia="仿宋" w:cs="仿宋"/>
                <w:color w:val="auto"/>
                <w:sz w:val="21"/>
                <w:szCs w:val="21"/>
                <w:highlight w:val="none"/>
                <w:lang w:eastAsia="zh-CN"/>
              </w:rPr>
              <w:t>乙方向甲方提供合同价款</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eastAsia="zh-CN"/>
              </w:rPr>
              <w:t>0%的发票，资料票据齐全后，在15个日历日内（除因甲方支付环节繁琐导致支付延误的情况除外）向乙方支付合同总额的</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eastAsia="zh-CN"/>
              </w:rPr>
              <w:t>0%；</w:t>
            </w:r>
          </w:p>
          <w:p w14:paraId="77074B9F">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经甲方验收合格后，乙方所供产品及服务无质量问题且达到服务要求并无任何违约行为，甲方配合乙方</w:t>
            </w:r>
            <w:r>
              <w:rPr>
                <w:rFonts w:hint="eastAsia" w:ascii="仿宋" w:hAnsi="仿宋" w:eastAsia="仿宋" w:cs="仿宋"/>
                <w:color w:val="auto"/>
                <w:sz w:val="21"/>
                <w:szCs w:val="21"/>
                <w:highlight w:val="none"/>
                <w:lang w:val="en-US" w:eastAsia="zh-CN"/>
              </w:rPr>
              <w:t>完成履约保函退付（如需要）。</w:t>
            </w:r>
          </w:p>
          <w:p w14:paraId="5E9F196E">
            <w:pPr>
              <w:keepNext w:val="0"/>
              <w:keepLines w:val="0"/>
              <w:pageBreakBefore w:val="0"/>
              <w:widowControl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注：</w:t>
            </w:r>
            <w:r>
              <w:rPr>
                <w:rFonts w:hint="eastAsia" w:ascii="仿宋" w:hAnsi="仿宋" w:eastAsia="仿宋" w:cs="仿宋"/>
                <w:color w:val="auto"/>
                <w:sz w:val="21"/>
                <w:szCs w:val="21"/>
                <w:highlight w:val="none"/>
                <w:lang w:val="zh-TW" w:eastAsia="zh-CN"/>
              </w:rPr>
              <w:t>如</w:t>
            </w:r>
            <w:r>
              <w:rPr>
                <w:rFonts w:hint="eastAsia" w:ascii="仿宋" w:hAnsi="仿宋" w:eastAsia="仿宋" w:cs="仿宋"/>
                <w:color w:val="auto"/>
                <w:sz w:val="21"/>
                <w:szCs w:val="21"/>
                <w:highlight w:val="none"/>
                <w:lang w:val="en-US" w:eastAsia="zh-CN"/>
              </w:rPr>
              <w:t>供货履约</w:t>
            </w:r>
            <w:r>
              <w:rPr>
                <w:rFonts w:hint="eastAsia" w:ascii="仿宋" w:hAnsi="仿宋" w:eastAsia="仿宋" w:cs="仿宋"/>
                <w:color w:val="auto"/>
                <w:sz w:val="21"/>
                <w:szCs w:val="21"/>
                <w:highlight w:val="none"/>
                <w:lang w:val="zh-TW" w:eastAsia="zh-CN"/>
              </w:rPr>
              <w:t>服务周期内存在未按照合同履行服务部分，依据单价及数量在</w:t>
            </w:r>
            <w:r>
              <w:rPr>
                <w:rFonts w:hint="eastAsia" w:ascii="仿宋" w:hAnsi="仿宋" w:eastAsia="仿宋" w:cs="仿宋"/>
                <w:color w:val="auto"/>
                <w:sz w:val="21"/>
                <w:szCs w:val="21"/>
                <w:highlight w:val="none"/>
                <w:lang w:val="en-US" w:eastAsia="zh-CN"/>
              </w:rPr>
              <w:t>合同款</w:t>
            </w:r>
            <w:r>
              <w:rPr>
                <w:rFonts w:hint="eastAsia" w:ascii="仿宋" w:hAnsi="仿宋" w:eastAsia="仿宋" w:cs="仿宋"/>
                <w:color w:val="auto"/>
                <w:sz w:val="21"/>
                <w:szCs w:val="21"/>
                <w:highlight w:val="none"/>
                <w:lang w:val="zh-TW" w:eastAsia="zh-CN"/>
              </w:rPr>
              <w:t>中予以扣除。</w:t>
            </w:r>
            <w:r>
              <w:rPr>
                <w:rFonts w:hint="eastAsia" w:ascii="仿宋" w:hAnsi="仿宋" w:eastAsia="仿宋" w:cs="仿宋"/>
                <w:color w:val="auto"/>
                <w:sz w:val="21"/>
                <w:szCs w:val="21"/>
                <w:highlight w:val="none"/>
                <w:lang w:eastAsia="zh-CN"/>
              </w:rPr>
              <w:t>期间，甲方因支付环节繁琐导致支付延误的情况除外，上述款项支付前，乙方须按照甲方要求开具相应发票，若乙方延迟开具并交付相应发票或开具并交付的发票不符合税法或甲方的要求，则甲方付款时间顺延，由此造成的一切损失，乙方自行负责。乙方不得以此拒绝履行其合同义务，甲方不承担任何违约、赔偿责任。</w:t>
            </w:r>
          </w:p>
        </w:tc>
        <w:tc>
          <w:tcPr>
            <w:tcW w:w="1166" w:type="dxa"/>
            <w:vAlign w:val="center"/>
          </w:tcPr>
          <w:p w14:paraId="13F61899">
            <w:pPr>
              <w:snapToGrid w:val="0"/>
              <w:ind w:left="0" w:leftChars="0" w:right="0" w:rightChars="0" w:firstLine="0" w:firstLineChars="0"/>
              <w:jc w:val="left"/>
              <w:rPr>
                <w:rFonts w:hint="eastAsia" w:ascii="仿宋" w:hAnsi="仿宋" w:eastAsia="仿宋" w:cs="仿宋"/>
                <w:color w:val="auto"/>
                <w:kern w:val="2"/>
                <w:sz w:val="21"/>
                <w:szCs w:val="21"/>
                <w:highlight w:val="none"/>
                <w:lang w:eastAsia="zh-CN"/>
              </w:rPr>
            </w:pPr>
          </w:p>
        </w:tc>
        <w:tc>
          <w:tcPr>
            <w:tcW w:w="2202" w:type="dxa"/>
            <w:vAlign w:val="center"/>
          </w:tcPr>
          <w:p w14:paraId="481932D0">
            <w:pPr>
              <w:snapToGrid w:val="0"/>
              <w:ind w:left="0" w:leftChars="0" w:right="0" w:rightChars="0" w:firstLine="0" w:firstLineChars="0"/>
              <w:jc w:val="center"/>
              <w:rPr>
                <w:rFonts w:hint="eastAsia" w:ascii="仿宋" w:hAnsi="仿宋" w:eastAsia="仿宋" w:cs="仿宋"/>
                <w:color w:val="auto"/>
                <w:kern w:val="2"/>
                <w:sz w:val="21"/>
                <w:szCs w:val="21"/>
                <w:highlight w:val="none"/>
              </w:rPr>
            </w:pPr>
          </w:p>
        </w:tc>
        <w:tc>
          <w:tcPr>
            <w:tcW w:w="794" w:type="dxa"/>
            <w:vAlign w:val="center"/>
          </w:tcPr>
          <w:p w14:paraId="252FD978">
            <w:pPr>
              <w:snapToGrid w:val="0"/>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承诺或说明</w:t>
            </w:r>
          </w:p>
        </w:tc>
      </w:tr>
      <w:tr w14:paraId="54C1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6" w:type="dxa"/>
            <w:vAlign w:val="center"/>
          </w:tcPr>
          <w:p w14:paraId="3AC97D6F">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5</w:t>
            </w:r>
          </w:p>
        </w:tc>
        <w:tc>
          <w:tcPr>
            <w:tcW w:w="1973" w:type="dxa"/>
            <w:vAlign w:val="center"/>
          </w:tcPr>
          <w:p w14:paraId="343DE1FF">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eastAsia="zh-CN"/>
              </w:rPr>
              <w:t>第五章合同条款</w:t>
            </w:r>
            <w:r>
              <w:rPr>
                <w:rFonts w:hint="eastAsia" w:ascii="仿宋" w:hAnsi="仿宋" w:eastAsia="仿宋" w:cs="仿宋"/>
                <w:color w:val="auto"/>
                <w:kern w:val="2"/>
                <w:sz w:val="21"/>
                <w:szCs w:val="21"/>
                <w:highlight w:val="none"/>
                <w:lang w:val="en-US" w:eastAsia="zh-CN"/>
              </w:rPr>
              <w:t>及</w:t>
            </w:r>
          </w:p>
          <w:p w14:paraId="610D0508">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需求内容</w:t>
            </w:r>
          </w:p>
        </w:tc>
        <w:tc>
          <w:tcPr>
            <w:tcW w:w="1358" w:type="dxa"/>
            <w:vAlign w:val="center"/>
          </w:tcPr>
          <w:p w14:paraId="366167FE">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left"/>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rPr>
              <w:t>合同条款</w:t>
            </w:r>
            <w:r>
              <w:rPr>
                <w:rFonts w:hint="eastAsia" w:ascii="仿宋" w:hAnsi="仿宋" w:eastAsia="仿宋" w:cs="仿宋"/>
                <w:color w:val="auto"/>
                <w:kern w:val="2"/>
                <w:sz w:val="21"/>
                <w:szCs w:val="21"/>
                <w:highlight w:val="none"/>
                <w:lang w:val="en-US" w:eastAsia="zh-CN"/>
              </w:rPr>
              <w:t>及需求内容</w:t>
            </w:r>
          </w:p>
        </w:tc>
        <w:tc>
          <w:tcPr>
            <w:tcW w:w="6629" w:type="dxa"/>
            <w:vAlign w:val="center"/>
          </w:tcPr>
          <w:p w14:paraId="317A8029">
            <w:pPr>
              <w:pStyle w:val="4"/>
              <w:keepNext w:val="0"/>
              <w:keepLines w:val="0"/>
              <w:pageBreakBefore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default" w:ascii="仿宋" w:hAnsi="仿宋" w:eastAsia="仿宋" w:cs="仿宋"/>
                <w:color w:val="auto"/>
                <w:kern w:val="2"/>
                <w:sz w:val="21"/>
                <w:szCs w:val="21"/>
                <w:highlight w:val="none"/>
                <w:lang w:val="en-US" w:eastAsia="zh-CN"/>
              </w:rPr>
            </w:pPr>
            <w:bookmarkStart w:id="261" w:name="_Toc28011"/>
            <w:r>
              <w:rPr>
                <w:rFonts w:hint="eastAsia" w:ascii="仿宋" w:hAnsi="仿宋" w:eastAsia="仿宋" w:cs="仿宋"/>
                <w:color w:val="auto"/>
                <w:kern w:val="2"/>
                <w:sz w:val="21"/>
                <w:szCs w:val="21"/>
                <w:highlight w:val="none"/>
                <w:lang w:eastAsia="zh-CN"/>
              </w:rPr>
              <w:t>承诺响应合同中的违约条件、付款方式等</w:t>
            </w:r>
            <w:r>
              <w:rPr>
                <w:rFonts w:hint="eastAsia" w:ascii="仿宋" w:hAnsi="仿宋" w:eastAsia="仿宋" w:cs="仿宋"/>
                <w:color w:val="auto"/>
                <w:kern w:val="2"/>
                <w:sz w:val="21"/>
                <w:szCs w:val="21"/>
                <w:highlight w:val="none"/>
                <w:lang w:val="en-US" w:eastAsia="zh-CN"/>
              </w:rPr>
              <w:t>全部</w:t>
            </w:r>
            <w:r>
              <w:rPr>
                <w:rFonts w:hint="eastAsia" w:ascii="仿宋" w:hAnsi="仿宋" w:eastAsia="仿宋" w:cs="仿宋"/>
                <w:color w:val="auto"/>
                <w:kern w:val="2"/>
                <w:sz w:val="21"/>
                <w:szCs w:val="21"/>
                <w:highlight w:val="none"/>
                <w:lang w:eastAsia="zh-CN"/>
              </w:rPr>
              <w:t>条款</w:t>
            </w:r>
            <w:bookmarkEnd w:id="261"/>
            <w:r>
              <w:rPr>
                <w:rFonts w:hint="eastAsia" w:ascii="仿宋" w:hAnsi="仿宋" w:eastAsia="仿宋" w:cs="仿宋"/>
                <w:color w:val="auto"/>
                <w:kern w:val="2"/>
                <w:sz w:val="21"/>
                <w:szCs w:val="21"/>
                <w:highlight w:val="none"/>
                <w:lang w:val="en-US" w:eastAsia="zh-CN"/>
              </w:rPr>
              <w:t>及采购需求内容</w:t>
            </w:r>
          </w:p>
        </w:tc>
        <w:tc>
          <w:tcPr>
            <w:tcW w:w="1166" w:type="dxa"/>
            <w:vAlign w:val="center"/>
          </w:tcPr>
          <w:p w14:paraId="4EEA8DB5">
            <w:pPr>
              <w:snapToGrid w:val="0"/>
              <w:ind w:left="0" w:leftChars="0" w:right="0" w:rightChars="0" w:firstLine="0" w:firstLineChars="0"/>
              <w:jc w:val="left"/>
              <w:rPr>
                <w:rFonts w:hint="eastAsia" w:ascii="仿宋" w:hAnsi="仿宋" w:eastAsia="仿宋" w:cs="仿宋"/>
                <w:color w:val="auto"/>
                <w:kern w:val="2"/>
                <w:sz w:val="21"/>
                <w:szCs w:val="21"/>
                <w:highlight w:val="none"/>
                <w:lang w:eastAsia="zh-CN"/>
              </w:rPr>
            </w:pPr>
          </w:p>
        </w:tc>
        <w:tc>
          <w:tcPr>
            <w:tcW w:w="2202" w:type="dxa"/>
            <w:vAlign w:val="center"/>
          </w:tcPr>
          <w:p w14:paraId="0EA66ACB">
            <w:pPr>
              <w:snapToGrid w:val="0"/>
              <w:ind w:left="0" w:leftChars="0" w:right="0" w:rightChars="0" w:firstLine="0" w:firstLineChars="0"/>
              <w:jc w:val="center"/>
              <w:rPr>
                <w:rFonts w:hint="eastAsia" w:ascii="仿宋" w:hAnsi="仿宋" w:eastAsia="仿宋" w:cs="仿宋"/>
                <w:color w:val="auto"/>
                <w:kern w:val="2"/>
                <w:sz w:val="21"/>
                <w:szCs w:val="21"/>
                <w:highlight w:val="none"/>
              </w:rPr>
            </w:pPr>
          </w:p>
        </w:tc>
        <w:tc>
          <w:tcPr>
            <w:tcW w:w="794" w:type="dxa"/>
            <w:vAlign w:val="center"/>
          </w:tcPr>
          <w:p w14:paraId="64FE7502">
            <w:pPr>
              <w:snapToGrid w:val="0"/>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承诺或说明</w:t>
            </w:r>
          </w:p>
        </w:tc>
      </w:tr>
      <w:tr w14:paraId="4874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46" w:type="dxa"/>
            <w:vAlign w:val="center"/>
          </w:tcPr>
          <w:p w14:paraId="6BA3C72B">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6</w:t>
            </w:r>
          </w:p>
        </w:tc>
        <w:tc>
          <w:tcPr>
            <w:tcW w:w="1973" w:type="dxa"/>
            <w:vAlign w:val="center"/>
          </w:tcPr>
          <w:p w14:paraId="7EEEF7CF">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第</w:t>
            </w:r>
            <w:r>
              <w:rPr>
                <w:rFonts w:hint="eastAsia" w:ascii="仿宋" w:hAnsi="仿宋" w:eastAsia="仿宋" w:cs="仿宋"/>
                <w:color w:val="auto"/>
                <w:kern w:val="2"/>
                <w:sz w:val="21"/>
                <w:szCs w:val="21"/>
                <w:highlight w:val="none"/>
                <w:lang w:eastAsia="zh-CN"/>
              </w:rPr>
              <w:t>三</w:t>
            </w:r>
            <w:r>
              <w:rPr>
                <w:rFonts w:hint="eastAsia" w:ascii="仿宋" w:hAnsi="仿宋" w:eastAsia="仿宋" w:cs="仿宋"/>
                <w:color w:val="auto"/>
                <w:kern w:val="2"/>
                <w:sz w:val="21"/>
                <w:szCs w:val="21"/>
                <w:highlight w:val="none"/>
              </w:rPr>
              <w:t>章</w:t>
            </w:r>
            <w:r>
              <w:rPr>
                <w:rFonts w:hint="eastAsia" w:ascii="仿宋" w:hAnsi="仿宋" w:eastAsia="仿宋" w:cs="仿宋"/>
                <w:color w:val="auto"/>
                <w:kern w:val="2"/>
                <w:sz w:val="21"/>
                <w:szCs w:val="21"/>
                <w:highlight w:val="none"/>
                <w:lang w:eastAsia="zh-CN"/>
              </w:rPr>
              <w:t>采购需求</w:t>
            </w:r>
          </w:p>
        </w:tc>
        <w:tc>
          <w:tcPr>
            <w:tcW w:w="1358" w:type="dxa"/>
            <w:vAlign w:val="center"/>
          </w:tcPr>
          <w:p w14:paraId="075F9386">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验收方式、程序</w:t>
            </w:r>
            <w:r>
              <w:rPr>
                <w:rFonts w:hint="eastAsia" w:ascii="仿宋" w:hAnsi="仿宋" w:eastAsia="仿宋" w:cs="仿宋"/>
                <w:color w:val="auto"/>
                <w:kern w:val="2"/>
                <w:sz w:val="21"/>
                <w:szCs w:val="21"/>
                <w:highlight w:val="none"/>
                <w:lang w:val="en-US" w:eastAsia="zh-CN"/>
              </w:rPr>
              <w:t>及</w:t>
            </w:r>
            <w:r>
              <w:rPr>
                <w:rFonts w:hint="eastAsia" w:ascii="仿宋" w:hAnsi="仿宋" w:eastAsia="仿宋" w:cs="仿宋"/>
                <w:color w:val="auto"/>
                <w:kern w:val="2"/>
                <w:sz w:val="21"/>
                <w:szCs w:val="21"/>
                <w:highlight w:val="none"/>
                <w:lang w:eastAsia="zh-CN"/>
              </w:rPr>
              <w:t>标准</w:t>
            </w:r>
          </w:p>
        </w:tc>
        <w:tc>
          <w:tcPr>
            <w:tcW w:w="6629" w:type="dxa"/>
            <w:vAlign w:val="center"/>
          </w:tcPr>
          <w:p w14:paraId="0AAC27B3">
            <w:pPr>
              <w:keepNext w:val="0"/>
              <w:keepLines w:val="0"/>
              <w:pageBreakBefore w:val="0"/>
              <w:widowControl w:val="0"/>
              <w:numPr>
                <w:ilvl w:val="0"/>
                <w:numId w:val="0"/>
              </w:numPr>
              <w:wordWrap/>
              <w:overflowPunct/>
              <w:topLinePunct w:val="0"/>
              <w:autoSpaceDE w:val="0"/>
              <w:autoSpaceDN w:val="0"/>
              <w:bidi w:val="0"/>
              <w:adjustRightInd/>
              <w:snapToGrid/>
              <w:spacing w:line="0" w:lineRule="atLeast"/>
              <w:jc w:val="both"/>
              <w:textAlignment w:val="auto"/>
              <w:outlineLvl w:val="9"/>
              <w:rPr>
                <w:rFonts w:hint="default" w:ascii="仿宋" w:hAnsi="仿宋" w:eastAsia="仿宋" w:cs="仿宋"/>
                <w:snapToGrid w:val="0"/>
                <w:color w:val="auto"/>
                <w:kern w:val="2"/>
                <w:sz w:val="21"/>
                <w:szCs w:val="21"/>
                <w:highlight w:val="none"/>
                <w:lang w:val="en-US" w:eastAsia="zh-CN" w:bidi="ar-SA"/>
              </w:rPr>
            </w:pPr>
            <w:r>
              <w:rPr>
                <w:rFonts w:hint="eastAsia" w:ascii="仿宋" w:hAnsi="仿宋" w:eastAsia="仿宋" w:cs="仿宋"/>
                <w:snapToGrid w:val="0"/>
                <w:color w:val="auto"/>
                <w:kern w:val="2"/>
                <w:sz w:val="21"/>
                <w:szCs w:val="21"/>
                <w:highlight w:val="none"/>
                <w:lang w:val="en-US" w:eastAsia="zh-CN" w:bidi="ar-SA"/>
              </w:rPr>
              <w:t>1</w:t>
            </w:r>
            <w:r>
              <w:rPr>
                <w:rFonts w:hint="default" w:ascii="仿宋" w:hAnsi="仿宋" w:eastAsia="仿宋" w:cs="仿宋"/>
                <w:snapToGrid w:val="0"/>
                <w:color w:val="auto"/>
                <w:kern w:val="2"/>
                <w:sz w:val="21"/>
                <w:szCs w:val="21"/>
                <w:highlight w:val="none"/>
                <w:lang w:val="en-US" w:eastAsia="zh-CN" w:bidi="ar-SA"/>
              </w:rPr>
              <w:t>.履约验收方式</w:t>
            </w:r>
            <w:r>
              <w:rPr>
                <w:rFonts w:hint="eastAsia" w:ascii="仿宋" w:hAnsi="仿宋" w:eastAsia="仿宋" w:cs="仿宋"/>
                <w:snapToGrid w:val="0"/>
                <w:color w:val="auto"/>
                <w:kern w:val="2"/>
                <w:sz w:val="21"/>
                <w:szCs w:val="21"/>
                <w:highlight w:val="none"/>
                <w:lang w:val="en-US" w:eastAsia="zh-CN" w:bidi="ar-SA"/>
              </w:rPr>
              <w:t>。</w:t>
            </w:r>
            <w:r>
              <w:rPr>
                <w:rFonts w:hint="default" w:ascii="仿宋" w:hAnsi="仿宋" w:eastAsia="仿宋" w:cs="仿宋"/>
                <w:snapToGrid w:val="0"/>
                <w:color w:val="auto"/>
                <w:kern w:val="2"/>
                <w:sz w:val="21"/>
                <w:szCs w:val="21"/>
                <w:highlight w:val="none"/>
                <w:lang w:val="en-US" w:eastAsia="zh-CN" w:bidi="ar-SA"/>
              </w:rPr>
              <w:t>启用一般程序由警犬训练基地牵头组织验收，按供货批次开展验收，验收由</w:t>
            </w:r>
            <w:r>
              <w:rPr>
                <w:rFonts w:hint="eastAsia" w:ascii="仿宋" w:hAnsi="仿宋" w:eastAsia="仿宋" w:cs="仿宋"/>
                <w:snapToGrid w:val="0"/>
                <w:color w:val="auto"/>
                <w:kern w:val="2"/>
                <w:sz w:val="21"/>
                <w:szCs w:val="21"/>
                <w:highlight w:val="none"/>
                <w:lang w:val="en-US" w:eastAsia="zh-CN" w:bidi="ar-SA"/>
              </w:rPr>
              <w:t>边境管理处</w:t>
            </w:r>
            <w:r>
              <w:rPr>
                <w:rFonts w:hint="default" w:ascii="仿宋" w:hAnsi="仿宋" w:eastAsia="仿宋" w:cs="仿宋"/>
                <w:snapToGrid w:val="0"/>
                <w:color w:val="auto"/>
                <w:kern w:val="2"/>
                <w:sz w:val="21"/>
                <w:szCs w:val="21"/>
                <w:highlight w:val="none"/>
                <w:lang w:val="en-US" w:eastAsia="zh-CN" w:bidi="ar-SA"/>
              </w:rPr>
              <w:t>牵头，</w:t>
            </w:r>
            <w:r>
              <w:rPr>
                <w:rFonts w:hint="eastAsia" w:ascii="仿宋" w:hAnsi="仿宋" w:eastAsia="仿宋" w:cs="仿宋"/>
                <w:snapToGrid w:val="0"/>
                <w:color w:val="auto"/>
                <w:kern w:val="2"/>
                <w:sz w:val="21"/>
                <w:szCs w:val="21"/>
                <w:highlight w:val="none"/>
                <w:lang w:val="en-US" w:eastAsia="zh-CN" w:bidi="ar-SA"/>
              </w:rPr>
              <w:t>警犬训练基地、</w:t>
            </w:r>
            <w:r>
              <w:rPr>
                <w:rFonts w:hint="default" w:ascii="仿宋" w:hAnsi="仿宋" w:eastAsia="仿宋" w:cs="仿宋"/>
                <w:snapToGrid w:val="0"/>
                <w:color w:val="auto"/>
                <w:kern w:val="2"/>
                <w:sz w:val="21"/>
                <w:szCs w:val="21"/>
                <w:highlight w:val="none"/>
                <w:lang w:val="en-US" w:eastAsia="zh-CN" w:bidi="ar-SA"/>
              </w:rPr>
              <w:t xml:space="preserve">督察队、法制处、后勤保障处采购组组成验收小组开展验收，期间对应合同约定要求实地核查核对代训警犬数量、品种、履约过程资料等内容。                                             </w:t>
            </w:r>
          </w:p>
          <w:p w14:paraId="33D833FA">
            <w:pPr>
              <w:keepNext w:val="0"/>
              <w:keepLines w:val="0"/>
              <w:pageBreakBefore w:val="0"/>
              <w:widowControl w:val="0"/>
              <w:numPr>
                <w:ilvl w:val="0"/>
                <w:numId w:val="0"/>
              </w:numPr>
              <w:wordWrap/>
              <w:overflowPunct/>
              <w:topLinePunct w:val="0"/>
              <w:autoSpaceDE w:val="0"/>
              <w:autoSpaceDN w:val="0"/>
              <w:bidi w:val="0"/>
              <w:adjustRightInd/>
              <w:snapToGrid/>
              <w:spacing w:line="0" w:lineRule="atLeast"/>
              <w:jc w:val="both"/>
              <w:textAlignment w:val="auto"/>
              <w:outlineLvl w:val="2"/>
              <w:rPr>
                <w:rFonts w:hint="default" w:ascii="仿宋" w:hAnsi="仿宋" w:eastAsia="仿宋" w:cs="仿宋"/>
                <w:snapToGrid w:val="0"/>
                <w:color w:val="auto"/>
                <w:kern w:val="2"/>
                <w:sz w:val="21"/>
                <w:szCs w:val="21"/>
                <w:highlight w:val="none"/>
                <w:lang w:val="en-US" w:eastAsia="zh-CN" w:bidi="ar-SA"/>
              </w:rPr>
            </w:pPr>
            <w:r>
              <w:rPr>
                <w:rFonts w:hint="eastAsia" w:ascii="仿宋" w:hAnsi="仿宋" w:eastAsia="仿宋" w:cs="仿宋"/>
                <w:snapToGrid w:val="0"/>
                <w:color w:val="auto"/>
                <w:kern w:val="2"/>
                <w:sz w:val="21"/>
                <w:szCs w:val="21"/>
                <w:highlight w:val="none"/>
                <w:lang w:val="en-US" w:eastAsia="zh-CN" w:bidi="ar-SA"/>
              </w:rPr>
              <w:t>2</w:t>
            </w:r>
            <w:r>
              <w:rPr>
                <w:rFonts w:hint="default" w:ascii="仿宋" w:hAnsi="仿宋" w:eastAsia="仿宋" w:cs="仿宋"/>
                <w:snapToGrid w:val="0"/>
                <w:color w:val="auto"/>
                <w:kern w:val="2"/>
                <w:sz w:val="21"/>
                <w:szCs w:val="21"/>
                <w:highlight w:val="none"/>
                <w:lang w:val="en-US" w:eastAsia="zh-CN" w:bidi="ar-SA"/>
              </w:rPr>
              <w:t>.履约验收程序</w:t>
            </w:r>
            <w:r>
              <w:rPr>
                <w:rFonts w:hint="eastAsia" w:ascii="仿宋" w:hAnsi="仿宋" w:eastAsia="仿宋" w:cs="仿宋"/>
                <w:snapToGrid w:val="0"/>
                <w:color w:val="auto"/>
                <w:kern w:val="2"/>
                <w:sz w:val="21"/>
                <w:szCs w:val="21"/>
                <w:highlight w:val="none"/>
                <w:lang w:val="en-US" w:eastAsia="zh-CN" w:bidi="ar-SA"/>
              </w:rPr>
              <w:t>。</w:t>
            </w:r>
          </w:p>
          <w:p w14:paraId="5462F335">
            <w:pPr>
              <w:keepNext w:val="0"/>
              <w:keepLines w:val="0"/>
              <w:pageBreakBefore w:val="0"/>
              <w:widowControl w:val="0"/>
              <w:numPr>
                <w:ilvl w:val="0"/>
                <w:numId w:val="0"/>
              </w:numPr>
              <w:wordWrap/>
              <w:overflowPunct/>
              <w:topLinePunct w:val="0"/>
              <w:autoSpaceDE w:val="0"/>
              <w:autoSpaceDN w:val="0"/>
              <w:bidi w:val="0"/>
              <w:adjustRightInd/>
              <w:snapToGrid/>
              <w:spacing w:line="0" w:lineRule="atLeast"/>
              <w:jc w:val="both"/>
              <w:textAlignment w:val="auto"/>
              <w:outlineLvl w:val="2"/>
              <w:rPr>
                <w:rFonts w:hint="default" w:ascii="仿宋" w:hAnsi="仿宋" w:eastAsia="仿宋" w:cs="仿宋"/>
                <w:snapToGrid w:val="0"/>
                <w:color w:val="auto"/>
                <w:kern w:val="2"/>
                <w:sz w:val="21"/>
                <w:szCs w:val="21"/>
                <w:highlight w:val="none"/>
                <w:lang w:val="en-US" w:eastAsia="zh-CN" w:bidi="ar-SA"/>
              </w:rPr>
            </w:pPr>
            <w:r>
              <w:rPr>
                <w:rFonts w:hint="default" w:ascii="仿宋" w:hAnsi="仿宋" w:eastAsia="仿宋" w:cs="仿宋"/>
                <w:snapToGrid w:val="0"/>
                <w:color w:val="auto"/>
                <w:kern w:val="2"/>
                <w:sz w:val="21"/>
                <w:szCs w:val="21"/>
                <w:highlight w:val="none"/>
                <w:lang w:val="en-US" w:eastAsia="zh-CN" w:bidi="ar-SA"/>
              </w:rPr>
              <w:t>（1）提交验收申请。按照甲方要求完成第一批、第二批供货并度过犬只环境适应期后，乙方向甲方提出验收申请，甲方应收到验收申请后7个日历日内由</w:t>
            </w:r>
            <w:r>
              <w:rPr>
                <w:rFonts w:hint="eastAsia" w:ascii="仿宋" w:hAnsi="仿宋" w:eastAsia="仿宋" w:cs="仿宋"/>
                <w:snapToGrid w:val="0"/>
                <w:color w:val="auto"/>
                <w:kern w:val="2"/>
                <w:sz w:val="21"/>
                <w:szCs w:val="21"/>
                <w:highlight w:val="none"/>
                <w:lang w:val="en-US" w:eastAsia="zh-CN" w:bidi="ar-SA"/>
              </w:rPr>
              <w:t>边境管理处</w:t>
            </w:r>
            <w:r>
              <w:rPr>
                <w:rFonts w:hint="default" w:ascii="仿宋" w:hAnsi="仿宋" w:eastAsia="仿宋" w:cs="仿宋"/>
                <w:snapToGrid w:val="0"/>
                <w:color w:val="auto"/>
                <w:kern w:val="2"/>
                <w:sz w:val="21"/>
                <w:szCs w:val="21"/>
                <w:highlight w:val="none"/>
                <w:lang w:val="en-US" w:eastAsia="zh-CN" w:bidi="ar-SA"/>
              </w:rPr>
              <w:t>组织验收小组开展验收。</w:t>
            </w:r>
          </w:p>
          <w:p w14:paraId="316A6D04">
            <w:pPr>
              <w:pStyle w:val="21"/>
              <w:keepNext w:val="0"/>
              <w:keepLines w:val="0"/>
              <w:pageBreakBefore w:val="0"/>
              <w:wordWrap/>
              <w:overflowPunct/>
              <w:topLinePunct w:val="0"/>
              <w:autoSpaceDE w:val="0"/>
              <w:autoSpaceDN w:val="0"/>
              <w:bidi w:val="0"/>
              <w:snapToGrid w:val="0"/>
              <w:spacing w:line="0" w:lineRule="atLeast"/>
              <w:ind w:firstLine="210" w:firstLineChars="100"/>
              <w:jc w:val="both"/>
              <w:rPr>
                <w:rFonts w:hint="default" w:ascii="仿宋" w:hAnsi="仿宋" w:eastAsia="仿宋" w:cs="仿宋"/>
                <w:snapToGrid w:val="0"/>
                <w:color w:val="auto"/>
                <w:kern w:val="2"/>
                <w:sz w:val="21"/>
                <w:szCs w:val="21"/>
                <w:highlight w:val="none"/>
                <w:lang w:val="en-US" w:eastAsia="zh-CN" w:bidi="ar-SA"/>
              </w:rPr>
            </w:pPr>
            <w:r>
              <w:rPr>
                <w:rFonts w:hint="default" w:ascii="仿宋" w:hAnsi="仿宋" w:eastAsia="仿宋" w:cs="仿宋"/>
                <w:snapToGrid w:val="0"/>
                <w:color w:val="auto"/>
                <w:kern w:val="2"/>
                <w:sz w:val="21"/>
                <w:szCs w:val="21"/>
                <w:highlight w:val="none"/>
                <w:lang w:val="en-US" w:eastAsia="zh-CN" w:bidi="ar-SA"/>
              </w:rPr>
              <w:t>（2）</w:t>
            </w:r>
            <w:r>
              <w:rPr>
                <w:rFonts w:hint="eastAsia" w:ascii="仿宋" w:hAnsi="仿宋" w:eastAsia="仿宋" w:cs="仿宋"/>
                <w:snapToGrid w:val="0"/>
                <w:color w:val="auto"/>
                <w:kern w:val="2"/>
                <w:sz w:val="21"/>
                <w:szCs w:val="21"/>
                <w:highlight w:val="none"/>
                <w:lang w:val="en-US" w:eastAsia="zh-CN" w:bidi="ar-SA"/>
              </w:rPr>
              <w:t>提供验收所需资料。乙方需在供货时一同准备齐全</w:t>
            </w:r>
            <w:r>
              <w:rPr>
                <w:rFonts w:hint="default" w:ascii="仿宋" w:hAnsi="仿宋" w:eastAsia="仿宋" w:cs="仿宋"/>
                <w:snapToGrid w:val="0"/>
                <w:color w:val="auto"/>
                <w:kern w:val="2"/>
                <w:sz w:val="21"/>
                <w:szCs w:val="21"/>
                <w:highlight w:val="none"/>
                <w:lang w:val="en-US" w:eastAsia="zh-CN" w:bidi="ar-SA"/>
              </w:rPr>
              <w:t>的验收资料，包括但不限于动物医院（具备动物诊疗许可证资质）合格的体检报告、档案、血统证书（中国工作犬管理协会出具）、犬只身份证明芯片</w:t>
            </w:r>
            <w:r>
              <w:rPr>
                <w:rFonts w:hint="eastAsia" w:ascii="仿宋" w:hAnsi="仿宋" w:eastAsia="仿宋" w:cs="仿宋"/>
                <w:snapToGrid w:val="0"/>
                <w:color w:val="auto"/>
                <w:kern w:val="2"/>
                <w:sz w:val="21"/>
                <w:szCs w:val="21"/>
                <w:highlight w:val="none"/>
                <w:lang w:val="en-US" w:eastAsia="zh-CN" w:bidi="ar-SA"/>
              </w:rPr>
              <w:t>（</w:t>
            </w:r>
            <w:r>
              <w:rPr>
                <w:rFonts w:hint="default" w:ascii="仿宋" w:hAnsi="仿宋" w:eastAsia="仿宋" w:cs="仿宋"/>
                <w:snapToGrid w:val="0"/>
                <w:color w:val="auto"/>
                <w:kern w:val="2"/>
                <w:sz w:val="21"/>
                <w:szCs w:val="21"/>
                <w:highlight w:val="none"/>
                <w:lang w:val="en-US" w:eastAsia="zh-CN" w:bidi="ar-SA"/>
              </w:rPr>
              <w:t>与血统证书信息相一致）、选犬记录、往来函件、供货履约时间说明或证明、适应期保障等相关资料。</w:t>
            </w:r>
          </w:p>
          <w:p w14:paraId="36CBA146">
            <w:pPr>
              <w:pStyle w:val="19"/>
              <w:keepNext w:val="0"/>
              <w:keepLines w:val="0"/>
              <w:pageBreakBefore w:val="0"/>
              <w:widowControl/>
              <w:kinsoku w:val="0"/>
              <w:wordWrap/>
              <w:overflowPunct/>
              <w:topLinePunct w:val="0"/>
              <w:autoSpaceDE w:val="0"/>
              <w:autoSpaceDN w:val="0"/>
              <w:bidi w:val="0"/>
              <w:adjustRightInd w:val="0"/>
              <w:snapToGrid w:val="0"/>
              <w:spacing w:before="38" w:line="0" w:lineRule="atLeast"/>
              <w:ind w:right="113" w:firstLine="210" w:firstLineChars="100"/>
              <w:jc w:val="both"/>
              <w:textAlignment w:val="baseline"/>
              <w:rPr>
                <w:rFonts w:hint="default" w:ascii="仿宋" w:hAnsi="仿宋" w:eastAsia="仿宋" w:cs="仿宋"/>
                <w:snapToGrid w:val="0"/>
                <w:color w:val="auto"/>
                <w:kern w:val="2"/>
                <w:sz w:val="21"/>
                <w:szCs w:val="21"/>
                <w:highlight w:val="none"/>
                <w:lang w:val="en-US" w:eastAsia="zh-CN" w:bidi="ar-SA"/>
              </w:rPr>
            </w:pPr>
            <w:r>
              <w:rPr>
                <w:rFonts w:hint="default" w:ascii="仿宋" w:hAnsi="仿宋" w:eastAsia="仿宋" w:cs="仿宋"/>
                <w:snapToGrid w:val="0"/>
                <w:color w:val="auto"/>
                <w:kern w:val="2"/>
                <w:sz w:val="21"/>
                <w:szCs w:val="21"/>
                <w:highlight w:val="none"/>
                <w:lang w:val="en-US" w:eastAsia="zh-CN" w:bidi="ar-SA"/>
              </w:rPr>
              <w:t>（3）开展验收。验收小组按照合同约定的内容对应乙方验收所供资料进行逐项核对开展项目验收。</w:t>
            </w:r>
          </w:p>
          <w:p w14:paraId="7EF3F74D">
            <w:pPr>
              <w:pStyle w:val="19"/>
              <w:keepNext w:val="0"/>
              <w:keepLines w:val="0"/>
              <w:pageBreakBefore w:val="0"/>
              <w:widowControl/>
              <w:kinsoku w:val="0"/>
              <w:wordWrap/>
              <w:overflowPunct/>
              <w:topLinePunct w:val="0"/>
              <w:autoSpaceDE w:val="0"/>
              <w:autoSpaceDN w:val="0"/>
              <w:bidi w:val="0"/>
              <w:adjustRightInd w:val="0"/>
              <w:snapToGrid w:val="0"/>
              <w:spacing w:before="38" w:line="0" w:lineRule="atLeast"/>
              <w:ind w:right="113" w:firstLine="210" w:firstLineChars="100"/>
              <w:jc w:val="both"/>
              <w:textAlignment w:val="baseline"/>
              <w:rPr>
                <w:rFonts w:hint="default" w:ascii="仿宋" w:hAnsi="仿宋" w:eastAsia="仿宋" w:cs="仿宋"/>
                <w:snapToGrid w:val="0"/>
                <w:color w:val="auto"/>
                <w:kern w:val="2"/>
                <w:sz w:val="21"/>
                <w:szCs w:val="21"/>
                <w:highlight w:val="none"/>
                <w:lang w:val="en-US" w:eastAsia="zh-CN" w:bidi="ar-SA"/>
              </w:rPr>
            </w:pPr>
            <w:r>
              <w:rPr>
                <w:rFonts w:hint="default" w:ascii="仿宋" w:hAnsi="仿宋" w:eastAsia="仿宋" w:cs="仿宋"/>
                <w:snapToGrid w:val="0"/>
                <w:color w:val="auto"/>
                <w:kern w:val="2"/>
                <w:sz w:val="21"/>
                <w:szCs w:val="21"/>
                <w:highlight w:val="none"/>
                <w:lang w:val="en-US" w:eastAsia="zh-CN" w:bidi="ar-SA"/>
              </w:rPr>
              <w:t>（4）</w:t>
            </w:r>
            <w:r>
              <w:rPr>
                <w:rFonts w:hint="default" w:ascii="仿宋" w:hAnsi="仿宋" w:eastAsia="仿宋" w:cs="仿宋"/>
                <w:b w:val="0"/>
                <w:bCs w:val="0"/>
                <w:snapToGrid w:val="0"/>
                <w:color w:val="auto"/>
                <w:kern w:val="2"/>
                <w:sz w:val="21"/>
                <w:szCs w:val="21"/>
                <w:highlight w:val="none"/>
                <w:lang w:val="en-US" w:eastAsia="zh-CN" w:bidi="ar-SA"/>
              </w:rPr>
              <w:t>甲方应在7个日历日内完成验收，验收结束后，验收小组出具验收报告。</w:t>
            </w:r>
            <w:r>
              <w:rPr>
                <w:rFonts w:hint="default" w:ascii="仿宋" w:hAnsi="仿宋" w:eastAsia="仿宋" w:cs="仿宋"/>
                <w:snapToGrid w:val="0"/>
                <w:color w:val="auto"/>
                <w:kern w:val="2"/>
                <w:sz w:val="21"/>
                <w:szCs w:val="21"/>
                <w:highlight w:val="none"/>
                <w:lang w:val="en-US" w:eastAsia="zh-CN" w:bidi="ar-SA"/>
              </w:rPr>
              <w:t>验收小组成员根据验收情况明确验收意见，经甲乙双方确认后签字、盖章。</w:t>
            </w:r>
          </w:p>
          <w:p w14:paraId="6C905300">
            <w:pPr>
              <w:pStyle w:val="19"/>
              <w:keepNext w:val="0"/>
              <w:keepLines w:val="0"/>
              <w:pageBreakBefore w:val="0"/>
              <w:widowControl/>
              <w:kinsoku w:val="0"/>
              <w:wordWrap/>
              <w:overflowPunct/>
              <w:topLinePunct w:val="0"/>
              <w:autoSpaceDE w:val="0"/>
              <w:autoSpaceDN w:val="0"/>
              <w:bidi w:val="0"/>
              <w:adjustRightInd w:val="0"/>
              <w:snapToGrid w:val="0"/>
              <w:spacing w:before="38" w:line="0" w:lineRule="atLeast"/>
              <w:ind w:right="113" w:firstLine="210" w:firstLineChars="100"/>
              <w:jc w:val="both"/>
              <w:textAlignment w:val="baseline"/>
              <w:rPr>
                <w:rFonts w:hint="default" w:ascii="仿宋" w:hAnsi="仿宋" w:eastAsia="仿宋" w:cs="仿宋"/>
                <w:snapToGrid w:val="0"/>
                <w:color w:val="auto"/>
                <w:kern w:val="2"/>
                <w:sz w:val="21"/>
                <w:szCs w:val="21"/>
                <w:highlight w:val="none"/>
                <w:lang w:val="en-US" w:eastAsia="zh-CN" w:bidi="ar-SA"/>
              </w:rPr>
            </w:pPr>
            <w:r>
              <w:rPr>
                <w:rFonts w:hint="default" w:ascii="仿宋" w:hAnsi="仿宋" w:eastAsia="仿宋" w:cs="仿宋"/>
                <w:snapToGrid w:val="0"/>
                <w:color w:val="auto"/>
                <w:kern w:val="2"/>
                <w:sz w:val="21"/>
                <w:szCs w:val="21"/>
                <w:highlight w:val="none"/>
                <w:lang w:val="en-US" w:eastAsia="zh-CN" w:bidi="ar-SA"/>
              </w:rPr>
              <w:t>（5）验收不合格的处理。履约验收不合格的，</w:t>
            </w:r>
            <w:r>
              <w:rPr>
                <w:rFonts w:hint="eastAsia" w:ascii="仿宋" w:hAnsi="仿宋" w:eastAsia="仿宋" w:cs="仿宋"/>
                <w:snapToGrid w:val="0"/>
                <w:color w:val="auto"/>
                <w:kern w:val="2"/>
                <w:sz w:val="21"/>
                <w:szCs w:val="21"/>
                <w:highlight w:val="none"/>
                <w:lang w:val="en-US" w:eastAsia="zh-CN" w:bidi="ar-SA"/>
              </w:rPr>
              <w:t>边境管理处</w:t>
            </w:r>
            <w:r>
              <w:rPr>
                <w:rFonts w:hint="default" w:ascii="仿宋" w:hAnsi="仿宋" w:eastAsia="仿宋" w:cs="仿宋"/>
                <w:snapToGrid w:val="0"/>
                <w:color w:val="auto"/>
                <w:kern w:val="2"/>
                <w:sz w:val="21"/>
                <w:szCs w:val="21"/>
                <w:highlight w:val="none"/>
                <w:lang w:val="en-US" w:eastAsia="zh-CN" w:bidi="ar-SA"/>
              </w:rPr>
              <w:t>向供应商发出整改通知书，明确整改时限和整改要求，整改结束后由乙方对接甲方验收组织主体重新验收。</w:t>
            </w:r>
          </w:p>
          <w:p w14:paraId="7282EAB0">
            <w:pPr>
              <w:pStyle w:val="19"/>
              <w:keepNext w:val="0"/>
              <w:keepLines w:val="0"/>
              <w:pageBreakBefore w:val="0"/>
              <w:widowControl/>
              <w:kinsoku w:val="0"/>
              <w:wordWrap/>
              <w:overflowPunct/>
              <w:topLinePunct w:val="0"/>
              <w:autoSpaceDE w:val="0"/>
              <w:autoSpaceDN w:val="0"/>
              <w:bidi w:val="0"/>
              <w:adjustRightInd w:val="0"/>
              <w:snapToGrid w:val="0"/>
              <w:spacing w:before="38" w:line="0" w:lineRule="atLeast"/>
              <w:ind w:right="113" w:firstLine="210" w:firstLineChars="100"/>
              <w:jc w:val="both"/>
              <w:textAlignment w:val="baseline"/>
              <w:rPr>
                <w:rFonts w:hint="default" w:ascii="仿宋" w:hAnsi="仿宋" w:eastAsia="仿宋" w:cs="仿宋"/>
                <w:snapToGrid w:val="0"/>
                <w:color w:val="auto"/>
                <w:kern w:val="2"/>
                <w:sz w:val="21"/>
                <w:szCs w:val="21"/>
                <w:highlight w:val="none"/>
                <w:lang w:val="en-US" w:eastAsia="zh-CN" w:bidi="ar-SA"/>
              </w:rPr>
            </w:pPr>
            <w:r>
              <w:rPr>
                <w:rFonts w:hint="default" w:ascii="仿宋" w:hAnsi="仿宋" w:eastAsia="仿宋" w:cs="仿宋"/>
                <w:snapToGrid w:val="0"/>
                <w:color w:val="auto"/>
                <w:kern w:val="2"/>
                <w:sz w:val="21"/>
                <w:szCs w:val="21"/>
                <w:highlight w:val="none"/>
                <w:lang w:val="en-US" w:eastAsia="zh-CN" w:bidi="ar-SA"/>
              </w:rPr>
              <w:t>（6）验收档案收集及保存。履约验收完成后，由</w:t>
            </w:r>
            <w:r>
              <w:rPr>
                <w:rFonts w:hint="eastAsia" w:ascii="仿宋" w:hAnsi="仿宋" w:eastAsia="仿宋" w:cs="仿宋"/>
                <w:snapToGrid w:val="0"/>
                <w:color w:val="auto"/>
                <w:kern w:val="2"/>
                <w:sz w:val="21"/>
                <w:szCs w:val="21"/>
                <w:highlight w:val="none"/>
                <w:lang w:val="en-US" w:eastAsia="zh-CN" w:bidi="ar-SA"/>
              </w:rPr>
              <w:t>边境管理处</w:t>
            </w:r>
            <w:r>
              <w:rPr>
                <w:rFonts w:hint="default" w:ascii="仿宋" w:hAnsi="仿宋" w:eastAsia="仿宋" w:cs="仿宋"/>
                <w:snapToGrid w:val="0"/>
                <w:color w:val="auto"/>
                <w:kern w:val="2"/>
                <w:sz w:val="21"/>
                <w:szCs w:val="21"/>
                <w:highlight w:val="none"/>
                <w:lang w:val="en-US" w:eastAsia="zh-CN" w:bidi="ar-SA"/>
              </w:rPr>
              <w:t xml:space="preserve">收集验收报告留存备查。   </w:t>
            </w:r>
          </w:p>
          <w:p w14:paraId="6F533433">
            <w:pPr>
              <w:pStyle w:val="19"/>
              <w:keepNext w:val="0"/>
              <w:keepLines w:val="0"/>
              <w:pageBreakBefore w:val="0"/>
              <w:widowControl/>
              <w:kinsoku w:val="0"/>
              <w:wordWrap/>
              <w:overflowPunct/>
              <w:topLinePunct w:val="0"/>
              <w:autoSpaceDE w:val="0"/>
              <w:autoSpaceDN w:val="0"/>
              <w:bidi w:val="0"/>
              <w:adjustRightInd w:val="0"/>
              <w:snapToGrid w:val="0"/>
              <w:spacing w:before="38" w:line="0" w:lineRule="atLeast"/>
              <w:ind w:right="113" w:firstLine="210" w:firstLineChars="100"/>
              <w:jc w:val="both"/>
              <w:textAlignment w:val="baseline"/>
              <w:rPr>
                <w:rFonts w:hint="eastAsia" w:ascii="仿宋" w:hAnsi="仿宋" w:eastAsia="仿宋" w:cs="仿宋"/>
                <w:snapToGrid w:val="0"/>
                <w:color w:val="auto"/>
                <w:kern w:val="2"/>
                <w:sz w:val="21"/>
                <w:szCs w:val="21"/>
                <w:highlight w:val="none"/>
                <w:lang w:val="en-US" w:eastAsia="zh-CN" w:bidi="ar-SA"/>
              </w:rPr>
            </w:pPr>
            <w:r>
              <w:rPr>
                <w:rFonts w:hint="default" w:ascii="仿宋" w:hAnsi="仿宋" w:eastAsia="仿宋" w:cs="仿宋"/>
                <w:snapToGrid w:val="0"/>
                <w:color w:val="auto"/>
                <w:kern w:val="2"/>
                <w:sz w:val="21"/>
                <w:szCs w:val="21"/>
                <w:highlight w:val="none"/>
                <w:lang w:val="en-US" w:eastAsia="zh-CN" w:bidi="ar-SA"/>
              </w:rPr>
              <w:t>3、验收合格标准</w:t>
            </w:r>
            <w:r>
              <w:rPr>
                <w:rFonts w:hint="eastAsia" w:ascii="仿宋" w:hAnsi="仿宋" w:eastAsia="仿宋" w:cs="仿宋"/>
                <w:snapToGrid w:val="0"/>
                <w:color w:val="auto"/>
                <w:kern w:val="2"/>
                <w:sz w:val="21"/>
                <w:szCs w:val="21"/>
                <w:highlight w:val="none"/>
                <w:lang w:val="en-US" w:eastAsia="zh-CN" w:bidi="ar-SA"/>
              </w:rPr>
              <w:t>。</w:t>
            </w:r>
            <w:r>
              <w:rPr>
                <w:rFonts w:hint="default" w:ascii="仿宋" w:hAnsi="仿宋" w:eastAsia="仿宋" w:cs="仿宋"/>
                <w:snapToGrid w:val="0"/>
                <w:color w:val="auto"/>
                <w:kern w:val="2"/>
                <w:sz w:val="21"/>
                <w:szCs w:val="21"/>
                <w:highlight w:val="none"/>
                <w:lang w:val="en-US" w:eastAsia="zh-CN" w:bidi="ar-SA"/>
              </w:rPr>
              <w:t>待训警犬数量、品种等符合采购需求，动物医院（具备动物诊疗许可证资质）出具的体检报告、档案、选犬记录、往来函件、供货履约时间说明或证明、适应期保障等相关资料齐全且达到采购及响应要求视为验收合格。</w:t>
            </w:r>
          </w:p>
          <w:p w14:paraId="48538713">
            <w:pPr>
              <w:pStyle w:val="21"/>
              <w:keepNext w:val="0"/>
              <w:keepLines w:val="0"/>
              <w:pageBreakBefore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rPr>
            </w:pPr>
          </w:p>
        </w:tc>
        <w:tc>
          <w:tcPr>
            <w:tcW w:w="1166" w:type="dxa"/>
            <w:vAlign w:val="center"/>
          </w:tcPr>
          <w:p w14:paraId="76827360">
            <w:pPr>
              <w:snapToGrid w:val="0"/>
              <w:ind w:left="0" w:leftChars="0" w:right="0" w:rightChars="0" w:firstLine="0" w:firstLineChars="0"/>
              <w:jc w:val="left"/>
              <w:rPr>
                <w:rFonts w:hint="eastAsia" w:ascii="仿宋" w:hAnsi="仿宋" w:eastAsia="仿宋" w:cs="仿宋"/>
                <w:color w:val="auto"/>
                <w:kern w:val="2"/>
                <w:sz w:val="21"/>
                <w:szCs w:val="21"/>
                <w:highlight w:val="none"/>
                <w:lang w:eastAsia="zh-CN"/>
              </w:rPr>
            </w:pPr>
          </w:p>
        </w:tc>
        <w:tc>
          <w:tcPr>
            <w:tcW w:w="2202" w:type="dxa"/>
            <w:vAlign w:val="center"/>
          </w:tcPr>
          <w:p w14:paraId="3A36E7A5">
            <w:pPr>
              <w:snapToGrid w:val="0"/>
              <w:ind w:left="0" w:leftChars="0" w:right="0" w:rightChars="0" w:firstLine="0" w:firstLineChars="0"/>
              <w:jc w:val="center"/>
              <w:rPr>
                <w:rFonts w:hint="eastAsia" w:ascii="仿宋" w:hAnsi="仿宋" w:eastAsia="仿宋" w:cs="仿宋"/>
                <w:color w:val="auto"/>
                <w:kern w:val="2"/>
                <w:sz w:val="21"/>
                <w:szCs w:val="21"/>
                <w:highlight w:val="none"/>
              </w:rPr>
            </w:pPr>
          </w:p>
        </w:tc>
        <w:tc>
          <w:tcPr>
            <w:tcW w:w="794" w:type="dxa"/>
            <w:vAlign w:val="center"/>
          </w:tcPr>
          <w:p w14:paraId="416522B5">
            <w:pPr>
              <w:snapToGrid w:val="0"/>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承诺或说明</w:t>
            </w:r>
          </w:p>
        </w:tc>
      </w:tr>
      <w:tr w14:paraId="717B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6" w:type="dxa"/>
            <w:vAlign w:val="center"/>
          </w:tcPr>
          <w:p w14:paraId="4AD50617">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7</w:t>
            </w:r>
          </w:p>
        </w:tc>
        <w:tc>
          <w:tcPr>
            <w:tcW w:w="1973" w:type="dxa"/>
            <w:vAlign w:val="center"/>
          </w:tcPr>
          <w:p w14:paraId="04C96D73">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第</w:t>
            </w:r>
            <w:r>
              <w:rPr>
                <w:rFonts w:hint="eastAsia" w:ascii="仿宋" w:hAnsi="仿宋" w:eastAsia="仿宋" w:cs="仿宋"/>
                <w:color w:val="auto"/>
                <w:kern w:val="2"/>
                <w:sz w:val="21"/>
                <w:szCs w:val="21"/>
                <w:highlight w:val="none"/>
                <w:lang w:eastAsia="zh-CN"/>
              </w:rPr>
              <w:t>三</w:t>
            </w:r>
            <w:r>
              <w:rPr>
                <w:rFonts w:hint="eastAsia" w:ascii="仿宋" w:hAnsi="仿宋" w:eastAsia="仿宋" w:cs="仿宋"/>
                <w:color w:val="auto"/>
                <w:kern w:val="2"/>
                <w:sz w:val="21"/>
                <w:szCs w:val="21"/>
                <w:highlight w:val="none"/>
              </w:rPr>
              <w:t>章</w:t>
            </w:r>
            <w:r>
              <w:rPr>
                <w:rFonts w:hint="eastAsia" w:ascii="仿宋" w:hAnsi="仿宋" w:eastAsia="仿宋" w:cs="仿宋"/>
                <w:color w:val="auto"/>
                <w:kern w:val="2"/>
                <w:sz w:val="21"/>
                <w:szCs w:val="21"/>
                <w:highlight w:val="none"/>
                <w:lang w:eastAsia="zh-CN"/>
              </w:rPr>
              <w:t>采购需求</w:t>
            </w:r>
          </w:p>
        </w:tc>
        <w:tc>
          <w:tcPr>
            <w:tcW w:w="1358" w:type="dxa"/>
            <w:vAlign w:val="center"/>
          </w:tcPr>
          <w:p w14:paraId="01CD97FA">
            <w:pPr>
              <w:pStyle w:val="4"/>
              <w:keepNext w:val="0"/>
              <w:keepLines w:val="0"/>
              <w:pageBreakBefore w:val="0"/>
              <w:widowControl/>
              <w:wordWrap/>
              <w:overflowPunct/>
              <w:topLinePunct w:val="0"/>
              <w:autoSpaceDE w:val="0"/>
              <w:autoSpaceDN w:val="0"/>
              <w:bidi w:val="0"/>
              <w:adjustRightInd w:val="0"/>
              <w:snapToGrid w:val="0"/>
              <w:spacing w:line="240" w:lineRule="auto"/>
              <w:ind w:left="0"/>
              <w:jc w:val="left"/>
              <w:rPr>
                <w:rFonts w:hint="eastAsia" w:ascii="仿宋" w:hAnsi="仿宋" w:eastAsia="仿宋" w:cs="仿宋"/>
                <w:color w:val="auto"/>
                <w:kern w:val="2"/>
                <w:sz w:val="21"/>
                <w:szCs w:val="21"/>
                <w:highlight w:val="none"/>
              </w:rPr>
            </w:pPr>
            <w:bookmarkStart w:id="262" w:name="_Toc5884"/>
            <w:r>
              <w:rPr>
                <w:rFonts w:hint="eastAsia" w:ascii="仿宋" w:hAnsi="仿宋" w:eastAsia="仿宋" w:cs="仿宋"/>
                <w:color w:val="auto"/>
                <w:kern w:val="2"/>
                <w:sz w:val="21"/>
                <w:szCs w:val="21"/>
                <w:highlight w:val="none"/>
              </w:rPr>
              <w:t>质保</w:t>
            </w:r>
            <w:r>
              <w:rPr>
                <w:rFonts w:hint="eastAsia" w:ascii="仿宋" w:hAnsi="仿宋" w:eastAsia="仿宋" w:cs="仿宋"/>
                <w:color w:val="auto"/>
                <w:kern w:val="2"/>
                <w:sz w:val="21"/>
                <w:szCs w:val="21"/>
                <w:highlight w:val="none"/>
                <w:lang w:val="en-US" w:eastAsia="zh-CN"/>
              </w:rPr>
              <w:t>期</w:t>
            </w:r>
            <w:bookmarkEnd w:id="262"/>
          </w:p>
        </w:tc>
        <w:tc>
          <w:tcPr>
            <w:tcW w:w="6629" w:type="dxa"/>
            <w:vAlign w:val="center"/>
          </w:tcPr>
          <w:p w14:paraId="1313FD6A">
            <w:pPr>
              <w:keepNext w:val="0"/>
              <w:keepLines w:val="0"/>
              <w:pageBreakBefore w:val="0"/>
              <w:widowControl/>
              <w:numPr>
                <w:ilvl w:val="0"/>
                <w:numId w:val="0"/>
              </w:numPr>
              <w:kinsoku/>
              <w:wordWrap/>
              <w:overflowPunct/>
              <w:topLinePunct w:val="0"/>
              <w:autoSpaceDE/>
              <w:autoSpaceDN/>
              <w:bidi w:val="0"/>
              <w:adjustRightInd/>
              <w:snapToGrid/>
              <w:spacing w:line="0" w:lineRule="atLeast"/>
              <w:jc w:val="both"/>
              <w:textAlignment w:val="auto"/>
              <w:rPr>
                <w:rFonts w:hint="eastAsia" w:ascii="仿宋" w:hAnsi="仿宋" w:eastAsia="仿宋" w:cs="仿宋"/>
                <w:color w:val="auto"/>
                <w:kern w:val="2"/>
                <w:sz w:val="21"/>
                <w:szCs w:val="21"/>
                <w:highlight w:val="none"/>
                <w:lang w:eastAsia="zh-CN"/>
              </w:rPr>
            </w:pPr>
            <w:r>
              <w:rPr>
                <w:rFonts w:hint="eastAsia" w:ascii="仿宋" w:hAnsi="仿宋" w:eastAsia="仿宋" w:cs="仿宋"/>
                <w:snapToGrid w:val="0"/>
                <w:color w:val="auto"/>
                <w:kern w:val="2"/>
                <w:sz w:val="21"/>
                <w:szCs w:val="21"/>
                <w:highlight w:val="none"/>
                <w:lang w:val="en-US" w:eastAsia="zh-CN" w:bidi="ar-SA"/>
              </w:rPr>
              <w:t>1、</w:t>
            </w:r>
            <w:r>
              <w:rPr>
                <w:rFonts w:hint="default" w:ascii="仿宋" w:hAnsi="仿宋" w:eastAsia="仿宋" w:cs="仿宋"/>
                <w:snapToGrid w:val="0"/>
                <w:color w:val="auto"/>
                <w:kern w:val="2"/>
                <w:sz w:val="21"/>
                <w:szCs w:val="21"/>
                <w:highlight w:val="none"/>
                <w:lang w:val="en-US" w:eastAsia="zh-CN" w:bidi="ar-SA"/>
              </w:rPr>
              <w:t>繁育种犬：质保期自验收合格之日起12个月；须满足本项目对应犬种繁殖性能要求，成功完成配种并生育幼崽，且幼崽断奶成活率≥80%；乙方驻场繁育指导服务至上述要求全部达标后方可结束。</w:t>
            </w:r>
            <w:r>
              <w:rPr>
                <w:rFonts w:hint="eastAsia" w:ascii="仿宋" w:hAnsi="仿宋" w:eastAsia="仿宋" w:cs="仿宋"/>
                <w:snapToGrid w:val="0"/>
                <w:color w:val="auto"/>
                <w:kern w:val="2"/>
                <w:sz w:val="21"/>
                <w:szCs w:val="21"/>
                <w:highlight w:val="none"/>
                <w:lang w:val="en-US" w:eastAsia="zh-CN" w:bidi="ar-SA"/>
              </w:rPr>
              <w:t>2、</w:t>
            </w:r>
            <w:r>
              <w:rPr>
                <w:rFonts w:hint="default" w:ascii="仿宋" w:hAnsi="仿宋" w:eastAsia="仿宋" w:cs="仿宋"/>
                <w:snapToGrid w:val="0"/>
                <w:color w:val="auto"/>
                <w:kern w:val="2"/>
                <w:sz w:val="21"/>
                <w:szCs w:val="21"/>
                <w:highlight w:val="none"/>
                <w:lang w:val="en-US" w:eastAsia="zh-CN" w:bidi="ar-SA"/>
              </w:rPr>
              <w:t>待训警犬：质保期自验收合格之日起4个月，乙方按约定履行质保期内全部义务。</w:t>
            </w:r>
          </w:p>
        </w:tc>
        <w:tc>
          <w:tcPr>
            <w:tcW w:w="1166" w:type="dxa"/>
            <w:vAlign w:val="center"/>
          </w:tcPr>
          <w:p w14:paraId="676EA3D8">
            <w:pPr>
              <w:snapToGrid w:val="0"/>
              <w:ind w:left="0" w:leftChars="0" w:right="0" w:rightChars="0" w:firstLine="0" w:firstLineChars="0"/>
              <w:jc w:val="left"/>
              <w:rPr>
                <w:rFonts w:hint="eastAsia" w:ascii="仿宋" w:hAnsi="仿宋" w:eastAsia="仿宋" w:cs="仿宋"/>
                <w:color w:val="auto"/>
                <w:kern w:val="2"/>
                <w:sz w:val="21"/>
                <w:szCs w:val="21"/>
                <w:highlight w:val="none"/>
                <w:lang w:eastAsia="zh-CN"/>
              </w:rPr>
            </w:pPr>
          </w:p>
        </w:tc>
        <w:tc>
          <w:tcPr>
            <w:tcW w:w="2202" w:type="dxa"/>
            <w:vAlign w:val="center"/>
          </w:tcPr>
          <w:p w14:paraId="0CCB4636">
            <w:pPr>
              <w:snapToGrid w:val="0"/>
              <w:ind w:left="0" w:leftChars="0" w:right="0" w:rightChars="0" w:firstLine="0" w:firstLineChars="0"/>
              <w:jc w:val="center"/>
              <w:rPr>
                <w:rFonts w:hint="eastAsia" w:ascii="仿宋" w:hAnsi="仿宋" w:eastAsia="仿宋" w:cs="仿宋"/>
                <w:color w:val="auto"/>
                <w:kern w:val="2"/>
                <w:sz w:val="21"/>
                <w:szCs w:val="21"/>
                <w:highlight w:val="none"/>
              </w:rPr>
            </w:pPr>
          </w:p>
        </w:tc>
        <w:tc>
          <w:tcPr>
            <w:tcW w:w="794" w:type="dxa"/>
            <w:vAlign w:val="center"/>
          </w:tcPr>
          <w:p w14:paraId="6DE0363D">
            <w:pPr>
              <w:snapToGrid w:val="0"/>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承诺或说明</w:t>
            </w:r>
          </w:p>
        </w:tc>
      </w:tr>
      <w:tr w14:paraId="2DDC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6" w:type="dxa"/>
            <w:vAlign w:val="center"/>
          </w:tcPr>
          <w:p w14:paraId="0972F2E5">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8</w:t>
            </w:r>
          </w:p>
        </w:tc>
        <w:tc>
          <w:tcPr>
            <w:tcW w:w="1973" w:type="dxa"/>
            <w:vAlign w:val="center"/>
          </w:tcPr>
          <w:p w14:paraId="5716D65B">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rPr>
              <w:t>第</w:t>
            </w:r>
            <w:r>
              <w:rPr>
                <w:rFonts w:hint="eastAsia" w:ascii="仿宋" w:hAnsi="仿宋" w:eastAsia="仿宋" w:cs="仿宋"/>
                <w:color w:val="auto"/>
                <w:kern w:val="2"/>
                <w:sz w:val="21"/>
                <w:szCs w:val="21"/>
                <w:highlight w:val="none"/>
                <w:lang w:eastAsia="zh-CN"/>
              </w:rPr>
              <w:t>三</w:t>
            </w:r>
            <w:r>
              <w:rPr>
                <w:rFonts w:hint="eastAsia" w:ascii="仿宋" w:hAnsi="仿宋" w:eastAsia="仿宋" w:cs="仿宋"/>
                <w:color w:val="auto"/>
                <w:kern w:val="2"/>
                <w:sz w:val="21"/>
                <w:szCs w:val="21"/>
                <w:highlight w:val="none"/>
              </w:rPr>
              <w:t>章</w:t>
            </w:r>
            <w:r>
              <w:rPr>
                <w:rFonts w:hint="eastAsia" w:ascii="仿宋" w:hAnsi="仿宋" w:eastAsia="仿宋" w:cs="仿宋"/>
                <w:color w:val="auto"/>
                <w:kern w:val="2"/>
                <w:sz w:val="21"/>
                <w:szCs w:val="21"/>
                <w:highlight w:val="none"/>
                <w:lang w:eastAsia="zh-CN"/>
              </w:rPr>
              <w:t>采购需求</w:t>
            </w:r>
          </w:p>
        </w:tc>
        <w:tc>
          <w:tcPr>
            <w:tcW w:w="1358" w:type="dxa"/>
            <w:vAlign w:val="center"/>
          </w:tcPr>
          <w:p w14:paraId="08BBBE2F">
            <w:pPr>
              <w:pStyle w:val="21"/>
              <w:keepNext w:val="0"/>
              <w:keepLines w:val="0"/>
              <w:pageBreakBefore w:val="0"/>
              <w:widowControl/>
              <w:wordWrap/>
              <w:overflowPunct/>
              <w:topLinePunct w:val="0"/>
              <w:autoSpaceDE w:val="0"/>
              <w:autoSpaceDN w:val="0"/>
              <w:bidi w:val="0"/>
              <w:adjustRightInd w:val="0"/>
              <w:snapToGrid w:val="0"/>
              <w:spacing w:line="240" w:lineRule="auto"/>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售后服务标准要求</w:t>
            </w:r>
          </w:p>
        </w:tc>
        <w:tc>
          <w:tcPr>
            <w:tcW w:w="6629" w:type="dxa"/>
            <w:vAlign w:val="center"/>
          </w:tcPr>
          <w:p w14:paraId="21248EA8">
            <w:pPr>
              <w:pStyle w:val="7"/>
              <w:keepNext w:val="0"/>
              <w:keepLines w:val="0"/>
              <w:pageBreakBefore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1、供应商应向甲方明确售后服务承诺，涵盖退换货政策、质保期限、专业培训等内容，使甲方清晰了解售后服务保障范围。</w:t>
            </w:r>
          </w:p>
          <w:p w14:paraId="11F9B91B">
            <w:pPr>
              <w:pStyle w:val="7"/>
              <w:keepNext w:val="0"/>
              <w:keepLines w:val="0"/>
              <w:pageBreakBefore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2、在甲方遇到紧急情况时，提供紧急救援服务，如犬只突发疾病、意外受伤等，确保犬只能够得到及时有效的救治。自待训警犬进场培训直至培训结束，乙方对所售犬只售后质保期内，若犬只出现任何恶性传染病或者死亡的情况，乙方应在3日内无偿予以更换同等价值品种犬只。若乙方未按时更换犬只，扣除合同价格的1%；累计超过7日，甲方有权终止合同，所产生的一切后果由乙方承担。如因不可抗力导致延误，乙方需及时通知甲方并提供证明，双方协商顺延或更换时间。</w:t>
            </w:r>
          </w:p>
          <w:p w14:paraId="39FB4048">
            <w:pPr>
              <w:pStyle w:val="7"/>
              <w:keepNext w:val="0"/>
              <w:keepLines w:val="0"/>
              <w:pageBreakBefore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3、饲养指导。乙方需委托第三方机构委派1-2名具有警犬技术资质（具体指：中国工作犬管理协会颁发的警犬训练师资格证书、警犬评估师资格证书或同等权威机构出具的警犬技术相关执业资格证书）的专业人员协同监督指导。自待训警犬进场之日起，于现场开展为期15个日历日的饲养管理指导工作。相关费用由乙方承担。在此期间，乙方所派人员需全面负责解决犬只因环境变化等因素引发的应激障碍问题，包括但不限于观察犬只行为状态、调整饲养环境以减轻犬只应激反应、制定并执行适宜的饮食与运动计划，确保犬只能够平稳度过适应期，达到健康、良好的待训状态。</w:t>
            </w:r>
          </w:p>
          <w:p w14:paraId="6C86A5BA">
            <w:pPr>
              <w:pStyle w:val="7"/>
              <w:keepNext w:val="0"/>
              <w:keepLines w:val="0"/>
              <w:pageBreakBefore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4、防疫驱虫。乙方所供应的犬只，应在甲方监督在场的情况下，严格按照专业宠物医疗流程完成如下防疫与驱虫操作：进行三次驱虫工作，其中两次为体内驱虫，一次为体外驱虫。驱虫药物需选用经市场验证、品质可靠的产品。同时，需完成英特威四联苗的注射，以预防犬瘟热、犬细小病毒病、犬传染性肝炎和犬副流感等常见传染病。在完成英特威四联苗注射14个自然日后，乙方应为待训警犬注射单狂犬疫苗1针，以有效预防狂犬病。上述所有防疫与驱虫操作所产生的费用，包括但不限于药品采购费用、专业宠物医疗机构的诊疗服务费用等，均由乙方承担。在操作完成后，乙方应及时向甲方提供详细的防疫与驱虫记录，包括操作时间、使用药品品牌及规格、执行机构等信息，以供甲方留存与查验。</w:t>
            </w:r>
          </w:p>
          <w:p w14:paraId="67E39DE7">
            <w:pPr>
              <w:pStyle w:val="7"/>
              <w:keepNext w:val="0"/>
              <w:keepLines w:val="0"/>
              <w:pageBreakBefore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5、疾病处理。质保期内，若待训警犬出现普通疾病（普通疾病范畴界定为因日常饲养环境、常见病原体感染等引发的一般性病症，如感冒、轻度肠胃不适、体表寄生虫感染等，不包含因先天性遗传缺陷、烈性传染病以及甲方不当饲养等导致的疾病），乙方应无偿提供全面的医疗服务保障，包括但不限于诊断、治疗方案制定、药品供应及必要的护理指导。若待训警犬患病周期连续7个自然日仍无明显好转迹象（“无明显好转”以具备专业资质的兽医机构出具的诊断报告为判定依据），乙方需无偿为甲方更换一只在品种、年龄、健康状况、训练潜力等方面均与原待训警犬具有同等价值的犬只。更换过程中所产生的运输、检疫等相关费用，均由乙方承担。</w:t>
            </w:r>
          </w:p>
          <w:p w14:paraId="1D3BB574">
            <w:pPr>
              <w:pStyle w:val="7"/>
              <w:keepNext w:val="0"/>
              <w:keepLines w:val="0"/>
              <w:pageBreakBefore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6、疾病预防与应急处理预案：供应商应制定严格的饲养环境卫生标准，犬舍温度保持在18-25摄氏度，湿度控制在40%-60%，每日对犬舍进行清洁消毒，消毒方式采用符合国家动物防疫标准的消毒剂进行喷雾消毒和紫外线照射消毒。应急处理预案方面，供应商在接到犬只疾病报告后，兽医人员须在2小时内到达现场。对于一般性疾病，3天内制定并实施治疗方案；对于烈性传染病，1小时内启动隔离措施，按照国家动物疫病防控中心发布的相关疫病防控技术规范进行处理，并及时向甲方及当地动物防疫部门报告疫情。</w:t>
            </w:r>
          </w:p>
          <w:p w14:paraId="236616F9">
            <w:pPr>
              <w:pStyle w:val="7"/>
              <w:keepNext w:val="0"/>
              <w:keepLines w:val="0"/>
              <w:pageBreakBefore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7、乙方需月回访购买待训警犬的甲方，了解犬只训练进展、健康状况等信息，解答甲方在训练过程中遇到的问题，为甲方提供持续的技术支持和指导。</w:t>
            </w:r>
          </w:p>
          <w:p w14:paraId="6AD2F09D">
            <w:pPr>
              <w:pStyle w:val="7"/>
              <w:keepNext w:val="0"/>
              <w:keepLines w:val="0"/>
              <w:pageBreakBefore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8、根据甲方培训计划情况，乙方需配合甲方完成所供代训警犬工作证的办理工作，工作犬证需由中国工作犬管理协会出具。</w:t>
            </w:r>
          </w:p>
          <w:p w14:paraId="70CF3DCB">
            <w:pPr>
              <w:pStyle w:val="7"/>
              <w:keepNext w:val="0"/>
              <w:keepLines w:val="0"/>
              <w:pageBreakBefore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9、</w:t>
            </w:r>
            <w:r>
              <w:rPr>
                <w:rFonts w:hint="default" w:ascii="仿宋" w:hAnsi="仿宋" w:eastAsia="仿宋" w:cs="仿宋"/>
                <w:color w:val="auto"/>
                <w:kern w:val="2"/>
                <w:sz w:val="21"/>
                <w:szCs w:val="21"/>
                <w:highlight w:val="none"/>
                <w:lang w:val="en-US" w:eastAsia="zh-CN"/>
              </w:rPr>
              <w:t>质保期内，犬只患普通疾病的，乙方全权负责诊疗直至犬只完全康复，由此产生的全部医疗费用均由乙方承担。犬只出现烈性传染病、非甲方原因导致的伤残/死亡，乙方须在3个日历日内无偿更换同品种、同价值合格犬只。未按约定时限更换犬只，乙方须向甲方支付合同总价1%违约金；逾期超过20日，甲方有权单方解除合同，乙方另行支付合同总价20%违约金。因不可抗力导致更换延误的，乙方及时通知甲方并提供有效证明，双方协商处置。</w:t>
            </w:r>
          </w:p>
        </w:tc>
        <w:tc>
          <w:tcPr>
            <w:tcW w:w="1166" w:type="dxa"/>
            <w:vAlign w:val="center"/>
          </w:tcPr>
          <w:p w14:paraId="5E7AB5F1">
            <w:pPr>
              <w:snapToGrid w:val="0"/>
              <w:ind w:left="0" w:leftChars="0" w:right="0" w:rightChars="0" w:firstLine="0" w:firstLineChars="0"/>
              <w:jc w:val="left"/>
              <w:rPr>
                <w:rFonts w:hint="eastAsia" w:ascii="仿宋" w:hAnsi="仿宋" w:eastAsia="仿宋" w:cs="仿宋"/>
                <w:color w:val="auto"/>
                <w:kern w:val="2"/>
                <w:sz w:val="21"/>
                <w:szCs w:val="21"/>
                <w:highlight w:val="none"/>
                <w:lang w:eastAsia="zh-CN"/>
              </w:rPr>
            </w:pPr>
          </w:p>
        </w:tc>
        <w:tc>
          <w:tcPr>
            <w:tcW w:w="2202" w:type="dxa"/>
            <w:vAlign w:val="center"/>
          </w:tcPr>
          <w:p w14:paraId="093DBC22">
            <w:pPr>
              <w:snapToGrid w:val="0"/>
              <w:ind w:left="0" w:leftChars="0" w:right="0" w:rightChars="0" w:firstLine="0" w:firstLineChars="0"/>
              <w:jc w:val="center"/>
              <w:rPr>
                <w:rFonts w:hint="eastAsia" w:ascii="仿宋" w:hAnsi="仿宋" w:eastAsia="仿宋" w:cs="仿宋"/>
                <w:color w:val="auto"/>
                <w:kern w:val="2"/>
                <w:sz w:val="21"/>
                <w:szCs w:val="21"/>
                <w:highlight w:val="none"/>
              </w:rPr>
            </w:pPr>
          </w:p>
        </w:tc>
        <w:tc>
          <w:tcPr>
            <w:tcW w:w="794" w:type="dxa"/>
            <w:vAlign w:val="center"/>
          </w:tcPr>
          <w:p w14:paraId="2324CC49">
            <w:pPr>
              <w:snapToGrid w:val="0"/>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承诺或说明</w:t>
            </w:r>
          </w:p>
        </w:tc>
      </w:tr>
      <w:tr w14:paraId="3234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6" w:type="dxa"/>
            <w:vAlign w:val="center"/>
          </w:tcPr>
          <w:p w14:paraId="2D3BCD70">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eastAsia="zh-CN"/>
              </w:rPr>
              <w:t>9</w:t>
            </w:r>
          </w:p>
        </w:tc>
        <w:tc>
          <w:tcPr>
            <w:tcW w:w="1973" w:type="dxa"/>
            <w:vAlign w:val="center"/>
          </w:tcPr>
          <w:p w14:paraId="08019A44">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第</w:t>
            </w:r>
            <w:r>
              <w:rPr>
                <w:rFonts w:hint="eastAsia" w:ascii="仿宋" w:hAnsi="仿宋" w:eastAsia="仿宋" w:cs="仿宋"/>
                <w:color w:val="auto"/>
                <w:kern w:val="2"/>
                <w:sz w:val="21"/>
                <w:szCs w:val="21"/>
                <w:highlight w:val="none"/>
                <w:lang w:eastAsia="zh-CN"/>
              </w:rPr>
              <w:t>三</w:t>
            </w:r>
            <w:r>
              <w:rPr>
                <w:rFonts w:hint="eastAsia" w:ascii="仿宋" w:hAnsi="仿宋" w:eastAsia="仿宋" w:cs="仿宋"/>
                <w:color w:val="auto"/>
                <w:kern w:val="2"/>
                <w:sz w:val="21"/>
                <w:szCs w:val="21"/>
                <w:highlight w:val="none"/>
              </w:rPr>
              <w:t>章</w:t>
            </w:r>
            <w:r>
              <w:rPr>
                <w:rFonts w:hint="eastAsia" w:ascii="仿宋" w:hAnsi="仿宋" w:eastAsia="仿宋" w:cs="仿宋"/>
                <w:color w:val="auto"/>
                <w:kern w:val="2"/>
                <w:sz w:val="21"/>
                <w:szCs w:val="21"/>
                <w:highlight w:val="none"/>
                <w:lang w:eastAsia="zh-CN"/>
              </w:rPr>
              <w:t>采购需求</w:t>
            </w:r>
          </w:p>
        </w:tc>
        <w:tc>
          <w:tcPr>
            <w:tcW w:w="1358" w:type="dxa"/>
            <w:vAlign w:val="center"/>
          </w:tcPr>
          <w:p w14:paraId="5B70339A">
            <w:pPr>
              <w:keepNext w:val="0"/>
              <w:keepLines w:val="0"/>
              <w:pageBreakBefore w:val="0"/>
              <w:widowControl/>
              <w:wordWrap/>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eastAsia="zh-CN"/>
              </w:rPr>
              <w:t>运输包装和运输要求</w:t>
            </w:r>
          </w:p>
        </w:tc>
        <w:tc>
          <w:tcPr>
            <w:tcW w:w="6629" w:type="dxa"/>
            <w:vAlign w:val="center"/>
          </w:tcPr>
          <w:p w14:paraId="5C28935F">
            <w:pPr>
              <w:pStyle w:val="7"/>
              <w:keepNext w:val="0"/>
              <w:keepLines w:val="0"/>
              <w:pageBreakBefore w:val="0"/>
              <w:kinsoku/>
              <w:wordWrap w:val="0"/>
              <w:overflowPunct/>
              <w:topLinePunct w:val="0"/>
              <w:autoSpaceDE w:val="0"/>
              <w:autoSpaceDN w:val="0"/>
              <w:bidi w:val="0"/>
              <w:adjustRightInd w:val="0"/>
              <w:snapToGrid w:val="0"/>
              <w:spacing w:line="240" w:lineRule="auto"/>
              <w:ind w:left="0" w:leftChars="0" w:right="0" w:rightChars="0" w:firstLine="0" w:firstLineChars="0"/>
              <w:jc w:val="left"/>
              <w:outlineLvl w:val="2"/>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1.</w:t>
            </w:r>
            <w:r>
              <w:rPr>
                <w:rFonts w:hint="eastAsia" w:ascii="仿宋" w:hAnsi="仿宋" w:eastAsia="仿宋" w:cs="仿宋"/>
                <w:color w:val="auto"/>
                <w:kern w:val="2"/>
                <w:sz w:val="21"/>
                <w:szCs w:val="21"/>
                <w:highlight w:val="none"/>
                <w:lang w:eastAsia="zh-CN"/>
              </w:rPr>
              <w:t>运输箱的选择：</w:t>
            </w:r>
            <w:r>
              <w:rPr>
                <w:rFonts w:hint="eastAsia" w:ascii="仿宋" w:hAnsi="仿宋" w:eastAsia="仿宋" w:cs="仿宋"/>
                <w:color w:val="auto"/>
                <w:kern w:val="2"/>
                <w:sz w:val="21"/>
                <w:szCs w:val="21"/>
                <w:highlight w:val="none"/>
                <w:lang w:val="en-US" w:eastAsia="zh-CN"/>
              </w:rPr>
              <w:t>应选用坚固耐用、透气性良好的材质制作运输箱，确保犬只在运输过程中的安全与舒适。运输箱尺寸要适当，为犬只提供足够的活动空间，避免运输过程中受伤或产生不必要的应激反应。箱内铺设柔软垫料，减少犬只颠簸与碰撞，同时设置固定绑带或栏杆，防止犬只跳跃或跌落。运输箱还应具备良好的通风性能，保证犬只运输过程中有充足的氧气供应。</w:t>
            </w:r>
          </w:p>
          <w:p w14:paraId="47B8EEE4">
            <w:pPr>
              <w:pStyle w:val="7"/>
              <w:keepNext w:val="0"/>
              <w:keepLines w:val="0"/>
              <w:pageBreakBefore w:val="0"/>
              <w:kinsoku/>
              <w:wordWrap w:val="0"/>
              <w:overflowPunct/>
              <w:topLinePunct w:val="0"/>
              <w:autoSpaceDE w:val="0"/>
              <w:autoSpaceDN w:val="0"/>
              <w:bidi w:val="0"/>
              <w:adjustRightInd w:val="0"/>
              <w:snapToGrid w:val="0"/>
              <w:spacing w:line="240" w:lineRule="auto"/>
              <w:ind w:left="0" w:leftChars="0" w:right="0" w:rightChars="0" w:firstLine="0" w:firstLineChars="0"/>
              <w:jc w:val="left"/>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2.</w:t>
            </w:r>
            <w:r>
              <w:rPr>
                <w:rFonts w:hint="eastAsia" w:ascii="仿宋" w:hAnsi="仿宋" w:eastAsia="仿宋" w:cs="仿宋"/>
                <w:color w:val="auto"/>
                <w:kern w:val="2"/>
                <w:sz w:val="21"/>
                <w:szCs w:val="21"/>
                <w:highlight w:val="none"/>
                <w:lang w:eastAsia="zh-CN"/>
              </w:rPr>
              <w:t>运输要求：包装必须与运输方式相适应，包装方式的确定及包装费用均由乙方负责；由于不适当的包装而造成货物在运输过程中及经甲方验收合格前有任何损坏由乙方负责。运输费、保险费、装卸费已包含在合同价内。</w:t>
            </w:r>
          </w:p>
        </w:tc>
        <w:tc>
          <w:tcPr>
            <w:tcW w:w="1166" w:type="dxa"/>
            <w:vAlign w:val="center"/>
          </w:tcPr>
          <w:p w14:paraId="31F35A13">
            <w:pPr>
              <w:snapToGrid w:val="0"/>
              <w:ind w:left="0" w:leftChars="0" w:right="0" w:rightChars="0" w:firstLine="0" w:firstLineChars="0"/>
              <w:jc w:val="left"/>
              <w:rPr>
                <w:rFonts w:hint="eastAsia" w:ascii="仿宋" w:hAnsi="仿宋" w:eastAsia="仿宋" w:cs="仿宋"/>
                <w:color w:val="auto"/>
                <w:kern w:val="2"/>
                <w:sz w:val="21"/>
                <w:szCs w:val="21"/>
                <w:highlight w:val="none"/>
              </w:rPr>
            </w:pPr>
          </w:p>
        </w:tc>
        <w:tc>
          <w:tcPr>
            <w:tcW w:w="2202" w:type="dxa"/>
            <w:vAlign w:val="center"/>
          </w:tcPr>
          <w:p w14:paraId="57EC44D7">
            <w:pPr>
              <w:snapToGrid w:val="0"/>
              <w:ind w:left="0" w:leftChars="0" w:right="0" w:rightChars="0" w:firstLine="0" w:firstLineChars="0"/>
              <w:jc w:val="center"/>
              <w:rPr>
                <w:rFonts w:hint="eastAsia" w:ascii="仿宋" w:hAnsi="仿宋" w:eastAsia="仿宋" w:cs="仿宋"/>
                <w:color w:val="auto"/>
                <w:kern w:val="2"/>
                <w:sz w:val="21"/>
                <w:szCs w:val="21"/>
                <w:highlight w:val="none"/>
              </w:rPr>
            </w:pPr>
          </w:p>
        </w:tc>
        <w:tc>
          <w:tcPr>
            <w:tcW w:w="794" w:type="dxa"/>
            <w:vAlign w:val="center"/>
          </w:tcPr>
          <w:p w14:paraId="780F636F">
            <w:pPr>
              <w:snapToGrid w:val="0"/>
              <w:ind w:left="0" w:leftChars="0" w:right="0" w:rightChars="0" w:firstLine="0" w:firstLine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承诺或说明</w:t>
            </w:r>
          </w:p>
        </w:tc>
      </w:tr>
    </w:tbl>
    <w:p w14:paraId="2CFB2281">
      <w:pPr>
        <w:rPr>
          <w:rStyle w:val="24"/>
          <w:rFonts w:hint="eastAsia" w:ascii="仿宋" w:hAnsi="仿宋" w:eastAsia="仿宋" w:cs="仿宋"/>
          <w:color w:val="auto"/>
          <w:sz w:val="28"/>
          <w:szCs w:val="22"/>
          <w:highlight w:val="none"/>
          <w:lang w:eastAsia="zh-CN"/>
        </w:rPr>
      </w:pPr>
      <w:r>
        <w:rPr>
          <w:rFonts w:hint="eastAsia" w:ascii="仿宋" w:hAnsi="仿宋" w:eastAsia="仿宋" w:cs="仿宋"/>
          <w:b/>
          <w:bCs/>
          <w:color w:val="auto"/>
          <w:sz w:val="24"/>
          <w:szCs w:val="32"/>
          <w:highlight w:val="none"/>
          <w:lang w:eastAsia="zh-CN"/>
        </w:rPr>
        <w:t>备注：以上均需满足且按照证明材料内相关内容提供承诺、说明或印证材料，经评标委员会评定，如表述不清，对比不明，响应参数不满足，证明材料不齐全，将视为不满足予以废标。</w:t>
      </w:r>
    </w:p>
    <w:p w14:paraId="55608524">
      <w:pPr>
        <w:ind w:left="1080" w:leftChars="257" w:hanging="540"/>
        <w:rPr>
          <w:rFonts w:hint="eastAsia" w:ascii="仿宋" w:hAnsi="仿宋" w:eastAsia="仿宋" w:cs="仿宋"/>
          <w:color w:val="auto"/>
          <w:sz w:val="24"/>
          <w:highlight w:val="none"/>
          <w:lang w:eastAsia="zh-CN"/>
        </w:rPr>
      </w:pPr>
    </w:p>
    <w:p w14:paraId="419C6CAE">
      <w:pPr>
        <w:ind w:left="1080" w:leftChars="257" w:hanging="54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谈判供应商名称（电子公章）：</w:t>
      </w:r>
    </w:p>
    <w:p w14:paraId="3D1F17CB">
      <w:pPr>
        <w:ind w:left="1080" w:leftChars="257" w:hanging="54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谈判供应商法定代表人（电子签名或盖章）：</w:t>
      </w:r>
    </w:p>
    <w:p w14:paraId="73D1AAAA">
      <w:pPr>
        <w:ind w:left="1080" w:leftChars="257" w:hanging="54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日期：  年 月 日</w:t>
      </w:r>
    </w:p>
    <w:p w14:paraId="62FF606C">
      <w:pPr>
        <w:spacing w:before="101" w:line="225" w:lineRule="auto"/>
        <w:ind w:left="25"/>
        <w:rPr>
          <w:rFonts w:hint="eastAsia" w:ascii="仿宋" w:hAnsi="仿宋" w:eastAsia="仿宋" w:cs="仿宋"/>
          <w:color w:val="auto"/>
          <w:spacing w:val="7"/>
          <w:sz w:val="32"/>
          <w:szCs w:val="32"/>
          <w:highlight w:val="none"/>
          <w:lang w:eastAsia="zh-CN"/>
          <w14:textOutline w14:w="5829" w14:cap="flat" w14:cmpd="sng" w14:algn="ctr">
            <w14:solidFill>
              <w14:srgbClr w14:val="000000"/>
            </w14:solidFill>
            <w14:prstDash w14:val="solid"/>
            <w14:miter w14:val="0"/>
          </w14:textOutline>
        </w:rPr>
      </w:pPr>
      <w:r>
        <w:rPr>
          <w:rFonts w:hint="eastAsia" w:ascii="仿宋" w:hAnsi="仿宋" w:eastAsia="仿宋" w:cs="仿宋"/>
          <w:color w:val="auto"/>
          <w:sz w:val="22"/>
          <w:szCs w:val="22"/>
          <w:highlight w:val="none"/>
          <w:lang w:eastAsia="zh-CN"/>
        </w:rPr>
        <w:t>投标人保证：以上证明材料真实可查，如有造假伪造，我公司愿承担法律责任。</w:t>
      </w:r>
    </w:p>
    <w:p w14:paraId="5E4EAD48">
      <w:pPr>
        <w:rPr>
          <w:rFonts w:hint="eastAsia" w:ascii="仿宋" w:hAnsi="仿宋" w:eastAsia="仿宋" w:cs="仿宋"/>
          <w:color w:val="auto"/>
          <w:spacing w:val="7"/>
          <w:sz w:val="31"/>
          <w:szCs w:val="31"/>
          <w:highlight w:val="none"/>
          <w:lang w:eastAsia="zh-CN"/>
          <w14:textOutline w14:w="5829" w14:cap="flat" w14:cmpd="sng" w14:algn="ctr">
            <w14:solidFill>
              <w14:srgbClr w14:val="000000"/>
            </w14:solidFill>
            <w14:prstDash w14:val="solid"/>
            <w14:miter w14:val="0"/>
          </w14:textOutline>
        </w:rPr>
        <w:sectPr>
          <w:pgSz w:w="16838" w:h="11906" w:orient="landscape"/>
          <w:pgMar w:top="1803" w:right="1440" w:bottom="1803" w:left="1440" w:header="851" w:footer="992" w:gutter="0"/>
          <w:pgNumType w:fmt="decimal"/>
          <w:cols w:space="0" w:num="1"/>
          <w:rtlGutter w:val="0"/>
          <w:docGrid w:type="lines" w:linePitch="319" w:charSpace="0"/>
        </w:sectPr>
      </w:pPr>
      <w:r>
        <w:rPr>
          <w:rFonts w:hint="eastAsia" w:ascii="仿宋" w:hAnsi="仿宋" w:eastAsia="仿宋" w:cs="仿宋"/>
          <w:color w:val="auto"/>
          <w:spacing w:val="7"/>
          <w:sz w:val="31"/>
          <w:szCs w:val="31"/>
          <w:highlight w:val="none"/>
          <w:lang w:eastAsia="zh-CN"/>
          <w14:textOutline w14:w="5829" w14:cap="flat" w14:cmpd="sng" w14:algn="ctr">
            <w14:solidFill>
              <w14:srgbClr w14:val="000000"/>
            </w14:solidFill>
            <w14:prstDash w14:val="solid"/>
            <w14:miter w14:val="0"/>
          </w14:textOutline>
        </w:rPr>
        <w:br w:type="page"/>
      </w:r>
    </w:p>
    <w:p w14:paraId="1323CBF5">
      <w:pPr>
        <w:spacing w:line="463" w:lineRule="exact"/>
        <w:jc w:val="both"/>
        <w:outlineLvl w:val="2"/>
        <w:rPr>
          <w:rFonts w:hint="eastAsia" w:ascii="仿宋" w:hAnsi="仿宋" w:eastAsia="仿宋" w:cs="仿宋"/>
          <w:b/>
          <w:bCs/>
          <w:color w:val="auto"/>
          <w:sz w:val="28"/>
          <w:szCs w:val="28"/>
          <w:highlight w:val="none"/>
          <w:lang w:eastAsia="zh-CN"/>
        </w:rPr>
      </w:pPr>
      <w:bookmarkStart w:id="263" w:name="_Toc13347"/>
      <w:r>
        <w:rPr>
          <w:rFonts w:hint="eastAsia" w:ascii="仿宋" w:hAnsi="仿宋" w:eastAsia="仿宋" w:cs="仿宋"/>
          <w:b/>
          <w:bCs/>
          <w:color w:val="auto"/>
          <w:sz w:val="28"/>
          <w:szCs w:val="28"/>
          <w:highlight w:val="none"/>
          <w:lang w:eastAsia="zh-CN"/>
        </w:rPr>
        <w:t>（五）投标产品技术性能指标的详细描述</w:t>
      </w:r>
      <w:bookmarkEnd w:id="263"/>
    </w:p>
    <w:p w14:paraId="3D50D164">
      <w:pPr>
        <w:rPr>
          <w:rFonts w:hint="eastAsia" w:ascii="仿宋" w:hAnsi="仿宋" w:eastAsia="仿宋" w:cs="仿宋"/>
          <w:color w:val="auto"/>
          <w:highlight w:val="none"/>
          <w:lang w:eastAsia="zh-CN"/>
        </w:rPr>
      </w:pPr>
    </w:p>
    <w:p w14:paraId="07B063F8">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主要内容应包括但不限于以下内容（格式自定）：</w:t>
      </w:r>
    </w:p>
    <w:p w14:paraId="03B90519">
      <w:pPr>
        <w:spacing w:line="360" w:lineRule="auto"/>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eastAsia="zh-CN"/>
        </w:rPr>
        <w:t>1、投标</w:t>
      </w:r>
      <w:r>
        <w:rPr>
          <w:rFonts w:hint="eastAsia" w:ascii="仿宋" w:hAnsi="仿宋" w:eastAsia="仿宋" w:cs="仿宋"/>
          <w:color w:val="auto"/>
          <w:sz w:val="24"/>
          <w:szCs w:val="24"/>
          <w:highlight w:val="none"/>
          <w:lang w:val="zh-CN" w:eastAsia="zh-CN"/>
        </w:rPr>
        <w:t>产品（货物）详细技术参数及图片资料；</w:t>
      </w:r>
    </w:p>
    <w:p w14:paraId="297F917B">
      <w:pPr>
        <w:spacing w:line="360" w:lineRule="auto"/>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zh-CN" w:eastAsia="zh-CN"/>
        </w:rPr>
        <w:t>、投标产品（货物）的质量标准、检测标准、测试手段、保质保用期；</w:t>
      </w:r>
    </w:p>
    <w:p w14:paraId="1BDD476A">
      <w:pPr>
        <w:spacing w:line="360" w:lineRule="auto"/>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lang w:val="zh-CN" w:eastAsia="zh-CN"/>
        </w:rPr>
        <w:t>、对投标产品（货物）的</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eastAsia="zh-CN"/>
        </w:rPr>
        <w:t>装卸</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eastAsia="zh-CN"/>
        </w:rPr>
        <w:t>防疫、</w:t>
      </w:r>
      <w:r>
        <w:rPr>
          <w:rFonts w:hint="eastAsia" w:ascii="仿宋" w:hAnsi="仿宋" w:eastAsia="仿宋" w:cs="仿宋"/>
          <w:color w:val="auto"/>
          <w:sz w:val="24"/>
          <w:szCs w:val="24"/>
          <w:highlight w:val="none"/>
          <w:lang w:val="zh-CN" w:eastAsia="zh-CN"/>
        </w:rPr>
        <w:t>验收及培训计划等方面采取技术和组织措施方案；</w:t>
      </w:r>
    </w:p>
    <w:p w14:paraId="14395993">
      <w:pPr>
        <w:spacing w:line="360" w:lineRule="auto"/>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lang w:val="zh-CN" w:eastAsia="zh-CN"/>
        </w:rPr>
        <w:t>、售后服务点名称、电话，负责人员及地址（附</w:t>
      </w:r>
      <w:r>
        <w:rPr>
          <w:rFonts w:hint="eastAsia" w:ascii="仿宋" w:hAnsi="仿宋" w:eastAsia="仿宋" w:cs="仿宋"/>
          <w:color w:val="auto"/>
          <w:sz w:val="24"/>
          <w:szCs w:val="24"/>
          <w:highlight w:val="none"/>
          <w:lang w:eastAsia="zh-CN"/>
        </w:rPr>
        <w:t>售后服务</w:t>
      </w:r>
      <w:r>
        <w:rPr>
          <w:rFonts w:hint="eastAsia" w:ascii="仿宋" w:hAnsi="仿宋" w:eastAsia="仿宋" w:cs="仿宋"/>
          <w:color w:val="auto"/>
          <w:sz w:val="24"/>
          <w:szCs w:val="24"/>
          <w:highlight w:val="none"/>
          <w:lang w:val="zh-CN" w:eastAsia="zh-CN"/>
        </w:rPr>
        <w:t>点证明材料）；</w:t>
      </w:r>
    </w:p>
    <w:p w14:paraId="6A67A4B3">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lang w:val="zh-CN" w:eastAsia="zh-CN"/>
        </w:rPr>
        <w:t>、安全、突发应急方案；</w:t>
      </w:r>
    </w:p>
    <w:p w14:paraId="2A352123">
      <w:pPr>
        <w:spacing w:line="360" w:lineRule="auto"/>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lang w:val="zh-CN" w:eastAsia="zh-CN"/>
        </w:rPr>
        <w:t>、主要内容为本项目综合说明（包含但不限于项目服务方案、进度计划、产品（货物）人员投入、应急措施方案等）、项目质量总体目标及质量保证措施、验收标准及方式、技术规范性文件说明等。</w:t>
      </w:r>
    </w:p>
    <w:p w14:paraId="1448DD67">
      <w:pPr>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br w:type="page"/>
      </w:r>
    </w:p>
    <w:p w14:paraId="7003337B">
      <w:pPr>
        <w:pStyle w:val="9"/>
        <w:tabs>
          <w:tab w:val="left" w:pos="1038"/>
        </w:tabs>
        <w:ind w:left="0" w:firstLine="0"/>
        <w:outlineLvl w:val="2"/>
        <w:rPr>
          <w:rFonts w:hint="eastAsia" w:ascii="仿宋" w:hAnsi="仿宋" w:eastAsia="仿宋" w:cs="仿宋"/>
          <w:b/>
          <w:bCs/>
          <w:color w:val="auto"/>
          <w:sz w:val="28"/>
          <w:szCs w:val="28"/>
          <w:highlight w:val="none"/>
          <w:lang w:eastAsia="zh-CN"/>
        </w:rPr>
      </w:pPr>
      <w:bookmarkStart w:id="264" w:name="_Toc2249"/>
      <w:bookmarkStart w:id="265" w:name="_Toc26675"/>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lang w:eastAsia="zh-CN"/>
        </w:rPr>
        <w:t>）供应商认为需要提供的其他资料</w:t>
      </w:r>
      <w:bookmarkEnd w:id="264"/>
      <w:bookmarkEnd w:id="265"/>
    </w:p>
    <w:p w14:paraId="6162F55F">
      <w:pPr>
        <w:pStyle w:val="7"/>
        <w:spacing w:line="260" w:lineRule="auto"/>
        <w:rPr>
          <w:rFonts w:hint="eastAsia" w:ascii="仿宋" w:hAnsi="仿宋" w:eastAsia="仿宋" w:cs="仿宋"/>
          <w:color w:val="auto"/>
          <w:highlight w:val="none"/>
          <w:lang w:eastAsia="zh-CN"/>
        </w:rPr>
      </w:pPr>
    </w:p>
    <w:p w14:paraId="3B4D6AC3">
      <w:pPr>
        <w:snapToGrid/>
        <w:rPr>
          <w:rFonts w:hint="eastAsia" w:ascii="仿宋" w:hAnsi="仿宋" w:eastAsia="仿宋" w:cs="仿宋"/>
          <w:color w:val="auto"/>
          <w:highlight w:val="none"/>
          <w:lang w:eastAsia="zh-CN"/>
        </w:rPr>
      </w:pPr>
    </w:p>
    <w:p w14:paraId="00E3B5F2">
      <w:pPr>
        <w:snapToGrid/>
        <w:rPr>
          <w:rFonts w:hint="eastAsia" w:ascii="仿宋" w:hAnsi="仿宋" w:eastAsia="仿宋" w:cs="仿宋"/>
          <w:color w:val="auto"/>
          <w:highlight w:val="none"/>
          <w:lang w:eastAsia="zh-CN"/>
        </w:rPr>
      </w:pPr>
    </w:p>
    <w:p w14:paraId="79FCEF39">
      <w:pPr>
        <w:snapToGrid/>
        <w:rPr>
          <w:rFonts w:hint="eastAsia" w:ascii="仿宋" w:hAnsi="仿宋" w:eastAsia="仿宋" w:cs="仿宋"/>
          <w:color w:val="auto"/>
          <w:highlight w:val="none"/>
          <w:lang w:eastAsia="zh-CN"/>
        </w:rPr>
      </w:pPr>
    </w:p>
    <w:p w14:paraId="77FAA9D6">
      <w:pPr>
        <w:snapToGrid/>
        <w:rPr>
          <w:rFonts w:hint="eastAsia" w:ascii="仿宋" w:hAnsi="仿宋" w:eastAsia="仿宋" w:cs="仿宋"/>
          <w:color w:val="auto"/>
          <w:highlight w:val="none"/>
          <w:lang w:eastAsia="zh-CN"/>
        </w:rPr>
      </w:pPr>
    </w:p>
    <w:p w14:paraId="47297476">
      <w:pPr>
        <w:snapToGrid/>
        <w:rPr>
          <w:rFonts w:hint="eastAsia" w:ascii="仿宋" w:hAnsi="仿宋" w:eastAsia="仿宋" w:cs="仿宋"/>
          <w:color w:val="auto"/>
          <w:highlight w:val="none"/>
          <w:lang w:eastAsia="zh-CN"/>
        </w:rPr>
      </w:pPr>
    </w:p>
    <w:p w14:paraId="60DDC3EE">
      <w:pPr>
        <w:snapToGrid/>
        <w:rPr>
          <w:rFonts w:hint="eastAsia" w:ascii="仿宋" w:hAnsi="仿宋" w:eastAsia="仿宋" w:cs="仿宋"/>
          <w:color w:val="auto"/>
          <w:highlight w:val="none"/>
          <w:lang w:eastAsia="zh-CN"/>
        </w:rPr>
      </w:pPr>
    </w:p>
    <w:p w14:paraId="444A2A02">
      <w:pPr>
        <w:snapToGrid/>
        <w:rPr>
          <w:rFonts w:hint="eastAsia" w:ascii="仿宋" w:hAnsi="仿宋" w:eastAsia="仿宋" w:cs="仿宋"/>
          <w:color w:val="auto"/>
          <w:highlight w:val="none"/>
          <w:lang w:eastAsia="zh-CN"/>
        </w:rPr>
      </w:pPr>
    </w:p>
    <w:p w14:paraId="3B8FF0E8">
      <w:pPr>
        <w:snapToGrid/>
        <w:rPr>
          <w:rFonts w:hint="eastAsia" w:ascii="仿宋" w:hAnsi="仿宋" w:eastAsia="仿宋" w:cs="仿宋"/>
          <w:color w:val="auto"/>
          <w:highlight w:val="none"/>
          <w:lang w:eastAsia="zh-CN"/>
        </w:rPr>
      </w:pPr>
    </w:p>
    <w:p w14:paraId="260F1F45">
      <w:pPr>
        <w:snapToGrid/>
        <w:rPr>
          <w:rFonts w:hint="eastAsia" w:ascii="仿宋" w:hAnsi="仿宋" w:eastAsia="仿宋" w:cs="仿宋"/>
          <w:color w:val="auto"/>
          <w:highlight w:val="none"/>
          <w:lang w:eastAsia="zh-CN"/>
        </w:rPr>
      </w:pPr>
    </w:p>
    <w:p w14:paraId="2EBB76CA">
      <w:pPr>
        <w:snapToGrid/>
        <w:rPr>
          <w:rFonts w:hint="eastAsia" w:ascii="仿宋" w:hAnsi="仿宋" w:eastAsia="仿宋" w:cs="仿宋"/>
          <w:color w:val="auto"/>
          <w:highlight w:val="none"/>
          <w:lang w:eastAsia="zh-CN"/>
        </w:rPr>
      </w:pPr>
    </w:p>
    <w:p w14:paraId="577C9E97">
      <w:pPr>
        <w:snapToGrid/>
        <w:rPr>
          <w:rFonts w:hint="eastAsia" w:ascii="仿宋" w:hAnsi="仿宋" w:eastAsia="仿宋" w:cs="仿宋"/>
          <w:color w:val="auto"/>
          <w:highlight w:val="none"/>
          <w:lang w:eastAsia="zh-CN"/>
        </w:rPr>
      </w:pPr>
    </w:p>
    <w:p w14:paraId="50DB8400">
      <w:pPr>
        <w:snapToGrid/>
        <w:rPr>
          <w:rFonts w:hint="eastAsia" w:ascii="仿宋" w:hAnsi="仿宋" w:eastAsia="仿宋" w:cs="仿宋"/>
          <w:color w:val="auto"/>
          <w:highlight w:val="none"/>
          <w:lang w:eastAsia="zh-CN"/>
        </w:rPr>
      </w:pPr>
    </w:p>
    <w:p w14:paraId="3EFB372C">
      <w:pPr>
        <w:snapToGrid/>
        <w:rPr>
          <w:rFonts w:hint="eastAsia" w:ascii="仿宋" w:hAnsi="仿宋" w:eastAsia="仿宋" w:cs="仿宋"/>
          <w:color w:val="auto"/>
          <w:highlight w:val="none"/>
          <w:lang w:eastAsia="zh-CN"/>
        </w:rPr>
      </w:pPr>
    </w:p>
    <w:p w14:paraId="4A8C9B1A">
      <w:pPr>
        <w:snapToGrid/>
        <w:rPr>
          <w:rFonts w:hint="eastAsia" w:ascii="仿宋" w:hAnsi="仿宋" w:eastAsia="仿宋" w:cs="仿宋"/>
          <w:color w:val="auto"/>
          <w:highlight w:val="none"/>
          <w:lang w:eastAsia="zh-CN"/>
        </w:rPr>
      </w:pPr>
    </w:p>
    <w:p w14:paraId="2462D9B3">
      <w:pPr>
        <w:snapToGrid/>
        <w:rPr>
          <w:rFonts w:hint="eastAsia" w:ascii="仿宋" w:hAnsi="仿宋" w:eastAsia="仿宋" w:cs="仿宋"/>
          <w:color w:val="auto"/>
          <w:highlight w:val="none"/>
          <w:lang w:eastAsia="zh-CN"/>
        </w:rPr>
      </w:pPr>
    </w:p>
    <w:p w14:paraId="544CD2DB">
      <w:pPr>
        <w:snapToGrid/>
        <w:rPr>
          <w:rFonts w:hint="eastAsia" w:ascii="仿宋" w:hAnsi="仿宋" w:eastAsia="仿宋" w:cs="仿宋"/>
          <w:color w:val="auto"/>
          <w:highlight w:val="none"/>
          <w:lang w:eastAsia="zh-CN"/>
        </w:rPr>
      </w:pPr>
    </w:p>
    <w:p w14:paraId="380EB7B9">
      <w:pPr>
        <w:snapToGrid/>
        <w:rPr>
          <w:rFonts w:hint="eastAsia" w:ascii="仿宋" w:hAnsi="仿宋" w:eastAsia="仿宋" w:cs="仿宋"/>
          <w:color w:val="auto"/>
          <w:highlight w:val="none"/>
          <w:lang w:eastAsia="zh-CN"/>
        </w:rPr>
      </w:pPr>
    </w:p>
    <w:p w14:paraId="412F055A">
      <w:pPr>
        <w:snapToGrid/>
        <w:rPr>
          <w:rFonts w:hint="eastAsia" w:ascii="仿宋" w:hAnsi="仿宋" w:eastAsia="仿宋" w:cs="仿宋"/>
          <w:color w:val="auto"/>
          <w:highlight w:val="none"/>
          <w:lang w:eastAsia="zh-CN"/>
        </w:rPr>
      </w:pPr>
    </w:p>
    <w:p w14:paraId="08A6102E">
      <w:pPr>
        <w:snapToGrid/>
        <w:rPr>
          <w:rFonts w:hint="eastAsia" w:ascii="仿宋" w:hAnsi="仿宋" w:eastAsia="仿宋" w:cs="仿宋"/>
          <w:color w:val="auto"/>
          <w:highlight w:val="none"/>
          <w:lang w:eastAsia="zh-CN"/>
        </w:rPr>
      </w:pPr>
    </w:p>
    <w:p w14:paraId="17051F5A">
      <w:pPr>
        <w:snapToGrid/>
        <w:rPr>
          <w:rFonts w:hint="eastAsia" w:ascii="仿宋" w:hAnsi="仿宋" w:eastAsia="仿宋" w:cs="仿宋"/>
          <w:color w:val="auto"/>
          <w:highlight w:val="none"/>
          <w:lang w:eastAsia="zh-CN"/>
        </w:rPr>
      </w:pPr>
    </w:p>
    <w:p w14:paraId="50623FA0">
      <w:pPr>
        <w:snapToGrid/>
        <w:rPr>
          <w:rFonts w:hint="eastAsia" w:ascii="仿宋" w:hAnsi="仿宋" w:eastAsia="仿宋" w:cs="仿宋"/>
          <w:color w:val="auto"/>
          <w:highlight w:val="none"/>
          <w:lang w:eastAsia="zh-CN"/>
        </w:rPr>
      </w:pPr>
    </w:p>
    <w:p w14:paraId="0BF8DFBD">
      <w:pPr>
        <w:snapToGrid/>
        <w:rPr>
          <w:rFonts w:hint="eastAsia" w:ascii="仿宋" w:hAnsi="仿宋" w:eastAsia="仿宋" w:cs="仿宋"/>
          <w:color w:val="auto"/>
          <w:highlight w:val="none"/>
          <w:lang w:eastAsia="zh-CN"/>
        </w:rPr>
      </w:pPr>
    </w:p>
    <w:p w14:paraId="6FE1F2DA">
      <w:pPr>
        <w:snapToGrid/>
        <w:rPr>
          <w:rFonts w:hint="eastAsia" w:ascii="仿宋" w:hAnsi="仿宋" w:eastAsia="仿宋" w:cs="仿宋"/>
          <w:color w:val="auto"/>
          <w:highlight w:val="none"/>
          <w:lang w:eastAsia="zh-CN"/>
        </w:rPr>
      </w:pPr>
    </w:p>
    <w:p w14:paraId="246DFD03">
      <w:pPr>
        <w:snapToGrid/>
        <w:rPr>
          <w:rFonts w:hint="eastAsia" w:ascii="仿宋" w:hAnsi="仿宋" w:eastAsia="仿宋" w:cs="仿宋"/>
          <w:color w:val="auto"/>
          <w:highlight w:val="none"/>
          <w:lang w:eastAsia="zh-CN"/>
        </w:rPr>
      </w:pPr>
    </w:p>
    <w:p w14:paraId="702FDDF2">
      <w:pPr>
        <w:snapToGrid/>
        <w:rPr>
          <w:rFonts w:hint="eastAsia" w:ascii="仿宋" w:hAnsi="仿宋" w:eastAsia="仿宋" w:cs="仿宋"/>
          <w:color w:val="auto"/>
          <w:highlight w:val="none"/>
          <w:lang w:eastAsia="zh-CN"/>
        </w:rPr>
      </w:pPr>
    </w:p>
    <w:p w14:paraId="3E4AFA81">
      <w:pPr>
        <w:snapToGrid/>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13F3C375">
      <w:pPr>
        <w:spacing w:before="156" w:beforeLines="50" w:after="156" w:afterLines="50"/>
        <w:jc w:val="center"/>
        <w:outlineLvl w:val="1"/>
        <w:rPr>
          <w:rFonts w:hint="eastAsia" w:ascii="仿宋" w:hAnsi="仿宋" w:eastAsia="仿宋" w:cs="仿宋"/>
          <w:b/>
          <w:bCs/>
          <w:color w:val="auto"/>
          <w:spacing w:val="20"/>
          <w:sz w:val="28"/>
          <w:szCs w:val="36"/>
          <w:highlight w:val="none"/>
          <w:lang w:eastAsia="zh-CN"/>
        </w:rPr>
      </w:pPr>
      <w:bookmarkStart w:id="266" w:name="_Toc9516"/>
      <w:r>
        <w:rPr>
          <w:rFonts w:hint="eastAsia" w:ascii="仿宋" w:hAnsi="仿宋" w:eastAsia="仿宋" w:cs="仿宋"/>
          <w:b/>
          <w:bCs/>
          <w:color w:val="auto"/>
          <w:spacing w:val="20"/>
          <w:sz w:val="28"/>
          <w:szCs w:val="36"/>
          <w:highlight w:val="none"/>
          <w:lang w:eastAsia="zh-CN"/>
        </w:rPr>
        <w:t>中小企业声明函（货物）</w:t>
      </w:r>
      <w:bookmarkEnd w:id="266"/>
    </w:p>
    <w:p w14:paraId="0728475D">
      <w:pPr>
        <w:spacing w:line="360" w:lineRule="auto"/>
        <w:ind w:firstLine="480" w:firstLineChars="200"/>
        <w:rPr>
          <w:rFonts w:hint="eastAsia" w:ascii="仿宋" w:hAnsi="仿宋" w:eastAsia="仿宋" w:cs="仿宋"/>
          <w:color w:val="auto"/>
          <w:sz w:val="24"/>
          <w:highlight w:val="none"/>
          <w:lang w:eastAsia="zh-CN"/>
        </w:rPr>
      </w:pPr>
    </w:p>
    <w:p w14:paraId="2720A21A">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本公司（联合体）郑重声明，根据《政府采购促进中小 企业发展管理办法》（财库﹝2020﹞46 号）的规定，本公司（联合体）参加</w:t>
      </w:r>
      <w:r>
        <w:rPr>
          <w:rFonts w:hint="eastAsia" w:ascii="仿宋" w:hAnsi="仿宋" w:eastAsia="仿宋" w:cs="仿宋"/>
          <w:color w:val="auto"/>
          <w:sz w:val="24"/>
          <w:highlight w:val="none"/>
          <w:u w:val="single"/>
          <w:lang w:eastAsia="zh-CN"/>
        </w:rPr>
        <w:t>（单位名称）</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u w:val="single"/>
          <w:lang w:eastAsia="zh-CN"/>
        </w:rPr>
        <w:t>（项目名称）</w:t>
      </w:r>
      <w:r>
        <w:rPr>
          <w:rFonts w:hint="eastAsia" w:ascii="仿宋" w:hAnsi="仿宋" w:eastAsia="仿宋" w:cs="仿宋"/>
          <w:color w:val="auto"/>
          <w:sz w:val="24"/>
          <w:highlight w:val="none"/>
          <w:lang w:eastAsia="zh-CN"/>
        </w:rPr>
        <w:t>采购活动，提 供的货物全部由符合政策要求的中小企业制造。相关企业</w:t>
      </w:r>
    </w:p>
    <w:p w14:paraId="771CBDAB">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（含联合体中的中小企业、签订分包意向协议的中小企业） 的具体情况如下：</w:t>
      </w:r>
    </w:p>
    <w:p w14:paraId="24B8A624">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u w:val="single"/>
          <w:lang w:eastAsia="zh-CN"/>
        </w:rPr>
        <w:t xml:space="preserve"> （标的名称）</w:t>
      </w:r>
      <w:r>
        <w:rPr>
          <w:rFonts w:hint="eastAsia" w:ascii="仿宋" w:hAnsi="仿宋" w:eastAsia="仿宋" w:cs="仿宋"/>
          <w:color w:val="auto"/>
          <w:sz w:val="24"/>
          <w:highlight w:val="none"/>
          <w:lang w:eastAsia="zh-CN"/>
        </w:rPr>
        <w:t xml:space="preserve"> ，属于</w:t>
      </w:r>
      <w:r>
        <w:rPr>
          <w:rFonts w:hint="eastAsia" w:ascii="仿宋" w:hAnsi="仿宋" w:eastAsia="仿宋" w:cs="仿宋"/>
          <w:color w:val="auto"/>
          <w:sz w:val="24"/>
          <w:highlight w:val="none"/>
          <w:u w:val="single"/>
          <w:lang w:eastAsia="zh-CN"/>
        </w:rPr>
        <w:t xml:space="preserve">（采购文件中明确的所属行业） </w:t>
      </w:r>
      <w:r>
        <w:rPr>
          <w:rFonts w:hint="eastAsia" w:ascii="仿宋" w:hAnsi="仿宋" w:eastAsia="仿宋" w:cs="仿宋"/>
          <w:color w:val="auto"/>
          <w:sz w:val="24"/>
          <w:highlight w:val="none"/>
          <w:lang w:eastAsia="zh-CN"/>
        </w:rPr>
        <w:t>行业；制造商为</w:t>
      </w:r>
      <w:r>
        <w:rPr>
          <w:rFonts w:hint="eastAsia" w:ascii="仿宋" w:hAnsi="仿宋" w:eastAsia="仿宋" w:cs="仿宋"/>
          <w:color w:val="auto"/>
          <w:sz w:val="24"/>
          <w:highlight w:val="none"/>
          <w:u w:val="single"/>
          <w:lang w:eastAsia="zh-CN"/>
        </w:rPr>
        <w:t>（企业名称）</w:t>
      </w:r>
      <w:r>
        <w:rPr>
          <w:rFonts w:hint="eastAsia" w:ascii="仿宋" w:hAnsi="仿宋" w:eastAsia="仿宋" w:cs="仿宋"/>
          <w:color w:val="auto"/>
          <w:sz w:val="24"/>
          <w:highlight w:val="none"/>
          <w:lang w:eastAsia="zh-CN"/>
        </w:rPr>
        <w:t>，从业人员</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人，营业收入为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万元，资产总额为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万元</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"_bookmark0"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vertAlign w:val="superscript"/>
          <w:lang w:eastAsia="zh-CN"/>
        </w:rPr>
        <w:t>1</w:t>
      </w:r>
      <w:r>
        <w:rPr>
          <w:rFonts w:hint="eastAsia" w:ascii="仿宋" w:hAnsi="仿宋" w:eastAsia="仿宋" w:cs="仿宋"/>
          <w:color w:val="auto"/>
          <w:sz w:val="24"/>
          <w:highlight w:val="none"/>
          <w:vertAlign w:val="superscript"/>
          <w:lang w:eastAsia="zh-CN"/>
        </w:rPr>
        <w:fldChar w:fldCharType="end"/>
      </w:r>
      <w:r>
        <w:rPr>
          <w:rFonts w:hint="eastAsia" w:ascii="仿宋" w:hAnsi="仿宋" w:eastAsia="仿宋" w:cs="仿宋"/>
          <w:color w:val="auto"/>
          <w:sz w:val="24"/>
          <w:highlight w:val="none"/>
          <w:lang w:eastAsia="zh-CN"/>
        </w:rPr>
        <w:t>，属于</w:t>
      </w:r>
      <w:r>
        <w:rPr>
          <w:rFonts w:hint="eastAsia" w:ascii="仿宋" w:hAnsi="仿宋" w:eastAsia="仿宋" w:cs="仿宋"/>
          <w:color w:val="auto"/>
          <w:sz w:val="24"/>
          <w:highlight w:val="none"/>
          <w:u w:val="single"/>
          <w:lang w:eastAsia="zh-CN"/>
        </w:rPr>
        <w:t>（中型企业、小 型企业、微型企业）</w:t>
      </w:r>
      <w:r>
        <w:rPr>
          <w:rFonts w:hint="eastAsia" w:ascii="仿宋" w:hAnsi="仿宋" w:eastAsia="仿宋" w:cs="仿宋"/>
          <w:color w:val="auto"/>
          <w:sz w:val="24"/>
          <w:highlight w:val="none"/>
          <w:lang w:eastAsia="zh-CN"/>
        </w:rPr>
        <w:t>；</w:t>
      </w:r>
    </w:p>
    <w:p w14:paraId="1D2B4EC4">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2. </w:t>
      </w:r>
      <w:r>
        <w:rPr>
          <w:rFonts w:hint="eastAsia" w:ascii="仿宋" w:hAnsi="仿宋" w:eastAsia="仿宋" w:cs="仿宋"/>
          <w:color w:val="auto"/>
          <w:sz w:val="24"/>
          <w:highlight w:val="none"/>
          <w:u w:val="single"/>
          <w:lang w:eastAsia="zh-CN"/>
        </w:rPr>
        <w:t xml:space="preserve"> （标的名称）</w:t>
      </w:r>
      <w:r>
        <w:rPr>
          <w:rFonts w:hint="eastAsia" w:ascii="仿宋" w:hAnsi="仿宋" w:eastAsia="仿宋" w:cs="仿宋"/>
          <w:color w:val="auto"/>
          <w:sz w:val="24"/>
          <w:highlight w:val="none"/>
          <w:lang w:eastAsia="zh-CN"/>
        </w:rPr>
        <w:t xml:space="preserve"> ，属于</w:t>
      </w:r>
      <w:r>
        <w:rPr>
          <w:rFonts w:hint="eastAsia" w:ascii="仿宋" w:hAnsi="仿宋" w:eastAsia="仿宋" w:cs="仿宋"/>
          <w:color w:val="auto"/>
          <w:sz w:val="24"/>
          <w:highlight w:val="none"/>
          <w:u w:val="single"/>
          <w:lang w:eastAsia="zh-CN"/>
        </w:rPr>
        <w:t xml:space="preserve">（采购文件中明确的所属行业） </w:t>
      </w:r>
      <w:r>
        <w:rPr>
          <w:rFonts w:hint="eastAsia" w:ascii="仿宋" w:hAnsi="仿宋" w:eastAsia="仿宋" w:cs="仿宋"/>
          <w:color w:val="auto"/>
          <w:sz w:val="24"/>
          <w:highlight w:val="none"/>
          <w:lang w:eastAsia="zh-CN"/>
        </w:rPr>
        <w:t>行业；制造商为</w:t>
      </w:r>
      <w:r>
        <w:rPr>
          <w:rFonts w:hint="eastAsia" w:ascii="仿宋" w:hAnsi="仿宋" w:eastAsia="仿宋" w:cs="仿宋"/>
          <w:color w:val="auto"/>
          <w:sz w:val="24"/>
          <w:highlight w:val="none"/>
          <w:u w:val="single"/>
          <w:lang w:eastAsia="zh-CN"/>
        </w:rPr>
        <w:t>（企业名称）</w:t>
      </w:r>
      <w:r>
        <w:rPr>
          <w:rFonts w:hint="eastAsia" w:ascii="仿宋" w:hAnsi="仿宋" w:eastAsia="仿宋" w:cs="仿宋"/>
          <w:color w:val="auto"/>
          <w:sz w:val="24"/>
          <w:highlight w:val="none"/>
          <w:lang w:eastAsia="zh-CN"/>
        </w:rPr>
        <w:t>，从业人员</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人，营业收入为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万元，资产总额为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万元</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"_bookmark0"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vertAlign w:val="superscript"/>
          <w:lang w:eastAsia="zh-CN"/>
        </w:rPr>
        <w:t>1</w:t>
      </w:r>
      <w:r>
        <w:rPr>
          <w:rFonts w:hint="eastAsia" w:ascii="仿宋" w:hAnsi="仿宋" w:eastAsia="仿宋" w:cs="仿宋"/>
          <w:color w:val="auto"/>
          <w:sz w:val="24"/>
          <w:highlight w:val="none"/>
          <w:vertAlign w:val="superscript"/>
          <w:lang w:eastAsia="zh-CN"/>
        </w:rPr>
        <w:fldChar w:fldCharType="end"/>
      </w:r>
      <w:r>
        <w:rPr>
          <w:rFonts w:hint="eastAsia" w:ascii="仿宋" w:hAnsi="仿宋" w:eastAsia="仿宋" w:cs="仿宋"/>
          <w:color w:val="auto"/>
          <w:sz w:val="24"/>
          <w:highlight w:val="none"/>
          <w:lang w:eastAsia="zh-CN"/>
        </w:rPr>
        <w:t>，属于</w:t>
      </w:r>
      <w:r>
        <w:rPr>
          <w:rFonts w:hint="eastAsia" w:ascii="仿宋" w:hAnsi="仿宋" w:eastAsia="仿宋" w:cs="仿宋"/>
          <w:color w:val="auto"/>
          <w:sz w:val="24"/>
          <w:highlight w:val="none"/>
          <w:u w:val="single"/>
          <w:lang w:eastAsia="zh-CN"/>
        </w:rPr>
        <w:t>（中型企业、小 型企业、微型企业）</w:t>
      </w:r>
      <w:r>
        <w:rPr>
          <w:rFonts w:hint="eastAsia" w:ascii="仿宋" w:hAnsi="仿宋" w:eastAsia="仿宋" w:cs="仿宋"/>
          <w:color w:val="auto"/>
          <w:sz w:val="24"/>
          <w:highlight w:val="none"/>
          <w:lang w:eastAsia="zh-CN"/>
        </w:rPr>
        <w:t>；</w:t>
      </w:r>
    </w:p>
    <w:p w14:paraId="6C936941">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以上企业，不属于大企业的分支机构，不存在控股股东为大企业的情形，也不存在与大企业的负责人为同一人的情形。</w:t>
      </w:r>
    </w:p>
    <w:p w14:paraId="56E34D1F">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本企业对上述声明内容的真实性负责。如有虚假，将依法承担相应责任。</w:t>
      </w:r>
    </w:p>
    <w:p w14:paraId="7AAE3484">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w:t>
      </w:r>
    </w:p>
    <w:p w14:paraId="1FC02486">
      <w:pPr>
        <w:spacing w:line="360" w:lineRule="auto"/>
        <w:ind w:firstLine="4920" w:firstLineChars="20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企业名称（盖章）：</w:t>
      </w:r>
    </w:p>
    <w:p w14:paraId="53E173E4">
      <w:pPr>
        <w:spacing w:line="360" w:lineRule="auto"/>
        <w:ind w:firstLine="6180" w:firstLineChars="257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 期：</w:t>
      </w:r>
    </w:p>
    <w:p w14:paraId="783326F5">
      <w:pPr>
        <w:spacing w:line="400" w:lineRule="atLeast"/>
        <w:ind w:firstLine="3494" w:firstLineChars="1450"/>
        <w:rPr>
          <w:rFonts w:hint="eastAsia" w:ascii="仿宋" w:hAnsi="仿宋" w:eastAsia="仿宋" w:cs="仿宋"/>
          <w:b/>
          <w:color w:val="auto"/>
          <w:sz w:val="24"/>
          <w:highlight w:val="none"/>
          <w:lang w:eastAsia="zh-CN"/>
        </w:rPr>
      </w:pPr>
    </w:p>
    <w:p w14:paraId="39470A15">
      <w:pPr>
        <w:spacing w:line="400" w:lineRule="atLeast"/>
        <w:ind w:firstLine="3494" w:firstLineChars="1450"/>
        <w:rPr>
          <w:rFonts w:hint="eastAsia" w:ascii="仿宋" w:hAnsi="仿宋" w:eastAsia="仿宋" w:cs="仿宋"/>
          <w:b/>
          <w:color w:val="auto"/>
          <w:sz w:val="24"/>
          <w:highlight w:val="none"/>
          <w:lang w:eastAsia="zh-CN"/>
        </w:rPr>
      </w:pPr>
    </w:p>
    <w:p w14:paraId="19B8E274">
      <w:pPr>
        <w:spacing w:line="400" w:lineRule="atLeast"/>
        <w:ind w:firstLine="3494" w:firstLineChars="1450"/>
        <w:rPr>
          <w:rFonts w:hint="eastAsia" w:ascii="仿宋" w:hAnsi="仿宋" w:eastAsia="仿宋" w:cs="仿宋"/>
          <w:b/>
          <w:color w:val="auto"/>
          <w:sz w:val="24"/>
          <w:highlight w:val="none"/>
          <w:lang w:eastAsia="zh-CN"/>
        </w:rPr>
      </w:pPr>
    </w:p>
    <w:p w14:paraId="79176F9C">
      <w:pPr>
        <w:spacing w:line="400" w:lineRule="atLeas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lang w:eastAsia="zh-CN"/>
        </w:rPr>
        <w:t>注：从业人员、营业收入、资产总额填报上一年度数据，无上一年度数据的新成立企业可不填报</w:t>
      </w:r>
    </w:p>
    <w:p w14:paraId="139586AB">
      <w:pPr>
        <w:rPr>
          <w:rFonts w:hint="eastAsia" w:ascii="仿宋" w:hAnsi="仿宋" w:eastAsia="仿宋" w:cs="仿宋"/>
          <w:color w:val="auto"/>
          <w:highlight w:val="none"/>
          <w:lang w:eastAsia="zh-CN"/>
        </w:rPr>
        <w:sectPr>
          <w:pgSz w:w="11906" w:h="16838"/>
          <w:pgMar w:top="1440" w:right="1803" w:bottom="1440" w:left="1803" w:header="851" w:footer="992" w:gutter="0"/>
          <w:pgNumType w:fmt="decimal"/>
          <w:cols w:space="0" w:num="1"/>
          <w:rtlGutter w:val="0"/>
          <w:docGrid w:type="lines" w:linePitch="319" w:charSpace="0"/>
        </w:sectPr>
      </w:pPr>
    </w:p>
    <w:p w14:paraId="34D496FC">
      <w:pPr>
        <w:spacing w:line="288" w:lineRule="auto"/>
        <w:ind w:firstLine="484" w:firstLineChars="201"/>
        <w:rPr>
          <w:rFonts w:hint="eastAsia" w:ascii="仿宋" w:hAnsi="仿宋" w:eastAsia="仿宋" w:cs="仿宋"/>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附</w:t>
      </w:r>
      <w:r>
        <w:rPr>
          <w:rFonts w:hint="eastAsia" w:ascii="仿宋" w:hAnsi="仿宋" w:eastAsia="仿宋" w:cs="仿宋"/>
          <w:b/>
          <w:bCs/>
          <w:color w:val="auto"/>
          <w:sz w:val="24"/>
          <w:szCs w:val="24"/>
          <w:highlight w:val="none"/>
          <w:lang w:eastAsia="zh-CN" w:bidi="zh-CN"/>
        </w:rPr>
        <w:t>中小企业声明函</w:t>
      </w:r>
      <w:r>
        <w:rPr>
          <w:rFonts w:hint="eastAsia" w:ascii="仿宋" w:hAnsi="仿宋" w:eastAsia="仿宋" w:cs="仿宋"/>
          <w:b/>
          <w:bCs/>
          <w:color w:val="auto"/>
          <w:sz w:val="24"/>
          <w:szCs w:val="24"/>
          <w:highlight w:val="none"/>
          <w:lang w:val="zh-CN" w:eastAsia="zh-CN"/>
        </w:rPr>
        <w:t>。</w:t>
      </w:r>
    </w:p>
    <w:p w14:paraId="4498F9A1">
      <w:pPr>
        <w:ind w:firstLine="480" w:firstLineChars="200"/>
        <w:jc w:val="center"/>
        <w:rPr>
          <w:rStyle w:val="15"/>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w:t>
      </w:r>
      <w:r>
        <w:rPr>
          <w:rStyle w:val="15"/>
          <w:rFonts w:hint="eastAsia" w:ascii="仿宋" w:hAnsi="仿宋" w:eastAsia="仿宋" w:cs="仿宋"/>
          <w:color w:val="auto"/>
          <w:sz w:val="24"/>
          <w:szCs w:val="24"/>
          <w:highlight w:val="none"/>
          <w:lang w:eastAsia="zh-CN"/>
        </w:rPr>
        <w:t>关于印发中小企业划型标准规定的通知</w:t>
      </w:r>
    </w:p>
    <w:p w14:paraId="2A4E130E">
      <w:pPr>
        <w:pStyle w:val="12"/>
        <w:ind w:firstLine="60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工信部联企业〔2011〕300号</w:t>
      </w:r>
    </w:p>
    <w:p w14:paraId="2EF07EC3">
      <w:pPr>
        <w:pStyle w:val="12"/>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各省、自治区、直辖市人民政府，国务院各部委、各直属机构及有关单位：</w:t>
      </w:r>
    </w:p>
    <w:p w14:paraId="48A1BB6A">
      <w:pPr>
        <w:pStyle w:val="12"/>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8C28BA0">
      <w:pPr>
        <w:pStyle w:val="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工业和信息化部　国家统计局</w:t>
      </w:r>
    </w:p>
    <w:p w14:paraId="79A714C2">
      <w:pPr>
        <w:pStyle w:val="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国家发展和改革委员会　财政部</w:t>
      </w:r>
    </w:p>
    <w:p w14:paraId="74205465">
      <w:pPr>
        <w:pStyle w:val="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二○一一年六月十八日</w:t>
      </w:r>
    </w:p>
    <w:p w14:paraId="2BA736A5">
      <w:pPr>
        <w:pStyle w:val="12"/>
        <w:jc w:val="center"/>
        <w:rPr>
          <w:rFonts w:hint="eastAsia" w:ascii="仿宋" w:hAnsi="仿宋" w:eastAsia="仿宋" w:cs="仿宋"/>
          <w:color w:val="auto"/>
          <w:sz w:val="24"/>
          <w:szCs w:val="24"/>
          <w:highlight w:val="none"/>
          <w:lang w:eastAsia="zh-CN"/>
        </w:rPr>
      </w:pPr>
      <w:r>
        <w:rPr>
          <w:rStyle w:val="15"/>
          <w:rFonts w:hint="eastAsia" w:ascii="仿宋" w:hAnsi="仿宋" w:eastAsia="仿宋" w:cs="仿宋"/>
          <w:color w:val="auto"/>
          <w:sz w:val="24"/>
          <w:szCs w:val="24"/>
          <w:highlight w:val="none"/>
          <w:lang w:eastAsia="zh-CN"/>
        </w:rPr>
        <w:t>中小企业划型标准规定</w:t>
      </w:r>
    </w:p>
    <w:p w14:paraId="7019B06D">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一、根据《中华人民共和国中小企业促进法》和《国务院关于进一步促进中小企业发展的若干意见》(国发〔2009〕36号)，制定本规定。</w:t>
      </w:r>
    </w:p>
    <w:p w14:paraId="4E42D0B6">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二、中小企业划分为中型、小型、微型三种类型，具体标准根据企业从业人员、营业收入、资产总额等指标，结合行业特点制定。</w:t>
      </w:r>
    </w:p>
    <w:p w14:paraId="527C5A7A">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A43589A">
      <w:pPr>
        <w:pStyle w:val="12"/>
        <w:ind w:firstLine="420" w:firstLineChars="175"/>
        <w:jc w:val="both"/>
        <w:outlineLvl w:val="9"/>
        <w:rPr>
          <w:rFonts w:hint="eastAsia" w:ascii="仿宋" w:hAnsi="仿宋" w:eastAsia="仿宋" w:cs="仿宋"/>
          <w:color w:val="auto"/>
          <w:sz w:val="24"/>
          <w:szCs w:val="24"/>
          <w:highlight w:val="none"/>
          <w:lang w:eastAsia="zh-CN"/>
        </w:rPr>
      </w:pPr>
      <w:bookmarkStart w:id="267" w:name="_Toc17074"/>
      <w:r>
        <w:rPr>
          <w:rFonts w:hint="eastAsia" w:ascii="仿宋" w:hAnsi="仿宋" w:eastAsia="仿宋" w:cs="仿宋"/>
          <w:color w:val="auto"/>
          <w:sz w:val="24"/>
          <w:szCs w:val="24"/>
          <w:highlight w:val="none"/>
          <w:lang w:eastAsia="zh-CN"/>
        </w:rPr>
        <w:t>四、各行业划型标准为：</w:t>
      </w:r>
      <w:bookmarkEnd w:id="267"/>
    </w:p>
    <w:p w14:paraId="70ECC090">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（一）农、林、牧、渔业。营业收入20000万元以下的为中小微型企业。其中，营业收入500万元及以上的为中型企业，营业收入50万元及以上的为小型企业，营业收入50万元以下的为微型企业。</w:t>
      </w:r>
    </w:p>
    <w:p w14:paraId="49982F52">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36D6D28">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314C248">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F85C393">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6B6580">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831B4D">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C1D7036">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BDEFEDA">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CEB3FD4">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B67EDF">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253716E">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6661F39">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81CE8C4">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D999CE1">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216618F">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（十六）其他未列明行业。从业人员300人以下的为中小微型企业。其中，从业人员100人及以上的为中型企业；从业人员10人及以上的为小型企业；从业人员10人以下的为微型企业。</w:t>
      </w:r>
    </w:p>
    <w:p w14:paraId="4414E5E2">
      <w:pPr>
        <w:pStyle w:val="12"/>
        <w:ind w:firstLine="420" w:firstLineChars="175"/>
        <w:jc w:val="both"/>
        <w:outlineLvl w:val="9"/>
        <w:rPr>
          <w:rFonts w:hint="eastAsia" w:ascii="仿宋" w:hAnsi="仿宋" w:eastAsia="仿宋" w:cs="仿宋"/>
          <w:color w:val="auto"/>
          <w:sz w:val="24"/>
          <w:szCs w:val="24"/>
          <w:highlight w:val="none"/>
          <w:lang w:eastAsia="zh-CN"/>
        </w:rPr>
      </w:pPr>
      <w:bookmarkStart w:id="268" w:name="_Toc9472"/>
      <w:r>
        <w:rPr>
          <w:rFonts w:hint="eastAsia" w:ascii="仿宋" w:hAnsi="仿宋" w:eastAsia="仿宋" w:cs="仿宋"/>
          <w:color w:val="auto"/>
          <w:sz w:val="24"/>
          <w:szCs w:val="24"/>
          <w:highlight w:val="none"/>
          <w:lang w:eastAsia="zh-CN"/>
        </w:rPr>
        <w:t>五、企业类型的划分以统计部门的统计数据为依据。</w:t>
      </w:r>
      <w:bookmarkEnd w:id="268"/>
    </w:p>
    <w:p w14:paraId="6A57439E">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六、本规定适用于在中华人民共和国境内依法设立的各类所有制和各种组织形式的企业。个体工商户和本规定以外的行业，参照本规定进行划型。</w:t>
      </w:r>
    </w:p>
    <w:p w14:paraId="0D0C6C2D">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670B8724">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八、本规定由工业和信息化部、国家统计局会同有关部门根据《国民经济行业分类》修订情况和企业发展变化情况适时修订。</w:t>
      </w:r>
    </w:p>
    <w:p w14:paraId="0CA4C942">
      <w:pPr>
        <w:pStyle w:val="12"/>
        <w:ind w:firstLine="420" w:firstLineChars="175"/>
        <w:jc w:val="both"/>
        <w:outlineLvl w:val="9"/>
        <w:rPr>
          <w:rFonts w:hint="eastAsia" w:ascii="仿宋" w:hAnsi="仿宋" w:eastAsia="仿宋" w:cs="仿宋"/>
          <w:color w:val="auto"/>
          <w:sz w:val="24"/>
          <w:szCs w:val="24"/>
          <w:highlight w:val="none"/>
          <w:lang w:eastAsia="zh-CN"/>
        </w:rPr>
      </w:pPr>
      <w:bookmarkStart w:id="269" w:name="_Toc25832"/>
      <w:r>
        <w:rPr>
          <w:rFonts w:hint="eastAsia" w:ascii="仿宋" w:hAnsi="仿宋" w:eastAsia="仿宋" w:cs="仿宋"/>
          <w:color w:val="auto"/>
          <w:sz w:val="24"/>
          <w:szCs w:val="24"/>
          <w:highlight w:val="none"/>
          <w:lang w:eastAsia="zh-CN"/>
        </w:rPr>
        <w:t>九、本规定由工业和信息化部、国家统计局会同有关部门负责解释。</w:t>
      </w:r>
      <w:bookmarkEnd w:id="269"/>
    </w:p>
    <w:p w14:paraId="433A42B2">
      <w:pPr>
        <w:pStyle w:val="12"/>
        <w:ind w:firstLine="420" w:firstLineChars="17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十、本规定自发布之日起执行，原国家经贸委、原国家计委、财政部和国家统计局2003年颁布的《中小企业标准暂行规定》同时废止。</w:t>
      </w:r>
    </w:p>
    <w:p w14:paraId="19B0FB57">
      <w:pPr>
        <w:rPr>
          <w:rFonts w:hint="eastAsia" w:ascii="仿宋" w:hAnsi="仿宋" w:eastAsia="仿宋" w:cs="仿宋"/>
          <w:color w:val="auto"/>
          <w:highlight w:val="none"/>
          <w:lang w:eastAsia="zh-CN"/>
        </w:rPr>
      </w:pPr>
    </w:p>
    <w:p w14:paraId="1A95C789">
      <w:pPr>
        <w:rPr>
          <w:rFonts w:hint="eastAsia" w:ascii="仿宋" w:hAnsi="仿宋" w:eastAsia="仿宋" w:cs="仿宋"/>
          <w:color w:val="auto"/>
          <w:highlight w:val="none"/>
          <w:lang w:eastAsia="zh-CN"/>
        </w:rPr>
      </w:pPr>
    </w:p>
    <w:p w14:paraId="5ABEA026">
      <w:pPr>
        <w:rPr>
          <w:rFonts w:hint="eastAsia" w:ascii="仿宋" w:hAnsi="仿宋" w:eastAsia="仿宋" w:cs="仿宋"/>
          <w:color w:val="auto"/>
          <w:highlight w:val="none"/>
          <w:lang w:eastAsia="zh-CN"/>
        </w:rPr>
      </w:pPr>
    </w:p>
    <w:p w14:paraId="6040BA29">
      <w:pPr>
        <w:rPr>
          <w:color w:val="auto"/>
          <w:highlight w:val="none"/>
        </w:rPr>
      </w:pPr>
    </w:p>
    <w:sectPr>
      <w:footerReference r:id="rId18" w:type="default"/>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C8DCAF3-5447-46F7-A9A9-CAB60AE47F8F}"/>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2" w:fontKey="{9AB427F5-846B-475E-A5FE-617A66C08D94}"/>
  </w:font>
  <w:font w:name="方正小标宋简体">
    <w:panose1 w:val="02000000000000000000"/>
    <w:charset w:val="86"/>
    <w:family w:val="auto"/>
    <w:pitch w:val="default"/>
    <w:sig w:usb0="00000001" w:usb1="08000000" w:usb2="00000000" w:usb3="00000000" w:csb0="00040000" w:csb1="00000000"/>
    <w:embedRegular r:id="rId3" w:fontKey="{5BB769D0-EEFC-4FD6-8265-F14141CAE8AC}"/>
  </w:font>
  <w:font w:name="微软雅黑">
    <w:panose1 w:val="020B0503020204020204"/>
    <w:charset w:val="86"/>
    <w:family w:val="auto"/>
    <w:pitch w:val="default"/>
    <w:sig w:usb0="80000287" w:usb1="2ACF3C50" w:usb2="00000016" w:usb3="00000000" w:csb0="0004001F" w:csb1="00000000"/>
    <w:embedRegular r:id="rId4" w:fontKey="{32238316-617E-45E8-B4FE-ABD3761FEE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8597">
    <w:pPr>
      <w:pStyle w:val="7"/>
      <w:spacing w:line="193" w:lineRule="auto"/>
      <w:rPr>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79641">
    <w:pPr>
      <w:pStyle w:val="7"/>
      <w:spacing w:line="193" w:lineRule="auto"/>
      <w:ind w:left="4700"/>
      <w:rPr>
        <w:rFonts w:eastAsia="宋体"/>
        <w:sz w:val="17"/>
        <w:szCs w:val="17"/>
        <w:lang w:eastAsia="zh-CN"/>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4A978">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94A978">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EB314">
    <w:pPr>
      <w:pStyle w:val="7"/>
      <w:spacing w:line="193" w:lineRule="auto"/>
      <w:ind w:left="4676"/>
      <w:rPr>
        <w:rFonts w:eastAsia="宋体"/>
        <w:sz w:val="17"/>
        <w:szCs w:val="17"/>
        <w:lang w:eastAsia="zh-CN"/>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4BCD9">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484BCD9">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ACBD1">
    <w:pPr>
      <w:pStyle w:val="7"/>
      <w:spacing w:line="193" w:lineRule="auto"/>
      <w:ind w:left="4676"/>
      <w:rPr>
        <w:rFonts w:eastAsia="宋体"/>
        <w:sz w:val="17"/>
        <w:szCs w:val="17"/>
        <w:lang w:eastAsia="zh-CN"/>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EC764">
                          <w:pPr>
                            <w:pStyle w:val="10"/>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E2EC764">
                    <w:pPr>
                      <w:pStyle w:val="10"/>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A0F8D">
    <w:pPr>
      <w:pStyle w:val="7"/>
      <w:spacing w:line="193" w:lineRule="auto"/>
      <w:ind w:left="4466"/>
      <w:rPr>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B89A">
    <w:pPr>
      <w:pStyle w:val="7"/>
      <w:spacing w:line="193" w:lineRule="auto"/>
      <w:ind w:left="4628"/>
      <w:rPr>
        <w:rFonts w:eastAsia="宋体"/>
        <w:sz w:val="17"/>
        <w:szCs w:val="17"/>
        <w:lang w:eastAsia="zh-CN"/>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336D3">
                          <w:pPr>
                            <w:pStyle w:val="1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7336D3">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ECAD1">
    <w:pPr>
      <w:pStyle w:val="7"/>
      <w:spacing w:line="193" w:lineRule="auto"/>
      <w:ind w:left="4710"/>
      <w:rPr>
        <w:rFonts w:eastAsia="宋体"/>
        <w:sz w:val="17"/>
        <w:szCs w:val="17"/>
        <w:lang w:eastAsia="zh-CN"/>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3588B">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063588B">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4CA58">
    <w:pPr>
      <w:pStyle w:val="7"/>
      <w:spacing w:line="193" w:lineRule="auto"/>
      <w:ind w:left="4610"/>
      <w:rPr>
        <w:rFonts w:eastAsia="宋体"/>
        <w:sz w:val="17"/>
        <w:szCs w:val="17"/>
        <w:lang w:eastAsia="zh-CN"/>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70202">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470202">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32BC">
    <w:pPr>
      <w:pStyle w:val="7"/>
      <w:spacing w:line="193" w:lineRule="auto"/>
      <w:ind w:left="4620"/>
      <w:rPr>
        <w:rFonts w:eastAsia="宋体"/>
        <w:sz w:val="17"/>
        <w:szCs w:val="17"/>
        <w:lang w:eastAsia="zh-CN"/>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EAA9B">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7AEAA9B">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F67E9">
    <w:pPr>
      <w:pStyle w:val="7"/>
      <w:spacing w:line="193" w:lineRule="auto"/>
      <w:ind w:left="4616"/>
      <w:rPr>
        <w:rFonts w:eastAsia="宋体"/>
        <w:sz w:val="17"/>
        <w:szCs w:val="17"/>
        <w:lang w:eastAsia="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8936F">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008936F">
                    <w:pPr>
                      <w:pStyle w:val="1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54006">
    <w:pPr>
      <w:pStyle w:val="7"/>
      <w:spacing w:line="193" w:lineRule="auto"/>
      <w:ind w:left="4621"/>
      <w:rPr>
        <w:rFonts w:eastAsia="宋体"/>
        <w:sz w:val="17"/>
        <w:szCs w:val="17"/>
        <w:lang w:eastAsia="zh-CN"/>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00D06">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800D06">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4EA78">
    <w:pPr>
      <w:pStyle w:val="7"/>
      <w:spacing w:line="193" w:lineRule="auto"/>
      <w:ind w:left="4701"/>
      <w:rPr>
        <w:rFonts w:eastAsia="宋体"/>
        <w:sz w:val="17"/>
        <w:szCs w:val="17"/>
        <w:lang w:eastAsia="zh-CN"/>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84C4D">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9F84C4D">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05A2F">
    <w:pPr>
      <w:pStyle w:val="7"/>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F5B1B">
    <w:pPr>
      <w:pStyle w:val="7"/>
      <w:spacing w:line="96"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5B6B6">
    <w:pPr>
      <w:pStyle w:val="7"/>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0B38A">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07D00"/>
    <w:multiLevelType w:val="singleLevel"/>
    <w:tmpl w:val="82907D00"/>
    <w:lvl w:ilvl="0" w:tentative="0">
      <w:start w:val="5"/>
      <w:numFmt w:val="decimal"/>
      <w:suff w:val="space"/>
      <w:lvlText w:val="%1."/>
      <w:lvlJc w:val="left"/>
    </w:lvl>
  </w:abstractNum>
  <w:abstractNum w:abstractNumId="1">
    <w:nsid w:val="C0484F04"/>
    <w:multiLevelType w:val="singleLevel"/>
    <w:tmpl w:val="C0484F04"/>
    <w:lvl w:ilvl="0" w:tentative="0">
      <w:start w:val="2"/>
      <w:numFmt w:val="chineseCounting"/>
      <w:suff w:val="nothing"/>
      <w:lvlText w:val="%1、"/>
      <w:lvlJc w:val="left"/>
      <w:rPr>
        <w:rFonts w:hint="eastAsia"/>
      </w:rPr>
    </w:lvl>
  </w:abstractNum>
  <w:abstractNum w:abstractNumId="2">
    <w:nsid w:val="00000006"/>
    <w:multiLevelType w:val="multilevel"/>
    <w:tmpl w:val="00000006"/>
    <w:lvl w:ilvl="0" w:tentative="0">
      <w:start w:val="1"/>
      <w:numFmt w:val="decimal"/>
      <w:suff w:val="space"/>
      <w:lvlText w:val="%1."/>
      <w:lvlJc w:val="left"/>
      <w:pPr>
        <w:ind w:left="425" w:hanging="425"/>
      </w:pPr>
      <w:rPr>
        <w:rFonts w:hint="default"/>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0000008"/>
    <w:multiLevelType w:val="multilevel"/>
    <w:tmpl w:val="00000008"/>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142" w:firstLine="0"/>
      </w:pPr>
      <w:rPr>
        <w:rFonts w:hint="eastAsia" w:ascii="黑体" w:hAnsi="Times New Roman" w:eastAsia="黑体"/>
        <w:b w:val="0"/>
        <w:i w:val="0"/>
        <w:color w:val="auto"/>
        <w:sz w:val="21"/>
      </w:rPr>
    </w:lvl>
    <w:lvl w:ilvl="3" w:tentative="0">
      <w:start w:val="1"/>
      <w:numFmt w:val="decimal"/>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945"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0B"/>
    <w:multiLevelType w:val="multilevel"/>
    <w:tmpl w:val="0000000B"/>
    <w:lvl w:ilvl="0" w:tentative="0">
      <w:start w:val="1"/>
      <w:numFmt w:val="decimal"/>
      <w:suff w:val="space"/>
      <w:lvlText w:val="%1."/>
      <w:lvlJc w:val="left"/>
      <w:pPr>
        <w:ind w:left="425" w:hanging="425"/>
      </w:pPr>
      <w:rPr>
        <w:rFonts w:hint="default"/>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000000E"/>
    <w:multiLevelType w:val="multilevel"/>
    <w:tmpl w:val="0000000E"/>
    <w:lvl w:ilvl="0" w:tentative="0">
      <w:start w:val="1"/>
      <w:numFmt w:val="decimal"/>
      <w:suff w:val="space"/>
      <w:lvlText w:val="%1."/>
      <w:lvlJc w:val="left"/>
      <w:pPr>
        <w:ind w:left="425" w:hanging="425"/>
      </w:pPr>
      <w:rPr>
        <w:rFonts w:hint="default"/>
        <w:color w:val="auto"/>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0000017"/>
    <w:multiLevelType w:val="multilevel"/>
    <w:tmpl w:val="00000017"/>
    <w:lvl w:ilvl="0" w:tentative="0">
      <w:start w:val="1"/>
      <w:numFmt w:val="decimal"/>
      <w:suff w:val="space"/>
      <w:lvlText w:val="%1."/>
      <w:lvlJc w:val="left"/>
      <w:pPr>
        <w:ind w:left="425" w:hanging="425"/>
      </w:pPr>
      <w:rPr>
        <w:rFonts w:hint="default"/>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000001A"/>
    <w:multiLevelType w:val="multilevel"/>
    <w:tmpl w:val="0000001A"/>
    <w:lvl w:ilvl="0" w:tentative="0">
      <w:start w:val="1"/>
      <w:numFmt w:val="decimal"/>
      <w:suff w:val="space"/>
      <w:lvlText w:val="%1."/>
      <w:lvlJc w:val="left"/>
      <w:pPr>
        <w:ind w:left="425" w:hanging="425"/>
      </w:pPr>
      <w:rPr>
        <w:rFonts w:hint="default"/>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000001B"/>
    <w:multiLevelType w:val="multilevel"/>
    <w:tmpl w:val="0000001B"/>
    <w:lvl w:ilvl="0" w:tentative="0">
      <w:start w:val="1"/>
      <w:numFmt w:val="decimal"/>
      <w:suff w:val="space"/>
      <w:lvlText w:val="%1."/>
      <w:lvlJc w:val="left"/>
      <w:pPr>
        <w:ind w:left="425" w:hanging="425"/>
      </w:pPr>
      <w:rPr>
        <w:rFonts w:hint="default"/>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0000024"/>
    <w:multiLevelType w:val="multilevel"/>
    <w:tmpl w:val="00000024"/>
    <w:lvl w:ilvl="0" w:tentative="0">
      <w:start w:val="1"/>
      <w:numFmt w:val="decimal"/>
      <w:suff w:val="space"/>
      <w:lvlText w:val="%1."/>
      <w:lvlJc w:val="left"/>
      <w:pPr>
        <w:ind w:left="425" w:hanging="425"/>
      </w:pPr>
      <w:rPr>
        <w:rFonts w:hint="default"/>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00000027"/>
    <w:multiLevelType w:val="multilevel"/>
    <w:tmpl w:val="00000027"/>
    <w:lvl w:ilvl="0" w:tentative="0">
      <w:start w:val="1"/>
      <w:numFmt w:val="decimal"/>
      <w:suff w:val="space"/>
      <w:lvlText w:val="%1."/>
      <w:lvlJc w:val="left"/>
      <w:pPr>
        <w:ind w:left="425" w:hanging="425"/>
      </w:pPr>
      <w:rPr>
        <w:rFonts w:hint="default"/>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00000032"/>
    <w:multiLevelType w:val="multilevel"/>
    <w:tmpl w:val="00000032"/>
    <w:lvl w:ilvl="0" w:tentative="0">
      <w:start w:val="1"/>
      <w:numFmt w:val="decimal"/>
      <w:suff w:val="space"/>
      <w:lvlText w:val="%1."/>
      <w:lvlJc w:val="left"/>
      <w:pPr>
        <w:ind w:left="425" w:hanging="425"/>
      </w:pPr>
      <w:rPr>
        <w:rFonts w:hint="default"/>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00000038"/>
    <w:multiLevelType w:val="multilevel"/>
    <w:tmpl w:val="00000038"/>
    <w:lvl w:ilvl="0" w:tentative="0">
      <w:start w:val="1"/>
      <w:numFmt w:val="decimal"/>
      <w:suff w:val="space"/>
      <w:lvlText w:val="%1."/>
      <w:lvlJc w:val="left"/>
      <w:pPr>
        <w:ind w:left="425" w:hanging="425"/>
      </w:pPr>
      <w:rPr>
        <w:rFonts w:hint="default"/>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00000039"/>
    <w:multiLevelType w:val="multilevel"/>
    <w:tmpl w:val="00000039"/>
    <w:lvl w:ilvl="0" w:tentative="0">
      <w:start w:val="1"/>
      <w:numFmt w:val="decimal"/>
      <w:suff w:val="space"/>
      <w:lvlText w:val="%1."/>
      <w:lvlJc w:val="left"/>
      <w:pPr>
        <w:ind w:left="425" w:hanging="425"/>
      </w:pPr>
      <w:rPr>
        <w:rFonts w:hint="default"/>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1F400F63"/>
    <w:multiLevelType w:val="singleLevel"/>
    <w:tmpl w:val="1F400F63"/>
    <w:lvl w:ilvl="0" w:tentative="0">
      <w:start w:val="1"/>
      <w:numFmt w:val="decimal"/>
      <w:lvlText w:val="%1."/>
      <w:lvlJc w:val="left"/>
      <w:pPr>
        <w:tabs>
          <w:tab w:val="left" w:pos="312"/>
        </w:tabs>
      </w:pPr>
    </w:lvl>
  </w:abstractNum>
  <w:num w:numId="1">
    <w:abstractNumId w:val="0"/>
  </w:num>
  <w:num w:numId="2">
    <w:abstractNumId w:val="1"/>
  </w:num>
  <w:num w:numId="3">
    <w:abstractNumId w:val="14"/>
  </w:num>
  <w:num w:numId="4">
    <w:abstractNumId w:val="10"/>
  </w:num>
  <w:num w:numId="5">
    <w:abstractNumId w:val="5"/>
  </w:num>
  <w:num w:numId="6">
    <w:abstractNumId w:val="4"/>
  </w:num>
  <w:num w:numId="7">
    <w:abstractNumId w:val="11"/>
  </w:num>
  <w:num w:numId="8">
    <w:abstractNumId w:val="9"/>
  </w:num>
  <w:num w:numId="9">
    <w:abstractNumId w:val="12"/>
  </w:num>
  <w:num w:numId="10">
    <w:abstractNumId w:val="6"/>
  </w:num>
  <w:num w:numId="11">
    <w:abstractNumId w:val="13"/>
  </w:num>
  <w:num w:numId="12">
    <w:abstractNumId w:val="2"/>
  </w:num>
  <w:num w:numId="13">
    <w:abstractNumId w:val="7"/>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892F2B"/>
    <w:rsid w:val="19D90D46"/>
    <w:rsid w:val="1F0C4622"/>
    <w:rsid w:val="227930C6"/>
    <w:rsid w:val="3F834A98"/>
    <w:rsid w:val="51221543"/>
    <w:rsid w:val="5CC725C3"/>
    <w:rsid w:val="6CA00C59"/>
    <w:rsid w:val="6F385A87"/>
    <w:rsid w:val="75EF5970"/>
    <w:rsid w:val="77512789"/>
    <w:rsid w:val="780D6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24"/>
    <w:unhideWhenUsed/>
    <w:qFormat/>
    <w:uiPriority w:val="0"/>
    <w:pPr>
      <w:outlineLvl w:val="1"/>
    </w:pPr>
    <w:rPr>
      <w:rFonts w:ascii="Microsoft JhengHei" w:hAnsi="Microsoft JhengHei" w:eastAsia="Microsoft JhengHei"/>
      <w:sz w:val="32"/>
      <w:szCs w:val="32"/>
    </w:rPr>
  </w:style>
  <w:style w:type="paragraph" w:styleId="4">
    <w:name w:val="heading 3"/>
    <w:basedOn w:val="1"/>
    <w:next w:val="1"/>
    <w:unhideWhenUsed/>
    <w:qFormat/>
    <w:uiPriority w:val="0"/>
    <w:pPr>
      <w:ind w:left="237"/>
      <w:outlineLvl w:val="2"/>
    </w:pPr>
    <w:rPr>
      <w:rFonts w:ascii="Microsoft JhengHei" w:hAnsi="Microsoft JhengHei" w:eastAsia="Microsoft JhengHei"/>
      <w:sz w:val="28"/>
      <w:szCs w:val="28"/>
    </w:rPr>
  </w:style>
  <w:style w:type="paragraph" w:styleId="5">
    <w:name w:val="heading 4"/>
    <w:basedOn w:val="1"/>
    <w:next w:val="1"/>
    <w:unhideWhenUsed/>
    <w:qFormat/>
    <w:uiPriority w:val="9"/>
    <w:pPr>
      <w:keepNext/>
      <w:keepLines/>
      <w:spacing w:before="80" w:after="40"/>
      <w:outlineLvl w:val="3"/>
    </w:pPr>
    <w:rPr>
      <w:rFonts w:eastAsia="宋体" w:cs="Times New Roman"/>
      <w:b/>
      <w:iCs/>
      <w:color w:val="000000"/>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style>
  <w:style w:type="paragraph" w:styleId="7">
    <w:name w:val="Body Text"/>
    <w:basedOn w:val="1"/>
    <w:next w:val="8"/>
    <w:qFormat/>
    <w:uiPriority w:val="0"/>
  </w:style>
  <w:style w:type="paragraph" w:styleId="8">
    <w:name w:val="Body Text First Indent"/>
    <w:basedOn w:val="7"/>
    <w:qFormat/>
    <w:uiPriority w:val="0"/>
    <w:pPr>
      <w:autoSpaceDE w:val="0"/>
      <w:autoSpaceDN w:val="0"/>
      <w:adjustRightInd w:val="0"/>
      <w:spacing w:line="312" w:lineRule="atLeast"/>
      <w:ind w:firstLine="420"/>
    </w:pPr>
    <w:rPr>
      <w:rFonts w:ascii="宋体"/>
      <w:kern w:val="0"/>
    </w:rPr>
  </w:style>
  <w:style w:type="paragraph" w:styleId="9">
    <w:name w:val="toc 3"/>
    <w:basedOn w:val="1"/>
    <w:next w:val="1"/>
    <w:qFormat/>
    <w:uiPriority w:val="39"/>
    <w:pPr>
      <w:spacing w:before="2"/>
      <w:ind w:left="1450" w:hanging="370"/>
    </w:pPr>
  </w:style>
  <w:style w:type="paragraph" w:styleId="10">
    <w:name w:val="footer"/>
    <w:basedOn w:val="1"/>
    <w:qFormat/>
    <w:uiPriority w:val="0"/>
    <w:pPr>
      <w:tabs>
        <w:tab w:val="center" w:pos="4153"/>
        <w:tab w:val="right" w:pos="8306"/>
      </w:tabs>
    </w:pPr>
    <w:rPr>
      <w:sz w:val="18"/>
    </w:rPr>
  </w:style>
  <w:style w:type="paragraph" w:styleId="11">
    <w:name w:val="footnote text"/>
    <w:basedOn w:val="1"/>
    <w:qFormat/>
    <w:uiPriority w:val="99"/>
    <w:pPr>
      <w:spacing w:line="312" w:lineRule="atLeast"/>
    </w:pPr>
    <w:rPr>
      <w:rFonts w:ascii="Calibri" w:hAnsi="Calibri" w:eastAsia="仿宋" w:cs="Times New Roman"/>
      <w:sz w:val="18"/>
      <w:szCs w:val="18"/>
    </w:rPr>
  </w:style>
  <w:style w:type="paragraph" w:styleId="12">
    <w:name w:val="Normal (Web)"/>
    <w:basedOn w:val="1"/>
    <w:qFormat/>
    <w:uiPriority w:val="0"/>
    <w:rPr>
      <w:rFonts w:ascii="宋体" w:hAnsi="宋体" w:cs="宋体"/>
      <w:sz w:val="24"/>
      <w:szCs w:val="24"/>
    </w:rPr>
  </w:style>
  <w:style w:type="character" w:styleId="15">
    <w:name w:val="Strong"/>
    <w:basedOn w:val="14"/>
    <w:qFormat/>
    <w:uiPriority w:val="0"/>
    <w:rPr>
      <w:b/>
    </w:rPr>
  </w:style>
  <w:style w:type="paragraph" w:customStyle="1" w:styleId="16">
    <w:name w:val="WPSOffice手动目录 1"/>
    <w:qFormat/>
    <w:uiPriority w:val="0"/>
    <w:rPr>
      <w:rFonts w:asciiTheme="minorHAnsi" w:hAnsiTheme="minorHAnsi" w:eastAsiaTheme="minorEastAsia" w:cstheme="minorBidi"/>
      <w:lang w:val="en-US" w:eastAsia="zh-CN" w:bidi="ar-SA"/>
    </w:rPr>
  </w:style>
  <w:style w:type="paragraph" w:customStyle="1" w:styleId="17">
    <w:name w:val="WPSOffice手动目录 3"/>
    <w:qFormat/>
    <w:uiPriority w:val="0"/>
    <w:pPr>
      <w:ind w:left="400" w:leftChars="400"/>
    </w:pPr>
    <w:rPr>
      <w:rFonts w:asciiTheme="minorHAnsi" w:hAnsiTheme="minorHAnsi" w:eastAsiaTheme="minorEastAsia" w:cstheme="minorBidi"/>
      <w:lang w:val="en-US" w:eastAsia="zh-CN"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3"/>
      <w:szCs w:val="23"/>
    </w:rPr>
  </w:style>
  <w:style w:type="paragraph" w:customStyle="1" w:styleId="20">
    <w:name w:val="BodyText"/>
    <w:basedOn w:val="1"/>
    <w:qFormat/>
    <w:uiPriority w:val="0"/>
    <w:pPr>
      <w:spacing w:after="120"/>
    </w:pPr>
  </w:style>
  <w:style w:type="paragraph" w:customStyle="1" w:styleId="2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正文缩进1"/>
    <w:basedOn w:val="1"/>
    <w:qFormat/>
    <w:uiPriority w:val="0"/>
    <w:pPr>
      <w:ind w:firstLine="420"/>
    </w:pPr>
    <w:rPr>
      <w:rFonts w:ascii="宋体"/>
      <w:sz w:val="24"/>
    </w:rPr>
  </w:style>
  <w:style w:type="paragraph" w:customStyle="1" w:styleId="23">
    <w:name w:val="正文文本缩进 21"/>
    <w:basedOn w:val="1"/>
    <w:qFormat/>
    <w:uiPriority w:val="0"/>
    <w:pPr>
      <w:ind w:firstLine="586" w:firstLineChars="244"/>
    </w:pPr>
  </w:style>
  <w:style w:type="character" w:customStyle="1" w:styleId="24">
    <w:name w:val="标题 2 字符"/>
    <w:link w:val="3"/>
    <w:qFormat/>
    <w:uiPriority w:val="0"/>
    <w:rPr>
      <w:rFonts w:ascii="Microsoft JhengHei" w:hAnsi="Microsoft JhengHei" w:eastAsia="Microsoft JhengHei"/>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2121</Words>
  <Characters>2730</Characters>
  <Lines>0</Lines>
  <Paragraphs>0</Paragraphs>
  <TotalTime>1</TotalTime>
  <ScaleCrop>false</ScaleCrop>
  <LinksUpToDate>false</LinksUpToDate>
  <CharactersWithSpaces>2789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2026-05-13T10:15:00Z</dcterms:created>
  <dc:creator>王占位</dc:creator>
  <cp:lastModifiedBy>En.</cp:lastModifiedBy>
  <dcterms:modified xsi:type="dcterms:W3CDTF">2026-05-21T08:43:58Z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94FDB806BD9E4E108C7EAF8E0CE4A210_13</vt:lpwstr>
  </property>
  <property fmtid="{D5CDD505-2E9C-101B-9397-08002B2CF9AE}" pid="4" name="KSOTemplateDocerSaveRecord">
    <vt:lpwstr>eyJoZGlkIjoiN2E4MDI4ZGI5YWE0NjQ2ZTVmMGE5Y2I0MDg4N2ZiZGMiLCJ1c2VySWQiOiI1MzUyMjcwODIifQ==</vt:lpwstr>
  </property>
</Properties>
</file>