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633C26F5">
      <w:pPr>
        <w:spacing w:before="120" w:beforeLines="50"/>
        <w:jc w:val="center"/>
        <w:rPr>
          <w:rFonts w:hint="eastAsia" w:ascii="宋体" w:hAnsi="宋体" w:cs="宋体"/>
          <w:b/>
          <w:bCs/>
          <w:sz w:val="72"/>
          <w:szCs w:val="72"/>
        </w:rPr>
      </w:pPr>
      <w:r>
        <w:rPr>
          <w:rFonts w:hint="eastAsia" w:ascii="宋体" w:hAnsi="宋体" w:cs="宋体"/>
          <w:b/>
          <w:bCs/>
          <w:sz w:val="72"/>
          <w:szCs w:val="72"/>
        </w:rPr>
        <w:t xml:space="preserve">  </w:t>
      </w:r>
    </w:p>
    <w:p w14:paraId="15AF62E4">
      <w:pPr>
        <w:spacing w:before="120" w:beforeLines="50"/>
        <w:jc w:val="center"/>
        <w:rPr>
          <w:rFonts w:hint="eastAsia" w:ascii="宋体" w:hAnsi="宋体" w:cs="宋体"/>
          <w:b/>
          <w:bCs/>
          <w:sz w:val="72"/>
          <w:szCs w:val="72"/>
        </w:rPr>
      </w:pPr>
      <w:r>
        <w:rPr>
          <w:rFonts w:hint="eastAsia" w:ascii="宋体" w:hAnsi="宋体" w:cs="宋体"/>
          <w:b/>
          <w:bCs/>
          <w:sz w:val="72"/>
          <w:szCs w:val="72"/>
        </w:rPr>
        <w:t>公开招标采购文件</w:t>
      </w:r>
    </w:p>
    <w:p w14:paraId="04718F29">
      <w:pPr>
        <w:snapToGrid w:val="0"/>
        <w:spacing w:before="120" w:beforeLines="50" w:line="360" w:lineRule="auto"/>
        <w:rPr>
          <w:rFonts w:hint="eastAsia" w:ascii="宋体" w:hAnsi="宋体" w:cs="宋体"/>
          <w:sz w:val="30"/>
          <w:szCs w:val="72"/>
        </w:rPr>
      </w:pPr>
    </w:p>
    <w:p w14:paraId="138DD291">
      <w:pPr>
        <w:snapToGrid w:val="0"/>
        <w:spacing w:before="120" w:beforeLines="50" w:line="360" w:lineRule="auto"/>
        <w:rPr>
          <w:rFonts w:hint="eastAsia" w:ascii="宋体" w:hAnsi="宋体" w:cs="宋体"/>
          <w:sz w:val="30"/>
          <w:szCs w:val="72"/>
        </w:rPr>
      </w:pPr>
    </w:p>
    <w:p w14:paraId="42D3C0C5">
      <w:pPr>
        <w:snapToGrid w:val="0"/>
        <w:spacing w:before="120" w:beforeLines="50" w:line="360" w:lineRule="auto"/>
        <w:rPr>
          <w:rFonts w:hint="eastAsia" w:ascii="宋体" w:hAnsi="宋体" w:cs="宋体"/>
          <w:sz w:val="30"/>
          <w:szCs w:val="72"/>
        </w:rPr>
      </w:pPr>
      <w:r>
        <w:rPr>
          <w:rFonts w:hint="eastAsia" w:ascii="宋体" w:hAnsi="宋体" w:cs="宋体"/>
          <w:sz w:val="30"/>
          <w:szCs w:val="72"/>
        </w:rPr>
        <w:t xml:space="preserve"> </w:t>
      </w:r>
    </w:p>
    <w:p w14:paraId="509712F7">
      <w:pPr>
        <w:pStyle w:val="21"/>
        <w:snapToGrid w:val="0"/>
        <w:spacing w:before="120" w:beforeLines="0" w:after="120" w:afterLines="0" w:line="360" w:lineRule="auto"/>
        <w:rPr>
          <w:rFonts w:hint="eastAsia" w:hAnsi="宋体" w:cs="宋体"/>
          <w:b/>
          <w:bCs/>
          <w:sz w:val="30"/>
          <w:szCs w:val="30"/>
        </w:rPr>
      </w:pPr>
    </w:p>
    <w:p w14:paraId="4EBF7FEC">
      <w:pPr>
        <w:pStyle w:val="21"/>
        <w:snapToGrid w:val="0"/>
        <w:spacing w:before="120" w:beforeLines="0" w:after="120" w:afterLines="0" w:line="480" w:lineRule="auto"/>
        <w:rPr>
          <w:rFonts w:hint="eastAsia" w:hAnsi="宋体" w:cs="宋体"/>
          <w:b/>
          <w:bCs/>
          <w:sz w:val="30"/>
          <w:szCs w:val="30"/>
        </w:rPr>
      </w:pPr>
      <w:r>
        <w:rPr>
          <w:rFonts w:hint="eastAsia" w:hAnsi="宋体" w:cs="宋体"/>
          <w:b/>
          <w:bCs/>
          <w:sz w:val="30"/>
          <w:szCs w:val="30"/>
        </w:rPr>
        <w:t>项目编号：NBHZ-2026009G</w:t>
      </w:r>
    </w:p>
    <w:p w14:paraId="239B53AF">
      <w:pPr>
        <w:pStyle w:val="21"/>
        <w:tabs>
          <w:tab w:val="left" w:pos="1498"/>
        </w:tabs>
        <w:snapToGrid w:val="0"/>
        <w:spacing w:before="120" w:beforeLines="0" w:after="120" w:afterLines="0" w:line="0" w:lineRule="atLeast"/>
        <w:ind w:left="602" w:hanging="602" w:hangingChars="200"/>
        <w:rPr>
          <w:rFonts w:hint="eastAsia" w:hAnsi="宋体" w:cs="宋体"/>
          <w:b/>
          <w:bCs/>
          <w:sz w:val="30"/>
          <w:szCs w:val="30"/>
        </w:rPr>
      </w:pPr>
      <w:r>
        <w:rPr>
          <w:rFonts w:hint="eastAsia" w:hAnsi="宋体" w:cs="宋体"/>
          <w:b/>
          <w:bCs/>
          <w:sz w:val="30"/>
          <w:szCs w:val="30"/>
        </w:rPr>
        <w:t>项目名称</w:t>
      </w:r>
      <w:bookmarkStart w:id="0" w:name="_Hlk65593721"/>
      <w:r>
        <w:rPr>
          <w:rFonts w:hint="eastAsia" w:hAnsi="宋体" w:cs="宋体"/>
          <w:b/>
          <w:bCs/>
          <w:sz w:val="30"/>
          <w:szCs w:val="30"/>
        </w:rPr>
        <w:t>：</w:t>
      </w:r>
      <w:bookmarkEnd w:id="0"/>
      <w:r>
        <w:rPr>
          <w:rFonts w:hint="eastAsia" w:hAnsi="宋体" w:cs="宋体"/>
          <w:b/>
          <w:bCs/>
          <w:sz w:val="30"/>
          <w:szCs w:val="30"/>
        </w:rPr>
        <w:t>象山县丹山书院专用教室设备项目</w:t>
      </w:r>
    </w:p>
    <w:p w14:paraId="18E616FA">
      <w:pPr>
        <w:pStyle w:val="21"/>
        <w:snapToGrid w:val="0"/>
        <w:spacing w:before="480" w:beforeLines="0" w:after="120" w:afterLines="0" w:line="480" w:lineRule="auto"/>
        <w:ind w:left="1506" w:hanging="1506" w:hangingChars="500"/>
        <w:rPr>
          <w:rFonts w:hint="eastAsia" w:hAnsi="宋体" w:cs="宋体"/>
          <w:b/>
          <w:bCs/>
          <w:sz w:val="30"/>
          <w:szCs w:val="30"/>
        </w:rPr>
      </w:pPr>
      <w:r>
        <w:rPr>
          <w:rFonts w:hint="eastAsia" w:hAnsi="宋体" w:cs="宋体"/>
          <w:b/>
          <w:bCs/>
          <w:sz w:val="30"/>
          <w:szCs w:val="30"/>
        </w:rPr>
        <w:t>招标单位：象山县丹山书院  </w:t>
      </w:r>
    </w:p>
    <w:p w14:paraId="4E0C235A">
      <w:pPr>
        <w:pStyle w:val="21"/>
        <w:snapToGrid w:val="0"/>
        <w:spacing w:before="120" w:beforeLines="0" w:after="120" w:afterLines="0" w:line="480" w:lineRule="auto"/>
        <w:rPr>
          <w:rFonts w:hint="eastAsia" w:hAnsi="宋体" w:cs="宋体"/>
          <w:b/>
          <w:bCs/>
          <w:sz w:val="30"/>
          <w:szCs w:val="30"/>
        </w:rPr>
      </w:pPr>
      <w:r>
        <w:rPr>
          <w:rFonts w:hint="eastAsia" w:hAnsi="宋体" w:cs="宋体"/>
          <w:b/>
          <w:bCs/>
          <w:sz w:val="30"/>
          <w:szCs w:val="30"/>
        </w:rPr>
        <w:t>代理机构：宁波慧泽工程管理咨询有限公司</w:t>
      </w:r>
    </w:p>
    <w:p w14:paraId="42B505D1">
      <w:pPr>
        <w:snapToGrid w:val="0"/>
        <w:spacing w:before="120" w:beforeLines="50" w:line="360" w:lineRule="auto"/>
        <w:jc w:val="center"/>
        <w:rPr>
          <w:rFonts w:hint="eastAsia" w:ascii="宋体" w:hAnsi="宋体" w:cs="宋体"/>
          <w:b/>
          <w:bCs/>
          <w:w w:val="95"/>
          <w:sz w:val="30"/>
          <w:szCs w:val="30"/>
        </w:rPr>
      </w:pPr>
    </w:p>
    <w:p w14:paraId="35ACFFC3">
      <w:pPr>
        <w:snapToGrid w:val="0"/>
        <w:spacing w:before="120" w:beforeLines="50" w:line="360" w:lineRule="auto"/>
        <w:jc w:val="center"/>
        <w:rPr>
          <w:rFonts w:hint="eastAsia" w:ascii="宋体" w:hAnsi="宋体" w:cs="宋体"/>
          <w:b/>
          <w:bCs/>
          <w:w w:val="95"/>
          <w:sz w:val="40"/>
          <w:szCs w:val="40"/>
        </w:rPr>
      </w:pPr>
    </w:p>
    <w:p w14:paraId="48DCB7B4">
      <w:pPr>
        <w:pStyle w:val="2"/>
        <w:rPr>
          <w:rFonts w:hint="eastAsia" w:ascii="宋体" w:hAnsi="宋体" w:cs="宋体"/>
          <w:b/>
          <w:bCs/>
          <w:w w:val="95"/>
          <w:sz w:val="40"/>
          <w:szCs w:val="40"/>
        </w:rPr>
      </w:pPr>
    </w:p>
    <w:p w14:paraId="56804264">
      <w:pPr>
        <w:rPr>
          <w:rFonts w:hint="eastAsia" w:ascii="宋体" w:hAnsi="宋体" w:cs="宋体"/>
          <w:b/>
          <w:bCs/>
          <w:w w:val="95"/>
          <w:sz w:val="40"/>
          <w:szCs w:val="40"/>
        </w:rPr>
      </w:pPr>
    </w:p>
    <w:p w14:paraId="117FD38B">
      <w:pPr>
        <w:pStyle w:val="2"/>
      </w:pPr>
    </w:p>
    <w:p w14:paraId="6FE32D78">
      <w:pPr>
        <w:jc w:val="center"/>
        <w:rPr>
          <w:sz w:val="32"/>
          <w:szCs w:val="40"/>
        </w:rPr>
      </w:pPr>
      <w:r>
        <w:rPr>
          <w:rFonts w:hint="eastAsia"/>
          <w:sz w:val="32"/>
          <w:szCs w:val="40"/>
        </w:rPr>
        <w:t>2026年</w:t>
      </w:r>
      <w:r>
        <w:rPr>
          <w:rFonts w:hint="eastAsia"/>
          <w:sz w:val="32"/>
          <w:szCs w:val="40"/>
          <w:lang w:val="en-US" w:eastAsia="zh-CN"/>
        </w:rPr>
        <w:t>4</w:t>
      </w:r>
      <w:r>
        <w:rPr>
          <w:rFonts w:hint="eastAsia"/>
          <w:sz w:val="32"/>
          <w:szCs w:val="40"/>
        </w:rPr>
        <w:t>月</w:t>
      </w:r>
    </w:p>
    <w:p w14:paraId="79545AB6">
      <w:pPr>
        <w:rPr>
          <w:color w:val="000000"/>
          <w:sz w:val="44"/>
          <w:szCs w:val="44"/>
        </w:rPr>
      </w:pPr>
      <w:r>
        <w:rPr>
          <w:color w:val="000000"/>
          <w:sz w:val="44"/>
          <w:szCs w:val="44"/>
        </w:rPr>
        <w:br w:type="page"/>
      </w:r>
    </w:p>
    <w:p w14:paraId="3428FDB7">
      <w:pPr>
        <w:rPr>
          <w:color w:val="000000"/>
          <w:sz w:val="44"/>
          <w:szCs w:val="44"/>
        </w:rPr>
      </w:pPr>
    </w:p>
    <w:p w14:paraId="239A2A3A">
      <w:pPr>
        <w:spacing w:line="1200" w:lineRule="exact"/>
        <w:jc w:val="center"/>
        <w:rPr>
          <w:rFonts w:hint="eastAsia" w:ascii="宋体" w:hAnsi="宋体"/>
          <w:b/>
          <w:sz w:val="72"/>
          <w:szCs w:val="72"/>
        </w:rPr>
      </w:pPr>
      <w:r>
        <w:rPr>
          <w:rFonts w:hint="eastAsia" w:ascii="宋体" w:hAnsi="宋体"/>
          <w:b/>
          <w:sz w:val="72"/>
          <w:szCs w:val="72"/>
        </w:rPr>
        <w:t>温馨提醒</w:t>
      </w:r>
    </w:p>
    <w:p w14:paraId="6C52B741">
      <w:pPr>
        <w:spacing w:line="1000" w:lineRule="exact"/>
        <w:jc w:val="left"/>
        <w:rPr>
          <w:rFonts w:hint="eastAsia" w:ascii="宋体" w:hAnsi="宋体"/>
          <w:bCs/>
          <w:sz w:val="30"/>
          <w:szCs w:val="30"/>
        </w:rPr>
      </w:pPr>
      <w:r>
        <w:rPr>
          <w:rFonts w:ascii="宋体" w:hAnsi="宋体"/>
          <w:bCs/>
          <w:sz w:val="30"/>
          <w:szCs w:val="30"/>
        </w:rPr>
        <w:t>1</w:t>
      </w:r>
      <w:r>
        <w:rPr>
          <w:rFonts w:hint="eastAsia" w:ascii="宋体" w:hAnsi="宋体"/>
          <w:bCs/>
          <w:sz w:val="30"/>
          <w:szCs w:val="30"/>
        </w:rPr>
        <w:t>、投标文件应按招标文件要求将“资格文件”、“商务和技术文件”、“报价文件”分别编制。</w:t>
      </w:r>
    </w:p>
    <w:p w14:paraId="3C4D1DB1">
      <w:pPr>
        <w:spacing w:line="1000" w:lineRule="exact"/>
        <w:jc w:val="left"/>
        <w:rPr>
          <w:rFonts w:hint="eastAsia" w:ascii="宋体" w:hAnsi="宋体"/>
          <w:bCs/>
          <w:sz w:val="30"/>
          <w:szCs w:val="30"/>
        </w:rPr>
      </w:pPr>
      <w:r>
        <w:rPr>
          <w:rFonts w:ascii="宋体" w:hAnsi="宋体"/>
          <w:bCs/>
          <w:sz w:val="30"/>
          <w:szCs w:val="30"/>
        </w:rPr>
        <w:t>2</w:t>
      </w:r>
      <w:r>
        <w:rPr>
          <w:rFonts w:hint="eastAsia" w:ascii="宋体" w:hAnsi="宋体"/>
          <w:bCs/>
          <w:sz w:val="30"/>
          <w:szCs w:val="30"/>
        </w:rPr>
        <w:t>、“资格文件”、“商务和技术文件”中不得出现涉及投标价格的内容，否则作无效标处理。</w:t>
      </w:r>
    </w:p>
    <w:p w14:paraId="7578EA7C">
      <w:pPr>
        <w:spacing w:line="1000" w:lineRule="exact"/>
        <w:jc w:val="left"/>
        <w:rPr>
          <w:rFonts w:hint="eastAsia" w:ascii="宋体" w:hAnsi="宋体"/>
          <w:bCs/>
          <w:sz w:val="30"/>
          <w:szCs w:val="30"/>
        </w:rPr>
      </w:pPr>
      <w:r>
        <w:rPr>
          <w:rFonts w:hint="eastAsia" w:ascii="宋体" w:hAnsi="宋体"/>
          <w:bCs/>
          <w:sz w:val="30"/>
          <w:szCs w:val="30"/>
        </w:rPr>
        <w:t>3、采购人可以对已发出的招标文件进行必要的澄清或者修改，将以“更正公告”的形式发布在政采云平台，供应商应及时登录政采云平台，进行浏览并下载，未及时浏览下载的责任自负。</w:t>
      </w:r>
    </w:p>
    <w:p w14:paraId="3AC8996C">
      <w:pPr>
        <w:jc w:val="center"/>
        <w:rPr>
          <w:color w:val="000000"/>
          <w:sz w:val="44"/>
          <w:szCs w:val="44"/>
        </w:rPr>
        <w:sectPr>
          <w:headerReference r:id="rId3" w:type="default"/>
          <w:footerReference r:id="rId4" w:type="default"/>
          <w:pgSz w:w="11907" w:h="16840"/>
          <w:pgMar w:top="1276" w:right="1474" w:bottom="1242" w:left="1474" w:header="720" w:footer="720" w:gutter="0"/>
          <w:pgNumType w:start="1"/>
          <w:cols w:space="720" w:num="1"/>
          <w:docGrid w:linePitch="285" w:charSpace="0"/>
        </w:sectPr>
      </w:pPr>
    </w:p>
    <w:p w14:paraId="3CB2A02C">
      <w:pPr>
        <w:jc w:val="center"/>
        <w:rPr>
          <w:color w:val="000000"/>
          <w:sz w:val="40"/>
          <w:szCs w:val="40"/>
        </w:rPr>
      </w:pPr>
      <w:r>
        <w:rPr>
          <w:color w:val="000000"/>
          <w:sz w:val="40"/>
          <w:szCs w:val="40"/>
        </w:rPr>
        <w:t>目  录</w:t>
      </w:r>
    </w:p>
    <w:p w14:paraId="2BB78CF4">
      <w:pPr>
        <w:pStyle w:val="29"/>
        <w:tabs>
          <w:tab w:val="right" w:leader="dot" w:pos="8959"/>
        </w:tabs>
        <w:spacing w:before="720" w:beforeLines="300" w:line="400" w:lineRule="exact"/>
        <w:rPr>
          <w:sz w:val="28"/>
          <w:szCs w:val="36"/>
        </w:rPr>
      </w:pPr>
      <w:r>
        <w:rPr>
          <w:color w:val="000000"/>
          <w:sz w:val="36"/>
          <w:szCs w:val="36"/>
        </w:rPr>
        <w:fldChar w:fldCharType="begin"/>
      </w:r>
      <w:r>
        <w:rPr>
          <w:color w:val="000000"/>
          <w:sz w:val="36"/>
          <w:szCs w:val="36"/>
        </w:rPr>
        <w:instrText xml:space="preserve"> TOC \o "1-3" \h \z \u </w:instrText>
      </w:r>
      <w:r>
        <w:rPr>
          <w:color w:val="000000"/>
          <w:sz w:val="36"/>
          <w:szCs w:val="36"/>
        </w:rPr>
        <w:fldChar w:fldCharType="separate"/>
      </w:r>
      <w:r>
        <w:fldChar w:fldCharType="begin"/>
      </w:r>
      <w:r>
        <w:instrText xml:space="preserve"> HYPERLINK \l "_Toc2897" </w:instrText>
      </w:r>
      <w:r>
        <w:fldChar w:fldCharType="separate"/>
      </w:r>
      <w:r>
        <w:rPr>
          <w:sz w:val="28"/>
          <w:szCs w:val="36"/>
        </w:rPr>
        <w:t>第一章  采购公告</w:t>
      </w:r>
      <w:r>
        <w:rPr>
          <w:sz w:val="28"/>
          <w:szCs w:val="36"/>
        </w:rPr>
        <w:tab/>
      </w:r>
      <w:r>
        <w:rPr>
          <w:sz w:val="28"/>
          <w:szCs w:val="36"/>
        </w:rPr>
        <w:fldChar w:fldCharType="begin"/>
      </w:r>
      <w:r>
        <w:rPr>
          <w:sz w:val="28"/>
          <w:szCs w:val="36"/>
        </w:rPr>
        <w:instrText xml:space="preserve"> PAGEREF _Toc2897 \h </w:instrText>
      </w:r>
      <w:r>
        <w:rPr>
          <w:sz w:val="28"/>
          <w:szCs w:val="36"/>
        </w:rPr>
        <w:fldChar w:fldCharType="separate"/>
      </w:r>
      <w:r>
        <w:rPr>
          <w:sz w:val="28"/>
          <w:szCs w:val="36"/>
        </w:rPr>
        <w:t>2</w:t>
      </w:r>
      <w:r>
        <w:rPr>
          <w:sz w:val="28"/>
          <w:szCs w:val="36"/>
        </w:rPr>
        <w:fldChar w:fldCharType="end"/>
      </w:r>
      <w:r>
        <w:rPr>
          <w:sz w:val="28"/>
          <w:szCs w:val="36"/>
        </w:rPr>
        <w:fldChar w:fldCharType="end"/>
      </w:r>
    </w:p>
    <w:p w14:paraId="3BA745BB">
      <w:pPr>
        <w:pStyle w:val="29"/>
        <w:tabs>
          <w:tab w:val="right" w:leader="dot" w:pos="8959"/>
        </w:tabs>
        <w:spacing w:before="720" w:beforeLines="300" w:line="400" w:lineRule="exact"/>
        <w:rPr>
          <w:sz w:val="28"/>
          <w:szCs w:val="36"/>
        </w:rPr>
      </w:pPr>
      <w:r>
        <w:fldChar w:fldCharType="begin"/>
      </w:r>
      <w:r>
        <w:instrText xml:space="preserve"> HYPERLINK \l "_Toc2021" </w:instrText>
      </w:r>
      <w:r>
        <w:fldChar w:fldCharType="separate"/>
      </w:r>
      <w:r>
        <w:rPr>
          <w:sz w:val="28"/>
          <w:szCs w:val="36"/>
        </w:rPr>
        <w:t xml:space="preserve">第二章  </w:t>
      </w:r>
      <w:r>
        <w:rPr>
          <w:rFonts w:hint="eastAsia"/>
          <w:sz w:val="28"/>
          <w:szCs w:val="36"/>
        </w:rPr>
        <w:t>供应商须知</w:t>
      </w:r>
      <w:r>
        <w:rPr>
          <w:sz w:val="28"/>
          <w:szCs w:val="36"/>
        </w:rPr>
        <w:tab/>
      </w:r>
      <w:r>
        <w:rPr>
          <w:sz w:val="28"/>
          <w:szCs w:val="36"/>
        </w:rPr>
        <w:fldChar w:fldCharType="begin"/>
      </w:r>
      <w:r>
        <w:rPr>
          <w:sz w:val="28"/>
          <w:szCs w:val="36"/>
        </w:rPr>
        <w:instrText xml:space="preserve"> PAGEREF _Toc2021 \h </w:instrText>
      </w:r>
      <w:r>
        <w:rPr>
          <w:sz w:val="28"/>
          <w:szCs w:val="36"/>
        </w:rPr>
        <w:fldChar w:fldCharType="separate"/>
      </w:r>
      <w:r>
        <w:rPr>
          <w:sz w:val="28"/>
          <w:szCs w:val="36"/>
        </w:rPr>
        <w:t>6</w:t>
      </w:r>
      <w:r>
        <w:rPr>
          <w:sz w:val="28"/>
          <w:szCs w:val="36"/>
        </w:rPr>
        <w:fldChar w:fldCharType="end"/>
      </w:r>
      <w:r>
        <w:rPr>
          <w:sz w:val="28"/>
          <w:szCs w:val="36"/>
        </w:rPr>
        <w:fldChar w:fldCharType="end"/>
      </w:r>
    </w:p>
    <w:p w14:paraId="1B2AEFA7">
      <w:pPr>
        <w:pStyle w:val="35"/>
        <w:tabs>
          <w:tab w:val="right" w:leader="dot" w:pos="8959"/>
        </w:tabs>
        <w:spacing w:before="720" w:beforeLines="300" w:line="400" w:lineRule="exact"/>
        <w:ind w:left="0" w:leftChars="0"/>
        <w:rPr>
          <w:sz w:val="28"/>
          <w:szCs w:val="36"/>
        </w:rPr>
      </w:pPr>
      <w:r>
        <w:fldChar w:fldCharType="begin"/>
      </w:r>
      <w:r>
        <w:instrText xml:space="preserve"> HYPERLINK \l "_Toc29582" </w:instrText>
      </w:r>
      <w:r>
        <w:fldChar w:fldCharType="separate"/>
      </w:r>
      <w:r>
        <w:rPr>
          <w:rFonts w:hint="eastAsia" w:ascii="Arial" w:hAnsi="Arial" w:cs="宋体"/>
          <w:sz w:val="28"/>
          <w:szCs w:val="48"/>
        </w:rPr>
        <w:t>第三章  采购需求</w:t>
      </w:r>
      <w:r>
        <w:rPr>
          <w:sz w:val="28"/>
          <w:szCs w:val="36"/>
        </w:rPr>
        <w:tab/>
      </w:r>
      <w:r>
        <w:rPr>
          <w:sz w:val="28"/>
          <w:szCs w:val="36"/>
        </w:rPr>
        <w:fldChar w:fldCharType="begin"/>
      </w:r>
      <w:r>
        <w:rPr>
          <w:sz w:val="28"/>
          <w:szCs w:val="36"/>
        </w:rPr>
        <w:instrText xml:space="preserve"> PAGEREF _Toc29582 \h </w:instrText>
      </w:r>
      <w:r>
        <w:rPr>
          <w:sz w:val="28"/>
          <w:szCs w:val="36"/>
        </w:rPr>
        <w:fldChar w:fldCharType="separate"/>
      </w:r>
      <w:r>
        <w:rPr>
          <w:sz w:val="28"/>
          <w:szCs w:val="36"/>
        </w:rPr>
        <w:t>23</w:t>
      </w:r>
      <w:r>
        <w:rPr>
          <w:sz w:val="28"/>
          <w:szCs w:val="36"/>
        </w:rPr>
        <w:fldChar w:fldCharType="end"/>
      </w:r>
      <w:r>
        <w:rPr>
          <w:sz w:val="28"/>
          <w:szCs w:val="36"/>
        </w:rPr>
        <w:fldChar w:fldCharType="end"/>
      </w:r>
    </w:p>
    <w:p w14:paraId="59388F8A">
      <w:pPr>
        <w:pStyle w:val="29"/>
        <w:tabs>
          <w:tab w:val="right" w:leader="dot" w:pos="8959"/>
        </w:tabs>
        <w:spacing w:before="720" w:beforeLines="300" w:line="400" w:lineRule="exact"/>
        <w:rPr>
          <w:sz w:val="28"/>
          <w:szCs w:val="36"/>
        </w:rPr>
      </w:pPr>
      <w:r>
        <w:fldChar w:fldCharType="begin"/>
      </w:r>
      <w:r>
        <w:instrText xml:space="preserve"> HYPERLINK \l "_Toc13985" </w:instrText>
      </w:r>
      <w:r>
        <w:fldChar w:fldCharType="separate"/>
      </w:r>
      <w:r>
        <w:rPr>
          <w:rFonts w:hint="eastAsia" w:ascii="Arial" w:hAnsi="Arial" w:cs="宋体"/>
          <w:sz w:val="28"/>
          <w:szCs w:val="48"/>
        </w:rPr>
        <w:t>第四章  评标办法</w:t>
      </w:r>
      <w:r>
        <w:rPr>
          <w:sz w:val="28"/>
          <w:szCs w:val="36"/>
        </w:rPr>
        <w:tab/>
      </w:r>
      <w:r>
        <w:rPr>
          <w:sz w:val="28"/>
          <w:szCs w:val="36"/>
        </w:rPr>
        <w:fldChar w:fldCharType="begin"/>
      </w:r>
      <w:r>
        <w:rPr>
          <w:sz w:val="28"/>
          <w:szCs w:val="36"/>
        </w:rPr>
        <w:instrText xml:space="preserve"> PAGEREF _Toc13985 \h </w:instrText>
      </w:r>
      <w:r>
        <w:rPr>
          <w:sz w:val="28"/>
          <w:szCs w:val="36"/>
        </w:rPr>
        <w:fldChar w:fldCharType="separate"/>
      </w:r>
      <w:r>
        <w:rPr>
          <w:sz w:val="28"/>
          <w:szCs w:val="36"/>
        </w:rPr>
        <w:t>104</w:t>
      </w:r>
      <w:r>
        <w:rPr>
          <w:sz w:val="28"/>
          <w:szCs w:val="36"/>
        </w:rPr>
        <w:fldChar w:fldCharType="end"/>
      </w:r>
      <w:r>
        <w:rPr>
          <w:sz w:val="28"/>
          <w:szCs w:val="36"/>
        </w:rPr>
        <w:fldChar w:fldCharType="end"/>
      </w:r>
    </w:p>
    <w:p w14:paraId="69E791F9">
      <w:pPr>
        <w:pStyle w:val="29"/>
        <w:tabs>
          <w:tab w:val="right" w:leader="dot" w:pos="8959"/>
        </w:tabs>
        <w:spacing w:before="720" w:beforeLines="300" w:line="400" w:lineRule="exact"/>
        <w:rPr>
          <w:sz w:val="28"/>
          <w:szCs w:val="36"/>
        </w:rPr>
      </w:pPr>
      <w:r>
        <w:fldChar w:fldCharType="begin"/>
      </w:r>
      <w:r>
        <w:instrText xml:space="preserve"> HYPERLINK \l "_Toc10263" </w:instrText>
      </w:r>
      <w:r>
        <w:fldChar w:fldCharType="separate"/>
      </w:r>
      <w:r>
        <w:rPr>
          <w:rFonts w:hint="eastAsia" w:ascii="Arial" w:hAnsi="Arial" w:cs="宋体"/>
          <w:sz w:val="28"/>
          <w:szCs w:val="48"/>
        </w:rPr>
        <w:t>第五章  拟签订的合同文本</w:t>
      </w:r>
      <w:r>
        <w:rPr>
          <w:sz w:val="28"/>
          <w:szCs w:val="36"/>
        </w:rPr>
        <w:tab/>
      </w:r>
      <w:r>
        <w:rPr>
          <w:sz w:val="28"/>
          <w:szCs w:val="36"/>
        </w:rPr>
        <w:fldChar w:fldCharType="begin"/>
      </w:r>
      <w:r>
        <w:rPr>
          <w:sz w:val="28"/>
          <w:szCs w:val="36"/>
        </w:rPr>
        <w:instrText xml:space="preserve"> PAGEREF _Toc10263 \h </w:instrText>
      </w:r>
      <w:r>
        <w:rPr>
          <w:sz w:val="28"/>
          <w:szCs w:val="36"/>
        </w:rPr>
        <w:fldChar w:fldCharType="separate"/>
      </w:r>
      <w:r>
        <w:rPr>
          <w:sz w:val="28"/>
          <w:szCs w:val="36"/>
        </w:rPr>
        <w:t>111</w:t>
      </w:r>
      <w:r>
        <w:rPr>
          <w:sz w:val="28"/>
          <w:szCs w:val="36"/>
        </w:rPr>
        <w:fldChar w:fldCharType="end"/>
      </w:r>
      <w:r>
        <w:rPr>
          <w:sz w:val="28"/>
          <w:szCs w:val="36"/>
        </w:rPr>
        <w:fldChar w:fldCharType="end"/>
      </w:r>
    </w:p>
    <w:p w14:paraId="73D7EC6C">
      <w:pPr>
        <w:pStyle w:val="29"/>
        <w:tabs>
          <w:tab w:val="right" w:leader="dot" w:pos="8959"/>
        </w:tabs>
        <w:spacing w:before="720" w:beforeLines="300" w:line="400" w:lineRule="exact"/>
        <w:rPr>
          <w:sz w:val="24"/>
          <w:szCs w:val="32"/>
        </w:rPr>
      </w:pPr>
      <w:r>
        <w:fldChar w:fldCharType="begin"/>
      </w:r>
      <w:r>
        <w:instrText xml:space="preserve"> HYPERLINK \l "_Toc6401" </w:instrText>
      </w:r>
      <w:r>
        <w:fldChar w:fldCharType="separate"/>
      </w:r>
      <w:r>
        <w:rPr>
          <w:sz w:val="28"/>
          <w:szCs w:val="36"/>
        </w:rPr>
        <w:t>第六章  投标文件格式</w:t>
      </w:r>
      <w:r>
        <w:rPr>
          <w:sz w:val="28"/>
          <w:szCs w:val="36"/>
        </w:rPr>
        <w:tab/>
      </w:r>
      <w:r>
        <w:rPr>
          <w:sz w:val="28"/>
          <w:szCs w:val="36"/>
        </w:rPr>
        <w:fldChar w:fldCharType="begin"/>
      </w:r>
      <w:r>
        <w:rPr>
          <w:sz w:val="28"/>
          <w:szCs w:val="36"/>
        </w:rPr>
        <w:instrText xml:space="preserve"> PAGEREF _Toc6401 \h </w:instrText>
      </w:r>
      <w:r>
        <w:rPr>
          <w:sz w:val="28"/>
          <w:szCs w:val="36"/>
        </w:rPr>
        <w:fldChar w:fldCharType="separate"/>
      </w:r>
      <w:r>
        <w:rPr>
          <w:sz w:val="28"/>
          <w:szCs w:val="36"/>
        </w:rPr>
        <w:t>120</w:t>
      </w:r>
      <w:r>
        <w:rPr>
          <w:sz w:val="28"/>
          <w:szCs w:val="36"/>
        </w:rPr>
        <w:fldChar w:fldCharType="end"/>
      </w:r>
      <w:r>
        <w:rPr>
          <w:sz w:val="28"/>
          <w:szCs w:val="36"/>
        </w:rPr>
        <w:fldChar w:fldCharType="end"/>
      </w:r>
    </w:p>
    <w:p w14:paraId="3D95EBD0">
      <w:pPr>
        <w:pStyle w:val="29"/>
        <w:tabs>
          <w:tab w:val="right" w:leader="dot" w:pos="8311"/>
        </w:tabs>
        <w:spacing w:before="720" w:beforeLines="300" w:line="400" w:lineRule="exact"/>
        <w:rPr>
          <w:b/>
          <w:color w:val="000000"/>
          <w:sz w:val="22"/>
          <w:szCs w:val="22"/>
        </w:rPr>
      </w:pPr>
      <w:r>
        <w:rPr>
          <w:color w:val="000000"/>
          <w:sz w:val="24"/>
          <w:szCs w:val="36"/>
        </w:rPr>
        <w:fldChar w:fldCharType="end"/>
      </w:r>
    </w:p>
    <w:p w14:paraId="3B8458B7">
      <w:pPr>
        <w:pStyle w:val="3"/>
        <w:spacing w:before="0" w:after="0" w:line="360" w:lineRule="auto"/>
        <w:jc w:val="center"/>
        <w:rPr>
          <w:color w:val="000000"/>
          <w:sz w:val="30"/>
        </w:rPr>
        <w:sectPr>
          <w:footerReference r:id="rId5" w:type="default"/>
          <w:pgSz w:w="11907" w:h="16840"/>
          <w:pgMar w:top="1276" w:right="1474" w:bottom="1242" w:left="1474" w:header="720" w:footer="720" w:gutter="0"/>
          <w:pgNumType w:start="1"/>
          <w:cols w:space="720" w:num="1"/>
          <w:docGrid w:linePitch="285" w:charSpace="0"/>
        </w:sectPr>
      </w:pPr>
      <w:bookmarkStart w:id="1" w:name="_Toc2897"/>
      <w:bookmarkStart w:id="2" w:name="_Toc460857890"/>
    </w:p>
    <w:p w14:paraId="5F4C2943">
      <w:pPr>
        <w:pStyle w:val="3"/>
        <w:spacing w:before="0" w:after="0" w:line="360" w:lineRule="auto"/>
        <w:jc w:val="center"/>
        <w:rPr>
          <w:color w:val="000000"/>
          <w:sz w:val="30"/>
        </w:rPr>
      </w:pPr>
      <w:r>
        <w:rPr>
          <w:color w:val="000000"/>
          <w:sz w:val="30"/>
        </w:rPr>
        <w:t>第一章  采购公告</w:t>
      </w:r>
      <w:bookmarkEnd w:id="1"/>
      <w:bookmarkEnd w:id="2"/>
    </w:p>
    <w:p w14:paraId="07D7E5CE">
      <w:pPr>
        <w:pBdr>
          <w:top w:val="single" w:color="auto" w:sz="4" w:space="1"/>
          <w:left w:val="single" w:color="auto" w:sz="4" w:space="4"/>
          <w:bottom w:val="single" w:color="auto" w:sz="4" w:space="1"/>
          <w:right w:val="single" w:color="auto" w:sz="4" w:space="4"/>
        </w:pBdr>
        <w:spacing w:line="360" w:lineRule="auto"/>
        <w:ind w:firstLine="422" w:firstLineChars="200"/>
        <w:rPr>
          <w:b/>
          <w:bCs/>
          <w:szCs w:val="21"/>
        </w:rPr>
      </w:pPr>
      <w:bookmarkStart w:id="3" w:name="_Toc35393621"/>
      <w:bookmarkStart w:id="4" w:name="_Toc35393790"/>
      <w:bookmarkStart w:id="5" w:name="_Toc28359002"/>
      <w:bookmarkStart w:id="6" w:name="_Toc28359079"/>
      <w:bookmarkStart w:id="7" w:name="_Hlk24379207"/>
      <w:r>
        <w:rPr>
          <w:b/>
          <w:bCs/>
          <w:szCs w:val="21"/>
        </w:rPr>
        <w:t>项目概况</w:t>
      </w:r>
    </w:p>
    <w:p w14:paraId="0097C9FC">
      <w:pPr>
        <w:pBdr>
          <w:top w:val="single" w:color="auto" w:sz="4" w:space="1"/>
          <w:left w:val="single" w:color="auto" w:sz="4" w:space="4"/>
          <w:bottom w:val="single" w:color="auto" w:sz="4" w:space="1"/>
          <w:right w:val="single" w:color="auto" w:sz="4" w:space="4"/>
        </w:pBdr>
        <w:spacing w:line="360" w:lineRule="auto"/>
        <w:ind w:firstLine="420" w:firstLineChars="200"/>
        <w:rPr>
          <w:color w:val="auto"/>
          <w:szCs w:val="21"/>
        </w:rPr>
      </w:pPr>
      <w:r>
        <w:rPr>
          <w:rFonts w:hint="eastAsia"/>
          <w:szCs w:val="21"/>
        </w:rPr>
        <w:t>象山县丹山书院专用教室设备项目</w:t>
      </w:r>
      <w:r>
        <w:rPr>
          <w:szCs w:val="21"/>
        </w:rPr>
        <w:t>的潜在投标人应在“浙江政府采购网（https://www.zcygov.cn/）</w:t>
      </w:r>
      <w:r>
        <w:rPr>
          <w:rStyle w:val="52"/>
          <w:rFonts w:ascii="Arial" w:hAnsi="Arial"/>
          <w:color w:val="auto"/>
          <w:spacing w:val="-2"/>
          <w:szCs w:val="21"/>
          <w:u w:val="none"/>
        </w:rPr>
        <w:t>获取（</w:t>
      </w:r>
      <w:r>
        <w:rPr>
          <w:rFonts w:hint="eastAsia" w:ascii="Arial" w:hAnsi="Arial" w:cs="宋体"/>
          <w:spacing w:val="-2"/>
        </w:rPr>
        <w:t>下载）采购文件</w:t>
      </w:r>
      <w:r>
        <w:rPr>
          <w:szCs w:val="21"/>
        </w:rPr>
        <w:t>，并于202</w:t>
      </w:r>
      <w:r>
        <w:rPr>
          <w:rFonts w:hint="eastAsia"/>
          <w:szCs w:val="21"/>
        </w:rPr>
        <w:t>6</w:t>
      </w:r>
      <w:r>
        <w:rPr>
          <w:szCs w:val="21"/>
        </w:rPr>
        <w:t>年</w:t>
      </w:r>
      <w:r>
        <w:rPr>
          <w:rFonts w:hint="eastAsia"/>
          <w:szCs w:val="21"/>
        </w:rPr>
        <w:t>0</w:t>
      </w:r>
      <w:r>
        <w:rPr>
          <w:rFonts w:hint="eastAsia"/>
          <w:szCs w:val="21"/>
          <w:lang w:val="en-US" w:eastAsia="zh-CN"/>
        </w:rPr>
        <w:t>5</w:t>
      </w:r>
      <w:r>
        <w:rPr>
          <w:szCs w:val="21"/>
        </w:rPr>
        <w:t xml:space="preserve"> 月</w:t>
      </w:r>
      <w:r>
        <w:rPr>
          <w:rFonts w:hint="eastAsia"/>
          <w:szCs w:val="21"/>
          <w:lang w:val="en-US" w:eastAsia="zh-CN"/>
        </w:rPr>
        <w:t>07</w:t>
      </w:r>
      <w:r>
        <w:rPr>
          <w:szCs w:val="21"/>
        </w:rPr>
        <w:t>日 1</w:t>
      </w:r>
      <w:r>
        <w:rPr>
          <w:rFonts w:hint="eastAsia"/>
          <w:szCs w:val="21"/>
          <w:lang w:val="en-US" w:eastAsia="zh-CN"/>
        </w:rPr>
        <w:t>4</w:t>
      </w:r>
      <w:r>
        <w:rPr>
          <w:szCs w:val="21"/>
        </w:rPr>
        <w:t xml:space="preserve"> 点 </w:t>
      </w:r>
      <w:r>
        <w:rPr>
          <w:rFonts w:hint="eastAsia"/>
          <w:szCs w:val="21"/>
          <w:lang w:val="en-US" w:eastAsia="zh-CN"/>
        </w:rPr>
        <w:t>0</w:t>
      </w:r>
      <w:r>
        <w:rPr>
          <w:szCs w:val="21"/>
        </w:rPr>
        <w:t>0 分（北</w:t>
      </w:r>
      <w:r>
        <w:rPr>
          <w:color w:val="auto"/>
          <w:szCs w:val="21"/>
        </w:rPr>
        <w:t>京时间）前递交投标文件。</w:t>
      </w:r>
    </w:p>
    <w:p w14:paraId="5A2C7A39">
      <w:pPr>
        <w:snapToGrid w:val="0"/>
        <w:spacing w:line="360" w:lineRule="auto"/>
        <w:ind w:firstLine="422" w:firstLineChars="200"/>
        <w:rPr>
          <w:b/>
          <w:bCs/>
          <w:color w:val="auto"/>
          <w:szCs w:val="21"/>
        </w:rPr>
      </w:pPr>
      <w:r>
        <w:rPr>
          <w:b/>
          <w:bCs/>
          <w:color w:val="auto"/>
          <w:szCs w:val="21"/>
        </w:rPr>
        <w:t>一、项目基本情况</w:t>
      </w:r>
      <w:bookmarkEnd w:id="3"/>
      <w:bookmarkEnd w:id="4"/>
      <w:bookmarkEnd w:id="5"/>
      <w:bookmarkEnd w:id="6"/>
    </w:p>
    <w:p w14:paraId="7759C6F4">
      <w:pPr>
        <w:snapToGrid w:val="0"/>
        <w:spacing w:line="360" w:lineRule="auto"/>
        <w:ind w:firstLine="420" w:firstLineChars="200"/>
        <w:rPr>
          <w:color w:val="auto"/>
          <w:szCs w:val="21"/>
        </w:rPr>
      </w:pPr>
      <w:r>
        <w:rPr>
          <w:color w:val="auto"/>
          <w:szCs w:val="21"/>
        </w:rPr>
        <w:t>项目编号：</w:t>
      </w:r>
      <w:r>
        <w:rPr>
          <w:rFonts w:hint="eastAsia"/>
          <w:color w:val="auto"/>
          <w:szCs w:val="21"/>
        </w:rPr>
        <w:t>NBHZ-2026009G</w:t>
      </w:r>
    </w:p>
    <w:p w14:paraId="4A3279AC">
      <w:pPr>
        <w:snapToGrid w:val="0"/>
        <w:spacing w:line="360" w:lineRule="auto"/>
        <w:ind w:firstLine="420" w:firstLineChars="200"/>
        <w:rPr>
          <w:color w:val="auto"/>
          <w:szCs w:val="21"/>
        </w:rPr>
      </w:pPr>
      <w:r>
        <w:rPr>
          <w:color w:val="auto"/>
          <w:szCs w:val="21"/>
        </w:rPr>
        <w:t>项目名称：</w:t>
      </w:r>
      <w:bookmarkEnd w:id="7"/>
      <w:r>
        <w:rPr>
          <w:rFonts w:hint="eastAsia"/>
          <w:color w:val="auto"/>
          <w:szCs w:val="21"/>
        </w:rPr>
        <w:t>象山县丹山书院专用教室设备项目</w:t>
      </w:r>
    </w:p>
    <w:p w14:paraId="0D729F38">
      <w:pPr>
        <w:snapToGrid w:val="0"/>
        <w:spacing w:line="360" w:lineRule="auto"/>
        <w:ind w:firstLine="420" w:firstLineChars="200"/>
        <w:rPr>
          <w:color w:val="auto"/>
          <w:szCs w:val="21"/>
        </w:rPr>
      </w:pPr>
      <w:r>
        <w:rPr>
          <w:color w:val="auto"/>
          <w:szCs w:val="21"/>
        </w:rPr>
        <w:t>预算金额</w:t>
      </w:r>
      <w:r>
        <w:rPr>
          <w:rFonts w:hint="eastAsia" w:ascii="Arial" w:hAnsi="Arial"/>
          <w:color w:val="auto"/>
          <w:szCs w:val="22"/>
        </w:rPr>
        <w:t>（元）</w:t>
      </w:r>
      <w:r>
        <w:rPr>
          <w:color w:val="auto"/>
          <w:szCs w:val="21"/>
        </w:rPr>
        <w:t>：</w:t>
      </w:r>
      <w:r>
        <w:rPr>
          <w:rFonts w:hint="eastAsia"/>
          <w:color w:val="auto"/>
          <w:szCs w:val="21"/>
        </w:rPr>
        <w:t>1199900</w:t>
      </w:r>
    </w:p>
    <w:p w14:paraId="0152D1C2">
      <w:pPr>
        <w:snapToGrid w:val="0"/>
        <w:spacing w:line="360" w:lineRule="auto"/>
        <w:ind w:firstLine="420" w:firstLineChars="200"/>
        <w:rPr>
          <w:color w:val="auto"/>
          <w:szCs w:val="21"/>
        </w:rPr>
      </w:pPr>
      <w:r>
        <w:rPr>
          <w:color w:val="auto"/>
          <w:szCs w:val="21"/>
        </w:rPr>
        <w:t>最高限价</w:t>
      </w:r>
      <w:r>
        <w:rPr>
          <w:rFonts w:hint="eastAsia" w:ascii="Arial" w:hAnsi="Arial"/>
          <w:color w:val="auto"/>
          <w:szCs w:val="22"/>
        </w:rPr>
        <w:t>（元）</w:t>
      </w:r>
      <w:r>
        <w:rPr>
          <w:color w:val="auto"/>
          <w:szCs w:val="21"/>
        </w:rPr>
        <w:t>：</w:t>
      </w:r>
      <w:r>
        <w:rPr>
          <w:rFonts w:hint="eastAsia"/>
          <w:color w:val="auto"/>
          <w:szCs w:val="21"/>
        </w:rPr>
        <w:t>1199900</w:t>
      </w:r>
    </w:p>
    <w:p w14:paraId="6145AB9C">
      <w:pPr>
        <w:snapToGrid w:val="0"/>
        <w:spacing w:line="360" w:lineRule="auto"/>
        <w:ind w:firstLine="420" w:firstLineChars="200"/>
        <w:rPr>
          <w:color w:val="auto"/>
          <w:szCs w:val="21"/>
        </w:rPr>
      </w:pPr>
      <w:r>
        <w:rPr>
          <w:color w:val="auto"/>
          <w:szCs w:val="21"/>
        </w:rPr>
        <w:t>采购需求：</w:t>
      </w:r>
    </w:p>
    <w:p w14:paraId="48D558FD">
      <w:pPr>
        <w:snapToGrid w:val="0"/>
        <w:spacing w:line="360" w:lineRule="auto"/>
        <w:ind w:firstLine="420" w:firstLineChars="200"/>
        <w:rPr>
          <w:color w:val="auto"/>
          <w:szCs w:val="21"/>
        </w:rPr>
      </w:pPr>
      <w:r>
        <w:rPr>
          <w:color w:val="auto"/>
          <w:szCs w:val="21"/>
        </w:rPr>
        <w:t>标项名称：</w:t>
      </w:r>
      <w:r>
        <w:rPr>
          <w:rFonts w:hint="eastAsia"/>
          <w:color w:val="auto"/>
          <w:szCs w:val="21"/>
        </w:rPr>
        <w:t>象山县丹山书院专用教室设备</w:t>
      </w:r>
    </w:p>
    <w:p w14:paraId="3BC3B4A2">
      <w:pPr>
        <w:snapToGrid w:val="0"/>
        <w:spacing w:line="360" w:lineRule="auto"/>
        <w:ind w:firstLine="420" w:firstLineChars="200"/>
        <w:rPr>
          <w:color w:val="auto"/>
          <w:szCs w:val="21"/>
        </w:rPr>
      </w:pPr>
      <w:r>
        <w:rPr>
          <w:color w:val="auto"/>
          <w:szCs w:val="21"/>
        </w:rPr>
        <w:t>数量：1</w:t>
      </w:r>
    </w:p>
    <w:p w14:paraId="5DF572B5">
      <w:pPr>
        <w:snapToGrid w:val="0"/>
        <w:spacing w:line="360" w:lineRule="auto"/>
        <w:ind w:firstLine="420" w:firstLineChars="200"/>
        <w:rPr>
          <w:color w:val="auto"/>
          <w:szCs w:val="21"/>
        </w:rPr>
      </w:pPr>
      <w:r>
        <w:rPr>
          <w:color w:val="auto"/>
          <w:szCs w:val="21"/>
        </w:rPr>
        <w:t>预算金额：</w:t>
      </w:r>
      <w:r>
        <w:rPr>
          <w:rFonts w:hint="eastAsia"/>
          <w:color w:val="auto"/>
          <w:szCs w:val="21"/>
        </w:rPr>
        <w:t>1199900</w:t>
      </w:r>
    </w:p>
    <w:p w14:paraId="2C3E6B03">
      <w:pPr>
        <w:snapToGrid w:val="0"/>
        <w:spacing w:line="360" w:lineRule="auto"/>
        <w:ind w:firstLine="420" w:firstLineChars="200"/>
        <w:rPr>
          <w:color w:val="auto"/>
          <w:szCs w:val="21"/>
        </w:rPr>
      </w:pPr>
      <w:r>
        <w:rPr>
          <w:color w:val="auto"/>
          <w:szCs w:val="21"/>
        </w:rPr>
        <w:t>简要规格描述或项目基本概况介绍、用途：</w:t>
      </w:r>
      <w:r>
        <w:rPr>
          <w:rFonts w:hint="eastAsia" w:ascii="Arial" w:hAnsi="Arial"/>
          <w:color w:val="auto"/>
          <w:szCs w:val="22"/>
        </w:rPr>
        <w:t>具体详见采购文件第三章 采购需求</w:t>
      </w:r>
      <w:r>
        <w:rPr>
          <w:color w:val="auto"/>
          <w:szCs w:val="21"/>
        </w:rPr>
        <w:t>。</w:t>
      </w:r>
    </w:p>
    <w:p w14:paraId="719C2316">
      <w:pPr>
        <w:snapToGrid w:val="0"/>
        <w:spacing w:line="360" w:lineRule="auto"/>
        <w:ind w:firstLine="420" w:firstLineChars="200"/>
        <w:rPr>
          <w:color w:val="auto"/>
          <w:szCs w:val="21"/>
        </w:rPr>
      </w:pPr>
      <w:r>
        <w:rPr>
          <w:color w:val="auto"/>
          <w:szCs w:val="21"/>
        </w:rPr>
        <w:t>备注：</w:t>
      </w:r>
    </w:p>
    <w:p w14:paraId="0DFAEA66">
      <w:pPr>
        <w:snapToGrid w:val="0"/>
        <w:spacing w:line="360" w:lineRule="auto"/>
        <w:ind w:firstLine="420" w:firstLineChars="200"/>
        <w:jc w:val="left"/>
        <w:rPr>
          <w:rFonts w:ascii="Arial" w:hAnsi="Arial"/>
          <w:color w:val="auto"/>
          <w:szCs w:val="22"/>
        </w:rPr>
      </w:pPr>
      <w:r>
        <w:rPr>
          <w:color w:val="auto"/>
          <w:szCs w:val="21"/>
        </w:rPr>
        <w:t>合同履行期限：</w:t>
      </w:r>
      <w:r>
        <w:rPr>
          <w:rFonts w:hint="eastAsia" w:ascii="Arial" w:hAnsi="Arial"/>
          <w:color w:val="auto"/>
          <w:szCs w:val="22"/>
        </w:rPr>
        <w:t>标项1，签订合同且具备实施条件后30个工作日</w:t>
      </w:r>
      <w:r>
        <w:rPr>
          <w:rFonts w:hint="eastAsia" w:ascii="Arial" w:hAnsi="Arial" w:cs="宋体"/>
          <w:bCs/>
          <w:color w:val="auto"/>
          <w:szCs w:val="21"/>
        </w:rPr>
        <w:t>完成供货安装调试。</w:t>
      </w:r>
    </w:p>
    <w:p w14:paraId="6DFEF1A4">
      <w:pPr>
        <w:snapToGrid w:val="0"/>
        <w:spacing w:line="360" w:lineRule="auto"/>
        <w:ind w:firstLine="420" w:firstLineChars="200"/>
        <w:rPr>
          <w:szCs w:val="21"/>
        </w:rPr>
      </w:pPr>
      <w:r>
        <w:rPr>
          <w:szCs w:val="21"/>
        </w:rPr>
        <w:t>本项目（否）接受联合体投标。</w:t>
      </w:r>
    </w:p>
    <w:p w14:paraId="68890F52">
      <w:pPr>
        <w:snapToGrid w:val="0"/>
        <w:spacing w:line="360" w:lineRule="auto"/>
        <w:ind w:firstLine="422" w:firstLineChars="200"/>
        <w:rPr>
          <w:b/>
          <w:bCs/>
          <w:szCs w:val="21"/>
        </w:rPr>
      </w:pPr>
      <w:r>
        <w:rPr>
          <w:b/>
          <w:bCs/>
          <w:szCs w:val="21"/>
        </w:rPr>
        <w:t>二、申请人的资格要求</w:t>
      </w:r>
    </w:p>
    <w:p w14:paraId="6D1DA89C">
      <w:pPr>
        <w:spacing w:line="360" w:lineRule="auto"/>
        <w:ind w:firstLine="420" w:firstLineChars="200"/>
        <w:rPr>
          <w:color w:val="auto"/>
          <w:szCs w:val="21"/>
        </w:rPr>
      </w:pPr>
      <w:r>
        <w:rPr>
          <w:szCs w:val="21"/>
        </w:rPr>
        <w:t>1、符合《中华人民共和国政府采购法》第二十二条规定的投标人资格条件；未被“信用中国”（www.creditchina.gov.cn)、中国政府采购网（www.ccgp.gov.cn）列入失信被执行人、</w:t>
      </w:r>
      <w:r>
        <w:rPr>
          <w:color w:val="auto"/>
          <w:szCs w:val="21"/>
        </w:rPr>
        <w:t>重大税收违法案件当事人名单、政府采购严重违法失信行为记录名单。</w:t>
      </w:r>
    </w:p>
    <w:p w14:paraId="25DA5120">
      <w:pPr>
        <w:spacing w:line="360" w:lineRule="auto"/>
        <w:ind w:firstLine="420" w:firstLineChars="200"/>
        <w:rPr>
          <w:color w:val="auto"/>
          <w:szCs w:val="21"/>
        </w:rPr>
      </w:pPr>
      <w:r>
        <w:rPr>
          <w:color w:val="auto"/>
          <w:szCs w:val="21"/>
        </w:rPr>
        <w:t>2、实施政府采购政策需满足的资格要求：本项目属于专门面向中小企业采购的项目，供应商应为符合《政府采购促进中小企业发展管理办法》（财库﹝2020﹞46号）规定的中小微企业（其中，小微企业包括视同为小型、微型企业的监狱企业、残疾人福利性单位。）</w:t>
      </w:r>
    </w:p>
    <w:p w14:paraId="4366F431">
      <w:pPr>
        <w:tabs>
          <w:tab w:val="left" w:pos="0"/>
        </w:tabs>
        <w:snapToGrid w:val="0"/>
        <w:spacing w:line="360" w:lineRule="auto"/>
        <w:ind w:left="400"/>
        <w:jc w:val="left"/>
        <w:rPr>
          <w:rFonts w:ascii="Arial" w:hAnsi="Arial" w:cs="宋体"/>
        </w:rPr>
      </w:pPr>
      <w:r>
        <w:rPr>
          <w:szCs w:val="21"/>
        </w:rPr>
        <w:t>3、</w:t>
      </w:r>
      <w:r>
        <w:rPr>
          <w:rFonts w:hint="eastAsia" w:ascii="Arial" w:hAnsi="Arial" w:cs="宋体"/>
        </w:rPr>
        <w:t>本项目的特定资格要求：标项1，无。</w:t>
      </w:r>
    </w:p>
    <w:p w14:paraId="5FB2E526">
      <w:pPr>
        <w:snapToGrid w:val="0"/>
        <w:spacing w:line="360" w:lineRule="auto"/>
        <w:ind w:firstLine="422" w:firstLineChars="200"/>
        <w:rPr>
          <w:b/>
          <w:bCs/>
          <w:color w:val="000000"/>
          <w:szCs w:val="21"/>
        </w:rPr>
      </w:pPr>
      <w:r>
        <w:rPr>
          <w:b/>
          <w:bCs/>
          <w:color w:val="000000"/>
          <w:szCs w:val="21"/>
        </w:rPr>
        <w:t>三、</w:t>
      </w:r>
      <w:r>
        <w:rPr>
          <w:rFonts w:hint="eastAsia"/>
          <w:b/>
          <w:bCs/>
          <w:color w:val="000000"/>
          <w:szCs w:val="21"/>
        </w:rPr>
        <w:t>获取（下载）采购文件</w:t>
      </w:r>
    </w:p>
    <w:p w14:paraId="6D0DCB7A">
      <w:pPr>
        <w:spacing w:line="420" w:lineRule="exact"/>
        <w:ind w:firstLine="420" w:firstLineChars="200"/>
        <w:jc w:val="left"/>
        <w:rPr>
          <w:rFonts w:hint="eastAsia" w:ascii="宋体" w:hAnsi="宋体" w:cs="宋体"/>
          <w:szCs w:val="21"/>
        </w:rPr>
      </w:pPr>
      <w:r>
        <w:rPr>
          <w:rFonts w:hint="eastAsia" w:ascii="宋体" w:hAnsi="宋体" w:cs="宋体"/>
          <w:szCs w:val="21"/>
        </w:rPr>
        <w:t>时间：2026年04月</w:t>
      </w:r>
      <w:r>
        <w:rPr>
          <w:rFonts w:hint="eastAsia" w:ascii="宋体" w:hAnsi="宋体" w:cs="宋体"/>
          <w:szCs w:val="21"/>
          <w:lang w:val="en-US" w:eastAsia="zh-CN"/>
        </w:rPr>
        <w:t>10</w:t>
      </w:r>
      <w:r>
        <w:rPr>
          <w:rFonts w:hint="eastAsia" w:ascii="宋体" w:hAnsi="宋体" w:cs="宋体"/>
          <w:szCs w:val="21"/>
        </w:rPr>
        <w:t>日至2026年04月</w:t>
      </w:r>
      <w:r>
        <w:rPr>
          <w:rFonts w:hint="eastAsia" w:ascii="宋体" w:hAnsi="宋体" w:cs="宋体"/>
          <w:szCs w:val="21"/>
          <w:lang w:val="en-US" w:eastAsia="zh-CN"/>
        </w:rPr>
        <w:t>17</w:t>
      </w:r>
      <w:r>
        <w:rPr>
          <w:rFonts w:hint="eastAsia" w:ascii="宋体" w:hAnsi="宋体" w:cs="宋体"/>
          <w:szCs w:val="21"/>
        </w:rPr>
        <w:t>日，每天上午00:00至12:00，下午12:00至23:59（北京时间，线上获取法定节假日均可，线下获取文件法定节假日除外）</w:t>
      </w:r>
    </w:p>
    <w:p w14:paraId="4543FE02">
      <w:pPr>
        <w:spacing w:line="420" w:lineRule="exact"/>
        <w:ind w:firstLine="420" w:firstLineChars="200"/>
        <w:jc w:val="left"/>
        <w:rPr>
          <w:rFonts w:hint="eastAsia" w:ascii="宋体" w:hAnsi="宋体" w:cs="宋体"/>
          <w:szCs w:val="21"/>
        </w:rPr>
      </w:pPr>
      <w:r>
        <w:rPr>
          <w:rFonts w:hint="eastAsia" w:ascii="宋体" w:hAnsi="宋体" w:cs="宋体"/>
          <w:szCs w:val="21"/>
        </w:rPr>
        <w:t>地点（网址）：政采云平台（https://login.zcygov.cn/user-login/#/login） </w:t>
      </w:r>
    </w:p>
    <w:p w14:paraId="5C7461C6">
      <w:pPr>
        <w:spacing w:line="420" w:lineRule="exact"/>
        <w:ind w:firstLine="420" w:firstLineChars="200"/>
        <w:jc w:val="left"/>
        <w:rPr>
          <w:rFonts w:hint="eastAsia" w:ascii="宋体" w:hAnsi="宋体" w:cs="宋体"/>
          <w:szCs w:val="21"/>
        </w:rPr>
      </w:pPr>
      <w:r>
        <w:rPr>
          <w:rFonts w:hint="eastAsia" w:ascii="宋体" w:hAnsi="宋体" w:cs="宋体"/>
          <w:szCs w:val="21"/>
        </w:rPr>
        <w:t>方式：1、供应商登录政采云平台（https://login.zcygov.cn/user-login/#/login）的注册账号后，进入政采云系统“项目采购”模块“获取招标文件”菜单，进行网上获取招标文件。如有疑问请及时咨询网站客服，咨询电话：95763。2、获取招标文件前，供应商应在“浙江政府采购网（http://zfcg.czt.zj.gov.cn/）”上进行供应商注册申请，并通过财政部门的终审后登记加入到“浙江省政府采购供应商库”。中标或成交供应商必须注册并登记加入“浙江省政府采购供应商库”。具体要求及注册申请流程详见浙江政府采购网“网上办事指南”的“供应商注册申请”。如未注册的供应商，请注意注册所需时间。招标公告附件中的招标文件仅供阅览使用，供应商应在规定的招标文件提供期限内在政采云平台登录上述供应商注册的账号后获取招标文件，未在规定的招标文件提供期限内或未按上述方式获取招标文件的，其投标均视为无效，并不得对招标文件提起质疑投诉。</w:t>
      </w:r>
    </w:p>
    <w:p w14:paraId="77D7DAF8">
      <w:pPr>
        <w:spacing w:after="159" w:afterLines="50" w:line="420" w:lineRule="exact"/>
        <w:ind w:firstLine="420" w:firstLineChars="200"/>
        <w:jc w:val="left"/>
        <w:rPr>
          <w:b/>
          <w:color w:val="000000"/>
          <w:szCs w:val="21"/>
        </w:rPr>
      </w:pPr>
      <w:r>
        <w:rPr>
          <w:rFonts w:hint="eastAsia" w:ascii="宋体" w:hAnsi="宋体" w:cs="宋体"/>
          <w:szCs w:val="21"/>
        </w:rPr>
        <w:t>售价（元）：0</w:t>
      </w:r>
    </w:p>
    <w:p w14:paraId="2EF84778">
      <w:pPr>
        <w:snapToGrid w:val="0"/>
        <w:spacing w:line="360" w:lineRule="auto"/>
        <w:ind w:firstLine="422" w:firstLineChars="200"/>
        <w:rPr>
          <w:b/>
          <w:bCs/>
          <w:color w:val="000000"/>
          <w:szCs w:val="21"/>
        </w:rPr>
      </w:pPr>
      <w:r>
        <w:rPr>
          <w:b/>
          <w:bCs/>
          <w:color w:val="000000"/>
          <w:szCs w:val="21"/>
        </w:rPr>
        <w:t>四、提交投标文件截止时间、开标时间和地点：</w:t>
      </w:r>
    </w:p>
    <w:p w14:paraId="05DA8550">
      <w:pPr>
        <w:snapToGrid w:val="0"/>
        <w:spacing w:line="360" w:lineRule="auto"/>
        <w:ind w:firstLine="420" w:firstLineChars="200"/>
        <w:rPr>
          <w:szCs w:val="21"/>
        </w:rPr>
      </w:pPr>
      <w:r>
        <w:rPr>
          <w:szCs w:val="21"/>
        </w:rPr>
        <w:t>提交投标文件截止时间：202</w:t>
      </w:r>
      <w:r>
        <w:rPr>
          <w:rFonts w:hint="eastAsia"/>
          <w:szCs w:val="21"/>
        </w:rPr>
        <w:t>6</w:t>
      </w:r>
      <w:r>
        <w:rPr>
          <w:szCs w:val="21"/>
        </w:rPr>
        <w:t>年</w:t>
      </w:r>
      <w:r>
        <w:rPr>
          <w:rFonts w:hint="eastAsia"/>
          <w:szCs w:val="21"/>
        </w:rPr>
        <w:t>0</w:t>
      </w:r>
      <w:r>
        <w:rPr>
          <w:rFonts w:hint="eastAsia"/>
          <w:szCs w:val="21"/>
          <w:lang w:val="en-US" w:eastAsia="zh-CN"/>
        </w:rPr>
        <w:t>5</w:t>
      </w:r>
      <w:r>
        <w:rPr>
          <w:szCs w:val="21"/>
        </w:rPr>
        <w:t>月</w:t>
      </w:r>
      <w:r>
        <w:rPr>
          <w:rFonts w:hint="eastAsia"/>
          <w:szCs w:val="21"/>
          <w:lang w:val="en-US" w:eastAsia="zh-CN"/>
        </w:rPr>
        <w:t>07</w:t>
      </w:r>
      <w:r>
        <w:rPr>
          <w:szCs w:val="21"/>
        </w:rPr>
        <w:t>日 1</w:t>
      </w:r>
      <w:r>
        <w:rPr>
          <w:rFonts w:hint="eastAsia"/>
          <w:szCs w:val="21"/>
          <w:lang w:val="en-US" w:eastAsia="zh-CN"/>
        </w:rPr>
        <w:t>4</w:t>
      </w:r>
      <w:r>
        <w:rPr>
          <w:szCs w:val="21"/>
        </w:rPr>
        <w:t xml:space="preserve"> : </w:t>
      </w:r>
      <w:r>
        <w:rPr>
          <w:rFonts w:hint="eastAsia"/>
          <w:szCs w:val="21"/>
          <w:lang w:val="en-US" w:eastAsia="zh-CN"/>
        </w:rPr>
        <w:t>0</w:t>
      </w:r>
      <w:r>
        <w:rPr>
          <w:szCs w:val="21"/>
        </w:rPr>
        <w:t>0 （北京时间）</w:t>
      </w:r>
    </w:p>
    <w:p w14:paraId="2B3902D0">
      <w:pPr>
        <w:snapToGrid w:val="0"/>
        <w:spacing w:line="360" w:lineRule="auto"/>
        <w:ind w:firstLine="420" w:firstLineChars="200"/>
        <w:rPr>
          <w:szCs w:val="21"/>
        </w:rPr>
      </w:pPr>
      <w:r>
        <w:rPr>
          <w:szCs w:val="21"/>
        </w:rPr>
        <w:t>投标地点（网址）：政府采购云平台</w:t>
      </w:r>
      <w:r>
        <w:rPr>
          <w:rFonts w:hint="eastAsia" w:ascii="宋体" w:hAnsi="宋体" w:cs="宋体"/>
          <w:szCs w:val="21"/>
        </w:rPr>
        <w:t>（www.zcygov.cn）</w:t>
      </w:r>
    </w:p>
    <w:p w14:paraId="452DBA9B">
      <w:pPr>
        <w:snapToGrid w:val="0"/>
        <w:spacing w:line="360" w:lineRule="auto"/>
        <w:ind w:firstLine="420" w:firstLineChars="200"/>
        <w:rPr>
          <w:szCs w:val="21"/>
        </w:rPr>
      </w:pPr>
      <w:r>
        <w:rPr>
          <w:szCs w:val="21"/>
        </w:rPr>
        <w:t>开标时间：202</w:t>
      </w:r>
      <w:r>
        <w:rPr>
          <w:rFonts w:hint="eastAsia"/>
          <w:szCs w:val="21"/>
        </w:rPr>
        <w:t>6</w:t>
      </w:r>
      <w:r>
        <w:rPr>
          <w:szCs w:val="21"/>
        </w:rPr>
        <w:t>年</w:t>
      </w:r>
      <w:r>
        <w:rPr>
          <w:rFonts w:hint="eastAsia"/>
          <w:szCs w:val="21"/>
        </w:rPr>
        <w:t>0</w:t>
      </w:r>
      <w:r>
        <w:rPr>
          <w:rFonts w:hint="eastAsia"/>
          <w:szCs w:val="21"/>
          <w:lang w:val="en-US" w:eastAsia="zh-CN"/>
        </w:rPr>
        <w:t>5</w:t>
      </w:r>
      <w:r>
        <w:rPr>
          <w:szCs w:val="21"/>
        </w:rPr>
        <w:t>月</w:t>
      </w:r>
      <w:r>
        <w:rPr>
          <w:rFonts w:hint="eastAsia"/>
          <w:szCs w:val="21"/>
          <w:lang w:val="en-US" w:eastAsia="zh-CN"/>
        </w:rPr>
        <w:t>07</w:t>
      </w:r>
      <w:r>
        <w:rPr>
          <w:szCs w:val="21"/>
        </w:rPr>
        <w:t>日 1</w:t>
      </w:r>
      <w:r>
        <w:rPr>
          <w:rFonts w:hint="eastAsia"/>
          <w:szCs w:val="21"/>
          <w:lang w:val="en-US" w:eastAsia="zh-CN"/>
        </w:rPr>
        <w:t>4</w:t>
      </w:r>
      <w:r>
        <w:rPr>
          <w:szCs w:val="21"/>
        </w:rPr>
        <w:t xml:space="preserve"> :</w:t>
      </w:r>
      <w:r>
        <w:rPr>
          <w:rFonts w:hint="eastAsia"/>
          <w:szCs w:val="21"/>
          <w:lang w:val="en-US" w:eastAsia="zh-CN"/>
        </w:rPr>
        <w:t>0</w:t>
      </w:r>
      <w:r>
        <w:rPr>
          <w:szCs w:val="21"/>
        </w:rPr>
        <w:t>0（北京时间）</w:t>
      </w:r>
    </w:p>
    <w:p w14:paraId="065CAC5F">
      <w:pPr>
        <w:snapToGrid w:val="0"/>
        <w:spacing w:line="360" w:lineRule="auto"/>
        <w:ind w:firstLine="420" w:firstLineChars="200"/>
        <w:rPr>
          <w:szCs w:val="21"/>
        </w:rPr>
      </w:pPr>
      <w:r>
        <w:rPr>
          <w:szCs w:val="21"/>
        </w:rPr>
        <w:t>开标地点（网址）：政府采购云平台</w:t>
      </w:r>
      <w:r>
        <w:rPr>
          <w:rFonts w:hint="eastAsia" w:ascii="宋体" w:hAnsi="宋体" w:cs="宋体"/>
          <w:szCs w:val="21"/>
        </w:rPr>
        <w:t>（www.zcygov.cn）</w:t>
      </w:r>
    </w:p>
    <w:p w14:paraId="2C4D66BE">
      <w:pPr>
        <w:spacing w:line="360" w:lineRule="auto"/>
        <w:ind w:firstLine="422" w:firstLineChars="200"/>
        <w:rPr>
          <w:b/>
          <w:bCs/>
          <w:color w:val="000000"/>
          <w:szCs w:val="21"/>
        </w:rPr>
      </w:pPr>
      <w:r>
        <w:rPr>
          <w:b/>
          <w:bCs/>
          <w:color w:val="000000"/>
          <w:szCs w:val="21"/>
        </w:rPr>
        <w:t>五、公告期限</w:t>
      </w:r>
    </w:p>
    <w:p w14:paraId="306B63A3">
      <w:pPr>
        <w:snapToGrid w:val="0"/>
        <w:spacing w:line="360" w:lineRule="auto"/>
        <w:ind w:firstLine="420" w:firstLineChars="200"/>
        <w:rPr>
          <w:szCs w:val="21"/>
        </w:rPr>
      </w:pPr>
      <w:r>
        <w:rPr>
          <w:bCs/>
          <w:color w:val="000000"/>
          <w:szCs w:val="21"/>
        </w:rPr>
        <w:t>自本公告发布之日起5个工作日。</w:t>
      </w:r>
    </w:p>
    <w:p w14:paraId="22DA2B2D">
      <w:pPr>
        <w:spacing w:line="360" w:lineRule="auto"/>
        <w:ind w:firstLine="422" w:firstLineChars="200"/>
        <w:rPr>
          <w:b/>
          <w:bCs/>
          <w:color w:val="000000"/>
          <w:szCs w:val="21"/>
        </w:rPr>
      </w:pPr>
      <w:r>
        <w:rPr>
          <w:b/>
          <w:bCs/>
          <w:color w:val="000000"/>
          <w:szCs w:val="21"/>
        </w:rPr>
        <w:t>六、其他补充事宜</w:t>
      </w:r>
    </w:p>
    <w:p w14:paraId="26B7115A">
      <w:pPr>
        <w:numPr>
          <w:ilvl w:val="0"/>
          <w:numId w:val="9"/>
        </w:numPr>
        <w:snapToGrid w:val="0"/>
        <w:spacing w:line="360" w:lineRule="auto"/>
        <w:rPr>
          <w:rFonts w:ascii="Arial" w:hAnsi="Arial" w:cs="宋体"/>
          <w:szCs w:val="21"/>
        </w:rPr>
      </w:pPr>
      <w:r>
        <w:rPr>
          <w:rFonts w:ascii="Arial" w:hAnsi="Arial" w:cs="宋体"/>
          <w:szCs w:val="21"/>
        </w:rPr>
        <w:t>《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Arial" w:hAnsi="Arial" w:cs="宋体"/>
          <w:szCs w:val="21"/>
        </w:rPr>
        <w:t>。</w:t>
      </w:r>
    </w:p>
    <w:p w14:paraId="58215F6B">
      <w:pPr>
        <w:numPr>
          <w:ilvl w:val="0"/>
          <w:numId w:val="9"/>
        </w:numPr>
        <w:snapToGrid w:val="0"/>
        <w:spacing w:line="360" w:lineRule="auto"/>
        <w:rPr>
          <w:rFonts w:ascii="Arial" w:hAnsi="Arial" w:cs="宋体"/>
          <w:szCs w:val="21"/>
        </w:rPr>
      </w:pPr>
      <w:r>
        <w:rPr>
          <w:rFonts w:hint="eastAsia" w:ascii="宋体" w:hAnsi="宋体" w:cs="宋体"/>
          <w:kern w:val="0"/>
          <w:szCs w:val="21"/>
          <w:lang w:bidi="ar"/>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3566EC8">
      <w:pPr>
        <w:numPr>
          <w:ilvl w:val="0"/>
          <w:numId w:val="9"/>
        </w:numPr>
        <w:snapToGrid w:val="0"/>
        <w:spacing w:line="360" w:lineRule="auto"/>
        <w:rPr>
          <w:rFonts w:ascii="Arial" w:hAnsi="Arial" w:cs="宋体"/>
          <w:szCs w:val="21"/>
        </w:rPr>
      </w:pPr>
      <w:r>
        <w:rPr>
          <w:rFonts w:hint="eastAsia" w:ascii="Arial" w:hAnsi="Arial" w:cs="宋体"/>
          <w:szCs w:val="21"/>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5E49923">
      <w:pPr>
        <w:snapToGrid w:val="0"/>
        <w:spacing w:line="440" w:lineRule="exact"/>
        <w:ind w:firstLine="420" w:firstLineChars="200"/>
        <w:jc w:val="left"/>
        <w:rPr>
          <w:rFonts w:hint="eastAsia" w:ascii="宋体" w:hAnsi="宋体" w:cs="宋体"/>
          <w:kern w:val="0"/>
          <w:szCs w:val="21"/>
          <w:lang w:bidi="ar"/>
        </w:rPr>
      </w:pPr>
      <w:r>
        <w:rPr>
          <w:rFonts w:hint="eastAsia" w:ascii="宋体" w:hAnsi="宋体" w:cs="宋体"/>
          <w:kern w:val="0"/>
          <w:szCs w:val="21"/>
          <w:lang w:bidi="ar"/>
        </w:rPr>
        <w:t>4、其他事项：（1）本项目实行网上投标，采用电子投标文件。若供应商参与投标，自行承担投标一切费用。（2）标前准备：各供应商应在投标截止时间前确保成为浙江政府采购网正式注册入库供应商，并完成CA数字证书办理。因未注册入库、未办理CA数字证书等原因造成无法投标或投标失败等后果由供应商自行承担。（3）单位负责人为同一人或者存在直接控股、管理关系的不同供应商，不得参加同一标项号的投标。（4）为本项目提供整体设计、规范编制或者项目管理、监理、检测等服务的供应商，不得再参加本项目的投标。（5）落实的政策：《政府采购促进中小企业发展管理办法》（财库〔2020〕46号）、《关于促进残疾人就业政府采购政策的通知》（财库[2017]141号）、《关于政府采购支持监狱企业发展有关问题的通知》(财库[2014]68号)、《关于环境标志产品政府采购实施的意见》（财库〔2006〕90号、《节能产品政府采购实施意见》的通知（财库〔2004〕185号）。</w:t>
      </w:r>
    </w:p>
    <w:p w14:paraId="5DD3D38B">
      <w:pPr>
        <w:spacing w:before="159" w:beforeLines="50" w:line="360" w:lineRule="auto"/>
        <w:ind w:firstLine="422" w:firstLineChars="200"/>
        <w:rPr>
          <w:b/>
          <w:color w:val="000000"/>
          <w:szCs w:val="21"/>
        </w:rPr>
      </w:pPr>
      <w:r>
        <w:rPr>
          <w:b/>
          <w:color w:val="000000"/>
          <w:szCs w:val="21"/>
        </w:rPr>
        <w:t>七、对本次招标提出询问，请按以下方式联系。</w:t>
      </w:r>
    </w:p>
    <w:p w14:paraId="226750D7">
      <w:pPr>
        <w:spacing w:line="360" w:lineRule="auto"/>
        <w:ind w:firstLine="420"/>
        <w:rPr>
          <w:b/>
          <w:szCs w:val="21"/>
        </w:rPr>
      </w:pPr>
      <w:r>
        <w:rPr>
          <w:b/>
          <w:szCs w:val="21"/>
        </w:rPr>
        <w:t>1.采购人信息</w:t>
      </w:r>
    </w:p>
    <w:p w14:paraId="70951DAC">
      <w:pPr>
        <w:snapToGrid w:val="0"/>
        <w:spacing w:line="360" w:lineRule="auto"/>
        <w:ind w:firstLine="707" w:firstLineChars="337"/>
        <w:rPr>
          <w:rFonts w:hint="eastAsia" w:ascii="宋体" w:hAnsi="宋体" w:cs="宋体"/>
          <w:szCs w:val="21"/>
        </w:rPr>
      </w:pPr>
      <w:r>
        <w:rPr>
          <w:rFonts w:ascii="宋体" w:hAnsi="宋体" w:cs="宋体"/>
          <w:szCs w:val="21"/>
        </w:rPr>
        <w:t>名称：</w:t>
      </w:r>
      <w:r>
        <w:rPr>
          <w:rFonts w:hint="eastAsia" w:ascii="宋体" w:hAnsi="宋体" w:cs="宋体"/>
          <w:szCs w:val="21"/>
        </w:rPr>
        <w:t>象山县丹山书院  </w:t>
      </w:r>
    </w:p>
    <w:p w14:paraId="23A039F6">
      <w:pPr>
        <w:snapToGrid w:val="0"/>
        <w:spacing w:line="360" w:lineRule="auto"/>
        <w:ind w:firstLine="707" w:firstLineChars="337"/>
        <w:rPr>
          <w:rFonts w:hint="eastAsia" w:ascii="宋体" w:hAnsi="宋体" w:cs="宋体"/>
          <w:szCs w:val="21"/>
        </w:rPr>
      </w:pPr>
      <w:r>
        <w:rPr>
          <w:rFonts w:ascii="宋体" w:hAnsi="宋体" w:cs="宋体"/>
          <w:szCs w:val="21"/>
        </w:rPr>
        <w:t>地址：</w:t>
      </w:r>
      <w:r>
        <w:rPr>
          <w:rFonts w:hint="eastAsia" w:ascii="宋体" w:hAnsi="宋体" w:cs="宋体"/>
          <w:szCs w:val="21"/>
        </w:rPr>
        <w:t>宁波市象山县丹西街道西街57号</w:t>
      </w:r>
    </w:p>
    <w:p w14:paraId="54DC4A30">
      <w:pPr>
        <w:snapToGrid w:val="0"/>
        <w:spacing w:line="360" w:lineRule="auto"/>
        <w:ind w:firstLine="707" w:firstLineChars="337"/>
        <w:rPr>
          <w:rFonts w:hint="eastAsia" w:ascii="宋体" w:hAnsi="宋体" w:cs="宋体"/>
          <w:szCs w:val="21"/>
        </w:rPr>
      </w:pPr>
      <w:r>
        <w:rPr>
          <w:rFonts w:ascii="宋体" w:hAnsi="宋体" w:cs="宋体"/>
          <w:szCs w:val="21"/>
        </w:rPr>
        <w:t>项目联系人（询问）：</w:t>
      </w:r>
      <w:r>
        <w:rPr>
          <w:rFonts w:hint="eastAsia" w:ascii="宋体" w:hAnsi="宋体" w:cs="宋体"/>
          <w:szCs w:val="21"/>
        </w:rPr>
        <w:t>励老师</w:t>
      </w:r>
    </w:p>
    <w:p w14:paraId="22128FC0">
      <w:pPr>
        <w:snapToGrid w:val="0"/>
        <w:spacing w:line="360" w:lineRule="auto"/>
        <w:ind w:firstLine="707" w:firstLineChars="337"/>
        <w:rPr>
          <w:rFonts w:hint="default" w:ascii="宋体" w:hAnsi="宋体" w:eastAsia="宋体" w:cs="宋体"/>
          <w:color w:val="auto"/>
          <w:szCs w:val="21"/>
          <w:highlight w:val="none"/>
          <w:lang w:val="en-US" w:eastAsia="zh-CN"/>
        </w:rPr>
      </w:pPr>
      <w:r>
        <w:rPr>
          <w:rFonts w:ascii="宋体" w:hAnsi="宋体" w:cs="宋体"/>
          <w:color w:val="auto"/>
          <w:szCs w:val="21"/>
          <w:highlight w:val="none"/>
        </w:rPr>
        <w:t>项目联系方式（询问）：</w:t>
      </w:r>
      <w:r>
        <w:rPr>
          <w:rFonts w:hint="eastAsia" w:ascii="宋体" w:hAnsi="宋体" w:cs="宋体"/>
          <w:color w:val="auto"/>
          <w:szCs w:val="21"/>
          <w:highlight w:val="none"/>
          <w:lang w:val="en-US" w:eastAsia="zh-CN"/>
        </w:rPr>
        <w:t>0574-</w:t>
      </w:r>
      <w:r>
        <w:rPr>
          <w:rFonts w:hint="eastAsia" w:ascii="宋体" w:hAnsi="宋体" w:cs="宋体"/>
          <w:color w:val="auto"/>
          <w:szCs w:val="21"/>
          <w:highlight w:val="none"/>
        </w:rPr>
        <w:t>65777568</w:t>
      </w:r>
    </w:p>
    <w:p w14:paraId="4A90686A">
      <w:pPr>
        <w:snapToGrid w:val="0"/>
        <w:spacing w:line="360" w:lineRule="auto"/>
        <w:ind w:firstLine="707" w:firstLineChars="337"/>
        <w:rPr>
          <w:rFonts w:hint="default" w:ascii="宋体" w:hAnsi="宋体" w:eastAsia="宋体" w:cs="宋体"/>
          <w:color w:val="auto"/>
          <w:szCs w:val="21"/>
          <w:highlight w:val="none"/>
          <w:lang w:val="en-US" w:eastAsia="zh-CN"/>
        </w:rPr>
      </w:pPr>
      <w:r>
        <w:rPr>
          <w:rFonts w:ascii="宋体" w:hAnsi="宋体" w:cs="宋体"/>
          <w:color w:val="auto"/>
          <w:szCs w:val="21"/>
          <w:highlight w:val="none"/>
        </w:rPr>
        <w:t>质疑联系人：</w:t>
      </w:r>
      <w:r>
        <w:rPr>
          <w:rFonts w:hint="eastAsia" w:ascii="宋体" w:hAnsi="宋体" w:cs="宋体"/>
          <w:color w:val="auto"/>
          <w:szCs w:val="21"/>
          <w:highlight w:val="none"/>
          <w:lang w:val="en-US" w:eastAsia="zh-CN"/>
        </w:rPr>
        <w:t>徐老师</w:t>
      </w:r>
    </w:p>
    <w:p w14:paraId="77DD301C">
      <w:pPr>
        <w:snapToGrid w:val="0"/>
        <w:spacing w:line="360" w:lineRule="auto"/>
        <w:ind w:firstLine="707" w:firstLineChars="337"/>
        <w:rPr>
          <w:rFonts w:ascii="宋体" w:hAnsi="宋体" w:cs="宋体"/>
          <w:color w:val="auto"/>
          <w:szCs w:val="21"/>
          <w:highlight w:val="none"/>
        </w:rPr>
      </w:pPr>
      <w:r>
        <w:rPr>
          <w:rFonts w:ascii="宋体" w:hAnsi="宋体" w:cs="宋体"/>
          <w:color w:val="auto"/>
          <w:szCs w:val="21"/>
          <w:highlight w:val="none"/>
        </w:rPr>
        <w:t>质疑联系方式：</w:t>
      </w:r>
      <w:r>
        <w:rPr>
          <w:rFonts w:hint="eastAsia" w:ascii="宋体" w:hAnsi="宋体" w:cs="宋体"/>
          <w:color w:val="auto"/>
          <w:szCs w:val="21"/>
          <w:highlight w:val="none"/>
          <w:lang w:val="en-US" w:eastAsia="zh-CN"/>
        </w:rPr>
        <w:t>0574-</w:t>
      </w:r>
      <w:r>
        <w:rPr>
          <w:rFonts w:hint="eastAsia" w:ascii="宋体" w:hAnsi="宋体" w:cs="宋体"/>
          <w:color w:val="auto"/>
          <w:szCs w:val="21"/>
          <w:highlight w:val="none"/>
        </w:rPr>
        <w:t>65777568</w:t>
      </w:r>
    </w:p>
    <w:p w14:paraId="6FB40771">
      <w:pPr>
        <w:spacing w:line="360" w:lineRule="auto"/>
        <w:ind w:firstLine="420"/>
        <w:rPr>
          <w:b/>
          <w:szCs w:val="21"/>
        </w:rPr>
      </w:pPr>
      <w:r>
        <w:rPr>
          <w:b/>
          <w:szCs w:val="21"/>
        </w:rPr>
        <w:t>2.采购代理机构信息</w:t>
      </w:r>
    </w:p>
    <w:p w14:paraId="688E668B">
      <w:pPr>
        <w:snapToGrid w:val="0"/>
        <w:spacing w:line="360" w:lineRule="auto"/>
        <w:ind w:firstLine="707" w:firstLineChars="337"/>
        <w:rPr>
          <w:rFonts w:hint="eastAsia" w:ascii="宋体" w:hAnsi="宋体" w:cs="宋体"/>
          <w:szCs w:val="21"/>
        </w:rPr>
      </w:pPr>
      <w:r>
        <w:rPr>
          <w:rFonts w:hint="eastAsia" w:ascii="宋体" w:hAnsi="宋体" w:cs="宋体"/>
          <w:szCs w:val="21"/>
        </w:rPr>
        <w:t>名称：宁波慧泽工程管理咨询有限公司</w:t>
      </w:r>
    </w:p>
    <w:p w14:paraId="3A00E34C">
      <w:pPr>
        <w:snapToGrid w:val="0"/>
        <w:spacing w:line="360" w:lineRule="auto"/>
        <w:ind w:firstLine="707" w:firstLineChars="337"/>
        <w:rPr>
          <w:rFonts w:hint="eastAsia" w:ascii="宋体" w:hAnsi="宋体" w:cs="宋体"/>
          <w:szCs w:val="21"/>
        </w:rPr>
      </w:pPr>
      <w:r>
        <w:rPr>
          <w:rFonts w:hint="eastAsia" w:ascii="宋体" w:hAnsi="宋体" w:cs="宋体"/>
          <w:szCs w:val="21"/>
        </w:rPr>
        <w:t>地址：宁波市鄞州区民安路45号银亿东岸国际B座7-4</w:t>
      </w:r>
    </w:p>
    <w:p w14:paraId="4F1CBDAA">
      <w:pPr>
        <w:snapToGrid w:val="0"/>
        <w:spacing w:line="360" w:lineRule="auto"/>
        <w:ind w:firstLine="707" w:firstLineChars="337"/>
        <w:rPr>
          <w:rFonts w:hint="eastAsia" w:ascii="宋体" w:hAnsi="宋体" w:cs="宋体"/>
          <w:szCs w:val="21"/>
        </w:rPr>
      </w:pPr>
      <w:r>
        <w:rPr>
          <w:rFonts w:hint="eastAsia" w:ascii="宋体" w:hAnsi="宋体" w:cs="宋体"/>
          <w:szCs w:val="21"/>
        </w:rPr>
        <w:t>传真：/</w:t>
      </w:r>
    </w:p>
    <w:p w14:paraId="1CA5018B">
      <w:pPr>
        <w:snapToGrid w:val="0"/>
        <w:spacing w:line="360" w:lineRule="auto"/>
        <w:ind w:firstLine="707" w:firstLineChars="337"/>
        <w:rPr>
          <w:rFonts w:hint="eastAsia" w:ascii="宋体" w:hAnsi="宋体" w:cs="宋体"/>
          <w:szCs w:val="21"/>
        </w:rPr>
      </w:pPr>
      <w:r>
        <w:rPr>
          <w:rFonts w:hint="eastAsia" w:ascii="宋体" w:hAnsi="宋体" w:cs="宋体"/>
          <w:szCs w:val="21"/>
        </w:rPr>
        <w:t xml:space="preserve">项目联系人（询问）：唐工   </w:t>
      </w:r>
    </w:p>
    <w:p w14:paraId="013902B9">
      <w:pPr>
        <w:snapToGrid w:val="0"/>
        <w:spacing w:line="360" w:lineRule="auto"/>
        <w:ind w:firstLine="707" w:firstLineChars="337"/>
        <w:rPr>
          <w:rFonts w:hint="eastAsia" w:ascii="宋体" w:hAnsi="宋体" w:cs="宋体"/>
          <w:szCs w:val="21"/>
        </w:rPr>
      </w:pPr>
      <w:r>
        <w:rPr>
          <w:rFonts w:hint="eastAsia" w:ascii="宋体" w:hAnsi="宋体" w:cs="宋体"/>
          <w:szCs w:val="21"/>
        </w:rPr>
        <w:t>项目联系方式（询问）</w:t>
      </w:r>
      <w:r>
        <w:rPr>
          <w:rFonts w:hint="eastAsia" w:ascii="宋体" w:hAnsi="宋体" w:cs="宋体"/>
          <w:szCs w:val="21"/>
          <w:lang w:eastAsia="zh-CN"/>
        </w:rPr>
        <w:t>：</w:t>
      </w:r>
      <w:r>
        <w:rPr>
          <w:rFonts w:hint="eastAsia" w:ascii="宋体" w:hAnsi="宋体" w:cs="宋体"/>
          <w:szCs w:val="21"/>
        </w:rPr>
        <w:t xml:space="preserve">0574-87300622 </w:t>
      </w:r>
    </w:p>
    <w:p w14:paraId="032A22CA">
      <w:pPr>
        <w:snapToGrid w:val="0"/>
        <w:spacing w:line="360" w:lineRule="auto"/>
        <w:ind w:firstLine="707" w:firstLineChars="337"/>
        <w:rPr>
          <w:rFonts w:hint="eastAsia" w:ascii="宋体" w:hAnsi="宋体" w:cs="宋体"/>
          <w:szCs w:val="21"/>
        </w:rPr>
      </w:pPr>
      <w:r>
        <w:rPr>
          <w:rFonts w:hint="eastAsia" w:ascii="宋体" w:hAnsi="宋体" w:cs="宋体"/>
          <w:szCs w:val="21"/>
        </w:rPr>
        <w:t xml:space="preserve">质疑联系人：刘工     </w:t>
      </w:r>
    </w:p>
    <w:p w14:paraId="02855FFA">
      <w:pPr>
        <w:snapToGrid w:val="0"/>
        <w:spacing w:line="360" w:lineRule="auto"/>
        <w:ind w:firstLine="707" w:firstLineChars="337"/>
        <w:rPr>
          <w:rFonts w:hint="eastAsia" w:ascii="宋体" w:hAnsi="宋体" w:cs="宋体"/>
          <w:szCs w:val="21"/>
        </w:rPr>
      </w:pPr>
      <w:r>
        <w:rPr>
          <w:rFonts w:hint="eastAsia" w:ascii="宋体" w:hAnsi="宋体" w:cs="宋体"/>
          <w:szCs w:val="21"/>
        </w:rPr>
        <w:t xml:space="preserve">质疑联系方式：0574-87300622 </w:t>
      </w:r>
    </w:p>
    <w:p w14:paraId="51BFA876">
      <w:pPr>
        <w:spacing w:line="360" w:lineRule="auto"/>
        <w:ind w:firstLine="420"/>
        <w:rPr>
          <w:b/>
          <w:szCs w:val="21"/>
        </w:rPr>
      </w:pPr>
      <w:r>
        <w:rPr>
          <w:b/>
          <w:szCs w:val="21"/>
        </w:rPr>
        <w:t>3..同级政府采购监督管理部门</w:t>
      </w:r>
    </w:p>
    <w:p w14:paraId="40AE8FA1">
      <w:pPr>
        <w:snapToGrid w:val="0"/>
        <w:spacing w:line="360" w:lineRule="auto"/>
        <w:ind w:firstLine="707" w:firstLineChars="337"/>
        <w:rPr>
          <w:rFonts w:hint="eastAsia" w:ascii="宋体" w:hAnsi="宋体" w:cs="宋体"/>
          <w:szCs w:val="21"/>
        </w:rPr>
      </w:pPr>
      <w:r>
        <w:rPr>
          <w:rFonts w:hint="eastAsia" w:ascii="宋体" w:hAnsi="宋体" w:cs="宋体"/>
          <w:szCs w:val="21"/>
        </w:rPr>
        <w:t>名  称：象山县财政局政府采购管理办公室</w:t>
      </w:r>
    </w:p>
    <w:p w14:paraId="03C8EF48">
      <w:pPr>
        <w:snapToGrid w:val="0"/>
        <w:spacing w:line="360" w:lineRule="auto"/>
        <w:ind w:firstLine="707" w:firstLineChars="337"/>
        <w:rPr>
          <w:rFonts w:hint="eastAsia" w:ascii="宋体" w:hAnsi="宋体" w:cs="宋体"/>
          <w:szCs w:val="21"/>
        </w:rPr>
      </w:pPr>
      <w:r>
        <w:rPr>
          <w:rFonts w:hint="eastAsia" w:ascii="宋体" w:hAnsi="宋体" w:cs="宋体"/>
          <w:szCs w:val="21"/>
        </w:rPr>
        <w:t>地  址：象山县丹西街道丹峰西路163号</w:t>
      </w:r>
    </w:p>
    <w:p w14:paraId="4E903DD3">
      <w:pPr>
        <w:snapToGrid w:val="0"/>
        <w:spacing w:line="360" w:lineRule="auto"/>
        <w:ind w:firstLine="707" w:firstLineChars="337"/>
        <w:rPr>
          <w:rFonts w:hint="eastAsia" w:ascii="宋体" w:hAnsi="宋体" w:cs="宋体"/>
          <w:szCs w:val="21"/>
        </w:rPr>
      </w:pPr>
      <w:r>
        <w:rPr>
          <w:rFonts w:hint="eastAsia" w:ascii="宋体" w:hAnsi="宋体" w:cs="宋体"/>
          <w:szCs w:val="21"/>
        </w:rPr>
        <w:t>传  真：/</w:t>
      </w:r>
    </w:p>
    <w:p w14:paraId="0EA0A8FD">
      <w:pPr>
        <w:snapToGrid w:val="0"/>
        <w:spacing w:line="360" w:lineRule="auto"/>
        <w:ind w:firstLine="707" w:firstLineChars="337"/>
        <w:rPr>
          <w:rFonts w:hint="eastAsia" w:ascii="宋体" w:hAnsi="宋体" w:cs="宋体"/>
          <w:szCs w:val="21"/>
        </w:rPr>
      </w:pPr>
      <w:r>
        <w:rPr>
          <w:rFonts w:hint="eastAsia" w:ascii="宋体" w:hAnsi="宋体" w:cs="宋体"/>
          <w:szCs w:val="21"/>
        </w:rPr>
        <w:t>联 系 人：</w:t>
      </w:r>
      <w:r>
        <w:rPr>
          <w:rFonts w:hint="eastAsia" w:ascii="宋体" w:hAnsi="宋体" w:cs="宋体"/>
          <w:kern w:val="0"/>
          <w:szCs w:val="21"/>
          <w:lang w:bidi="ar"/>
        </w:rPr>
        <w:t>翁老师</w:t>
      </w:r>
    </w:p>
    <w:p w14:paraId="447FA383">
      <w:pPr>
        <w:snapToGrid w:val="0"/>
        <w:spacing w:line="360" w:lineRule="auto"/>
        <w:ind w:firstLine="707" w:firstLineChars="337"/>
        <w:rPr>
          <w:rFonts w:hint="eastAsia" w:ascii="宋体" w:hAnsi="宋体" w:cs="宋体"/>
          <w:szCs w:val="21"/>
        </w:rPr>
      </w:pPr>
      <w:r>
        <w:rPr>
          <w:rFonts w:hint="eastAsia" w:ascii="宋体" w:hAnsi="宋体" w:cs="宋体"/>
          <w:szCs w:val="21"/>
        </w:rPr>
        <w:t>监督投诉电话：0574-65753032</w:t>
      </w:r>
    </w:p>
    <w:p w14:paraId="6FB0BBDE">
      <w:pPr>
        <w:snapToGrid w:val="0"/>
        <w:spacing w:line="360" w:lineRule="auto"/>
        <w:ind w:firstLine="707" w:firstLineChars="337"/>
        <w:rPr>
          <w:rFonts w:hint="eastAsia" w:ascii="宋体" w:hAnsi="宋体" w:cs="宋体"/>
          <w:szCs w:val="21"/>
        </w:rPr>
      </w:pPr>
    </w:p>
    <w:p w14:paraId="6A242756">
      <w:pPr>
        <w:snapToGrid w:val="0"/>
        <w:spacing w:line="360" w:lineRule="auto"/>
        <w:ind w:firstLine="420" w:firstLineChars="200"/>
        <w:rPr>
          <w:rFonts w:ascii="Arial" w:hAnsi="Arial" w:cs="宋体"/>
          <w:szCs w:val="21"/>
        </w:rPr>
      </w:pPr>
    </w:p>
    <w:p w14:paraId="0805F978">
      <w:pPr>
        <w:snapToGrid w:val="0"/>
        <w:spacing w:line="360" w:lineRule="auto"/>
        <w:ind w:firstLine="420" w:firstLineChars="200"/>
        <w:rPr>
          <w:rFonts w:ascii="Arial" w:hAnsi="Arial" w:cs="宋体"/>
          <w:szCs w:val="21"/>
        </w:rPr>
      </w:pPr>
      <w:r>
        <w:rPr>
          <w:rFonts w:hint="eastAsia" w:ascii="Arial" w:hAnsi="Arial" w:cs="宋体"/>
          <w:szCs w:val="21"/>
        </w:rPr>
        <w:t>若对项目采购电子交易系统操作有疑问，可登录政采云（https://www.zcygov.cn/），点击右侧咨询小采，获取采小蜜智能服务管家帮助，或拨打政采云服务热线95763获取热线服务帮助。</w:t>
      </w:r>
    </w:p>
    <w:p w14:paraId="6840214C">
      <w:pPr>
        <w:snapToGrid w:val="0"/>
        <w:spacing w:line="360" w:lineRule="auto"/>
        <w:ind w:firstLine="420" w:firstLineChars="200"/>
        <w:rPr>
          <w:rFonts w:ascii="Arial" w:hAnsi="Arial" w:cs="宋体"/>
          <w:szCs w:val="21"/>
        </w:rPr>
      </w:pPr>
      <w:r>
        <w:rPr>
          <w:rFonts w:hint="eastAsia" w:ascii="Arial" w:hAnsi="Arial" w:cs="宋体"/>
          <w:szCs w:val="21"/>
        </w:rPr>
        <w:t>CA问题联系电话（人工）：汇信CA 400-888-4636；天谷CA 400-087-8198。</w:t>
      </w:r>
    </w:p>
    <w:p w14:paraId="7F4A3CFE">
      <w:pPr>
        <w:pStyle w:val="3"/>
        <w:spacing w:before="0" w:after="0" w:line="360" w:lineRule="auto"/>
        <w:jc w:val="center"/>
        <w:rPr>
          <w:color w:val="000000"/>
          <w:sz w:val="30"/>
        </w:rPr>
      </w:pPr>
      <w:r>
        <w:rPr>
          <w:color w:val="000000"/>
          <w:szCs w:val="21"/>
        </w:rPr>
        <w:br w:type="page"/>
      </w:r>
      <w:bookmarkStart w:id="8" w:name="_Toc460416585"/>
      <w:bookmarkStart w:id="9" w:name="_Toc460857891"/>
      <w:bookmarkStart w:id="10" w:name="_Toc2021"/>
      <w:r>
        <w:rPr>
          <w:color w:val="000000"/>
          <w:sz w:val="30"/>
        </w:rPr>
        <w:t xml:space="preserve">第二章  </w:t>
      </w:r>
      <w:bookmarkEnd w:id="8"/>
      <w:bookmarkEnd w:id="9"/>
      <w:r>
        <w:rPr>
          <w:rFonts w:hint="eastAsia"/>
          <w:color w:val="000000"/>
          <w:sz w:val="30"/>
        </w:rPr>
        <w:t>供应商须知</w:t>
      </w:r>
      <w:bookmarkEnd w:id="10"/>
    </w:p>
    <w:p w14:paraId="5E12DB0D">
      <w:pPr>
        <w:snapToGrid w:val="0"/>
        <w:spacing w:line="360" w:lineRule="auto"/>
        <w:jc w:val="center"/>
        <w:outlineLvl w:val="0"/>
        <w:rPr>
          <w:rFonts w:ascii="Arial" w:hAnsi="Arial" w:cs="宋体"/>
          <w:b/>
          <w:sz w:val="28"/>
          <w:szCs w:val="28"/>
        </w:rPr>
      </w:pPr>
      <w:bookmarkStart w:id="11" w:name="_Toc5789"/>
      <w:bookmarkStart w:id="12" w:name="_Toc4229"/>
      <w:bookmarkStart w:id="13" w:name="_Toc13352"/>
      <w:bookmarkStart w:id="14" w:name="_Toc5988"/>
      <w:bookmarkStart w:id="15" w:name="_Toc460416331"/>
      <w:bookmarkStart w:id="16" w:name="_Toc304292160"/>
      <w:bookmarkStart w:id="17" w:name="_Toc317685546"/>
      <w:bookmarkStart w:id="18" w:name="_Toc460857892"/>
      <w:bookmarkStart w:id="19" w:name="_Toc460416586"/>
      <w:bookmarkStart w:id="20" w:name="_Toc460416635"/>
      <w:r>
        <w:rPr>
          <w:rFonts w:hint="eastAsia" w:ascii="Arial" w:hAnsi="Arial" w:cs="宋体"/>
          <w:b/>
          <w:sz w:val="28"/>
          <w:szCs w:val="28"/>
        </w:rPr>
        <w:t>前附表</w:t>
      </w:r>
      <w:bookmarkEnd w:id="11"/>
      <w:bookmarkEnd w:id="12"/>
      <w:bookmarkEnd w:id="13"/>
      <w:bookmarkEnd w:id="14"/>
    </w:p>
    <w:tbl>
      <w:tblPr>
        <w:tblStyle w:val="44"/>
        <w:tblW w:w="0" w:type="auto"/>
        <w:tblInd w:w="-20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456"/>
        <w:gridCol w:w="6740"/>
      </w:tblGrid>
      <w:tr w14:paraId="42BF6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5" w:hRule="atLeast"/>
          <w:tblHeader/>
        </w:trPr>
        <w:tc>
          <w:tcPr>
            <w:tcW w:w="750" w:type="dxa"/>
            <w:vAlign w:val="center"/>
          </w:tcPr>
          <w:p w14:paraId="146A6874">
            <w:pPr>
              <w:snapToGrid w:val="0"/>
              <w:spacing w:line="400" w:lineRule="exact"/>
              <w:jc w:val="center"/>
              <w:rPr>
                <w:rFonts w:ascii="Arial" w:hAnsi="Arial" w:cs="宋体"/>
                <w:bCs/>
                <w:szCs w:val="21"/>
              </w:rPr>
            </w:pPr>
            <w:r>
              <w:rPr>
                <w:rFonts w:hint="eastAsia" w:ascii="Arial" w:hAnsi="Arial" w:cs="宋体"/>
                <w:b/>
                <w:szCs w:val="21"/>
              </w:rPr>
              <w:t>序号</w:t>
            </w:r>
          </w:p>
        </w:tc>
        <w:tc>
          <w:tcPr>
            <w:tcW w:w="1456" w:type="dxa"/>
            <w:vAlign w:val="center"/>
          </w:tcPr>
          <w:p w14:paraId="5135DEBD">
            <w:pPr>
              <w:snapToGrid w:val="0"/>
              <w:spacing w:line="400" w:lineRule="exact"/>
              <w:jc w:val="center"/>
              <w:rPr>
                <w:rFonts w:ascii="Arial" w:hAnsi="Arial" w:cs="宋体"/>
                <w:b/>
                <w:szCs w:val="21"/>
              </w:rPr>
            </w:pPr>
            <w:r>
              <w:rPr>
                <w:rFonts w:hint="eastAsia" w:ascii="Arial" w:hAnsi="Arial" w:cs="宋体"/>
                <w:b/>
                <w:szCs w:val="21"/>
              </w:rPr>
              <w:t>事项</w:t>
            </w:r>
          </w:p>
        </w:tc>
        <w:tc>
          <w:tcPr>
            <w:tcW w:w="6740" w:type="dxa"/>
            <w:vAlign w:val="center"/>
          </w:tcPr>
          <w:p w14:paraId="1AAEE622">
            <w:pPr>
              <w:snapToGrid w:val="0"/>
              <w:spacing w:line="400" w:lineRule="exact"/>
              <w:jc w:val="center"/>
              <w:rPr>
                <w:rFonts w:ascii="Arial" w:hAnsi="Arial" w:cs="宋体"/>
                <w:b/>
                <w:szCs w:val="21"/>
              </w:rPr>
            </w:pPr>
            <w:r>
              <w:rPr>
                <w:rFonts w:hint="eastAsia" w:ascii="Arial" w:hAnsi="Arial" w:cs="宋体"/>
                <w:b/>
                <w:szCs w:val="21"/>
              </w:rPr>
              <w:t>本项目的特别规定</w:t>
            </w:r>
          </w:p>
        </w:tc>
      </w:tr>
      <w:tr w14:paraId="25AA3F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4410B2BA">
            <w:pPr>
              <w:snapToGrid w:val="0"/>
              <w:spacing w:line="400" w:lineRule="exact"/>
              <w:jc w:val="center"/>
              <w:rPr>
                <w:rFonts w:ascii="Arial" w:hAnsi="Arial" w:cs="宋体"/>
                <w:bCs/>
                <w:color w:val="auto"/>
                <w:szCs w:val="21"/>
              </w:rPr>
            </w:pPr>
            <w:r>
              <w:rPr>
                <w:rFonts w:hint="eastAsia" w:ascii="Arial" w:hAnsi="Arial" w:cs="宋体"/>
                <w:bCs/>
                <w:color w:val="auto"/>
                <w:szCs w:val="21"/>
              </w:rPr>
              <w:t>1</w:t>
            </w:r>
          </w:p>
        </w:tc>
        <w:tc>
          <w:tcPr>
            <w:tcW w:w="1456" w:type="dxa"/>
            <w:vAlign w:val="center"/>
          </w:tcPr>
          <w:p w14:paraId="4FA56D39">
            <w:pPr>
              <w:snapToGrid w:val="0"/>
              <w:spacing w:line="400" w:lineRule="exact"/>
              <w:jc w:val="center"/>
              <w:rPr>
                <w:rFonts w:ascii="Arial" w:hAnsi="Arial" w:cs="宋体"/>
                <w:b/>
                <w:color w:val="auto"/>
                <w:szCs w:val="21"/>
              </w:rPr>
            </w:pPr>
            <w:r>
              <w:rPr>
                <w:rFonts w:hint="eastAsia" w:ascii="Arial" w:hAnsi="Arial" w:cs="宋体"/>
                <w:b/>
                <w:color w:val="auto"/>
                <w:szCs w:val="21"/>
              </w:rPr>
              <w:t>项目属性与核心产品</w:t>
            </w:r>
          </w:p>
        </w:tc>
        <w:tc>
          <w:tcPr>
            <w:tcW w:w="6740" w:type="dxa"/>
            <w:vAlign w:val="center"/>
          </w:tcPr>
          <w:p w14:paraId="185C13E1">
            <w:pPr>
              <w:snapToGrid w:val="0"/>
              <w:spacing w:line="400" w:lineRule="exact"/>
              <w:rPr>
                <w:rFonts w:ascii="Arial" w:hAnsi="Arial" w:cs="宋体"/>
                <w:color w:val="auto"/>
                <w:szCs w:val="21"/>
              </w:rPr>
            </w:pPr>
            <w:r>
              <w:rPr>
                <w:rFonts w:hint="eastAsia" w:ascii="Arial" w:hAnsi="Arial" w:cs="宋体"/>
                <w:color w:val="auto"/>
                <w:szCs w:val="21"/>
              </w:rPr>
              <w:t>项目属性：</w:t>
            </w:r>
            <w:r>
              <w:rPr>
                <w:rFonts w:hint="eastAsia" w:ascii="Arial" w:hAnsi="Arial" w:cs="宋体"/>
                <w:b/>
                <w:bCs/>
                <w:color w:val="auto"/>
                <w:szCs w:val="21"/>
                <w:u w:val="single"/>
              </w:rPr>
              <w:t>货物类</w:t>
            </w:r>
          </w:p>
          <w:p w14:paraId="1F734EFF">
            <w:pPr>
              <w:snapToGrid w:val="0"/>
              <w:spacing w:line="400" w:lineRule="exact"/>
              <w:rPr>
                <w:rFonts w:ascii="Arial" w:hAnsi="Arial" w:cs="宋体"/>
                <w:color w:val="auto"/>
                <w:szCs w:val="21"/>
              </w:rPr>
            </w:pPr>
            <w:r>
              <w:rPr>
                <w:rFonts w:hint="eastAsia" w:ascii="Arial" w:hAnsi="Arial" w:cs="宋体"/>
                <w:color w:val="auto"/>
                <w:szCs w:val="21"/>
              </w:rPr>
              <w:t>核心产品为：</w:t>
            </w:r>
            <w:r>
              <w:rPr>
                <w:rFonts w:hint="eastAsia" w:ascii="Arial" w:hAnsi="Arial" w:cs="宋体"/>
                <w:b/>
                <w:bCs/>
                <w:color w:val="auto"/>
                <w:szCs w:val="21"/>
                <w:u w:val="single"/>
              </w:rPr>
              <w:t>净气型易燃品毒害品储存柜</w:t>
            </w:r>
          </w:p>
        </w:tc>
      </w:tr>
      <w:tr w14:paraId="297447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0F47EBC3">
            <w:pPr>
              <w:snapToGrid w:val="0"/>
              <w:spacing w:line="400" w:lineRule="exact"/>
              <w:jc w:val="center"/>
              <w:rPr>
                <w:rFonts w:ascii="Arial" w:hAnsi="Arial" w:cs="宋体"/>
                <w:bCs/>
                <w:color w:val="auto"/>
                <w:szCs w:val="21"/>
              </w:rPr>
            </w:pPr>
            <w:r>
              <w:rPr>
                <w:rFonts w:hint="eastAsia" w:ascii="Arial" w:hAnsi="Arial" w:cs="宋体"/>
                <w:bCs/>
                <w:color w:val="auto"/>
                <w:szCs w:val="21"/>
              </w:rPr>
              <w:t>2</w:t>
            </w:r>
          </w:p>
        </w:tc>
        <w:tc>
          <w:tcPr>
            <w:tcW w:w="1456" w:type="dxa"/>
            <w:vAlign w:val="center"/>
          </w:tcPr>
          <w:p w14:paraId="552C55F4">
            <w:pPr>
              <w:snapToGrid w:val="0"/>
              <w:spacing w:line="400" w:lineRule="exact"/>
              <w:jc w:val="center"/>
              <w:rPr>
                <w:rFonts w:ascii="Arial" w:hAnsi="Arial" w:cs="宋体"/>
                <w:b/>
                <w:color w:val="auto"/>
                <w:szCs w:val="21"/>
              </w:rPr>
            </w:pPr>
            <w:r>
              <w:rPr>
                <w:rFonts w:hint="eastAsia" w:ascii="Arial" w:hAnsi="Arial" w:cs="宋体"/>
                <w:b/>
                <w:color w:val="auto"/>
                <w:szCs w:val="21"/>
              </w:rPr>
              <w:t>采购标的及其对应的中小企业划分标准所属行业</w:t>
            </w:r>
          </w:p>
        </w:tc>
        <w:tc>
          <w:tcPr>
            <w:tcW w:w="6740" w:type="dxa"/>
            <w:vAlign w:val="center"/>
          </w:tcPr>
          <w:p w14:paraId="20EA61BC">
            <w:pPr>
              <w:snapToGrid w:val="0"/>
              <w:spacing w:line="400" w:lineRule="exact"/>
              <w:rPr>
                <w:rFonts w:ascii="Arial" w:hAnsi="Arial" w:cs="宋体"/>
                <w:b/>
                <w:bCs/>
                <w:color w:val="auto"/>
                <w:kern w:val="0"/>
                <w:szCs w:val="21"/>
              </w:rPr>
            </w:pPr>
            <w:r>
              <w:rPr>
                <w:rFonts w:hint="eastAsia" w:ascii="Arial" w:hAnsi="Arial" w:cs="宋体"/>
                <w:b/>
                <w:bCs/>
                <w:color w:val="auto"/>
                <w:kern w:val="0"/>
                <w:szCs w:val="21"/>
              </w:rPr>
              <w:t>（1）</w:t>
            </w:r>
            <w:r>
              <w:rPr>
                <w:rFonts w:hint="eastAsia" w:ascii="Arial" w:hAnsi="Arial" w:cs="宋体"/>
                <w:b/>
                <w:bCs/>
                <w:color w:val="auto"/>
                <w:szCs w:val="21"/>
              </w:rPr>
              <w:t>本项目专门面向中小企业采购。</w:t>
            </w:r>
          </w:p>
          <w:p w14:paraId="5AB438F2">
            <w:pPr>
              <w:snapToGrid w:val="0"/>
              <w:spacing w:line="400" w:lineRule="exact"/>
              <w:rPr>
                <w:rFonts w:hint="eastAsia" w:ascii="宋体" w:hAnsi="宋体" w:cs="宋体"/>
                <w:color w:val="auto"/>
              </w:rPr>
            </w:pPr>
            <w:r>
              <w:rPr>
                <w:rFonts w:hint="eastAsia" w:ascii="Arial" w:hAnsi="Arial" w:cs="宋体"/>
                <w:color w:val="auto"/>
                <w:kern w:val="0"/>
                <w:szCs w:val="21"/>
              </w:rPr>
              <w:t>（2）标的：</w:t>
            </w:r>
            <w:r>
              <w:rPr>
                <w:rFonts w:hint="eastAsia" w:ascii="Arial" w:hAnsi="Arial" w:cs="宋体"/>
                <w:color w:val="auto"/>
                <w:kern w:val="0"/>
                <w:szCs w:val="21"/>
                <w:u w:val="single"/>
              </w:rPr>
              <w:t>标的名称清单详见采购文件第六章“中小企业声明函（货物）”</w:t>
            </w:r>
            <w:r>
              <w:rPr>
                <w:rFonts w:hint="eastAsia" w:ascii="Arial" w:hAnsi="Arial" w:cs="宋体"/>
                <w:color w:val="auto"/>
                <w:kern w:val="0"/>
                <w:szCs w:val="21"/>
              </w:rPr>
              <w:t>；</w:t>
            </w:r>
            <w:r>
              <w:rPr>
                <w:rFonts w:hint="eastAsia" w:ascii="宋体" w:hAnsi="宋体" w:cs="宋体"/>
                <w:color w:val="auto"/>
              </w:rPr>
              <w:t>采购标的对应的中小企业划分标准所属行业为</w:t>
            </w:r>
            <w:r>
              <w:rPr>
                <w:rFonts w:hint="eastAsia" w:ascii="宋体" w:hAnsi="宋体" w:cs="宋体"/>
                <w:b/>
                <w:color w:val="auto"/>
              </w:rPr>
              <w:t>：</w:t>
            </w:r>
            <w:r>
              <w:rPr>
                <w:rFonts w:hint="eastAsia" w:ascii="宋体" w:hAnsi="宋体" w:cs="宋体"/>
                <w:b/>
                <w:color w:val="auto"/>
                <w:u w:val="single"/>
              </w:rPr>
              <w:t xml:space="preserve">工业 </w:t>
            </w:r>
            <w:r>
              <w:rPr>
                <w:rFonts w:hint="eastAsia" w:ascii="宋体" w:hAnsi="宋体" w:cs="宋体"/>
                <w:color w:val="auto"/>
              </w:rPr>
              <w:t>。</w:t>
            </w:r>
          </w:p>
          <w:p w14:paraId="4EF978F9">
            <w:pPr>
              <w:snapToGrid w:val="0"/>
              <w:spacing w:line="400" w:lineRule="exact"/>
              <w:rPr>
                <w:rFonts w:ascii="Arial" w:hAnsi="Arial" w:cs="宋体"/>
                <w:color w:val="auto"/>
                <w:kern w:val="0"/>
                <w:szCs w:val="21"/>
              </w:rPr>
            </w:pPr>
            <w:r>
              <w:rPr>
                <w:rFonts w:hint="eastAsia" w:ascii="Arial" w:hAnsi="Arial" w:cs="宋体"/>
                <w:color w:val="auto"/>
                <w:kern w:val="0"/>
                <w:szCs w:val="21"/>
              </w:rPr>
              <w:t>注：根据《关于印发中小企业划型标准规定的通知》（工信部联企业〔2011〕300号）的规定：</w:t>
            </w:r>
          </w:p>
          <w:p w14:paraId="53A2D939">
            <w:pPr>
              <w:snapToGrid w:val="0"/>
              <w:spacing w:line="400" w:lineRule="exact"/>
              <w:rPr>
                <w:rFonts w:ascii="Arial" w:hAnsi="Arial" w:cs="宋体"/>
                <w:b/>
                <w:bCs/>
                <w:color w:val="auto"/>
                <w:szCs w:val="21"/>
              </w:rPr>
            </w:pPr>
            <w:r>
              <w:rPr>
                <w:rFonts w:hint="eastAsia" w:ascii="Arial" w:hAnsi="Arial" w:cs="宋体"/>
                <w:b/>
                <w:color w:val="auto"/>
                <w:kern w:val="44"/>
                <w:szCs w:val="21"/>
                <w:u w:val="single"/>
              </w:rPr>
              <w:t>工业</w:t>
            </w:r>
            <w:r>
              <w:rPr>
                <w:rFonts w:hint="eastAsia" w:ascii="Arial" w:hAnsi="Arial" w:cs="宋体"/>
                <w:color w:val="auto"/>
                <w:kern w:val="0"/>
                <w:szCs w:val="21"/>
              </w:rPr>
              <w:t>行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116C44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6CEFC916">
            <w:pPr>
              <w:snapToGrid w:val="0"/>
              <w:spacing w:line="400" w:lineRule="exact"/>
              <w:jc w:val="center"/>
              <w:rPr>
                <w:rFonts w:ascii="Arial" w:hAnsi="Arial" w:cs="宋体"/>
                <w:bCs/>
                <w:szCs w:val="21"/>
              </w:rPr>
            </w:pPr>
            <w:r>
              <w:rPr>
                <w:rFonts w:hint="eastAsia" w:ascii="Arial" w:hAnsi="Arial" w:cs="宋体"/>
                <w:bCs/>
                <w:szCs w:val="21"/>
              </w:rPr>
              <w:t>3</w:t>
            </w:r>
          </w:p>
        </w:tc>
        <w:tc>
          <w:tcPr>
            <w:tcW w:w="1456" w:type="dxa"/>
            <w:vAlign w:val="center"/>
          </w:tcPr>
          <w:p w14:paraId="46024522">
            <w:pPr>
              <w:snapToGrid w:val="0"/>
              <w:spacing w:line="400" w:lineRule="exact"/>
              <w:jc w:val="center"/>
              <w:rPr>
                <w:rFonts w:ascii="Arial" w:hAnsi="Arial" w:cs="宋体"/>
                <w:b/>
                <w:szCs w:val="21"/>
              </w:rPr>
            </w:pPr>
            <w:r>
              <w:rPr>
                <w:rFonts w:hint="eastAsia" w:ascii="Arial" w:hAnsi="Arial" w:cs="宋体"/>
                <w:b/>
                <w:szCs w:val="21"/>
              </w:rPr>
              <w:t>是否允许采购进口产品</w:t>
            </w:r>
          </w:p>
        </w:tc>
        <w:tc>
          <w:tcPr>
            <w:tcW w:w="6740" w:type="dxa"/>
            <w:vAlign w:val="center"/>
          </w:tcPr>
          <w:p w14:paraId="6022F1CE">
            <w:pPr>
              <w:snapToGrid w:val="0"/>
              <w:spacing w:line="400" w:lineRule="exact"/>
              <w:rPr>
                <w:rFonts w:ascii="Arial" w:hAnsi="Arial" w:cs="宋体"/>
                <w:b/>
                <w:bCs/>
                <w:kern w:val="0"/>
                <w:szCs w:val="21"/>
              </w:rPr>
            </w:pPr>
            <w:r>
              <w:rPr>
                <w:rFonts w:hint="eastAsia" w:ascii="Arial" w:hAnsi="Arial" w:cs="宋体"/>
                <w:b/>
                <w:bCs/>
                <w:kern w:val="0"/>
                <w:szCs w:val="21"/>
              </w:rPr>
              <w:t>■本项目不允许采购进口产品</w:t>
            </w:r>
          </w:p>
          <w:p w14:paraId="37A35E7A">
            <w:pPr>
              <w:snapToGrid w:val="0"/>
              <w:spacing w:line="400" w:lineRule="exact"/>
              <w:rPr>
                <w:rFonts w:ascii="Arial" w:hAnsi="Arial" w:cs="宋体"/>
                <w:szCs w:val="21"/>
              </w:rPr>
            </w:pPr>
            <w:r>
              <w:rPr>
                <w:rFonts w:hint="eastAsia" w:ascii="Arial" w:hAnsi="Arial" w:cs="宋体"/>
                <w:kern w:val="0"/>
                <w:szCs w:val="21"/>
              </w:rPr>
              <w:t>□可以就</w:t>
            </w:r>
            <w:r>
              <w:rPr>
                <w:rFonts w:hint="eastAsia" w:ascii="Arial" w:hAnsi="Arial" w:cs="宋体"/>
                <w:szCs w:val="21"/>
                <w:u w:val="single"/>
              </w:rPr>
              <w:t>/</w:t>
            </w:r>
            <w:r>
              <w:rPr>
                <w:rFonts w:hint="eastAsia" w:ascii="Arial" w:hAnsi="Arial" w:cs="宋体"/>
                <w:kern w:val="0"/>
                <w:szCs w:val="21"/>
              </w:rPr>
              <w:t>采购进口产品</w:t>
            </w:r>
          </w:p>
        </w:tc>
      </w:tr>
      <w:tr w14:paraId="7C7393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0194E485">
            <w:pPr>
              <w:snapToGrid w:val="0"/>
              <w:jc w:val="center"/>
              <w:rPr>
                <w:rFonts w:ascii="Arial" w:hAnsi="Arial" w:cs="宋体"/>
                <w:bCs/>
                <w:szCs w:val="21"/>
              </w:rPr>
            </w:pPr>
            <w:r>
              <w:rPr>
                <w:rFonts w:hint="eastAsia" w:ascii="宋体" w:hAnsi="宋体" w:cs="宋体"/>
                <w:b/>
                <w:bCs/>
                <w:sz w:val="24"/>
              </w:rPr>
              <w:t>4</w:t>
            </w:r>
          </w:p>
        </w:tc>
        <w:tc>
          <w:tcPr>
            <w:tcW w:w="1456" w:type="dxa"/>
            <w:vAlign w:val="center"/>
          </w:tcPr>
          <w:p w14:paraId="480F7318">
            <w:pPr>
              <w:snapToGrid w:val="0"/>
              <w:jc w:val="center"/>
              <w:rPr>
                <w:rFonts w:ascii="Arial" w:hAnsi="Arial" w:cs="宋体"/>
                <w:b/>
                <w:szCs w:val="21"/>
              </w:rPr>
            </w:pPr>
            <w:r>
              <w:rPr>
                <w:rFonts w:hint="eastAsia" w:ascii="宋体" w:hAnsi="宋体" w:cs="宋体"/>
                <w:b/>
                <w:sz w:val="24"/>
              </w:rPr>
              <w:t>支持本国产品</w:t>
            </w:r>
          </w:p>
        </w:tc>
        <w:tc>
          <w:tcPr>
            <w:tcW w:w="6740" w:type="dxa"/>
            <w:vAlign w:val="center"/>
          </w:tcPr>
          <w:p w14:paraId="13BF4314">
            <w:pPr>
              <w:snapToGrid w:val="0"/>
              <w:spacing w:line="400" w:lineRule="exact"/>
              <w:rPr>
                <w:rFonts w:ascii="Arial" w:hAnsi="Arial" w:cs="宋体"/>
                <w:kern w:val="0"/>
                <w:szCs w:val="21"/>
              </w:rPr>
            </w:pPr>
            <w:r>
              <w:rPr>
                <w:rFonts w:hint="eastAsia" w:ascii="宋体" w:hAnsi="宋体" w:cs="宋体"/>
                <w:kern w:val="0"/>
                <w:sz w:val="24"/>
              </w:rPr>
              <w:t>（</w:t>
            </w:r>
            <w:r>
              <w:rPr>
                <w:rFonts w:hint="eastAsia" w:ascii="Arial" w:hAnsi="Arial" w:cs="宋体"/>
                <w:kern w:val="0"/>
                <w:szCs w:val="21"/>
              </w:rPr>
              <w:t>1）本国产品标准的适用范围：</w:t>
            </w:r>
          </w:p>
          <w:p w14:paraId="2B7D0FAA">
            <w:pPr>
              <w:snapToGrid w:val="0"/>
              <w:spacing w:line="400" w:lineRule="exact"/>
              <w:rPr>
                <w:rFonts w:ascii="Arial" w:hAnsi="Arial" w:cs="宋体"/>
                <w:kern w:val="0"/>
                <w:szCs w:val="21"/>
              </w:rPr>
            </w:pPr>
            <w:r>
              <w:rPr>
                <w:rFonts w:hint="eastAsia" w:ascii="Arial" w:hAnsi="Arial" w:cs="宋体"/>
                <w:kern w:val="0"/>
                <w:szCs w:val="21"/>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7CEA57A">
            <w:pPr>
              <w:snapToGrid w:val="0"/>
              <w:spacing w:line="400" w:lineRule="exact"/>
              <w:rPr>
                <w:rFonts w:ascii="Arial" w:hAnsi="Arial" w:cs="宋体"/>
                <w:kern w:val="0"/>
                <w:szCs w:val="21"/>
              </w:rPr>
            </w:pPr>
            <w:r>
              <w:rPr>
                <w:rFonts w:hint="eastAsia" w:ascii="Arial" w:hAnsi="Arial" w:cs="宋体"/>
                <w:kern w:val="0"/>
                <w:szCs w:val="21"/>
              </w:rPr>
              <w:t>（2）本采购项目：</w:t>
            </w:r>
          </w:p>
          <w:p w14:paraId="4DAF266A">
            <w:pPr>
              <w:snapToGrid w:val="0"/>
              <w:spacing w:line="400" w:lineRule="exact"/>
              <w:rPr>
                <w:rFonts w:ascii="Arial" w:hAnsi="Arial" w:cs="宋体"/>
                <w:kern w:val="0"/>
                <w:szCs w:val="21"/>
              </w:rPr>
            </w:pPr>
            <w:r>
              <w:rPr>
                <w:rFonts w:hint="eastAsia" w:ascii="Arial" w:hAnsi="Arial" w:cs="宋体"/>
                <w:kern w:val="0"/>
                <w:szCs w:val="21"/>
              </w:rPr>
              <w:t>☐不适用本国产品标准及相关政策。</w:t>
            </w:r>
          </w:p>
          <w:p w14:paraId="53619C54">
            <w:pPr>
              <w:widowControl/>
              <w:rPr>
                <w:rFonts w:hint="eastAsia" w:ascii="宋体" w:hAnsi="宋体" w:cs="宋体"/>
                <w:kern w:val="0"/>
                <w:sz w:val="22"/>
                <w:szCs w:val="22"/>
              </w:rPr>
            </w:pPr>
            <w:r>
              <w:rPr>
                <w:rFonts w:hint="eastAsia" w:ascii="宋体" w:hAnsi="宋体" w:cs="宋体"/>
                <w:kern w:val="0"/>
                <w:sz w:val="22"/>
                <w:szCs w:val="22"/>
              </w:rPr>
              <w:t>■适用本国产品标准及相关政策。</w:t>
            </w:r>
          </w:p>
          <w:p w14:paraId="62B72AF7">
            <w:pPr>
              <w:widowControl/>
              <w:rPr>
                <w:rFonts w:hint="eastAsia" w:ascii="宋体" w:hAnsi="宋体" w:cs="宋体"/>
                <w:kern w:val="0"/>
                <w:sz w:val="22"/>
                <w:szCs w:val="22"/>
              </w:rPr>
            </w:pPr>
            <w:r>
              <w:rPr>
                <w:rFonts w:hint="eastAsia" w:ascii="宋体" w:hAnsi="宋体" w:cs="宋体"/>
                <w:kern w:val="0"/>
                <w:sz w:val="22"/>
                <w:szCs w:val="22"/>
              </w:rPr>
              <w:t>（3）本国产品标准：</w:t>
            </w:r>
          </w:p>
          <w:p w14:paraId="27F82784">
            <w:pPr>
              <w:widowControl/>
              <w:ind w:firstLine="440" w:firstLineChars="200"/>
              <w:rPr>
                <w:rFonts w:hint="eastAsia" w:ascii="宋体" w:hAnsi="宋体" w:cs="宋体"/>
                <w:kern w:val="0"/>
                <w:sz w:val="22"/>
                <w:szCs w:val="22"/>
              </w:rPr>
            </w:pPr>
            <w:r>
              <w:rPr>
                <w:rFonts w:hint="eastAsia" w:ascii="宋体" w:hAnsi="宋体" w:cs="宋体"/>
                <w:kern w:val="0"/>
                <w:sz w:val="22"/>
                <w:szCs w:val="22"/>
              </w:rPr>
              <w:t>①产品在中国境内生产；</w:t>
            </w:r>
          </w:p>
          <w:p w14:paraId="7610A800">
            <w:pPr>
              <w:widowControl/>
              <w:ind w:firstLine="440" w:firstLineChars="200"/>
              <w:rPr>
                <w:rFonts w:hint="eastAsia" w:ascii="宋体" w:hAnsi="宋体" w:cs="宋体"/>
                <w:kern w:val="0"/>
                <w:sz w:val="22"/>
                <w:szCs w:val="22"/>
              </w:rPr>
            </w:pPr>
            <w:r>
              <w:rPr>
                <w:rFonts w:hint="eastAsia" w:ascii="宋体" w:hAnsi="宋体" w:cs="宋体"/>
                <w:kern w:val="0"/>
                <w:sz w:val="22"/>
                <w:szCs w:val="22"/>
              </w:rPr>
              <w:t>②产品在中国境内生产的组件成本占比达到规定比例：尚未实施。</w:t>
            </w:r>
          </w:p>
          <w:p w14:paraId="7809F8EA">
            <w:pPr>
              <w:widowControl/>
              <w:ind w:firstLine="440" w:firstLineChars="200"/>
              <w:rPr>
                <w:rFonts w:hint="eastAsia" w:ascii="宋体" w:hAnsi="宋体" w:cs="宋体"/>
                <w:kern w:val="0"/>
                <w:sz w:val="22"/>
                <w:szCs w:val="22"/>
              </w:rPr>
            </w:pPr>
            <w:r>
              <w:rPr>
                <w:rFonts w:hint="eastAsia" w:ascii="宋体" w:hAnsi="宋体" w:cs="宋体"/>
                <w:kern w:val="0"/>
                <w:sz w:val="22"/>
                <w:szCs w:val="22"/>
              </w:rPr>
              <w:t>③特定产品的关键组件、关键工序符合相关要求：尚未实施。</w:t>
            </w:r>
          </w:p>
          <w:p w14:paraId="319F1F05">
            <w:pPr>
              <w:widowControl/>
              <w:rPr>
                <w:rFonts w:hint="eastAsia" w:ascii="宋体" w:hAnsi="宋体" w:cs="宋体"/>
                <w:kern w:val="0"/>
                <w:sz w:val="22"/>
                <w:szCs w:val="22"/>
              </w:rPr>
            </w:pPr>
            <w:r>
              <w:rPr>
                <w:rFonts w:hint="eastAsia" w:ascii="宋体" w:hAnsi="宋体" w:cs="宋体"/>
                <w:kern w:val="0"/>
                <w:sz w:val="22"/>
                <w:szCs w:val="22"/>
              </w:rPr>
              <w:t>（4）对本国产品的支持政策：</w:t>
            </w:r>
          </w:p>
          <w:p w14:paraId="4075DFF4">
            <w:pPr>
              <w:widowControl/>
              <w:ind w:firstLine="440" w:firstLineChars="200"/>
              <w:rPr>
                <w:rFonts w:hint="eastAsia" w:ascii="宋体" w:hAnsi="宋体" w:cs="宋体"/>
                <w:kern w:val="0"/>
                <w:sz w:val="22"/>
                <w:szCs w:val="22"/>
              </w:rPr>
            </w:pPr>
            <w:r>
              <w:rPr>
                <w:rFonts w:hint="eastAsia" w:ascii="宋体" w:hAnsi="宋体" w:cs="宋体"/>
                <w:kern w:val="0"/>
                <w:sz w:val="22"/>
                <w:szCs w:val="22"/>
              </w:rPr>
              <w:t>政府采购活动中既有本国产品又有非本国产品参与竞争的，依法对本国产品给予价格评审优惠，对本国产品的报价给予的价格扣除，用扣除后的价格参与评审。</w:t>
            </w:r>
          </w:p>
          <w:p w14:paraId="051D6504">
            <w:pPr>
              <w:widowControl/>
              <w:ind w:firstLine="440" w:firstLineChars="200"/>
              <w:rPr>
                <w:rFonts w:hint="eastAsia" w:ascii="宋体" w:hAnsi="宋体" w:cs="宋体"/>
                <w:kern w:val="0"/>
                <w:sz w:val="22"/>
                <w:szCs w:val="22"/>
              </w:rPr>
            </w:pPr>
            <w:r>
              <w:rPr>
                <w:rFonts w:hint="eastAsia" w:ascii="宋体" w:hAnsi="宋体" w:cs="宋体"/>
                <w:kern w:val="0"/>
                <w:sz w:val="22"/>
                <w:szCs w:val="22"/>
              </w:rPr>
              <w:t>当采购项目或者采购包中含有多种产品，投标人为该采购项目或者采购包提供的符合本国产品标准的产品成本之和占该投标人提供的全部产品成本之和的比例达到以上时，依法对该投标人提供的全部产品给予价格评审优惠，即对该投标人提供的全部产品的总报价给予的价格扣除，用扣除后的价格参与评审。</w:t>
            </w:r>
          </w:p>
          <w:p w14:paraId="53B907F8">
            <w:pPr>
              <w:rPr>
                <w:rFonts w:ascii="Arial" w:hAnsi="Arial" w:cs="宋体"/>
                <w:kern w:val="0"/>
                <w:szCs w:val="21"/>
              </w:rPr>
            </w:pPr>
            <w:r>
              <w:rPr>
                <w:rFonts w:hint="eastAsia" w:ascii="宋体" w:hAnsi="宋体" w:cs="宋体"/>
                <w:kern w:val="0"/>
                <w:sz w:val="22"/>
                <w:szCs w:val="22"/>
              </w:rPr>
              <w:t>（5）出具符合要求的《关于符合本国产品标准的声明函》（格式见第六部分）或财政部会同有关部门规定的有关证明文件的，该产品视为本国产品。</w:t>
            </w:r>
          </w:p>
        </w:tc>
      </w:tr>
      <w:tr w14:paraId="1A4A83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78FA1016">
            <w:pPr>
              <w:snapToGrid w:val="0"/>
              <w:spacing w:line="400" w:lineRule="exact"/>
              <w:jc w:val="center"/>
              <w:rPr>
                <w:rFonts w:ascii="Arial" w:hAnsi="Arial" w:cs="宋体"/>
                <w:bCs/>
                <w:szCs w:val="21"/>
              </w:rPr>
            </w:pPr>
            <w:r>
              <w:rPr>
                <w:rFonts w:hint="eastAsia" w:ascii="Arial" w:hAnsi="Arial" w:cs="宋体"/>
                <w:bCs/>
                <w:szCs w:val="21"/>
              </w:rPr>
              <w:t>5</w:t>
            </w:r>
          </w:p>
        </w:tc>
        <w:tc>
          <w:tcPr>
            <w:tcW w:w="1456" w:type="dxa"/>
            <w:vAlign w:val="center"/>
          </w:tcPr>
          <w:p w14:paraId="2C481C7F">
            <w:pPr>
              <w:snapToGrid w:val="0"/>
              <w:spacing w:line="400" w:lineRule="exact"/>
              <w:jc w:val="center"/>
              <w:rPr>
                <w:rFonts w:ascii="Arial" w:hAnsi="Arial" w:cs="宋体"/>
                <w:bCs/>
                <w:szCs w:val="21"/>
              </w:rPr>
            </w:pPr>
            <w:r>
              <w:rPr>
                <w:rFonts w:hint="eastAsia" w:ascii="Arial" w:hAnsi="Arial" w:cs="宋体"/>
                <w:b/>
                <w:szCs w:val="21"/>
              </w:rPr>
              <w:t>分包</w:t>
            </w:r>
          </w:p>
        </w:tc>
        <w:tc>
          <w:tcPr>
            <w:tcW w:w="6740" w:type="dxa"/>
            <w:vAlign w:val="center"/>
          </w:tcPr>
          <w:p w14:paraId="6579FB64">
            <w:pPr>
              <w:snapToGrid w:val="0"/>
              <w:spacing w:line="400" w:lineRule="exact"/>
              <w:rPr>
                <w:rFonts w:ascii="Arial" w:hAnsi="Arial" w:cs="宋体"/>
                <w:bCs/>
                <w:szCs w:val="21"/>
              </w:rPr>
            </w:pPr>
            <w:r>
              <w:rPr>
                <w:rFonts w:hint="eastAsia" w:ascii="Arial" w:hAnsi="Arial" w:cs="宋体"/>
                <w:kern w:val="0"/>
                <w:szCs w:val="21"/>
              </w:rPr>
              <w:t>□</w:t>
            </w:r>
            <w:r>
              <w:rPr>
                <w:rFonts w:hint="eastAsia" w:ascii="Arial" w:hAnsi="Arial" w:cs="宋体"/>
                <w:b/>
                <w:szCs w:val="21"/>
              </w:rPr>
              <w:t>经采购人同意后，大中型企业可以向小微企业合理分包。</w:t>
            </w:r>
          </w:p>
          <w:p w14:paraId="13AE2191">
            <w:pPr>
              <w:snapToGrid w:val="0"/>
              <w:spacing w:line="400" w:lineRule="exact"/>
              <w:rPr>
                <w:rFonts w:ascii="Arial" w:hAnsi="Arial" w:cs="宋体"/>
                <w:bCs/>
                <w:szCs w:val="21"/>
              </w:rPr>
            </w:pPr>
            <w:r>
              <w:rPr>
                <w:rFonts w:hint="eastAsia" w:ascii="Arial" w:hAnsi="Arial" w:cs="宋体"/>
                <w:bCs/>
                <w:kern w:val="0"/>
                <w:szCs w:val="21"/>
              </w:rPr>
              <w:t>■</w:t>
            </w:r>
            <w:r>
              <w:rPr>
                <w:rFonts w:hint="eastAsia" w:ascii="Arial" w:hAnsi="Arial" w:cs="宋体"/>
                <w:kern w:val="0"/>
                <w:szCs w:val="21"/>
              </w:rPr>
              <w:t>不</w:t>
            </w:r>
            <w:r>
              <w:rPr>
                <w:rFonts w:hint="eastAsia" w:ascii="Arial" w:hAnsi="Arial" w:cs="宋体"/>
                <w:bCs/>
                <w:szCs w:val="21"/>
              </w:rPr>
              <w:t>同意分包</w:t>
            </w:r>
          </w:p>
        </w:tc>
      </w:tr>
      <w:tr w14:paraId="2713F3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379B1F33">
            <w:pPr>
              <w:snapToGrid w:val="0"/>
              <w:spacing w:line="400" w:lineRule="exact"/>
              <w:jc w:val="center"/>
              <w:rPr>
                <w:rFonts w:ascii="Arial" w:hAnsi="Arial" w:cs="宋体"/>
                <w:bCs/>
                <w:szCs w:val="21"/>
              </w:rPr>
            </w:pPr>
            <w:r>
              <w:rPr>
                <w:rFonts w:hint="eastAsia" w:ascii="Arial" w:hAnsi="Arial" w:cs="宋体"/>
                <w:bCs/>
                <w:szCs w:val="21"/>
              </w:rPr>
              <w:t>6</w:t>
            </w:r>
          </w:p>
        </w:tc>
        <w:tc>
          <w:tcPr>
            <w:tcW w:w="1456" w:type="dxa"/>
            <w:vAlign w:val="center"/>
          </w:tcPr>
          <w:p w14:paraId="5508AA4A">
            <w:pPr>
              <w:snapToGrid w:val="0"/>
              <w:spacing w:line="400" w:lineRule="exact"/>
              <w:jc w:val="center"/>
              <w:rPr>
                <w:rFonts w:ascii="Arial" w:hAnsi="Arial" w:cs="宋体"/>
                <w:b/>
                <w:szCs w:val="21"/>
              </w:rPr>
            </w:pPr>
            <w:r>
              <w:rPr>
                <w:rFonts w:hint="eastAsia" w:ascii="Arial" w:hAnsi="Arial" w:cs="宋体"/>
                <w:b/>
                <w:szCs w:val="21"/>
              </w:rPr>
              <w:t>开标前答疑会或现场考察</w:t>
            </w:r>
          </w:p>
        </w:tc>
        <w:tc>
          <w:tcPr>
            <w:tcW w:w="6740" w:type="dxa"/>
            <w:vAlign w:val="center"/>
          </w:tcPr>
          <w:p w14:paraId="4879ACA7">
            <w:pPr>
              <w:snapToGrid w:val="0"/>
              <w:spacing w:line="400" w:lineRule="exact"/>
              <w:rPr>
                <w:rFonts w:ascii="Arial" w:hAnsi="Arial"/>
                <w:b/>
                <w:bCs/>
              </w:rPr>
            </w:pPr>
            <w:r>
              <w:rPr>
                <w:rFonts w:hint="eastAsia" w:ascii="Arial" w:hAnsi="Arial"/>
                <w:b/>
                <w:bCs/>
              </w:rPr>
              <w:t>■不组织</w:t>
            </w:r>
          </w:p>
          <w:p w14:paraId="7EE15F5A">
            <w:pPr>
              <w:snapToGrid w:val="0"/>
              <w:spacing w:line="400" w:lineRule="exact"/>
              <w:rPr>
                <w:rFonts w:ascii="Arial" w:hAnsi="Arial"/>
              </w:rPr>
            </w:pPr>
            <w:r>
              <w:rPr>
                <w:rFonts w:hint="eastAsia" w:ascii="Arial" w:hAnsi="Arial"/>
              </w:rPr>
              <w:t>□组织</w:t>
            </w:r>
          </w:p>
        </w:tc>
      </w:tr>
      <w:tr w14:paraId="5B78E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4383E0CA">
            <w:pPr>
              <w:snapToGrid w:val="0"/>
              <w:spacing w:line="400" w:lineRule="exact"/>
              <w:jc w:val="center"/>
              <w:rPr>
                <w:rFonts w:ascii="Arial" w:hAnsi="Arial" w:cs="宋体"/>
                <w:bCs/>
                <w:szCs w:val="21"/>
              </w:rPr>
            </w:pPr>
            <w:r>
              <w:rPr>
                <w:rFonts w:hint="eastAsia" w:ascii="Arial" w:hAnsi="Arial" w:cs="宋体"/>
                <w:bCs/>
                <w:szCs w:val="21"/>
              </w:rPr>
              <w:t>7</w:t>
            </w:r>
          </w:p>
        </w:tc>
        <w:tc>
          <w:tcPr>
            <w:tcW w:w="1456" w:type="dxa"/>
            <w:vAlign w:val="center"/>
          </w:tcPr>
          <w:p w14:paraId="355381D8">
            <w:pPr>
              <w:snapToGrid w:val="0"/>
              <w:spacing w:line="400" w:lineRule="exact"/>
              <w:jc w:val="center"/>
              <w:rPr>
                <w:rFonts w:ascii="Arial" w:hAnsi="Arial" w:cs="宋体"/>
                <w:b/>
                <w:szCs w:val="21"/>
              </w:rPr>
            </w:pPr>
            <w:r>
              <w:rPr>
                <w:rFonts w:hint="eastAsia" w:ascii="Arial" w:hAnsi="Arial" w:cs="宋体"/>
                <w:b/>
                <w:szCs w:val="21"/>
              </w:rPr>
              <w:t>样品提供</w:t>
            </w:r>
          </w:p>
        </w:tc>
        <w:tc>
          <w:tcPr>
            <w:tcW w:w="6740" w:type="dxa"/>
            <w:vAlign w:val="center"/>
          </w:tcPr>
          <w:p w14:paraId="5FA91ADA">
            <w:pPr>
              <w:snapToGrid w:val="0"/>
              <w:spacing w:line="400" w:lineRule="exact"/>
              <w:rPr>
                <w:rFonts w:ascii="Arial" w:hAnsi="Arial" w:cs="宋体"/>
                <w:szCs w:val="21"/>
              </w:rPr>
            </w:pPr>
            <w:r>
              <w:rPr>
                <w:rFonts w:hint="eastAsia" w:ascii="Arial" w:hAnsi="Arial" w:cs="宋体"/>
                <w:kern w:val="0"/>
                <w:szCs w:val="21"/>
              </w:rPr>
              <w:t xml:space="preserve">□ </w:t>
            </w:r>
            <w:r>
              <w:rPr>
                <w:rFonts w:hint="eastAsia" w:ascii="Arial" w:hAnsi="Arial" w:cs="宋体"/>
                <w:szCs w:val="21"/>
              </w:rPr>
              <w:t>不要求提供</w:t>
            </w:r>
          </w:p>
          <w:p w14:paraId="7577FFCC">
            <w:pPr>
              <w:snapToGrid w:val="0"/>
              <w:spacing w:line="400" w:lineRule="exact"/>
              <w:rPr>
                <w:rFonts w:ascii="Arial" w:hAnsi="Arial" w:cs="宋体"/>
                <w:b/>
                <w:bCs/>
                <w:color w:val="auto"/>
                <w:kern w:val="0"/>
                <w:szCs w:val="21"/>
              </w:rPr>
            </w:pPr>
            <w:r>
              <w:rPr>
                <w:rFonts w:hint="eastAsia" w:ascii="Arial" w:hAnsi="Arial" w:cs="宋体"/>
                <w:b/>
                <w:bCs/>
                <w:color w:val="auto"/>
                <w:kern w:val="0"/>
                <w:szCs w:val="21"/>
              </w:rPr>
              <w:t>■ 要求提供。</w:t>
            </w:r>
          </w:p>
          <w:p w14:paraId="179D36D0">
            <w:pPr>
              <w:snapToGrid w:val="0"/>
              <w:spacing w:line="400" w:lineRule="exact"/>
              <w:rPr>
                <w:rFonts w:ascii="Arial" w:hAnsi="Arial" w:cs="宋体"/>
                <w:b/>
                <w:bCs/>
                <w:color w:val="auto"/>
                <w:kern w:val="0"/>
              </w:rPr>
            </w:pPr>
            <w:r>
              <w:rPr>
                <w:rFonts w:hint="eastAsia" w:ascii="Arial" w:hAnsi="Arial" w:cs="宋体"/>
                <w:color w:val="auto"/>
                <w:kern w:val="0"/>
              </w:rPr>
              <w:t>（1）</w:t>
            </w:r>
            <w:r>
              <w:rPr>
                <w:rFonts w:hint="eastAsia" w:ascii="Arial" w:hAnsi="Arial" w:cs="宋体"/>
                <w:snapToGrid w:val="0"/>
                <w:color w:val="auto"/>
                <w:kern w:val="28"/>
              </w:rPr>
              <w:t>样品：</w:t>
            </w:r>
            <w:r>
              <w:rPr>
                <w:rFonts w:hint="eastAsia" w:ascii="Arial" w:hAnsi="Arial" w:cs="宋体"/>
                <w:b/>
                <w:bCs/>
                <w:snapToGrid w:val="0"/>
                <w:color w:val="auto"/>
                <w:kern w:val="28"/>
                <w:u w:val="single"/>
              </w:rPr>
              <w:t>教师实验课椅、生物学生专用实践设备、实验凳、能量的主题实验箱</w:t>
            </w:r>
            <w:r>
              <w:rPr>
                <w:rFonts w:hint="eastAsia" w:ascii="Arial" w:hAnsi="Arial"/>
                <w:b/>
                <w:bCs/>
                <w:color w:val="auto"/>
                <w:szCs w:val="21"/>
              </w:rPr>
              <w:t>。</w:t>
            </w:r>
          </w:p>
          <w:p w14:paraId="054C8D3A">
            <w:pPr>
              <w:snapToGrid w:val="0"/>
              <w:spacing w:line="400" w:lineRule="exact"/>
              <w:rPr>
                <w:rFonts w:ascii="Arial" w:hAnsi="Arial" w:cs="宋体"/>
                <w:kern w:val="0"/>
              </w:rPr>
            </w:pPr>
            <w:r>
              <w:rPr>
                <w:rFonts w:hint="eastAsia" w:ascii="Arial" w:hAnsi="Arial" w:cs="宋体"/>
                <w:color w:val="auto"/>
                <w:kern w:val="0"/>
              </w:rPr>
              <w:t>（2）</w:t>
            </w:r>
            <w:r>
              <w:rPr>
                <w:rFonts w:hint="eastAsia" w:ascii="Arial" w:hAnsi="Arial" w:cs="宋体"/>
                <w:snapToGrid w:val="0"/>
                <w:color w:val="auto"/>
                <w:kern w:val="28"/>
              </w:rPr>
              <w:t>样品制作的标准和</w:t>
            </w:r>
            <w:r>
              <w:rPr>
                <w:rFonts w:hint="eastAsia" w:ascii="Arial" w:hAnsi="Arial" w:cs="宋体"/>
                <w:snapToGrid w:val="0"/>
                <w:kern w:val="28"/>
              </w:rPr>
              <w:t>要求：</w:t>
            </w:r>
            <w:r>
              <w:rPr>
                <w:rFonts w:hint="eastAsia" w:ascii="Arial" w:hAnsi="Arial"/>
                <w:szCs w:val="21"/>
                <w:u w:val="single"/>
              </w:rPr>
              <w:t>详见第三章 采购需求、“技术需求”采购清单及详细技术规格要求</w:t>
            </w:r>
            <w:r>
              <w:rPr>
                <w:rFonts w:hint="eastAsia" w:ascii="Arial" w:hAnsi="Arial" w:cs="宋体"/>
                <w:kern w:val="0"/>
              </w:rPr>
              <w:t>；</w:t>
            </w:r>
          </w:p>
          <w:p w14:paraId="64D29E5E">
            <w:pPr>
              <w:snapToGrid w:val="0"/>
              <w:spacing w:line="400" w:lineRule="exact"/>
              <w:rPr>
                <w:rFonts w:ascii="Arial" w:hAnsi="Arial" w:cs="宋体"/>
                <w:kern w:val="0"/>
              </w:rPr>
            </w:pPr>
            <w:r>
              <w:rPr>
                <w:rFonts w:hint="eastAsia" w:ascii="Arial" w:hAnsi="Arial" w:cs="宋体"/>
                <w:kern w:val="0"/>
              </w:rPr>
              <w:t>（3）样品的评审方法以及评审标准</w:t>
            </w:r>
            <w:r>
              <w:rPr>
                <w:rFonts w:hint="eastAsia" w:ascii="Arial" w:hAnsi="Arial" w:cs="宋体"/>
                <w:snapToGrid w:val="0"/>
                <w:kern w:val="28"/>
              </w:rPr>
              <w:t>：</w:t>
            </w:r>
            <w:r>
              <w:rPr>
                <w:rFonts w:hint="eastAsia" w:ascii="Arial" w:hAnsi="Arial" w:cs="宋体"/>
                <w:snapToGrid w:val="0"/>
                <w:kern w:val="28"/>
                <w:u w:val="single"/>
              </w:rPr>
              <w:t>详见第四</w:t>
            </w:r>
            <w:r>
              <w:rPr>
                <w:rFonts w:hint="eastAsia" w:ascii="Arial" w:hAnsi="Arial"/>
                <w:szCs w:val="21"/>
                <w:u w:val="single"/>
              </w:rPr>
              <w:t>章</w:t>
            </w:r>
            <w:r>
              <w:rPr>
                <w:rFonts w:hint="eastAsia" w:ascii="Arial" w:hAnsi="Arial" w:cs="宋体"/>
                <w:snapToGrid w:val="0"/>
                <w:kern w:val="28"/>
                <w:u w:val="single"/>
              </w:rPr>
              <w:t xml:space="preserve"> </w:t>
            </w:r>
            <w:r>
              <w:rPr>
                <w:rFonts w:hint="eastAsia" w:ascii="Arial" w:hAnsi="Arial" w:cs="宋体"/>
                <w:u w:val="single"/>
              </w:rPr>
              <w:t>评标办法</w:t>
            </w:r>
            <w:r>
              <w:rPr>
                <w:rFonts w:hint="eastAsia" w:ascii="Arial" w:hAnsi="Arial" w:cs="宋体"/>
                <w:kern w:val="0"/>
              </w:rPr>
              <w:t>；</w:t>
            </w:r>
          </w:p>
          <w:p w14:paraId="7F12741B">
            <w:pPr>
              <w:snapToGrid w:val="0"/>
              <w:spacing w:line="400" w:lineRule="exact"/>
              <w:rPr>
                <w:rFonts w:ascii="Arial" w:hAnsi="Arial" w:cs="宋体"/>
                <w:kern w:val="0"/>
              </w:rPr>
            </w:pPr>
            <w:r>
              <w:rPr>
                <w:rFonts w:hint="eastAsia" w:ascii="Arial" w:hAnsi="Arial" w:cs="宋体"/>
                <w:kern w:val="0"/>
              </w:rPr>
              <w:t>（4）是否需要随样品提交检测报告：</w:t>
            </w:r>
            <w:r>
              <w:rPr>
                <w:rFonts w:hint="eastAsia" w:ascii="Arial" w:hAnsi="Arial" w:cs="宋体"/>
                <w:kern w:val="0"/>
                <w:szCs w:val="21"/>
              </w:rPr>
              <w:t>检测报告证明资料见第三章“</w:t>
            </w:r>
            <w:r>
              <w:rPr>
                <w:rFonts w:hint="eastAsia" w:ascii="宋体" w:hAnsi="宋体"/>
                <w:bCs/>
                <w:szCs w:val="21"/>
              </w:rPr>
              <w:t>证明材料汇总表</w:t>
            </w:r>
            <w:r>
              <w:rPr>
                <w:rFonts w:hint="eastAsia" w:ascii="Arial" w:hAnsi="Arial" w:cs="宋体"/>
                <w:kern w:val="0"/>
                <w:szCs w:val="21"/>
              </w:rPr>
              <w:t>”</w:t>
            </w:r>
            <w:r>
              <w:rPr>
                <w:rFonts w:hint="eastAsia" w:ascii="宋体" w:hAnsi="宋体"/>
                <w:bCs/>
                <w:szCs w:val="21"/>
              </w:rPr>
              <w:t>。</w:t>
            </w:r>
          </w:p>
          <w:p w14:paraId="01FD2899">
            <w:pPr>
              <w:snapToGrid w:val="0"/>
              <w:spacing w:line="400" w:lineRule="exact"/>
              <w:rPr>
                <w:rFonts w:ascii="Arial" w:hAnsi="Arial" w:cs="宋体"/>
              </w:rPr>
            </w:pPr>
            <w:r>
              <w:rPr>
                <w:rFonts w:hint="eastAsia" w:ascii="Arial" w:hAnsi="Arial" w:cs="宋体"/>
              </w:rPr>
              <w:t>（5）提供样品的时间：</w:t>
            </w:r>
            <w:r>
              <w:rPr>
                <w:rFonts w:hint="eastAsia" w:ascii="Arial" w:hAnsi="Arial" w:cs="宋体"/>
                <w:b/>
                <w:szCs w:val="21"/>
                <w:u w:val="single"/>
              </w:rPr>
              <w:t>同提交投标文件截止时间</w:t>
            </w:r>
            <w:r>
              <w:rPr>
                <w:rFonts w:hint="eastAsia" w:ascii="Arial" w:hAnsi="Arial" w:cs="宋体"/>
                <w:kern w:val="0"/>
              </w:rPr>
              <w:t>，地点：</w:t>
            </w:r>
            <w:r>
              <w:fldChar w:fldCharType="begin"/>
            </w:r>
            <w:r>
              <w:instrText xml:space="preserve"> HYPERLINK "http://www.xsbm.gov.cn/zbtb/" \t "_blank" </w:instrText>
            </w:r>
            <w:r>
              <w:fldChar w:fldCharType="separate"/>
            </w:r>
            <w:r>
              <w:rPr>
                <w:rFonts w:ascii="宋体" w:hAnsi="宋体" w:cs="Arial"/>
                <w:bCs/>
                <w:szCs w:val="21"/>
              </w:rPr>
              <w:t>象山县公共资源交易中心</w:t>
            </w:r>
            <w:r>
              <w:rPr>
                <w:rFonts w:ascii="宋体" w:hAnsi="宋体" w:cs="Arial"/>
                <w:bCs/>
                <w:szCs w:val="21"/>
              </w:rPr>
              <w:fldChar w:fldCharType="end"/>
            </w:r>
            <w:r>
              <w:rPr>
                <w:rFonts w:hint="eastAsia" w:ascii="宋体" w:hAnsi="宋体" w:cs="Arial"/>
                <w:bCs/>
                <w:szCs w:val="21"/>
              </w:rPr>
              <w:t>四楼评标区（象山县象山港路300号）</w:t>
            </w:r>
            <w:r>
              <w:rPr>
                <w:rFonts w:hint="eastAsia" w:ascii="Arial" w:hAnsi="Arial" w:cs="宋体"/>
                <w:kern w:val="0"/>
              </w:rPr>
              <w:t>指定地点</w:t>
            </w:r>
            <w:r>
              <w:rPr>
                <w:rFonts w:hint="eastAsia" w:ascii="Arial" w:hAnsi="Arial" w:cs="宋体"/>
                <w:bCs/>
                <w:szCs w:val="21"/>
              </w:rPr>
              <w:t>，</w:t>
            </w:r>
            <w:r>
              <w:rPr>
                <w:rFonts w:hint="eastAsia" w:ascii="Arial" w:hAnsi="Arial" w:cs="宋体"/>
                <w:kern w:val="0"/>
              </w:rPr>
              <w:t>联系人</w:t>
            </w:r>
            <w:r>
              <w:rPr>
                <w:rFonts w:hint="eastAsia" w:ascii="Arial" w:hAnsi="Arial" w:cs="宋体"/>
              </w:rPr>
              <w:t>：</w:t>
            </w:r>
            <w:r>
              <w:rPr>
                <w:rFonts w:hint="eastAsia" w:ascii="Arial" w:hAnsi="Arial" w:cs="宋体"/>
                <w:b/>
                <w:bCs/>
              </w:rPr>
              <w:t>唐工</w:t>
            </w:r>
            <w:r>
              <w:rPr>
                <w:rFonts w:hint="eastAsia" w:ascii="Arial" w:hAnsi="Arial" w:cs="宋体"/>
              </w:rPr>
              <w:t>，</w:t>
            </w:r>
            <w:r>
              <w:rPr>
                <w:rFonts w:hint="eastAsia" w:ascii="Arial" w:hAnsi="Arial" w:cs="宋体"/>
                <w:kern w:val="28"/>
              </w:rPr>
              <w:t>联系电</w:t>
            </w:r>
            <w:r>
              <w:rPr>
                <w:rFonts w:hint="eastAsia" w:ascii="Arial" w:hAnsi="Arial" w:cs="宋体"/>
              </w:rPr>
              <w:t>话：18606681928。请供应商在上述时间内提供样品并按规定位置安装完毕。超过截止时间的，采购人或采购代理机构将不予接收。</w:t>
            </w:r>
          </w:p>
          <w:p w14:paraId="680B2190">
            <w:pPr>
              <w:snapToGrid w:val="0"/>
              <w:spacing w:line="400" w:lineRule="exact"/>
              <w:rPr>
                <w:rFonts w:ascii="Arial" w:hAnsi="Arial" w:cs="宋体"/>
                <w:b/>
                <w:bCs/>
              </w:rPr>
            </w:pPr>
            <w:r>
              <w:rPr>
                <w:rFonts w:hint="eastAsia" w:ascii="Arial" w:hAnsi="Arial" w:cs="宋体"/>
                <w:b/>
                <w:bCs/>
              </w:rPr>
              <w:t>（6）供应商需要在样品表面上粘贴一张写有“项目名称”、“项目编号”、“样品名称”及“供应商名称”的A4纸标识并加盖公章。未注明样品所属供应商，该样品不予接收。</w:t>
            </w:r>
          </w:p>
          <w:p w14:paraId="0E13830F">
            <w:pPr>
              <w:snapToGrid w:val="0"/>
              <w:spacing w:line="400" w:lineRule="exact"/>
              <w:rPr>
                <w:rFonts w:ascii="Arial" w:hAnsi="Arial" w:cs="宋体"/>
              </w:rPr>
            </w:pPr>
            <w:r>
              <w:rPr>
                <w:rFonts w:hint="eastAsia" w:ascii="Arial" w:hAnsi="Arial" w:cs="宋体"/>
              </w:rPr>
              <w:t>（7）采购活动结束后，除第一中标候选人提供的样品外，采购人或采购代理机构将通知其余供应商在规定的时间内取回，逾期未取回的，采购人、采购代理机构不负保管义务；对于第一中标候选人提供的样品，采购人将进行保管、封存，并作为履约验收的参考。</w:t>
            </w:r>
          </w:p>
          <w:p w14:paraId="1D979697">
            <w:pPr>
              <w:snapToGrid w:val="0"/>
              <w:spacing w:line="400" w:lineRule="exact"/>
              <w:rPr>
                <w:rFonts w:ascii="Arial" w:hAnsi="Arial" w:cs="宋体"/>
                <w:b/>
                <w:szCs w:val="21"/>
              </w:rPr>
            </w:pPr>
            <w:r>
              <w:rPr>
                <w:rFonts w:hint="eastAsia" w:ascii="Arial" w:hAnsi="Arial" w:cs="宋体"/>
              </w:rPr>
              <w:t>（8）制作、运输、安装和保管样品所发生的一切费用由供应商自理。</w:t>
            </w:r>
          </w:p>
        </w:tc>
      </w:tr>
      <w:tr w14:paraId="7483E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47F2B87A">
            <w:pPr>
              <w:snapToGrid w:val="0"/>
              <w:spacing w:line="400" w:lineRule="exact"/>
              <w:jc w:val="center"/>
              <w:rPr>
                <w:rFonts w:ascii="Arial" w:hAnsi="Arial" w:cs="宋体"/>
                <w:bCs/>
                <w:szCs w:val="21"/>
              </w:rPr>
            </w:pPr>
            <w:r>
              <w:rPr>
                <w:rFonts w:hint="eastAsia" w:ascii="Arial" w:hAnsi="Arial" w:cs="宋体"/>
                <w:bCs/>
                <w:szCs w:val="21"/>
              </w:rPr>
              <w:t>8</w:t>
            </w:r>
          </w:p>
        </w:tc>
        <w:tc>
          <w:tcPr>
            <w:tcW w:w="1456" w:type="dxa"/>
            <w:vAlign w:val="center"/>
          </w:tcPr>
          <w:p w14:paraId="459C077F">
            <w:pPr>
              <w:snapToGrid w:val="0"/>
              <w:spacing w:line="400" w:lineRule="exact"/>
              <w:jc w:val="center"/>
              <w:rPr>
                <w:rFonts w:ascii="Arial" w:hAnsi="Arial" w:cs="宋体"/>
                <w:bCs/>
                <w:szCs w:val="21"/>
              </w:rPr>
            </w:pPr>
            <w:r>
              <w:rPr>
                <w:rFonts w:hint="eastAsia" w:ascii="Arial" w:hAnsi="Arial" w:cs="宋体"/>
                <w:b/>
                <w:szCs w:val="21"/>
              </w:rPr>
              <w:t>方案讲演示</w:t>
            </w:r>
          </w:p>
        </w:tc>
        <w:tc>
          <w:tcPr>
            <w:tcW w:w="6740" w:type="dxa"/>
            <w:vAlign w:val="center"/>
          </w:tcPr>
          <w:p w14:paraId="0DD8718D">
            <w:pPr>
              <w:snapToGrid w:val="0"/>
              <w:spacing w:line="400" w:lineRule="exact"/>
              <w:rPr>
                <w:rFonts w:ascii="Arial" w:hAnsi="Arial" w:cs="宋体"/>
                <w:szCs w:val="21"/>
              </w:rPr>
            </w:pPr>
            <w:r>
              <w:rPr>
                <w:rFonts w:hint="eastAsia" w:ascii="Arial" w:hAnsi="Arial" w:cs="宋体"/>
                <w:kern w:val="0"/>
                <w:szCs w:val="21"/>
              </w:rPr>
              <w:t>■</w:t>
            </w:r>
            <w:r>
              <w:rPr>
                <w:rFonts w:hint="eastAsia" w:ascii="Arial" w:hAnsi="Arial" w:cs="宋体"/>
                <w:szCs w:val="21"/>
              </w:rPr>
              <w:t>不组织。</w:t>
            </w:r>
          </w:p>
          <w:p w14:paraId="4388DC9A">
            <w:pPr>
              <w:snapToGrid w:val="0"/>
              <w:spacing w:line="400" w:lineRule="exact"/>
              <w:rPr>
                <w:rFonts w:ascii="Arial" w:hAnsi="Arial" w:cs="宋体"/>
                <w:b/>
                <w:kern w:val="0"/>
                <w:szCs w:val="21"/>
                <w:lang w:val="zh-CN"/>
              </w:rPr>
            </w:pPr>
            <w:r>
              <w:rPr>
                <w:rFonts w:hint="eastAsia" w:ascii="Arial" w:hAnsi="Arial" w:cs="宋体"/>
                <w:kern w:val="0"/>
                <w:szCs w:val="21"/>
              </w:rPr>
              <w:t>□组织。</w:t>
            </w:r>
          </w:p>
        </w:tc>
      </w:tr>
      <w:tr w14:paraId="769AF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dxa"/>
            <w:vMerge w:val="restart"/>
            <w:vAlign w:val="center"/>
          </w:tcPr>
          <w:p w14:paraId="03C7C8DB">
            <w:pPr>
              <w:snapToGrid w:val="0"/>
              <w:spacing w:line="400" w:lineRule="exact"/>
              <w:jc w:val="center"/>
              <w:rPr>
                <w:rFonts w:ascii="Arial" w:hAnsi="Arial" w:cs="宋体"/>
                <w:bCs/>
                <w:szCs w:val="21"/>
              </w:rPr>
            </w:pPr>
            <w:r>
              <w:rPr>
                <w:rFonts w:hint="eastAsia" w:ascii="Arial" w:hAnsi="Arial" w:cs="宋体"/>
                <w:bCs/>
                <w:szCs w:val="21"/>
              </w:rPr>
              <w:t>9</w:t>
            </w:r>
          </w:p>
        </w:tc>
        <w:tc>
          <w:tcPr>
            <w:tcW w:w="1456" w:type="dxa"/>
            <w:vMerge w:val="restart"/>
            <w:vAlign w:val="center"/>
          </w:tcPr>
          <w:p w14:paraId="22712E63">
            <w:pPr>
              <w:snapToGrid w:val="0"/>
              <w:spacing w:line="400" w:lineRule="exact"/>
              <w:rPr>
                <w:rFonts w:ascii="Arial" w:hAnsi="Arial" w:cs="宋体"/>
                <w:b/>
                <w:sz w:val="28"/>
                <w:szCs w:val="28"/>
                <w:lang w:val="zh-CN"/>
              </w:rPr>
            </w:pPr>
            <w:r>
              <w:rPr>
                <w:rFonts w:hint="eastAsia" w:ascii="Arial" w:hAnsi="Arial" w:cs="宋体"/>
                <w:b/>
                <w:szCs w:val="21"/>
                <w:lang w:val="zh-CN"/>
              </w:rPr>
              <w:t>供应商应当提供的资格</w:t>
            </w:r>
            <w:r>
              <w:rPr>
                <w:rFonts w:hint="eastAsia" w:ascii="Arial" w:hAnsi="Arial" w:cs="宋体"/>
                <w:b/>
                <w:szCs w:val="21"/>
              </w:rPr>
              <w:t>证明文件、商务技术文件、报价文件</w:t>
            </w:r>
          </w:p>
        </w:tc>
        <w:tc>
          <w:tcPr>
            <w:tcW w:w="6740" w:type="dxa"/>
            <w:vAlign w:val="center"/>
          </w:tcPr>
          <w:p w14:paraId="6B0D419C">
            <w:pPr>
              <w:snapToGrid w:val="0"/>
              <w:spacing w:line="400" w:lineRule="exact"/>
              <w:rPr>
                <w:rFonts w:ascii="Arial" w:hAnsi="Arial" w:cs="宋体"/>
                <w:snapToGrid w:val="0"/>
                <w:kern w:val="0"/>
                <w:szCs w:val="21"/>
              </w:rPr>
            </w:pPr>
            <w:r>
              <w:rPr>
                <w:rFonts w:hint="eastAsia" w:ascii="Arial" w:hAnsi="Arial" w:cs="宋体"/>
                <w:b/>
                <w:bCs/>
                <w:szCs w:val="21"/>
              </w:rPr>
              <w:t>（1）资格证明文件：</w:t>
            </w:r>
            <w:r>
              <w:rPr>
                <w:rFonts w:hint="eastAsia" w:ascii="Arial" w:hAnsi="Arial" w:cs="宋体"/>
                <w:szCs w:val="21"/>
              </w:rPr>
              <w:t>详见采购文件第二章供应商须知第11.1款。</w:t>
            </w:r>
            <w:r>
              <w:rPr>
                <w:rFonts w:hint="eastAsia" w:ascii="Arial" w:hAnsi="Arial" w:cs="宋体"/>
                <w:b/>
                <w:bCs/>
                <w:kern w:val="0"/>
                <w:szCs w:val="21"/>
                <w:lang w:val="zh-CN"/>
              </w:rPr>
              <w:t>供应商未提供有效的资格证明文件的，视为供应商不具备采购文件中规定的资格要求，投标无效。</w:t>
            </w:r>
          </w:p>
        </w:tc>
      </w:tr>
      <w:tr w14:paraId="282CFB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14:paraId="335AC880">
            <w:pPr>
              <w:autoSpaceDE w:val="0"/>
              <w:autoSpaceDN w:val="0"/>
              <w:snapToGrid w:val="0"/>
              <w:spacing w:line="400" w:lineRule="exact"/>
              <w:ind w:firstLine="420"/>
              <w:jc w:val="center"/>
              <w:rPr>
                <w:rFonts w:ascii="Arial" w:hAnsi="Arial" w:cs="宋体"/>
                <w:bCs/>
                <w:sz w:val="28"/>
                <w:szCs w:val="28"/>
                <w:lang w:val="zh-CN"/>
              </w:rPr>
            </w:pPr>
          </w:p>
        </w:tc>
        <w:tc>
          <w:tcPr>
            <w:tcW w:w="1456" w:type="dxa"/>
            <w:vMerge w:val="continue"/>
            <w:vAlign w:val="center"/>
          </w:tcPr>
          <w:p w14:paraId="3CCAB6A2">
            <w:pPr>
              <w:snapToGrid w:val="0"/>
              <w:spacing w:line="400" w:lineRule="exact"/>
              <w:jc w:val="center"/>
              <w:rPr>
                <w:rFonts w:ascii="Arial" w:hAnsi="Arial" w:cs="宋体"/>
                <w:b/>
                <w:sz w:val="28"/>
                <w:szCs w:val="28"/>
                <w:lang w:val="zh-CN"/>
              </w:rPr>
            </w:pPr>
          </w:p>
        </w:tc>
        <w:tc>
          <w:tcPr>
            <w:tcW w:w="6740" w:type="dxa"/>
            <w:vAlign w:val="center"/>
          </w:tcPr>
          <w:p w14:paraId="47CD406A">
            <w:pPr>
              <w:snapToGrid w:val="0"/>
              <w:spacing w:line="400" w:lineRule="exact"/>
              <w:rPr>
                <w:rFonts w:ascii="Arial" w:hAnsi="Arial" w:cs="宋体"/>
                <w:szCs w:val="21"/>
              </w:rPr>
            </w:pPr>
            <w:r>
              <w:rPr>
                <w:rFonts w:hint="eastAsia" w:ascii="Arial" w:hAnsi="Arial" w:cs="宋体"/>
                <w:b/>
                <w:bCs/>
                <w:szCs w:val="21"/>
              </w:rPr>
              <w:t>（2）商务技术文件：</w:t>
            </w:r>
            <w:r>
              <w:rPr>
                <w:rFonts w:hint="eastAsia" w:ascii="Arial" w:hAnsi="Arial" w:cs="宋体"/>
                <w:szCs w:val="21"/>
              </w:rPr>
              <w:t>根据采购文件第二章供应商须知第11.2款和采购文件第四章评标办法提供。</w:t>
            </w:r>
          </w:p>
        </w:tc>
      </w:tr>
      <w:tr w14:paraId="1EE6FD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14:paraId="60A5F654">
            <w:pPr>
              <w:autoSpaceDE w:val="0"/>
              <w:autoSpaceDN w:val="0"/>
              <w:snapToGrid w:val="0"/>
              <w:spacing w:line="400" w:lineRule="exact"/>
              <w:ind w:firstLine="420"/>
              <w:jc w:val="center"/>
              <w:rPr>
                <w:rFonts w:ascii="Arial" w:hAnsi="Arial" w:cs="宋体"/>
                <w:bCs/>
                <w:sz w:val="28"/>
                <w:szCs w:val="28"/>
                <w:lang w:val="zh-CN"/>
              </w:rPr>
            </w:pPr>
          </w:p>
        </w:tc>
        <w:tc>
          <w:tcPr>
            <w:tcW w:w="1456" w:type="dxa"/>
            <w:vMerge w:val="continue"/>
            <w:vAlign w:val="center"/>
          </w:tcPr>
          <w:p w14:paraId="59E7F1B8">
            <w:pPr>
              <w:snapToGrid w:val="0"/>
              <w:spacing w:line="400" w:lineRule="exact"/>
              <w:jc w:val="center"/>
              <w:rPr>
                <w:rFonts w:ascii="Arial" w:hAnsi="Arial" w:cs="宋体"/>
                <w:b/>
                <w:sz w:val="28"/>
                <w:szCs w:val="28"/>
                <w:lang w:val="zh-CN"/>
              </w:rPr>
            </w:pPr>
          </w:p>
        </w:tc>
        <w:tc>
          <w:tcPr>
            <w:tcW w:w="6740" w:type="dxa"/>
            <w:vAlign w:val="center"/>
          </w:tcPr>
          <w:p w14:paraId="32310DB1">
            <w:pPr>
              <w:snapToGrid w:val="0"/>
              <w:spacing w:line="400" w:lineRule="exact"/>
              <w:rPr>
                <w:rFonts w:ascii="Arial" w:hAnsi="Arial" w:cs="宋体"/>
                <w:szCs w:val="21"/>
              </w:rPr>
            </w:pPr>
            <w:r>
              <w:rPr>
                <w:rFonts w:hint="eastAsia" w:ascii="Arial" w:hAnsi="Arial" w:cs="宋体"/>
                <w:b/>
                <w:bCs/>
                <w:szCs w:val="21"/>
              </w:rPr>
              <w:t>（3）报价文件：</w:t>
            </w:r>
            <w:r>
              <w:rPr>
                <w:rFonts w:hint="eastAsia" w:ascii="Arial" w:hAnsi="Arial" w:cs="宋体"/>
                <w:szCs w:val="21"/>
              </w:rPr>
              <w:t>根据采购文件第二章供应商须知第11.3款提供。</w:t>
            </w:r>
          </w:p>
        </w:tc>
      </w:tr>
      <w:tr w14:paraId="72A968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1EA03B16">
            <w:pPr>
              <w:snapToGrid w:val="0"/>
              <w:spacing w:line="400" w:lineRule="exact"/>
              <w:jc w:val="center"/>
              <w:rPr>
                <w:rFonts w:ascii="Arial" w:hAnsi="Arial" w:cs="宋体"/>
                <w:bCs/>
                <w:szCs w:val="21"/>
              </w:rPr>
            </w:pPr>
            <w:r>
              <w:rPr>
                <w:rFonts w:hint="eastAsia" w:ascii="Arial" w:hAnsi="Arial" w:cs="宋体"/>
                <w:bCs/>
                <w:szCs w:val="21"/>
              </w:rPr>
              <w:t>10</w:t>
            </w:r>
          </w:p>
        </w:tc>
        <w:tc>
          <w:tcPr>
            <w:tcW w:w="1456" w:type="dxa"/>
            <w:vAlign w:val="center"/>
          </w:tcPr>
          <w:p w14:paraId="04077A29">
            <w:pPr>
              <w:snapToGrid w:val="0"/>
              <w:spacing w:line="400" w:lineRule="exact"/>
              <w:jc w:val="center"/>
              <w:rPr>
                <w:rFonts w:ascii="Arial" w:hAnsi="Arial" w:cs="宋体"/>
                <w:b/>
                <w:szCs w:val="21"/>
              </w:rPr>
            </w:pPr>
            <w:r>
              <w:rPr>
                <w:rFonts w:hint="eastAsia" w:ascii="Arial" w:hAnsi="Arial" w:cs="宋体"/>
                <w:b/>
                <w:szCs w:val="21"/>
              </w:rPr>
              <w:t>节能产品、环境标志产品</w:t>
            </w:r>
          </w:p>
        </w:tc>
        <w:tc>
          <w:tcPr>
            <w:tcW w:w="6740" w:type="dxa"/>
            <w:vAlign w:val="center"/>
          </w:tcPr>
          <w:p w14:paraId="2DE62F18">
            <w:pPr>
              <w:keepLines/>
              <w:widowControl/>
              <w:overflowPunct w:val="0"/>
              <w:adjustRightInd w:val="0"/>
              <w:snapToGrid w:val="0"/>
              <w:rPr>
                <w:rFonts w:ascii="Arial" w:hAnsi="Arial" w:cs="宋体"/>
                <w:szCs w:val="21"/>
              </w:rPr>
            </w:pPr>
            <w:r>
              <w:rPr>
                <w:rFonts w:hint="eastAsia" w:ascii="Arial" w:hAnsi="Arial" w:cs="宋体"/>
                <w:kern w:val="0"/>
                <w:szCs w:val="21"/>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04408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750" w:type="dxa"/>
            <w:vAlign w:val="center"/>
          </w:tcPr>
          <w:p w14:paraId="68090393">
            <w:pPr>
              <w:snapToGrid w:val="0"/>
              <w:spacing w:line="400" w:lineRule="exact"/>
              <w:jc w:val="center"/>
              <w:rPr>
                <w:rFonts w:ascii="Arial" w:hAnsi="Arial" w:cs="宋体"/>
                <w:bCs/>
                <w:szCs w:val="21"/>
              </w:rPr>
            </w:pPr>
            <w:r>
              <w:rPr>
                <w:rFonts w:hint="eastAsia" w:ascii="Arial" w:hAnsi="Arial" w:cs="宋体"/>
                <w:bCs/>
                <w:szCs w:val="21"/>
              </w:rPr>
              <w:t>11</w:t>
            </w:r>
          </w:p>
        </w:tc>
        <w:tc>
          <w:tcPr>
            <w:tcW w:w="1456" w:type="dxa"/>
            <w:vAlign w:val="center"/>
          </w:tcPr>
          <w:p w14:paraId="3CDB043B">
            <w:pPr>
              <w:snapToGrid w:val="0"/>
              <w:spacing w:line="400" w:lineRule="exact"/>
              <w:jc w:val="center"/>
              <w:rPr>
                <w:rFonts w:ascii="Arial" w:hAnsi="Arial" w:cs="宋体"/>
                <w:b/>
                <w:szCs w:val="21"/>
              </w:rPr>
            </w:pPr>
            <w:r>
              <w:rPr>
                <w:rFonts w:hint="eastAsia" w:ascii="Arial" w:hAnsi="Arial" w:cs="宋体"/>
                <w:b/>
                <w:szCs w:val="21"/>
              </w:rPr>
              <w:t>报价要求</w:t>
            </w:r>
          </w:p>
        </w:tc>
        <w:tc>
          <w:tcPr>
            <w:tcW w:w="6740" w:type="dxa"/>
            <w:vAlign w:val="center"/>
          </w:tcPr>
          <w:p w14:paraId="393E1F81">
            <w:pPr>
              <w:snapToGrid w:val="0"/>
              <w:spacing w:line="400" w:lineRule="exact"/>
              <w:rPr>
                <w:rFonts w:ascii="Arial" w:hAnsi="Arial" w:cs="宋体"/>
                <w:b/>
                <w:bCs/>
                <w:szCs w:val="21"/>
              </w:rPr>
            </w:pPr>
            <w:r>
              <w:rPr>
                <w:rFonts w:hint="eastAsia" w:ascii="Arial" w:hAnsi="Arial"/>
                <w:bCs/>
                <w:szCs w:val="21"/>
                <w:lang w:val="zh-CN"/>
              </w:rPr>
              <w:t>有关本项目实施所需的所有费用（含税费）均计入报价</w:t>
            </w:r>
            <w:r>
              <w:rPr>
                <w:rFonts w:hint="eastAsia" w:ascii="Arial" w:hAnsi="Arial" w:cs="宋体"/>
                <w:b/>
                <w:bCs/>
                <w:kern w:val="0"/>
                <w:szCs w:val="21"/>
              </w:rPr>
              <w:t>，</w:t>
            </w:r>
            <w:r>
              <w:rPr>
                <w:rFonts w:hint="eastAsia" w:ascii="Arial" w:hAnsi="Arial"/>
                <w:bCs/>
                <w:szCs w:val="21"/>
              </w:rPr>
              <w:t>包括但不限于产品及零件费用、货物运至项目现场的运输费、装卸费、安装调试、产品保护、现场清理、保险费、培训费、验收、技术资料、售后服务、利润、税金、中标服务费等</w:t>
            </w:r>
            <w:r>
              <w:rPr>
                <w:rFonts w:hint="eastAsia" w:ascii="Arial" w:hAnsi="Arial" w:cs="Arial"/>
                <w:bCs/>
                <w:szCs w:val="21"/>
                <w:shd w:val="clear" w:color="auto" w:fill="FFFFFF"/>
              </w:rPr>
              <w:t>达到采购人所有要求</w:t>
            </w:r>
            <w:r>
              <w:rPr>
                <w:rFonts w:hint="eastAsia" w:ascii="Arial" w:hAnsi="Arial"/>
              </w:rPr>
              <w:t>所需的一切费用</w:t>
            </w:r>
            <w:r>
              <w:rPr>
                <w:rFonts w:hint="eastAsia" w:ascii="Arial" w:hAnsi="Arial" w:cs="宋体"/>
                <w:kern w:val="0"/>
                <w:szCs w:val="21"/>
                <w:lang w:val="zh-CN"/>
              </w:rPr>
              <w:t>。</w:t>
            </w:r>
            <w:r>
              <w:rPr>
                <w:rFonts w:hint="eastAsia" w:ascii="Arial" w:hAnsi="Arial" w:cs="宋体"/>
                <w:b/>
                <w:bCs/>
                <w:kern w:val="0"/>
                <w:szCs w:val="21"/>
                <w:lang w:val="zh-CN"/>
              </w:rPr>
              <w:t>投标文件</w:t>
            </w:r>
            <w:r>
              <w:rPr>
                <w:rFonts w:hint="eastAsia" w:ascii="Arial" w:hAnsi="Arial" w:cs="宋体"/>
                <w:b/>
                <w:bCs/>
                <w:szCs w:val="21"/>
              </w:rPr>
              <w:t>开标一览表（报价表）是报价的唯一载体，如供应商在政府采购云平台填写的投标报价与投标文件报价文件中开标一览表（报价表）不一致的，以报价文件中开标一览表（报价表）为准。</w:t>
            </w:r>
          </w:p>
          <w:p w14:paraId="1F4B6A10">
            <w:pPr>
              <w:snapToGrid w:val="0"/>
              <w:spacing w:line="400" w:lineRule="exact"/>
              <w:rPr>
                <w:rFonts w:ascii="Arial" w:hAnsi="Arial" w:cs="宋体"/>
                <w:kern w:val="0"/>
                <w:szCs w:val="21"/>
                <w:lang w:val="zh-CN"/>
              </w:rPr>
            </w:pPr>
            <w:r>
              <w:rPr>
                <w:rFonts w:hint="eastAsia" w:ascii="Arial" w:hAnsi="Arial" w:cs="宋体"/>
                <w:kern w:val="0"/>
                <w:szCs w:val="21"/>
                <w:lang w:val="zh-CN"/>
              </w:rPr>
              <w:t>投标文件中价格全部采用人民币报价。采购文件未列明，而供应商认为必需的费用也需列入报价。</w:t>
            </w:r>
          </w:p>
          <w:p w14:paraId="2B30A541">
            <w:pPr>
              <w:snapToGrid w:val="0"/>
              <w:spacing w:line="400" w:lineRule="exact"/>
              <w:rPr>
                <w:rFonts w:ascii="Arial" w:hAnsi="Arial" w:cs="宋体"/>
                <w:b/>
                <w:kern w:val="0"/>
                <w:szCs w:val="21"/>
              </w:rPr>
            </w:pPr>
            <w:r>
              <w:rPr>
                <w:rFonts w:hint="eastAsia" w:ascii="Arial" w:hAnsi="Arial"/>
                <w:szCs w:val="21"/>
              </w:rPr>
              <w:t>不论投标结果如何，供应商均应自行承担所有与投标有关的全部费用（采购文件有相反规定除外）。</w:t>
            </w:r>
          </w:p>
        </w:tc>
      </w:tr>
      <w:tr w14:paraId="7ED2D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3A6F1F6F">
            <w:pPr>
              <w:snapToGrid w:val="0"/>
              <w:spacing w:line="400" w:lineRule="exact"/>
              <w:jc w:val="center"/>
              <w:rPr>
                <w:rFonts w:ascii="Arial" w:hAnsi="Arial" w:cs="宋体"/>
                <w:bCs/>
                <w:szCs w:val="21"/>
              </w:rPr>
            </w:pPr>
            <w:r>
              <w:rPr>
                <w:rFonts w:hint="eastAsia" w:ascii="Arial" w:hAnsi="Arial" w:cs="宋体"/>
                <w:bCs/>
                <w:szCs w:val="21"/>
              </w:rPr>
              <w:t>12</w:t>
            </w:r>
          </w:p>
        </w:tc>
        <w:tc>
          <w:tcPr>
            <w:tcW w:w="1456" w:type="dxa"/>
            <w:vAlign w:val="center"/>
          </w:tcPr>
          <w:p w14:paraId="5415BF03">
            <w:pPr>
              <w:snapToGrid w:val="0"/>
              <w:spacing w:line="400" w:lineRule="exact"/>
              <w:jc w:val="center"/>
              <w:rPr>
                <w:rFonts w:ascii="Arial" w:hAnsi="Arial" w:cs="宋体"/>
                <w:b/>
                <w:szCs w:val="21"/>
              </w:rPr>
            </w:pPr>
            <w:r>
              <w:rPr>
                <w:rFonts w:hint="eastAsia" w:ascii="Arial" w:hAnsi="Arial" w:cs="宋体"/>
                <w:b/>
                <w:szCs w:val="21"/>
              </w:rPr>
              <w:t>中小企业信用融资</w:t>
            </w:r>
          </w:p>
        </w:tc>
        <w:tc>
          <w:tcPr>
            <w:tcW w:w="6740" w:type="dxa"/>
            <w:vAlign w:val="center"/>
          </w:tcPr>
          <w:p w14:paraId="614DC030">
            <w:pPr>
              <w:snapToGrid w:val="0"/>
              <w:spacing w:line="400" w:lineRule="exact"/>
              <w:rPr>
                <w:rFonts w:ascii="Arial" w:hAnsi="Arial" w:cs="宋体"/>
                <w:szCs w:val="21"/>
              </w:rPr>
            </w:pPr>
            <w:r>
              <w:rPr>
                <w:rFonts w:hint="eastAsia" w:ascii="Arial" w:hAnsi="Arial" w:cs="宋体"/>
                <w:snapToGrid w:val="0"/>
                <w:kern w:val="28"/>
                <w:szCs w:val="21"/>
              </w:rPr>
              <w:t>供应商中标后也可在“政采云”平台申请政采贷：操作路径：登录政采云平台-金融服务中心-【融资服务】，可在热门申请中选择产品直接申请，也可点击云智贷匹配适合产品进行申请，或者在可申请项目中根据该项目进行申请。</w:t>
            </w:r>
          </w:p>
        </w:tc>
      </w:tr>
      <w:tr w14:paraId="664160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78F82703">
            <w:pPr>
              <w:snapToGrid w:val="0"/>
              <w:spacing w:line="400" w:lineRule="exact"/>
              <w:jc w:val="center"/>
              <w:rPr>
                <w:rFonts w:ascii="Arial" w:hAnsi="Arial" w:cs="宋体"/>
                <w:bCs/>
                <w:szCs w:val="21"/>
              </w:rPr>
            </w:pPr>
            <w:r>
              <w:rPr>
                <w:rFonts w:hint="eastAsia" w:ascii="Arial" w:hAnsi="Arial" w:cs="宋体"/>
                <w:bCs/>
                <w:szCs w:val="21"/>
              </w:rPr>
              <w:t>13</w:t>
            </w:r>
          </w:p>
        </w:tc>
        <w:tc>
          <w:tcPr>
            <w:tcW w:w="1456" w:type="dxa"/>
            <w:vAlign w:val="center"/>
          </w:tcPr>
          <w:p w14:paraId="62FD9766">
            <w:pPr>
              <w:snapToGrid w:val="0"/>
              <w:spacing w:line="400" w:lineRule="exact"/>
              <w:jc w:val="center"/>
              <w:rPr>
                <w:rFonts w:ascii="Arial" w:hAnsi="Arial" w:cs="宋体"/>
                <w:b/>
                <w:szCs w:val="21"/>
              </w:rPr>
            </w:pPr>
            <w:r>
              <w:rPr>
                <w:rFonts w:hint="eastAsia" w:ascii="Arial" w:hAnsi="Arial" w:cs="宋体"/>
                <w:b/>
                <w:szCs w:val="21"/>
              </w:rPr>
              <w:t>电子备份投标文件</w:t>
            </w:r>
          </w:p>
          <w:p w14:paraId="35A600E4">
            <w:pPr>
              <w:snapToGrid w:val="0"/>
              <w:spacing w:line="400" w:lineRule="exact"/>
              <w:jc w:val="center"/>
              <w:rPr>
                <w:rFonts w:ascii="Arial" w:hAnsi="Arial" w:cs="宋体"/>
                <w:b/>
                <w:szCs w:val="21"/>
              </w:rPr>
            </w:pPr>
            <w:r>
              <w:rPr>
                <w:rFonts w:hint="eastAsia" w:ascii="Arial" w:hAnsi="Arial" w:cs="宋体"/>
                <w:b/>
                <w:szCs w:val="21"/>
              </w:rPr>
              <w:t>递交方式</w:t>
            </w:r>
          </w:p>
        </w:tc>
        <w:tc>
          <w:tcPr>
            <w:tcW w:w="6740" w:type="dxa"/>
            <w:vAlign w:val="center"/>
          </w:tcPr>
          <w:p w14:paraId="3C7D06B1">
            <w:pPr>
              <w:snapToGrid w:val="0"/>
              <w:spacing w:line="0" w:lineRule="atLeast"/>
              <w:jc w:val="left"/>
              <w:rPr>
                <w:rFonts w:hint="eastAsia" w:ascii="宋体" w:hAnsi="宋体" w:cs="宋体"/>
                <w:kern w:val="0"/>
                <w:szCs w:val="21"/>
              </w:rPr>
            </w:pPr>
            <w:r>
              <w:rPr>
                <w:rFonts w:hint="eastAsia" w:ascii="宋体" w:hAnsi="宋体" w:cs="宋体"/>
                <w:kern w:val="0"/>
                <w:szCs w:val="21"/>
                <w:lang w:bidi="ar"/>
              </w:rPr>
              <w:t>电子备份投标文件</w:t>
            </w:r>
            <w:r>
              <w:rPr>
                <w:rFonts w:hint="eastAsia" w:ascii="宋体" w:hAnsi="宋体" w:cs="宋体"/>
                <w:b/>
                <w:bCs/>
                <w:kern w:val="0"/>
                <w:szCs w:val="21"/>
                <w:lang w:bidi="ar"/>
              </w:rPr>
              <w:t>（不强制要求）</w:t>
            </w:r>
            <w:r>
              <w:rPr>
                <w:rFonts w:hint="eastAsia" w:ascii="宋体" w:hAnsi="宋体" w:cs="宋体"/>
                <w:kern w:val="0"/>
                <w:szCs w:val="21"/>
                <w:lang w:bidi="ar"/>
              </w:rPr>
              <w:t>：</w:t>
            </w:r>
            <w:r>
              <w:rPr>
                <w:rFonts w:hint="eastAsia" w:ascii="宋体" w:hAnsi="宋体" w:cs="仿宋"/>
                <w:bCs/>
                <w:kern w:val="0"/>
                <w:szCs w:val="21"/>
              </w:rPr>
              <w:t>供应商于</w:t>
            </w:r>
            <w:r>
              <w:rPr>
                <w:rFonts w:hint="eastAsia" w:ascii="宋体" w:hAnsi="宋体" w:cs="宋体"/>
                <w:kern w:val="0"/>
                <w:szCs w:val="21"/>
              </w:rPr>
              <w:t>提交投标文件截止时间前，将以U盘存储的电子备份投标文件（1份，含资格文件、商务和技术文件、报价文件）密封，采用现场递交或邮寄送达方式递交。</w:t>
            </w:r>
          </w:p>
          <w:p w14:paraId="2376824E">
            <w:pPr>
              <w:snapToGrid w:val="0"/>
              <w:spacing w:line="0" w:lineRule="atLeast"/>
              <w:jc w:val="left"/>
              <w:rPr>
                <w:rFonts w:hint="eastAsia" w:ascii="宋体" w:hAnsi="宋体" w:cs="宋体"/>
                <w:kern w:val="0"/>
                <w:szCs w:val="21"/>
              </w:rPr>
            </w:pPr>
            <w:r>
              <w:rPr>
                <w:rFonts w:hint="eastAsia" w:ascii="宋体" w:hAnsi="宋体" w:cs="宋体"/>
                <w:kern w:val="0"/>
                <w:szCs w:val="21"/>
              </w:rPr>
              <w:t>方式一：现场递交方式，供应商可安排授权代表在投标截止时间前将电子备份投标文件送至</w:t>
            </w:r>
            <w:r>
              <w:fldChar w:fldCharType="begin"/>
            </w:r>
            <w:r>
              <w:instrText xml:space="preserve"> HYPERLINK "http://www.xsbm.gov.cn/zbtb/" \t "_blank" </w:instrText>
            </w:r>
            <w:r>
              <w:fldChar w:fldCharType="separate"/>
            </w:r>
            <w:r>
              <w:rPr>
                <w:rFonts w:ascii="宋体" w:hAnsi="宋体" w:cs="Arial"/>
                <w:bCs/>
                <w:szCs w:val="21"/>
              </w:rPr>
              <w:t>象山县公共资源交易中心</w:t>
            </w:r>
            <w:r>
              <w:rPr>
                <w:rFonts w:ascii="宋体" w:hAnsi="宋体" w:cs="Arial"/>
                <w:bCs/>
                <w:szCs w:val="21"/>
              </w:rPr>
              <w:fldChar w:fldCharType="end"/>
            </w:r>
            <w:r>
              <w:rPr>
                <w:rFonts w:hint="eastAsia" w:ascii="宋体" w:hAnsi="宋体" w:cs="Arial"/>
                <w:bCs/>
                <w:szCs w:val="21"/>
              </w:rPr>
              <w:t>四楼开标室（象山县象山港路300号）</w:t>
            </w:r>
            <w:r>
              <w:rPr>
                <w:rFonts w:hint="eastAsia" w:ascii="宋体" w:hAnsi="宋体" w:cs="宋体"/>
                <w:kern w:val="0"/>
                <w:szCs w:val="21"/>
              </w:rPr>
              <w:t>。</w:t>
            </w:r>
          </w:p>
          <w:p w14:paraId="1471A130">
            <w:pPr>
              <w:snapToGrid w:val="0"/>
              <w:spacing w:line="0" w:lineRule="atLeast"/>
              <w:jc w:val="left"/>
              <w:rPr>
                <w:rFonts w:ascii="Arial" w:hAnsi="Arial" w:cs="宋体"/>
                <w:snapToGrid w:val="0"/>
                <w:kern w:val="28"/>
                <w:szCs w:val="21"/>
              </w:rPr>
            </w:pPr>
            <w:r>
              <w:rPr>
                <w:rFonts w:hint="eastAsia" w:ascii="宋体" w:hAnsi="宋体" w:cs="宋体"/>
                <w:kern w:val="0"/>
                <w:szCs w:val="21"/>
              </w:rPr>
              <w:t>方式二：邮寄送达地址：</w:t>
            </w:r>
            <w:r>
              <w:rPr>
                <w:rFonts w:hint="eastAsia" w:ascii="宋体" w:hAnsi="宋体" w:cs="宋体"/>
                <w:szCs w:val="21"/>
              </w:rPr>
              <w:t>宁波慧泽工程管理咨询有限公司</w:t>
            </w:r>
            <w:r>
              <w:rPr>
                <w:rFonts w:hint="eastAsia" w:ascii="宋体" w:hAnsi="宋体" w:cs="宋体"/>
                <w:kern w:val="0"/>
                <w:szCs w:val="21"/>
              </w:rPr>
              <w:t>（</w:t>
            </w:r>
            <w:r>
              <w:rPr>
                <w:rFonts w:hint="eastAsia" w:ascii="宋体" w:hAnsi="宋体" w:cs="宋体"/>
                <w:szCs w:val="21"/>
              </w:rPr>
              <w:t>宁波市鄞州区民安路45号银亿东岸国际B座7-4</w:t>
            </w:r>
            <w:r>
              <w:rPr>
                <w:rFonts w:hint="eastAsia" w:ascii="宋体" w:hAnsi="宋体" w:cs="宋体"/>
                <w:kern w:val="0"/>
                <w:szCs w:val="21"/>
              </w:rPr>
              <w:t>），联系方式：唐工 18606681928。供应商邮寄后须将邮件单号发送至代理机构电子邮箱（电子邮箱：315984960@qq.com），并致电采购代理机构，以便采购代理机构查询物流记录。各供应商应当确保电子备份投标文件的密封包装在邮寄过程保持完好，并在邮寄包裹上注明项目名称、采购编号，因邮寄造成电子备份投标文件密封破损而不符合招标文件对投标文件的密封要求、或邮寄过程中导致电子备份投标文件未在投标截止时间前送达的，代理机构将拒绝其电子备份投标文件。各供应商自行考虑邮寄在途时间，电子备份投标文件送达时间以代理机构工作人员实际签收时间为准。</w:t>
            </w:r>
          </w:p>
        </w:tc>
      </w:tr>
      <w:tr w14:paraId="07CC7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0" w:type="dxa"/>
            <w:vMerge w:val="restart"/>
            <w:vAlign w:val="center"/>
          </w:tcPr>
          <w:p w14:paraId="751CA243">
            <w:pPr>
              <w:snapToGrid w:val="0"/>
              <w:spacing w:line="400" w:lineRule="exact"/>
              <w:jc w:val="center"/>
              <w:rPr>
                <w:rFonts w:ascii="Arial" w:hAnsi="Arial" w:cs="宋体"/>
                <w:bCs/>
                <w:szCs w:val="21"/>
              </w:rPr>
            </w:pPr>
            <w:r>
              <w:rPr>
                <w:rFonts w:hint="eastAsia" w:ascii="Arial" w:hAnsi="Arial" w:cs="宋体"/>
                <w:bCs/>
                <w:szCs w:val="21"/>
              </w:rPr>
              <w:t>14</w:t>
            </w:r>
          </w:p>
        </w:tc>
        <w:tc>
          <w:tcPr>
            <w:tcW w:w="1456" w:type="dxa"/>
            <w:vMerge w:val="restart"/>
            <w:vAlign w:val="center"/>
          </w:tcPr>
          <w:p w14:paraId="6689E9C9">
            <w:pPr>
              <w:snapToGrid w:val="0"/>
              <w:spacing w:line="400" w:lineRule="exact"/>
              <w:jc w:val="center"/>
              <w:rPr>
                <w:rFonts w:ascii="Arial" w:hAnsi="Arial" w:cs="宋体"/>
                <w:b/>
                <w:szCs w:val="21"/>
              </w:rPr>
            </w:pPr>
            <w:r>
              <w:rPr>
                <w:rFonts w:hint="eastAsia" w:ascii="Arial" w:hAnsi="Arial" w:cs="仿宋_GB2312"/>
                <w:b/>
                <w:szCs w:val="21"/>
              </w:rPr>
              <w:t>特别说明</w:t>
            </w:r>
          </w:p>
        </w:tc>
        <w:tc>
          <w:tcPr>
            <w:tcW w:w="6740" w:type="dxa"/>
            <w:vAlign w:val="center"/>
          </w:tcPr>
          <w:p w14:paraId="53DAB130">
            <w:pPr>
              <w:snapToGrid w:val="0"/>
              <w:spacing w:line="400" w:lineRule="exact"/>
              <w:rPr>
                <w:rFonts w:ascii="Arial" w:hAnsi="Arial" w:cs="宋体"/>
                <w:snapToGrid w:val="0"/>
                <w:kern w:val="28"/>
                <w:szCs w:val="21"/>
              </w:rPr>
            </w:pPr>
            <w:r>
              <w:rPr>
                <w:rFonts w:hint="eastAsia" w:ascii="Arial" w:hAnsi="Arial" w:cs="宋体"/>
                <w:kern w:val="0"/>
                <w:szCs w:val="21"/>
              </w:rPr>
              <w:t>□</w:t>
            </w:r>
            <w:r>
              <w:rPr>
                <w:rFonts w:hint="eastAsia" w:ascii="Arial" w:hAnsi="Arial" w:cs="宋体"/>
                <w:snapToGrid w:val="0"/>
                <w:kern w:val="28"/>
                <w:szCs w:val="21"/>
              </w:rPr>
              <w:t>联合体投标的，联合体各方分别提供与联合体协议中规定的分工内容相应的业绩证明材料，业绩数量以提供材料较少的一方为准。</w:t>
            </w:r>
          </w:p>
        </w:tc>
      </w:tr>
      <w:tr w14:paraId="5AA4DA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14:paraId="4920A266">
            <w:pPr>
              <w:snapToGrid w:val="0"/>
              <w:spacing w:line="400" w:lineRule="exact"/>
              <w:jc w:val="center"/>
              <w:rPr>
                <w:rFonts w:ascii="Arial" w:hAnsi="Arial" w:cs="宋体"/>
                <w:bCs/>
                <w:szCs w:val="21"/>
              </w:rPr>
            </w:pPr>
          </w:p>
        </w:tc>
        <w:tc>
          <w:tcPr>
            <w:tcW w:w="1456" w:type="dxa"/>
            <w:vMerge w:val="continue"/>
            <w:vAlign w:val="center"/>
          </w:tcPr>
          <w:p w14:paraId="04030537">
            <w:pPr>
              <w:autoSpaceDE w:val="0"/>
              <w:autoSpaceDN w:val="0"/>
              <w:snapToGrid w:val="0"/>
              <w:spacing w:line="400" w:lineRule="exact"/>
              <w:ind w:firstLine="420"/>
              <w:jc w:val="center"/>
              <w:rPr>
                <w:rFonts w:ascii="Arial" w:hAnsi="Arial" w:cs="宋体"/>
                <w:b/>
                <w:sz w:val="28"/>
                <w:szCs w:val="28"/>
                <w:lang w:val="zh-CN"/>
              </w:rPr>
            </w:pPr>
          </w:p>
        </w:tc>
        <w:tc>
          <w:tcPr>
            <w:tcW w:w="6740" w:type="dxa"/>
            <w:vAlign w:val="center"/>
          </w:tcPr>
          <w:p w14:paraId="02EBC083">
            <w:pPr>
              <w:snapToGrid w:val="0"/>
              <w:spacing w:line="400" w:lineRule="exact"/>
              <w:rPr>
                <w:rFonts w:ascii="Arial" w:hAnsi="Arial" w:cs="宋体"/>
                <w:snapToGrid w:val="0"/>
                <w:kern w:val="28"/>
                <w:szCs w:val="21"/>
              </w:rPr>
            </w:pPr>
            <w:r>
              <w:rPr>
                <w:rFonts w:hint="eastAsia" w:ascii="Arial" w:hAnsi="Arial" w:cs="宋体"/>
                <w:kern w:val="0"/>
                <w:szCs w:val="21"/>
              </w:rPr>
              <w:t>□</w:t>
            </w:r>
            <w:r>
              <w:rPr>
                <w:rFonts w:hint="eastAsia" w:ascii="Arial" w:hAnsi="Arial" w:cs="宋体"/>
                <w:snapToGrid w:val="0"/>
                <w:kern w:val="28"/>
                <w:szCs w:val="21"/>
              </w:rPr>
              <w:t>联合体投标的，联合体各方均需按采购文件第四章评标办法要求提供资信证明文件，否则视为不符合相关要求。</w:t>
            </w:r>
          </w:p>
          <w:p w14:paraId="2945178A">
            <w:pPr>
              <w:snapToGrid w:val="0"/>
              <w:spacing w:line="400" w:lineRule="exact"/>
              <w:rPr>
                <w:rFonts w:ascii="Arial" w:hAnsi="Arial" w:cs="宋体"/>
                <w:snapToGrid w:val="0"/>
                <w:kern w:val="28"/>
                <w:szCs w:val="21"/>
              </w:rPr>
            </w:pPr>
            <w:r>
              <w:rPr>
                <w:rFonts w:hint="eastAsia" w:ascii="Arial" w:hAnsi="Arial" w:cs="宋体"/>
                <w:kern w:val="0"/>
                <w:szCs w:val="21"/>
              </w:rPr>
              <w:t>□</w:t>
            </w:r>
            <w:r>
              <w:rPr>
                <w:rFonts w:hint="eastAsia" w:ascii="Arial" w:hAnsi="Arial" w:cs="宋体"/>
                <w:snapToGrid w:val="0"/>
                <w:kern w:val="28"/>
                <w:szCs w:val="21"/>
              </w:rPr>
              <w:t>联合体投标的，联合体中有一方或者联合体成员根据分工按采购文件第四章评标办法要求提供资信证明文件的，视为符合了相关要求。</w:t>
            </w:r>
          </w:p>
        </w:tc>
      </w:tr>
      <w:tr w14:paraId="10D6D3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0162619F">
            <w:pPr>
              <w:snapToGrid w:val="0"/>
              <w:spacing w:line="400" w:lineRule="exact"/>
              <w:jc w:val="center"/>
              <w:rPr>
                <w:rFonts w:ascii="Arial" w:hAnsi="Arial" w:cs="宋体"/>
                <w:bCs/>
                <w:szCs w:val="21"/>
              </w:rPr>
            </w:pPr>
            <w:r>
              <w:rPr>
                <w:rFonts w:hint="eastAsia" w:ascii="Arial" w:hAnsi="Arial" w:cs="宋体"/>
                <w:bCs/>
                <w:szCs w:val="21"/>
              </w:rPr>
              <w:t>15</w:t>
            </w:r>
          </w:p>
        </w:tc>
        <w:tc>
          <w:tcPr>
            <w:tcW w:w="1456" w:type="dxa"/>
            <w:vAlign w:val="center"/>
          </w:tcPr>
          <w:p w14:paraId="3647BBEC">
            <w:pPr>
              <w:snapToGrid w:val="0"/>
              <w:spacing w:line="400" w:lineRule="exact"/>
              <w:jc w:val="center"/>
              <w:rPr>
                <w:rFonts w:ascii="Arial" w:hAnsi="Arial" w:cs="仿宋_GB2312"/>
                <w:b/>
                <w:szCs w:val="21"/>
              </w:rPr>
            </w:pPr>
            <w:r>
              <w:rPr>
                <w:rFonts w:hint="eastAsia" w:ascii="Arial" w:hAnsi="Arial" w:cs="仿宋_GB2312"/>
                <w:b/>
                <w:szCs w:val="21"/>
              </w:rPr>
              <w:t>中标服务费</w:t>
            </w:r>
          </w:p>
          <w:p w14:paraId="7901182F">
            <w:pPr>
              <w:snapToGrid w:val="0"/>
              <w:spacing w:line="400" w:lineRule="exact"/>
              <w:jc w:val="center"/>
              <w:rPr>
                <w:rFonts w:ascii="Arial" w:hAnsi="Arial" w:cs="仿宋_GB2312"/>
                <w:b/>
                <w:szCs w:val="21"/>
              </w:rPr>
            </w:pPr>
            <w:r>
              <w:rPr>
                <w:rFonts w:hint="eastAsia" w:ascii="Arial" w:hAnsi="Arial" w:cs="仿宋_GB2312"/>
                <w:b/>
                <w:szCs w:val="21"/>
              </w:rPr>
              <w:t>收取标准</w:t>
            </w:r>
          </w:p>
        </w:tc>
        <w:tc>
          <w:tcPr>
            <w:tcW w:w="6740" w:type="dxa"/>
            <w:vAlign w:val="center"/>
          </w:tcPr>
          <w:p w14:paraId="3A09CB5F">
            <w:pPr>
              <w:spacing w:line="400" w:lineRule="exact"/>
            </w:pPr>
            <w:r>
              <w:rPr>
                <w:szCs w:val="21"/>
              </w:rPr>
              <w:t>中标服务费的收取：本招标公司参照下表的服务招标费率的规定（差额累进制），按照中标通知书确定的中标总金额，向中标投标人收取中标服务费，不足壹万</w:t>
            </w:r>
            <w:r>
              <w:rPr>
                <w:rFonts w:hint="eastAsia"/>
                <w:szCs w:val="21"/>
              </w:rPr>
              <w:t>元</w:t>
            </w:r>
            <w:r>
              <w:rPr>
                <w:szCs w:val="21"/>
              </w:rPr>
              <w:t>按壹万元收取。</w:t>
            </w:r>
          </w:p>
          <w:tbl>
            <w:tblPr>
              <w:tblStyle w:val="44"/>
              <w:tblW w:w="5219" w:type="dxa"/>
              <w:tblInd w:w="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6"/>
              <w:gridCol w:w="2233"/>
            </w:tblGrid>
            <w:tr w14:paraId="7365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986" w:type="dxa"/>
                  <w:tcBorders>
                    <w:tl2br w:val="single" w:color="auto" w:sz="4" w:space="0"/>
                  </w:tcBorders>
                </w:tcPr>
                <w:p w14:paraId="24CBBE93">
                  <w:pPr>
                    <w:spacing w:line="380" w:lineRule="exact"/>
                    <w:rPr>
                      <w:b/>
                    </w:rPr>
                  </w:pPr>
                  <w:r>
                    <w:rPr>
                      <w:b/>
                      <w:sz w:val="20"/>
                    </w:rPr>
                    <mc:AlternateContent>
                      <mc:Choice Requires="wps">
                        <w:drawing>
                          <wp:anchor distT="0" distB="0" distL="0" distR="0" simplePos="0" relativeHeight="251666432" behindDoc="0" locked="0" layoutInCell="0" allowOverlap="1">
                            <wp:simplePos x="0" y="0"/>
                            <wp:positionH relativeFrom="column">
                              <wp:posOffset>-114300</wp:posOffset>
                            </wp:positionH>
                            <wp:positionV relativeFrom="paragraph">
                              <wp:posOffset>-6350</wp:posOffset>
                            </wp:positionV>
                            <wp:extent cx="635" cy="0"/>
                            <wp:effectExtent l="0" t="4445" r="0" b="5080"/>
                            <wp:wrapNone/>
                            <wp:docPr id="1027" name="Line 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round/>
                                    </a:ln>
                                  </wps:spPr>
                                  <wps:bodyPr/>
                                </wps:wsp>
                              </a:graphicData>
                            </a:graphic>
                          </wp:anchor>
                        </w:drawing>
                      </mc:Choice>
                      <mc:Fallback>
                        <w:pict>
                          <v:line id="Line 2" o:spid="_x0000_s1026" o:spt="20" style="position:absolute;left:0pt;margin-left:-9pt;margin-top:-0.5pt;height:0pt;width:0.05pt;z-index:251666432;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r&#10;kdN+1QAAAAkBAAAPAAAAAAAAAAEAIAAAACIAAABkcnMvZG93bnJldi54bWxQSwECFAAUAAAACACH&#10;TuJAl606GbUBAACCAwAADgAAAAAAAAABACAAAAAkAQAAZHJzL2Uyb0RvYy54bWxQSwUGAAAAAAYA&#10;BgBZAQAASwUAAAAA&#10;">
                            <v:fill on="f" focussize="0,0"/>
                            <v:stroke color="#000000" joinstyle="round"/>
                            <v:imagedata o:title=""/>
                            <o:lock v:ext="edit" aspectratio="f"/>
                          </v:line>
                        </w:pict>
                      </mc:Fallback>
                    </mc:AlternateContent>
                  </w:r>
                  <w:r>
                    <w:rPr>
                      <w:b/>
                    </w:rPr>
                    <w:t xml:space="preserve">                      费率　　　　　　</w:t>
                  </w:r>
                </w:p>
                <w:p w14:paraId="375AD6AF">
                  <w:pPr>
                    <w:spacing w:line="380" w:lineRule="exact"/>
                    <w:rPr>
                      <w:b/>
                    </w:rPr>
                  </w:pPr>
                  <w:r>
                    <w:rPr>
                      <w:b/>
                    </w:rPr>
                    <w:t>中标金额（万元）</w:t>
                  </w:r>
                </w:p>
              </w:tc>
              <w:tc>
                <w:tcPr>
                  <w:tcW w:w="2233" w:type="dxa"/>
                  <w:vAlign w:val="center"/>
                </w:tcPr>
                <w:p w14:paraId="32EAC3C7">
                  <w:pPr>
                    <w:spacing w:line="380" w:lineRule="exact"/>
                    <w:jc w:val="center"/>
                    <w:rPr>
                      <w:b/>
                    </w:rPr>
                  </w:pPr>
                  <w:r>
                    <w:rPr>
                      <w:b/>
                    </w:rPr>
                    <w:t>货物招标</w:t>
                  </w:r>
                </w:p>
              </w:tc>
            </w:tr>
            <w:tr w14:paraId="4834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986" w:type="dxa"/>
                  <w:vAlign w:val="center"/>
                </w:tcPr>
                <w:p w14:paraId="16D4F301">
                  <w:pPr>
                    <w:spacing w:line="380" w:lineRule="exact"/>
                    <w:jc w:val="center"/>
                  </w:pPr>
                  <w:r>
                    <w:t>100以下</w:t>
                  </w:r>
                </w:p>
              </w:tc>
              <w:tc>
                <w:tcPr>
                  <w:tcW w:w="2233" w:type="dxa"/>
                  <w:vAlign w:val="center"/>
                </w:tcPr>
                <w:p w14:paraId="027B1DD9">
                  <w:pPr>
                    <w:spacing w:line="380" w:lineRule="exact"/>
                    <w:jc w:val="center"/>
                  </w:pPr>
                  <w:r>
                    <w:t>1.5%</w:t>
                  </w:r>
                </w:p>
              </w:tc>
            </w:tr>
            <w:tr w14:paraId="59C17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986" w:type="dxa"/>
                  <w:vAlign w:val="center"/>
                </w:tcPr>
                <w:p w14:paraId="2828850F">
                  <w:pPr>
                    <w:spacing w:line="380" w:lineRule="exact"/>
                    <w:jc w:val="center"/>
                  </w:pPr>
                  <w:r>
                    <w:t>100-500</w:t>
                  </w:r>
                </w:p>
              </w:tc>
              <w:tc>
                <w:tcPr>
                  <w:tcW w:w="2233" w:type="dxa"/>
                  <w:vAlign w:val="center"/>
                </w:tcPr>
                <w:p w14:paraId="358566B1">
                  <w:pPr>
                    <w:spacing w:line="380" w:lineRule="exact"/>
                    <w:jc w:val="center"/>
                  </w:pPr>
                  <w:r>
                    <w:t>1.1%</w:t>
                  </w:r>
                </w:p>
              </w:tc>
            </w:tr>
            <w:tr w14:paraId="201B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986" w:type="dxa"/>
                  <w:vAlign w:val="center"/>
                </w:tcPr>
                <w:p w14:paraId="6D0FC839">
                  <w:pPr>
                    <w:spacing w:line="380" w:lineRule="exact"/>
                    <w:jc w:val="center"/>
                  </w:pPr>
                  <w:r>
                    <w:t>500-1000</w:t>
                  </w:r>
                </w:p>
              </w:tc>
              <w:tc>
                <w:tcPr>
                  <w:tcW w:w="2233" w:type="dxa"/>
                  <w:vAlign w:val="center"/>
                </w:tcPr>
                <w:p w14:paraId="11811551">
                  <w:pPr>
                    <w:spacing w:line="380" w:lineRule="exact"/>
                    <w:jc w:val="center"/>
                  </w:pPr>
                  <w:r>
                    <w:t>0.8%</w:t>
                  </w:r>
                </w:p>
              </w:tc>
            </w:tr>
          </w:tbl>
          <w:p w14:paraId="590D2801">
            <w:pPr>
              <w:spacing w:line="400" w:lineRule="exact"/>
              <w:rPr>
                <w:szCs w:val="21"/>
              </w:rPr>
            </w:pPr>
            <w:r>
              <w:rPr>
                <w:szCs w:val="21"/>
              </w:rPr>
              <w:t>本次中标服务费汇入以下账户：</w:t>
            </w:r>
          </w:p>
          <w:p w14:paraId="68C4820E">
            <w:pPr>
              <w:snapToGrid w:val="0"/>
              <w:spacing w:line="400" w:lineRule="exact"/>
              <w:rPr>
                <w:rFonts w:ascii="Arial" w:hAnsi="Arial" w:cs="宋体"/>
                <w:szCs w:val="21"/>
              </w:rPr>
            </w:pPr>
            <w:r>
              <w:rPr>
                <w:rFonts w:hint="eastAsia" w:ascii="Arial" w:hAnsi="Arial" w:cs="宋体"/>
                <w:szCs w:val="21"/>
              </w:rPr>
              <w:t>户    名：宁波慧泽工程管理咨询有限公司</w:t>
            </w:r>
          </w:p>
          <w:p w14:paraId="55BE4F2B">
            <w:pPr>
              <w:snapToGrid w:val="0"/>
              <w:spacing w:line="400" w:lineRule="exact"/>
              <w:rPr>
                <w:rFonts w:ascii="Arial" w:hAnsi="Arial" w:cs="宋体"/>
                <w:szCs w:val="21"/>
              </w:rPr>
            </w:pPr>
            <w:r>
              <w:rPr>
                <w:rFonts w:hint="eastAsia" w:ascii="Arial" w:hAnsi="Arial" w:cs="宋体"/>
                <w:szCs w:val="21"/>
              </w:rPr>
              <w:t>开户银行：宁波银行鼓楼支行</w:t>
            </w:r>
          </w:p>
          <w:p w14:paraId="00EFF6AC">
            <w:pPr>
              <w:snapToGrid w:val="0"/>
              <w:spacing w:line="400" w:lineRule="exact"/>
              <w:rPr>
                <w:rFonts w:ascii="Arial" w:hAnsi="Arial"/>
                <w:szCs w:val="21"/>
              </w:rPr>
            </w:pPr>
            <w:r>
              <w:rPr>
                <w:rFonts w:hint="eastAsia" w:ascii="Arial" w:hAnsi="Arial" w:cs="宋体"/>
                <w:szCs w:val="21"/>
              </w:rPr>
              <w:t>银行账号：2403 0122 0002 08510</w:t>
            </w:r>
          </w:p>
        </w:tc>
      </w:tr>
      <w:tr w14:paraId="1A4A8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1C8F70E6">
            <w:pPr>
              <w:snapToGrid w:val="0"/>
              <w:spacing w:line="400" w:lineRule="exact"/>
              <w:jc w:val="center"/>
              <w:rPr>
                <w:rFonts w:ascii="Arial" w:hAnsi="Arial" w:cs="宋体"/>
                <w:bCs/>
                <w:szCs w:val="21"/>
              </w:rPr>
            </w:pPr>
            <w:r>
              <w:rPr>
                <w:rFonts w:hint="eastAsia" w:ascii="Arial" w:hAnsi="Arial" w:cs="宋体"/>
                <w:bCs/>
                <w:szCs w:val="21"/>
              </w:rPr>
              <w:t>16</w:t>
            </w:r>
          </w:p>
        </w:tc>
        <w:tc>
          <w:tcPr>
            <w:tcW w:w="1456" w:type="dxa"/>
            <w:vAlign w:val="center"/>
          </w:tcPr>
          <w:p w14:paraId="45EADA52">
            <w:pPr>
              <w:snapToGrid w:val="0"/>
              <w:spacing w:line="400" w:lineRule="exact"/>
              <w:jc w:val="center"/>
              <w:rPr>
                <w:rFonts w:ascii="Arial" w:hAnsi="Arial" w:cs="仿宋_GB2312"/>
                <w:b/>
                <w:szCs w:val="21"/>
              </w:rPr>
            </w:pPr>
            <w:r>
              <w:rPr>
                <w:rFonts w:hint="eastAsia" w:ascii="Arial" w:hAnsi="Arial" w:cs="仿宋_GB2312"/>
                <w:b/>
                <w:szCs w:val="21"/>
              </w:rPr>
              <w:t>转让</w:t>
            </w:r>
          </w:p>
        </w:tc>
        <w:tc>
          <w:tcPr>
            <w:tcW w:w="6740" w:type="dxa"/>
            <w:vAlign w:val="center"/>
          </w:tcPr>
          <w:p w14:paraId="5DC644CE">
            <w:pPr>
              <w:snapToGrid w:val="0"/>
              <w:spacing w:line="400" w:lineRule="exact"/>
              <w:rPr>
                <w:rFonts w:ascii="Arial" w:hAnsi="Arial"/>
                <w:kern w:val="0"/>
                <w:szCs w:val="21"/>
              </w:rPr>
            </w:pPr>
            <w:r>
              <w:rPr>
                <w:rFonts w:hint="eastAsia" w:ascii="Arial" w:hAnsi="Arial"/>
                <w:kern w:val="0"/>
                <w:szCs w:val="21"/>
              </w:rPr>
              <w:t>本项目不得转让、分包。</w:t>
            </w:r>
          </w:p>
        </w:tc>
      </w:tr>
      <w:tr w14:paraId="6EEC3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372638C4">
            <w:pPr>
              <w:snapToGrid w:val="0"/>
              <w:spacing w:line="400" w:lineRule="exact"/>
              <w:jc w:val="center"/>
              <w:rPr>
                <w:rFonts w:ascii="Arial" w:hAnsi="Arial" w:cs="宋体"/>
                <w:bCs/>
                <w:szCs w:val="21"/>
              </w:rPr>
            </w:pPr>
            <w:r>
              <w:rPr>
                <w:rFonts w:hint="eastAsia" w:ascii="Arial" w:hAnsi="Arial" w:cs="宋体"/>
                <w:bCs/>
                <w:szCs w:val="21"/>
              </w:rPr>
              <w:t>17</w:t>
            </w:r>
          </w:p>
        </w:tc>
        <w:tc>
          <w:tcPr>
            <w:tcW w:w="1456" w:type="dxa"/>
            <w:vAlign w:val="center"/>
          </w:tcPr>
          <w:p w14:paraId="505C8F2B">
            <w:pPr>
              <w:snapToGrid w:val="0"/>
              <w:spacing w:line="400" w:lineRule="exact"/>
              <w:jc w:val="center"/>
              <w:rPr>
                <w:rFonts w:ascii="Arial" w:hAnsi="Arial" w:cs="仿宋_GB2312"/>
                <w:b/>
                <w:szCs w:val="21"/>
              </w:rPr>
            </w:pPr>
            <w:r>
              <w:rPr>
                <w:rFonts w:hint="eastAsia" w:ascii="Arial" w:hAnsi="Arial" w:cs="仿宋_GB2312"/>
                <w:b/>
                <w:szCs w:val="21"/>
              </w:rPr>
              <w:t>解释</w:t>
            </w:r>
          </w:p>
        </w:tc>
        <w:tc>
          <w:tcPr>
            <w:tcW w:w="6740" w:type="dxa"/>
            <w:vAlign w:val="center"/>
          </w:tcPr>
          <w:p w14:paraId="09ED47E8">
            <w:pPr>
              <w:snapToGrid w:val="0"/>
              <w:spacing w:line="400" w:lineRule="exact"/>
              <w:rPr>
                <w:rFonts w:ascii="Arial" w:hAnsi="Arial"/>
                <w:kern w:val="0"/>
                <w:szCs w:val="21"/>
              </w:rPr>
            </w:pPr>
            <w:r>
              <w:rPr>
                <w:rFonts w:hint="eastAsia" w:ascii="Arial" w:hAnsi="Arial"/>
                <w:szCs w:val="21"/>
              </w:rPr>
              <w:t>本采购文件的解释权属于采购人及采购代理机构。</w:t>
            </w:r>
          </w:p>
        </w:tc>
      </w:tr>
    </w:tbl>
    <w:p w14:paraId="76E9D3BE">
      <w:pPr>
        <w:spacing w:line="420" w:lineRule="exact"/>
        <w:ind w:firstLine="2524" w:firstLineChars="1197"/>
        <w:outlineLvl w:val="1"/>
        <w:rPr>
          <w:rFonts w:hint="eastAsia" w:ascii="宋体" w:hAnsi="宋体" w:cs="宋体"/>
          <w:b/>
          <w:sz w:val="28"/>
          <w:szCs w:val="18"/>
        </w:rPr>
      </w:pPr>
      <w:r>
        <w:rPr>
          <w:rFonts w:hint="eastAsia" w:ascii="Arial" w:hAnsi="Arial" w:cs="宋体"/>
          <w:b/>
          <w:szCs w:val="21"/>
        </w:rPr>
        <w:br w:type="page"/>
      </w:r>
      <w:bookmarkStart w:id="21" w:name="_Toc19896"/>
      <w:bookmarkStart w:id="22" w:name="_Toc91899903"/>
      <w:r>
        <w:rPr>
          <w:rFonts w:hint="eastAsia" w:ascii="Arial" w:hAnsi="Arial" w:cs="宋体"/>
          <w:b/>
          <w:szCs w:val="21"/>
        </w:rPr>
        <w:t xml:space="preserve">     </w:t>
      </w:r>
      <w:r>
        <w:rPr>
          <w:rFonts w:hint="eastAsia" w:ascii="Arial" w:hAnsi="Arial" w:cs="宋体"/>
          <w:b/>
          <w:sz w:val="20"/>
          <w:szCs w:val="20"/>
        </w:rPr>
        <w:t xml:space="preserve"> </w:t>
      </w:r>
      <w:r>
        <w:rPr>
          <w:rFonts w:hint="eastAsia" w:ascii="宋体" w:hAnsi="宋体" w:cs="宋体"/>
          <w:b/>
          <w:sz w:val="22"/>
          <w:szCs w:val="15"/>
        </w:rPr>
        <w:t>一、总则</w:t>
      </w:r>
      <w:bookmarkEnd w:id="21"/>
    </w:p>
    <w:p w14:paraId="036D1D88">
      <w:pPr>
        <w:snapToGrid w:val="0"/>
        <w:spacing w:line="420" w:lineRule="exact"/>
        <w:ind w:firstLine="331" w:firstLineChars="150"/>
        <w:jc w:val="left"/>
        <w:outlineLvl w:val="1"/>
        <w:rPr>
          <w:rFonts w:hint="eastAsia" w:ascii="宋体" w:hAnsi="宋体" w:cs="宋体"/>
          <w:b/>
          <w:sz w:val="22"/>
          <w:szCs w:val="22"/>
        </w:rPr>
      </w:pPr>
      <w:bookmarkStart w:id="23" w:name="_Toc4803"/>
      <w:r>
        <w:rPr>
          <w:rFonts w:hint="eastAsia" w:ascii="宋体" w:hAnsi="宋体" w:cs="宋体"/>
          <w:b/>
          <w:sz w:val="22"/>
          <w:szCs w:val="22"/>
        </w:rPr>
        <w:t>1. 适用范围</w:t>
      </w:r>
      <w:bookmarkEnd w:id="23"/>
    </w:p>
    <w:p w14:paraId="0C12A77A">
      <w:pPr>
        <w:snapToGrid w:val="0"/>
        <w:spacing w:line="420" w:lineRule="exact"/>
        <w:ind w:firstLine="440" w:firstLineChars="200"/>
        <w:jc w:val="left"/>
        <w:rPr>
          <w:rFonts w:hint="eastAsia" w:ascii="宋体" w:hAnsi="宋体" w:cs="宋体"/>
          <w:sz w:val="22"/>
          <w:szCs w:val="22"/>
        </w:rPr>
      </w:pPr>
      <w:r>
        <w:rPr>
          <w:rFonts w:hint="eastAsia" w:ascii="宋体" w:hAnsi="宋体" w:cs="宋体"/>
          <w:sz w:val="22"/>
          <w:szCs w:val="22"/>
        </w:rPr>
        <w:t>本招标文件适用于该项目的招标、投标、开标、资格审查及信用信息查询、评标、定标、合同、验收等行为（法律、法规另有规定的，从其规定）。</w:t>
      </w:r>
    </w:p>
    <w:p w14:paraId="42AFA838">
      <w:pPr>
        <w:snapToGrid w:val="0"/>
        <w:spacing w:line="420" w:lineRule="exact"/>
        <w:ind w:firstLine="331" w:firstLineChars="150"/>
        <w:jc w:val="left"/>
        <w:outlineLvl w:val="1"/>
        <w:rPr>
          <w:rFonts w:hint="eastAsia" w:ascii="宋体" w:hAnsi="宋体" w:cs="宋体"/>
          <w:b/>
          <w:sz w:val="22"/>
          <w:szCs w:val="22"/>
        </w:rPr>
      </w:pPr>
      <w:bookmarkStart w:id="24" w:name="_Toc17533"/>
      <w:r>
        <w:rPr>
          <w:rFonts w:hint="eastAsia" w:ascii="宋体" w:hAnsi="宋体" w:cs="宋体"/>
          <w:b/>
          <w:sz w:val="22"/>
          <w:szCs w:val="22"/>
        </w:rPr>
        <w:t>2.定义</w:t>
      </w:r>
      <w:bookmarkEnd w:id="24"/>
    </w:p>
    <w:p w14:paraId="67D54F52">
      <w:pPr>
        <w:spacing w:line="420" w:lineRule="exact"/>
        <w:ind w:firstLine="440" w:firstLineChars="200"/>
        <w:rPr>
          <w:rFonts w:hint="eastAsia" w:ascii="宋体" w:hAnsi="宋体" w:cs="宋体"/>
          <w:sz w:val="22"/>
          <w:szCs w:val="22"/>
        </w:rPr>
      </w:pPr>
      <w:r>
        <w:rPr>
          <w:rFonts w:hint="eastAsia" w:ascii="宋体" w:hAnsi="宋体" w:cs="宋体"/>
          <w:sz w:val="22"/>
          <w:szCs w:val="22"/>
        </w:rPr>
        <w:t>2.1 “采购人”系指招标公告中载明的本项目的采购人。</w:t>
      </w:r>
    </w:p>
    <w:p w14:paraId="7D50FAF7">
      <w:pPr>
        <w:spacing w:line="420" w:lineRule="exact"/>
        <w:ind w:firstLine="440" w:firstLineChars="200"/>
        <w:rPr>
          <w:rFonts w:hint="eastAsia" w:ascii="宋体" w:hAnsi="宋体" w:cs="宋体"/>
          <w:sz w:val="22"/>
          <w:szCs w:val="22"/>
        </w:rPr>
      </w:pPr>
      <w:r>
        <w:rPr>
          <w:rFonts w:hint="eastAsia" w:ascii="宋体" w:hAnsi="宋体" w:cs="宋体"/>
          <w:sz w:val="22"/>
          <w:szCs w:val="22"/>
        </w:rPr>
        <w:t>2.2 “采购代理机构”系指招标公告中载明的本项目的采购代理机构。</w:t>
      </w:r>
    </w:p>
    <w:p w14:paraId="26B8D170">
      <w:pPr>
        <w:spacing w:line="420" w:lineRule="exact"/>
        <w:ind w:firstLine="440" w:firstLineChars="200"/>
        <w:rPr>
          <w:rFonts w:hint="eastAsia" w:ascii="宋体" w:hAnsi="宋体" w:cs="宋体"/>
          <w:sz w:val="22"/>
          <w:szCs w:val="22"/>
        </w:rPr>
      </w:pPr>
      <w:r>
        <w:rPr>
          <w:rFonts w:hint="eastAsia" w:ascii="宋体" w:hAnsi="宋体" w:cs="宋体"/>
          <w:sz w:val="22"/>
          <w:szCs w:val="22"/>
        </w:rPr>
        <w:t>2.3 “投标人”系指响应招标、参加投标竞争的法人、其他组织或者自然人。</w:t>
      </w:r>
    </w:p>
    <w:p w14:paraId="1B478B55">
      <w:pPr>
        <w:spacing w:line="420" w:lineRule="exact"/>
        <w:ind w:firstLine="440" w:firstLineChars="200"/>
        <w:rPr>
          <w:rFonts w:hint="eastAsia" w:ascii="宋体" w:hAnsi="宋体" w:cs="宋体"/>
          <w:sz w:val="22"/>
          <w:szCs w:val="22"/>
        </w:rPr>
      </w:pPr>
      <w:r>
        <w:rPr>
          <w:rFonts w:hint="eastAsia" w:ascii="宋体" w:hAnsi="宋体" w:cs="宋体"/>
          <w:sz w:val="22"/>
          <w:szCs w:val="22"/>
        </w:rPr>
        <w:t>2.4 “负责人”系指法人企业的法定负责人，或其他组织为法律、行政法规规定代表单位行使职权的主要负责人，或自然人本人。</w:t>
      </w:r>
    </w:p>
    <w:p w14:paraId="22B906F6">
      <w:pPr>
        <w:spacing w:line="420" w:lineRule="exact"/>
        <w:ind w:firstLine="440" w:firstLineChars="200"/>
        <w:rPr>
          <w:rFonts w:hint="eastAsia" w:ascii="宋体" w:hAnsi="宋体" w:cs="宋体"/>
          <w:sz w:val="22"/>
          <w:szCs w:val="22"/>
        </w:rPr>
      </w:pPr>
      <w:r>
        <w:rPr>
          <w:rFonts w:hint="eastAsia" w:ascii="宋体" w:hAnsi="宋体" w:cs="宋体"/>
          <w:sz w:val="22"/>
          <w:szCs w:val="22"/>
        </w:rPr>
        <w:t>2.5“电子签章”系指数据电文中以电子形式所含、所附用于识别签名人身份并表明签名人认可其中内容的数据；“公章”系指单位法定名称章。因特殊原因需要使用冠以法定名称的业务专用章的，投标时须提供《业务专用章使用说明函》（附件2）。</w:t>
      </w:r>
    </w:p>
    <w:p w14:paraId="2F4CBEFE">
      <w:pPr>
        <w:spacing w:line="420" w:lineRule="exact"/>
        <w:ind w:firstLine="440" w:firstLineChars="200"/>
        <w:rPr>
          <w:rFonts w:hint="eastAsia" w:ascii="宋体" w:hAnsi="宋体" w:cs="宋体"/>
          <w:sz w:val="22"/>
          <w:szCs w:val="22"/>
        </w:rPr>
      </w:pPr>
      <w:r>
        <w:rPr>
          <w:rFonts w:hint="eastAsia" w:ascii="宋体" w:hAnsi="宋体" w:cs="宋体"/>
          <w:sz w:val="22"/>
          <w:szCs w:val="22"/>
        </w:rPr>
        <w:t>2.6“电子交易平台”系指本项目政府采购活动所依托的政府采购云平台（https://www.zcygov.cn/）。</w:t>
      </w:r>
    </w:p>
    <w:p w14:paraId="2E47F5E2">
      <w:pPr>
        <w:spacing w:line="420" w:lineRule="exact"/>
        <w:ind w:firstLine="440" w:firstLineChars="200"/>
        <w:rPr>
          <w:rFonts w:hint="eastAsia" w:ascii="宋体" w:hAnsi="宋体" w:cs="宋体"/>
          <w:sz w:val="22"/>
          <w:szCs w:val="22"/>
        </w:rPr>
      </w:pPr>
      <w:r>
        <w:rPr>
          <w:rFonts w:hint="eastAsia" w:ascii="宋体" w:hAnsi="宋体" w:cs="宋体"/>
          <w:sz w:val="22"/>
          <w:szCs w:val="22"/>
        </w:rPr>
        <w:t>2.7 “</w:t>
      </w:r>
      <w:r>
        <w:rPr>
          <w:rFonts w:hint="eastAsia" w:ascii="宋体" w:hAnsi="宋体" w:cs="宋体"/>
          <w:bCs/>
          <w:sz w:val="20"/>
          <w:szCs w:val="20"/>
        </w:rPr>
        <w:t>★</w:t>
      </w:r>
      <w:r>
        <w:rPr>
          <w:rFonts w:hint="eastAsia" w:ascii="宋体" w:hAnsi="宋体" w:cs="宋体"/>
          <w:sz w:val="22"/>
          <w:szCs w:val="22"/>
        </w:rPr>
        <w:t>” 系指实质性要求条款，“</w:t>
      </w:r>
      <w:r>
        <w:rPr>
          <w:rFonts w:hint="eastAsia" w:ascii="宋体" w:hAnsi="宋体" w:cs="宋体"/>
          <w:kern w:val="0"/>
          <w:sz w:val="22"/>
          <w:szCs w:val="22"/>
        </w:rPr>
        <w:t>■</w:t>
      </w:r>
      <w:r>
        <w:rPr>
          <w:rFonts w:hint="eastAsia" w:ascii="宋体" w:hAnsi="宋体" w:cs="宋体"/>
          <w:sz w:val="22"/>
          <w:szCs w:val="22"/>
        </w:rPr>
        <w:t>” 系指适用本项目的要求，“</w:t>
      </w:r>
      <w:r>
        <w:rPr>
          <w:rFonts w:hint="eastAsia" w:ascii="宋体" w:hAnsi="宋体" w:cs="宋体"/>
          <w:kern w:val="0"/>
          <w:sz w:val="22"/>
          <w:szCs w:val="22"/>
        </w:rPr>
        <w:t>☐</w:t>
      </w:r>
      <w:r>
        <w:rPr>
          <w:rFonts w:hint="eastAsia" w:ascii="宋体" w:hAnsi="宋体" w:cs="宋体"/>
          <w:sz w:val="22"/>
          <w:szCs w:val="22"/>
        </w:rPr>
        <w:t>” 系指不适用本项目的要求。</w:t>
      </w:r>
    </w:p>
    <w:p w14:paraId="19B0B040">
      <w:pPr>
        <w:spacing w:line="420" w:lineRule="exact"/>
        <w:ind w:firstLine="221" w:firstLineChars="100"/>
        <w:rPr>
          <w:rFonts w:hint="eastAsia" w:ascii="宋体" w:hAnsi="宋体" w:cs="宋体"/>
          <w:b/>
          <w:sz w:val="22"/>
          <w:szCs w:val="22"/>
        </w:rPr>
      </w:pPr>
      <w:r>
        <w:rPr>
          <w:rFonts w:hint="eastAsia" w:ascii="宋体" w:hAnsi="宋体" w:cs="宋体"/>
          <w:b/>
          <w:sz w:val="22"/>
          <w:szCs w:val="22"/>
        </w:rPr>
        <w:t>3.</w:t>
      </w:r>
      <w:r>
        <w:rPr>
          <w:rFonts w:hint="eastAsia" w:ascii="宋体" w:hAnsi="宋体" w:cs="宋体"/>
          <w:sz w:val="20"/>
          <w:szCs w:val="22"/>
        </w:rPr>
        <w:t xml:space="preserve"> </w:t>
      </w:r>
      <w:r>
        <w:rPr>
          <w:rFonts w:hint="eastAsia" w:ascii="宋体" w:hAnsi="宋体" w:cs="宋体"/>
          <w:b/>
          <w:sz w:val="22"/>
          <w:szCs w:val="22"/>
        </w:rPr>
        <w:t>采购项目需要落实的政府采购政策</w:t>
      </w:r>
    </w:p>
    <w:p w14:paraId="2A66563A">
      <w:pPr>
        <w:spacing w:line="420" w:lineRule="exact"/>
        <w:ind w:firstLine="220" w:firstLineChars="100"/>
        <w:rPr>
          <w:rFonts w:hint="eastAsia" w:ascii="宋体" w:hAnsi="宋体" w:cs="宋体"/>
          <w:sz w:val="22"/>
          <w:szCs w:val="22"/>
        </w:rPr>
      </w:pPr>
      <w:r>
        <w:rPr>
          <w:rFonts w:hint="eastAsia" w:ascii="宋体" w:hAnsi="宋体" w:cs="宋体"/>
          <w:sz w:val="22"/>
          <w:szCs w:val="22"/>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14:paraId="3306B3C8">
      <w:pPr>
        <w:spacing w:line="420" w:lineRule="exact"/>
        <w:ind w:firstLine="220" w:firstLineChars="100"/>
        <w:rPr>
          <w:rFonts w:hint="eastAsia" w:ascii="宋体" w:hAnsi="宋体" w:cs="宋体"/>
          <w:sz w:val="22"/>
          <w:szCs w:val="22"/>
        </w:rPr>
      </w:pPr>
      <w:r>
        <w:rPr>
          <w:rFonts w:hint="eastAsia" w:ascii="宋体" w:hAnsi="宋体" w:cs="宋体"/>
          <w:sz w:val="22"/>
          <w:szCs w:val="22"/>
        </w:rPr>
        <w:t>3.2 支持绿色发展</w:t>
      </w:r>
    </w:p>
    <w:p w14:paraId="232BC8CA">
      <w:pPr>
        <w:spacing w:line="420" w:lineRule="exact"/>
        <w:ind w:firstLine="440" w:firstLineChars="200"/>
        <w:rPr>
          <w:rFonts w:hint="eastAsia" w:ascii="宋体" w:hAnsi="宋体" w:cs="宋体"/>
          <w:b/>
          <w:sz w:val="22"/>
          <w:szCs w:val="22"/>
        </w:rPr>
      </w:pPr>
      <w:r>
        <w:rPr>
          <w:rFonts w:hint="eastAsia" w:ascii="宋体" w:hAnsi="宋体" w:cs="宋体"/>
          <w:sz w:val="22"/>
          <w:szCs w:val="22"/>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Cs/>
          <w:sz w:val="20"/>
          <w:szCs w:val="20"/>
        </w:rPr>
        <w:t>★</w:t>
      </w:r>
      <w:r>
        <w:rPr>
          <w:rFonts w:hint="eastAsia" w:ascii="宋体" w:hAnsi="宋体" w:cs="宋体"/>
          <w:b/>
          <w:sz w:val="22"/>
          <w:szCs w:val="22"/>
        </w:rPr>
        <w:t>采购人拟采购的产品属于政府强制采购的节能产品品目清单范围的，投标人相应的投标产品未获得国家确定的认证机构出具的、处于有效期之内的节能产品认证证书的，投标无效。（</w:t>
      </w:r>
      <w:r>
        <w:rPr>
          <w:rFonts w:ascii="宋体" w:hAnsi="宋体" w:cs="宋体"/>
          <w:b/>
          <w:bCs/>
          <w:sz w:val="22"/>
          <w:szCs w:val="22"/>
        </w:rPr>
        <w:t>《节能产品政府采购品目清单》详见《关于印发节能产品政府采购品目清单的通知(财库[2019]19号)》(如遇调整，按最新清单执行)。</w:t>
      </w:r>
    </w:p>
    <w:p w14:paraId="61C2ABA6">
      <w:pPr>
        <w:spacing w:line="420" w:lineRule="exact"/>
        <w:ind w:firstLine="440" w:firstLineChars="200"/>
        <w:rPr>
          <w:rFonts w:hint="eastAsia" w:ascii="宋体" w:hAnsi="宋体" w:cs="宋体"/>
          <w:sz w:val="22"/>
          <w:szCs w:val="22"/>
        </w:rPr>
      </w:pPr>
      <w:r>
        <w:rPr>
          <w:rFonts w:hint="eastAsia" w:ascii="宋体" w:hAnsi="宋体" w:cs="宋体"/>
          <w:sz w:val="22"/>
          <w:szCs w:val="22"/>
        </w:rPr>
        <w:t>3.2.2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25" w:name="_Hlk107568539"/>
    </w:p>
    <w:p w14:paraId="043FD6FA">
      <w:pPr>
        <w:spacing w:line="420" w:lineRule="exact"/>
        <w:ind w:firstLine="440" w:firstLineChars="200"/>
        <w:rPr>
          <w:rFonts w:hint="eastAsia" w:ascii="宋体" w:hAnsi="宋体" w:cs="宋体"/>
          <w:sz w:val="22"/>
          <w:szCs w:val="22"/>
        </w:rPr>
      </w:pPr>
      <w:r>
        <w:rPr>
          <w:rFonts w:hint="eastAsia" w:ascii="宋体" w:hAnsi="宋体" w:cs="宋体"/>
          <w:sz w:val="22"/>
          <w:szCs w:val="22"/>
        </w:rPr>
        <w:t>3.2.3 鼓励供应商在参加政府采购过程中开展绿色设计、选择绿色材料、打造绿色制造工艺、开展绿色运输、做好废弃产品回收处理，实现产品全周期的绿色环保。</w:t>
      </w:r>
      <w:bookmarkEnd w:id="25"/>
    </w:p>
    <w:p w14:paraId="2026D5DE">
      <w:pPr>
        <w:spacing w:line="420" w:lineRule="exact"/>
        <w:ind w:firstLine="220" w:firstLineChars="100"/>
        <w:rPr>
          <w:rFonts w:hint="eastAsia" w:ascii="宋体" w:hAnsi="宋体" w:cs="宋体"/>
          <w:sz w:val="22"/>
          <w:szCs w:val="22"/>
        </w:rPr>
      </w:pPr>
      <w:r>
        <w:rPr>
          <w:rFonts w:hint="eastAsia" w:ascii="宋体" w:hAnsi="宋体" w:cs="宋体"/>
          <w:sz w:val="22"/>
          <w:szCs w:val="22"/>
        </w:rPr>
        <w:t>3.3支持中小企业发展</w:t>
      </w:r>
    </w:p>
    <w:p w14:paraId="0CE75D19">
      <w:pPr>
        <w:spacing w:line="420" w:lineRule="exact"/>
        <w:ind w:firstLine="440" w:firstLineChars="200"/>
        <w:rPr>
          <w:rFonts w:hint="eastAsia" w:ascii="宋体" w:hAnsi="宋体" w:cs="宋体"/>
          <w:sz w:val="22"/>
          <w:szCs w:val="22"/>
        </w:rPr>
      </w:pPr>
      <w:r>
        <w:rPr>
          <w:rFonts w:hint="eastAsia" w:ascii="宋体" w:hAnsi="宋体" w:cs="宋体"/>
          <w:sz w:val="22"/>
          <w:szCs w:val="22"/>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22EB4B72">
      <w:pPr>
        <w:spacing w:line="420" w:lineRule="exact"/>
        <w:ind w:firstLine="440" w:firstLineChars="200"/>
        <w:rPr>
          <w:rFonts w:hint="eastAsia" w:ascii="宋体" w:hAnsi="宋体" w:cs="宋体"/>
          <w:sz w:val="22"/>
          <w:szCs w:val="22"/>
        </w:rPr>
      </w:pPr>
      <w:r>
        <w:rPr>
          <w:rFonts w:hint="eastAsia" w:ascii="宋体" w:hAnsi="宋体" w:cs="宋体"/>
          <w:sz w:val="22"/>
          <w:szCs w:val="22"/>
        </w:rPr>
        <w:t>符合中小企业划分标准的个体工商户，在政府采购活动中视同中小企业。</w:t>
      </w:r>
    </w:p>
    <w:p w14:paraId="37BA1334">
      <w:pPr>
        <w:widowControl/>
        <w:spacing w:line="420" w:lineRule="exact"/>
        <w:ind w:firstLine="440" w:firstLineChars="200"/>
        <w:jc w:val="left"/>
        <w:rPr>
          <w:rFonts w:hint="eastAsia" w:ascii="宋体" w:hAnsi="宋体" w:cs="宋体"/>
          <w:kern w:val="0"/>
          <w:sz w:val="22"/>
          <w:szCs w:val="22"/>
        </w:rPr>
      </w:pPr>
      <w:r>
        <w:rPr>
          <w:rFonts w:hint="eastAsia" w:ascii="宋体" w:hAnsi="宋体" w:cs="宋体"/>
          <w:bCs/>
          <w:sz w:val="22"/>
          <w:szCs w:val="22"/>
        </w:rPr>
        <w:t>3.3.2</w:t>
      </w:r>
      <w:r>
        <w:rPr>
          <w:rFonts w:hint="eastAsia" w:ascii="宋体" w:hAnsi="宋体" w:cs="宋体"/>
          <w:kern w:val="0"/>
          <w:sz w:val="22"/>
          <w:szCs w:val="22"/>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787F93F8">
      <w:pPr>
        <w:widowControl/>
        <w:spacing w:line="420" w:lineRule="exact"/>
        <w:ind w:firstLine="440" w:firstLineChars="200"/>
        <w:jc w:val="left"/>
        <w:rPr>
          <w:rFonts w:hint="eastAsia" w:ascii="宋体" w:hAnsi="宋体" w:cs="宋体"/>
          <w:kern w:val="0"/>
          <w:sz w:val="22"/>
          <w:szCs w:val="22"/>
        </w:rPr>
      </w:pPr>
      <w:r>
        <w:rPr>
          <w:rFonts w:hint="eastAsia" w:ascii="宋体" w:hAnsi="宋体" w:cs="宋体"/>
          <w:kern w:val="0"/>
          <w:sz w:val="22"/>
          <w:szCs w:val="22"/>
        </w:rPr>
        <w:t>以联合体形式参加政府采购活动，联合体各方均为中小企业的，联合体视同中小企业。其中，联合体各方均为小微企业的，联合体视同小微企业。</w:t>
      </w:r>
    </w:p>
    <w:p w14:paraId="515C8861">
      <w:pPr>
        <w:spacing w:line="420" w:lineRule="exact"/>
        <w:ind w:firstLine="440" w:firstLineChars="200"/>
        <w:rPr>
          <w:rFonts w:hint="eastAsia" w:ascii="宋体" w:hAnsi="宋体" w:cs="宋体"/>
          <w:sz w:val="22"/>
          <w:szCs w:val="22"/>
        </w:rPr>
      </w:pPr>
      <w:r>
        <w:rPr>
          <w:rFonts w:hint="eastAsia" w:ascii="宋体" w:hAnsi="宋体" w:cs="宋体"/>
          <w:sz w:val="22"/>
          <w:szCs w:val="22"/>
        </w:rPr>
        <w:t>3.3.3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w:t>
      </w:r>
      <w:bookmarkStart w:id="26" w:name="_Hlk101132181"/>
      <w:r>
        <w:rPr>
          <w:rFonts w:hint="eastAsia" w:ascii="宋体" w:hAnsi="宋体" w:cs="宋体"/>
          <w:sz w:val="22"/>
          <w:szCs w:val="22"/>
        </w:rPr>
        <w:t>联合协议或者分包意向协议约定小微企业的合同份额占到合同总金额30%以上的</w:t>
      </w:r>
      <w:bookmarkEnd w:id="26"/>
      <w:r>
        <w:rPr>
          <w:rFonts w:hint="eastAsia" w:ascii="宋体" w:hAnsi="宋体" w:cs="宋体"/>
          <w:sz w:val="22"/>
          <w:szCs w:val="22"/>
        </w:rPr>
        <w:t>，对联合体或者大中型企业的报价给予4%的扣除，用扣除后的价格参加评审。组成联合体或者接受分包的小微企业与联合体内其他企业、分包企业之间存在直接控股、管理关系的，不享受价格扣除优惠政策。</w:t>
      </w:r>
    </w:p>
    <w:p w14:paraId="65E8D1AB">
      <w:pPr>
        <w:spacing w:line="420" w:lineRule="exact"/>
        <w:ind w:firstLine="440" w:firstLineChars="200"/>
        <w:rPr>
          <w:rFonts w:hint="eastAsia" w:ascii="宋体" w:hAnsi="宋体" w:cs="宋体"/>
          <w:sz w:val="22"/>
          <w:szCs w:val="22"/>
        </w:rPr>
      </w:pPr>
      <w:r>
        <w:rPr>
          <w:rFonts w:hint="eastAsia" w:ascii="宋体" w:hAnsi="宋体" w:cs="宋体"/>
          <w:sz w:val="22"/>
          <w:szCs w:val="22"/>
        </w:rPr>
        <w:t>3.3.4符合《关于促进残疾人就业政府采购政策的通知》（财库〔2017〕141号）规定的条件并提供《残疾人福利性单位声明函》（附件1）的残疾人福利性单位视同小型、微型企业；</w:t>
      </w:r>
    </w:p>
    <w:p w14:paraId="2FC0848F">
      <w:pPr>
        <w:spacing w:line="420" w:lineRule="exact"/>
        <w:ind w:firstLine="440" w:firstLineChars="200"/>
        <w:rPr>
          <w:rFonts w:hint="eastAsia" w:ascii="宋体" w:hAnsi="宋体" w:cs="宋体"/>
          <w:sz w:val="22"/>
          <w:szCs w:val="22"/>
        </w:rPr>
      </w:pPr>
      <w:r>
        <w:rPr>
          <w:rFonts w:hint="eastAsia" w:ascii="宋体" w:hAnsi="宋体" w:cs="宋体"/>
          <w:sz w:val="22"/>
          <w:szCs w:val="22"/>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07AA29F6">
      <w:pPr>
        <w:spacing w:line="420" w:lineRule="exact"/>
        <w:ind w:firstLine="440" w:firstLineChars="200"/>
        <w:rPr>
          <w:rFonts w:hint="eastAsia" w:ascii="宋体" w:hAnsi="宋体" w:cs="宋体"/>
          <w:sz w:val="22"/>
          <w:szCs w:val="22"/>
        </w:rPr>
      </w:pPr>
      <w:r>
        <w:rPr>
          <w:rFonts w:hint="eastAsia" w:ascii="宋体" w:hAnsi="宋体" w:cs="宋体"/>
          <w:sz w:val="22"/>
          <w:szCs w:val="22"/>
        </w:rPr>
        <w:t>3.3.6</w:t>
      </w:r>
      <w:r>
        <w:rPr>
          <w:rFonts w:hint="eastAsia" w:ascii="宋体" w:hAnsi="宋体" w:cs="宋体"/>
          <w:sz w:val="22"/>
          <w:szCs w:val="22"/>
          <w:lang w:val="e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sz w:val="22"/>
          <w:szCs w:val="22"/>
        </w:rPr>
        <w:t>。</w:t>
      </w:r>
    </w:p>
    <w:p w14:paraId="261864D6">
      <w:pPr>
        <w:spacing w:line="420" w:lineRule="exact"/>
        <w:ind w:firstLine="440" w:firstLineChars="200"/>
        <w:rPr>
          <w:rFonts w:hint="eastAsia" w:ascii="宋体" w:hAnsi="宋体" w:cs="宋体"/>
          <w:sz w:val="22"/>
          <w:szCs w:val="22"/>
        </w:rPr>
      </w:pPr>
      <w:r>
        <w:rPr>
          <w:rFonts w:hint="eastAsia" w:ascii="宋体" w:hAnsi="宋体" w:cs="宋体"/>
          <w:sz w:val="22"/>
          <w:szCs w:val="22"/>
        </w:rPr>
        <w:t>3.3.7中小企业享受扶持政策获得政府采购合同的，小微企业不得将合同分包给大中型企业，中型企业不得将合同分包给大型企业。</w:t>
      </w:r>
    </w:p>
    <w:p w14:paraId="10E12E80">
      <w:pPr>
        <w:spacing w:line="420" w:lineRule="exact"/>
        <w:ind w:firstLine="220" w:firstLineChars="100"/>
        <w:rPr>
          <w:rFonts w:hint="eastAsia" w:ascii="宋体" w:hAnsi="宋体" w:cs="宋体"/>
          <w:sz w:val="22"/>
          <w:szCs w:val="22"/>
        </w:rPr>
      </w:pPr>
      <w:r>
        <w:rPr>
          <w:rFonts w:hint="eastAsia" w:ascii="宋体" w:hAnsi="宋体" w:cs="宋体"/>
          <w:sz w:val="22"/>
          <w:szCs w:val="22"/>
        </w:rPr>
        <w:t>3.4</w:t>
      </w:r>
      <w:r>
        <w:rPr>
          <w:rFonts w:hint="eastAsia" w:ascii="宋体" w:hAnsi="宋体" w:cs="宋体"/>
          <w:bCs/>
          <w:sz w:val="22"/>
          <w:szCs w:val="22"/>
        </w:rPr>
        <w:t>支持创新发展</w:t>
      </w:r>
    </w:p>
    <w:p w14:paraId="29C1A64A">
      <w:pPr>
        <w:spacing w:line="420" w:lineRule="exact"/>
        <w:ind w:firstLine="220" w:firstLineChars="100"/>
        <w:rPr>
          <w:rFonts w:hint="eastAsia" w:ascii="宋体" w:hAnsi="宋体" w:cs="宋体"/>
          <w:sz w:val="22"/>
          <w:szCs w:val="22"/>
        </w:rPr>
      </w:pPr>
      <w:r>
        <w:rPr>
          <w:rFonts w:hint="eastAsia" w:ascii="宋体" w:hAnsi="宋体" w:cs="宋体"/>
          <w:sz w:val="22"/>
          <w:szCs w:val="22"/>
        </w:rPr>
        <w:t>对省级以上主管部门认定的首台套产品，自纳入《省推广应用指导目录》起三年内参加政府采购活动，视同已具备相应销售业绩，业绩分为满分。</w:t>
      </w:r>
      <w:r>
        <w:rPr>
          <w:rFonts w:hint="eastAsia" w:ascii="宋体" w:hAnsi="宋体" w:cs="宋体"/>
          <w:sz w:val="22"/>
          <w:szCs w:val="22"/>
        </w:rPr>
        <w:cr/>
      </w:r>
      <w:r>
        <w:rPr>
          <w:rFonts w:hint="eastAsia" w:ascii="宋体" w:hAnsi="宋体" w:cs="宋体"/>
          <w:sz w:val="22"/>
          <w:szCs w:val="22"/>
        </w:rPr>
        <w:t xml:space="preserve">  3.5平等对待内外资企业和符合条件的破产重整企业</w:t>
      </w:r>
    </w:p>
    <w:p w14:paraId="05152ACB">
      <w:pPr>
        <w:spacing w:line="420" w:lineRule="exact"/>
        <w:ind w:firstLine="440" w:firstLineChars="200"/>
        <w:rPr>
          <w:rFonts w:hint="eastAsia" w:ascii="宋体" w:hAnsi="宋体" w:cs="宋体"/>
          <w:sz w:val="22"/>
          <w:szCs w:val="22"/>
        </w:rPr>
      </w:pPr>
      <w:r>
        <w:rPr>
          <w:rFonts w:hint="eastAsia" w:ascii="宋体" w:hAnsi="宋体" w:cs="宋体"/>
          <w:sz w:val="22"/>
          <w:szCs w:val="22"/>
        </w:rPr>
        <w:t>平等对待内外资企业和符合条件的破产重整企业，切实保障企业公平竞争，平等维护企业的合法利益。</w:t>
      </w:r>
    </w:p>
    <w:p w14:paraId="18177348">
      <w:pPr>
        <w:spacing w:line="420" w:lineRule="exact"/>
        <w:ind w:firstLine="220" w:firstLineChars="100"/>
        <w:rPr>
          <w:rFonts w:hint="eastAsia" w:ascii="宋体" w:hAnsi="宋体" w:cs="宋体"/>
          <w:sz w:val="22"/>
          <w:szCs w:val="22"/>
        </w:rPr>
      </w:pPr>
      <w:r>
        <w:rPr>
          <w:rFonts w:hint="eastAsia" w:ascii="宋体" w:hAnsi="宋体" w:cs="宋体"/>
          <w:sz w:val="22"/>
          <w:szCs w:val="22"/>
        </w:rPr>
        <w:t>3.6支持本国产品</w:t>
      </w:r>
    </w:p>
    <w:p w14:paraId="56AE5A36">
      <w:pPr>
        <w:spacing w:line="420" w:lineRule="exact"/>
        <w:ind w:firstLine="440" w:firstLineChars="200"/>
        <w:rPr>
          <w:rFonts w:hint="eastAsia" w:ascii="宋体" w:hAnsi="宋体" w:cs="宋体"/>
          <w:sz w:val="22"/>
          <w:szCs w:val="22"/>
        </w:rPr>
      </w:pPr>
      <w:r>
        <w:rPr>
          <w:rFonts w:hint="eastAsia" w:ascii="宋体" w:hAnsi="宋体" w:cs="宋体"/>
          <w:sz w:val="22"/>
          <w:szCs w:val="22"/>
        </w:rPr>
        <w:t>3.6.1本国产品标准(依据《国务院办公厅关于在政府采购中实施本国产品标准及相关政策的通知》国办发〔2025〕34号)</w:t>
      </w:r>
    </w:p>
    <w:p w14:paraId="79C7A746">
      <w:pPr>
        <w:spacing w:line="420" w:lineRule="exact"/>
        <w:ind w:firstLine="440" w:firstLineChars="200"/>
        <w:rPr>
          <w:rFonts w:hint="eastAsia" w:ascii="宋体" w:hAnsi="宋体" w:cs="宋体"/>
          <w:sz w:val="22"/>
          <w:szCs w:val="22"/>
        </w:rPr>
      </w:pPr>
      <w:r>
        <w:rPr>
          <w:rFonts w:hint="eastAsia" w:ascii="宋体" w:hAnsi="宋体" w:cs="宋体"/>
          <w:sz w:val="22"/>
          <w:szCs w:val="22"/>
        </w:rPr>
        <w:t>本国产品应当符合以下条件：</w:t>
      </w:r>
    </w:p>
    <w:p w14:paraId="7B692A94">
      <w:pPr>
        <w:spacing w:line="420" w:lineRule="exact"/>
        <w:ind w:firstLine="440" w:firstLineChars="200"/>
        <w:rPr>
          <w:rFonts w:hint="eastAsia" w:ascii="宋体" w:hAnsi="宋体" w:cs="宋体"/>
          <w:sz w:val="22"/>
          <w:szCs w:val="22"/>
        </w:rPr>
      </w:pPr>
      <w:r>
        <w:rPr>
          <w:rFonts w:hint="eastAsia" w:ascii="宋体" w:hAnsi="宋体" w:cs="宋体"/>
          <w:sz w:val="22"/>
          <w:szCs w:val="22"/>
        </w:rPr>
        <w:t>（一）在中国境内生产</w:t>
      </w:r>
    </w:p>
    <w:p w14:paraId="0C935D3D">
      <w:pPr>
        <w:spacing w:line="420" w:lineRule="exact"/>
        <w:ind w:firstLine="440" w:firstLineChars="200"/>
        <w:rPr>
          <w:rFonts w:hint="eastAsia" w:ascii="宋体" w:hAnsi="宋体" w:cs="宋体"/>
          <w:sz w:val="22"/>
          <w:szCs w:val="22"/>
        </w:rPr>
      </w:pPr>
      <w:r>
        <w:rPr>
          <w:rFonts w:hint="eastAsia" w:ascii="宋体" w:hAnsi="宋体" w:cs="宋体"/>
          <w:sz w:val="22"/>
          <w:szCs w:val="22"/>
        </w:rPr>
        <w:t>产品应当在中国境内生产，即在中华人民共和国关境内实现从原材料、组件到产品的属性改变。属性改变是指经过制造、加工或者组装等工序，产生完全不同于原材料、组件的新产品，并具有新的名称和特征（用途）。属性改变不包括以下细微操作：</w:t>
      </w:r>
    </w:p>
    <w:p w14:paraId="0C6CAF2D">
      <w:pPr>
        <w:spacing w:line="420" w:lineRule="exact"/>
        <w:ind w:firstLine="440" w:firstLineChars="200"/>
        <w:rPr>
          <w:rFonts w:hint="eastAsia" w:ascii="宋体" w:hAnsi="宋体" w:cs="宋体"/>
          <w:sz w:val="22"/>
          <w:szCs w:val="22"/>
        </w:rPr>
      </w:pPr>
      <w:r>
        <w:rPr>
          <w:rFonts w:hint="eastAsia" w:ascii="宋体" w:hAnsi="宋体" w:cs="宋体"/>
          <w:sz w:val="22"/>
          <w:szCs w:val="22"/>
        </w:rPr>
        <w:t>1.为确保产品在运输或者储存期间保持某种状态而进行的操作；</w:t>
      </w:r>
    </w:p>
    <w:p w14:paraId="408905CC">
      <w:pPr>
        <w:spacing w:line="420" w:lineRule="exact"/>
        <w:ind w:firstLine="440" w:firstLineChars="200"/>
        <w:rPr>
          <w:rFonts w:hint="eastAsia" w:ascii="宋体" w:hAnsi="宋体" w:cs="宋体"/>
          <w:sz w:val="22"/>
          <w:szCs w:val="22"/>
        </w:rPr>
      </w:pPr>
      <w:r>
        <w:rPr>
          <w:rFonts w:hint="eastAsia" w:ascii="宋体" w:hAnsi="宋体" w:cs="宋体"/>
          <w:sz w:val="22"/>
          <w:szCs w:val="22"/>
        </w:rPr>
        <w:t>2.为产品运输或者销售进行的包装或者展示；</w:t>
      </w:r>
    </w:p>
    <w:p w14:paraId="63B042A4">
      <w:pPr>
        <w:spacing w:line="420" w:lineRule="exact"/>
        <w:ind w:firstLine="440" w:firstLineChars="200"/>
        <w:rPr>
          <w:rFonts w:hint="eastAsia" w:ascii="宋体" w:hAnsi="宋体" w:cs="宋体"/>
          <w:sz w:val="22"/>
          <w:szCs w:val="22"/>
        </w:rPr>
      </w:pPr>
      <w:r>
        <w:rPr>
          <w:rFonts w:hint="eastAsia" w:ascii="宋体" w:hAnsi="宋体" w:cs="宋体"/>
          <w:sz w:val="22"/>
          <w:szCs w:val="22"/>
        </w:rPr>
        <w:t>3.在产品或者其包装上粘贴或者印刷品牌、标志、标识以及其他用于区别的标记；</w:t>
      </w:r>
    </w:p>
    <w:p w14:paraId="7BF97E1E">
      <w:pPr>
        <w:spacing w:line="420" w:lineRule="exact"/>
        <w:ind w:firstLine="440" w:firstLineChars="200"/>
        <w:rPr>
          <w:rFonts w:hint="eastAsia" w:ascii="宋体" w:hAnsi="宋体" w:cs="宋体"/>
          <w:sz w:val="22"/>
          <w:szCs w:val="22"/>
        </w:rPr>
      </w:pPr>
      <w:r>
        <w:rPr>
          <w:rFonts w:hint="eastAsia" w:ascii="宋体" w:hAnsi="宋体" w:cs="宋体"/>
          <w:sz w:val="22"/>
          <w:szCs w:val="22"/>
        </w:rPr>
        <w:t>4.简单的上漆、磨光和分装；</w:t>
      </w:r>
    </w:p>
    <w:p w14:paraId="2D683E5C">
      <w:pPr>
        <w:spacing w:line="420" w:lineRule="exact"/>
        <w:ind w:firstLine="440" w:firstLineChars="200"/>
        <w:rPr>
          <w:rFonts w:hint="eastAsia" w:ascii="宋体" w:hAnsi="宋体" w:cs="宋体"/>
          <w:sz w:val="22"/>
          <w:szCs w:val="22"/>
        </w:rPr>
      </w:pPr>
      <w:r>
        <w:rPr>
          <w:rFonts w:hint="eastAsia" w:ascii="宋体" w:hAnsi="宋体" w:cs="宋体"/>
          <w:sz w:val="22"/>
          <w:szCs w:val="22"/>
        </w:rPr>
        <w:t>5.其他不属于属性改变的情形。</w:t>
      </w:r>
    </w:p>
    <w:p w14:paraId="132D13D6">
      <w:pPr>
        <w:spacing w:line="420" w:lineRule="exact"/>
        <w:ind w:firstLine="440" w:firstLineChars="200"/>
        <w:rPr>
          <w:rFonts w:hint="eastAsia" w:ascii="宋体" w:hAnsi="宋体" w:cs="宋体"/>
          <w:sz w:val="22"/>
          <w:szCs w:val="22"/>
        </w:rPr>
      </w:pPr>
      <w:r>
        <w:rPr>
          <w:rFonts w:hint="eastAsia" w:ascii="宋体" w:hAnsi="宋体" w:cs="宋体"/>
          <w:sz w:val="22"/>
          <w:szCs w:val="22"/>
        </w:rPr>
        <w:t>（二）在中国境内生产的组件成本占比达到规定比例</w:t>
      </w:r>
    </w:p>
    <w:p w14:paraId="435EA600">
      <w:pPr>
        <w:spacing w:line="420" w:lineRule="exact"/>
        <w:ind w:firstLine="440" w:firstLineChars="200"/>
        <w:rPr>
          <w:rFonts w:hint="eastAsia" w:ascii="宋体" w:hAnsi="宋体" w:cs="宋体"/>
          <w:sz w:val="22"/>
          <w:szCs w:val="22"/>
        </w:rPr>
      </w:pPr>
      <w:r>
        <w:rPr>
          <w:rFonts w:hint="eastAsia" w:ascii="宋体" w:hAnsi="宋体" w:cs="宋体"/>
          <w:sz w:val="22"/>
          <w:szCs w:val="22"/>
        </w:rPr>
        <w:t>产品在中国境内生产的组件成本占比应当达到规定比例，计算公式为：</w:t>
      </w:r>
    </w:p>
    <w:p w14:paraId="21131CC0">
      <w:pPr>
        <w:spacing w:line="420" w:lineRule="exact"/>
        <w:ind w:firstLine="440" w:firstLineChars="200"/>
        <w:rPr>
          <w:rFonts w:hint="eastAsia" w:ascii="宋体" w:hAnsi="宋体"/>
          <w:sz w:val="22"/>
          <w:szCs w:val="22"/>
        </w:rPr>
      </w:pPr>
    </w:p>
    <w:p w14:paraId="7542C7EA">
      <w:pPr>
        <w:spacing w:line="420" w:lineRule="exact"/>
        <w:ind w:firstLine="440" w:firstLineChars="200"/>
        <w:rPr>
          <w:rFonts w:hint="eastAsia" w:ascii="宋体" w:hAnsi="宋体"/>
          <w:sz w:val="22"/>
          <w:szCs w:val="22"/>
        </w:rPr>
      </w:pPr>
    </w:p>
    <w:p w14:paraId="1DFC57DE">
      <w:pPr>
        <w:spacing w:line="420" w:lineRule="exact"/>
        <w:ind w:firstLine="440" w:firstLineChars="200"/>
        <w:rPr>
          <w:rFonts w:hint="eastAsia" w:ascii="宋体" w:hAnsi="宋体"/>
          <w:sz w:val="22"/>
          <w:szCs w:val="22"/>
        </w:rPr>
      </w:pPr>
      <w:r>
        <w:rPr>
          <w:rFonts w:ascii="宋体" w:hAnsi="宋体"/>
          <w:sz w:val="22"/>
          <w:szCs w:val="22"/>
        </w:rPr>
        <w:drawing>
          <wp:anchor distT="0" distB="0" distL="114300" distR="114300" simplePos="0" relativeHeight="251706368" behindDoc="0" locked="0" layoutInCell="1" allowOverlap="1">
            <wp:simplePos x="0" y="0"/>
            <wp:positionH relativeFrom="column">
              <wp:posOffset>304800</wp:posOffset>
            </wp:positionH>
            <wp:positionV relativeFrom="paragraph">
              <wp:posOffset>-262890</wp:posOffset>
            </wp:positionV>
            <wp:extent cx="4235450" cy="468630"/>
            <wp:effectExtent l="0" t="0" r="12700" b="7620"/>
            <wp:wrapSquare wrapText="bothSides"/>
            <wp:docPr id="5" name="图片 1" descr="W02025093064524594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W020250930645245947614"/>
                    <pic:cNvPicPr>
                      <a:picLocks noChangeAspect="1"/>
                    </pic:cNvPicPr>
                  </pic:nvPicPr>
                  <pic:blipFill>
                    <a:blip r:embed="rId18"/>
                    <a:stretch>
                      <a:fillRect/>
                    </a:stretch>
                  </pic:blipFill>
                  <pic:spPr>
                    <a:xfrm>
                      <a:off x="0" y="0"/>
                      <a:ext cx="4235450" cy="468630"/>
                    </a:xfrm>
                    <a:prstGeom prst="rect">
                      <a:avLst/>
                    </a:prstGeom>
                    <a:noFill/>
                    <a:ln>
                      <a:noFill/>
                    </a:ln>
                  </pic:spPr>
                </pic:pic>
              </a:graphicData>
            </a:graphic>
          </wp:anchor>
        </w:drawing>
      </w:r>
    </w:p>
    <w:p w14:paraId="74C39CDD">
      <w:pPr>
        <w:spacing w:line="420" w:lineRule="exact"/>
        <w:ind w:firstLine="440" w:firstLineChars="200"/>
        <w:rPr>
          <w:rFonts w:hint="eastAsia" w:ascii="宋体" w:hAnsi="宋体" w:cs="宋体"/>
          <w:sz w:val="22"/>
          <w:szCs w:val="22"/>
        </w:rPr>
      </w:pPr>
      <w:r>
        <w:rPr>
          <w:rFonts w:hint="eastAsia" w:ascii="宋体" w:hAnsi="宋体" w:cs="宋体"/>
          <w:sz w:val="22"/>
          <w:szCs w:val="22"/>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0F65B37D">
      <w:pPr>
        <w:spacing w:line="420" w:lineRule="exact"/>
        <w:ind w:firstLine="440" w:firstLineChars="200"/>
        <w:rPr>
          <w:rFonts w:hint="eastAsia" w:ascii="宋体" w:hAnsi="宋体" w:cs="宋体"/>
          <w:sz w:val="22"/>
          <w:szCs w:val="22"/>
        </w:rPr>
      </w:pPr>
      <w:r>
        <w:rPr>
          <w:rFonts w:hint="eastAsia" w:ascii="宋体" w:hAnsi="宋体" w:cs="宋体"/>
          <w:sz w:val="22"/>
          <w:szCs w:val="22"/>
        </w:rPr>
        <w:t>（三）特定产品的关键组件、关键工序符合相关要求</w:t>
      </w:r>
    </w:p>
    <w:p w14:paraId="4BA376C9">
      <w:pPr>
        <w:spacing w:line="420" w:lineRule="exact"/>
        <w:ind w:firstLine="440" w:firstLineChars="200"/>
        <w:rPr>
          <w:rFonts w:hint="eastAsia" w:ascii="宋体" w:hAnsi="宋体" w:cs="宋体"/>
          <w:sz w:val="22"/>
          <w:szCs w:val="22"/>
        </w:rPr>
      </w:pPr>
      <w:r>
        <w:rPr>
          <w:rFonts w:hint="eastAsia" w:ascii="宋体" w:hAnsi="宋体" w:cs="宋体"/>
          <w:sz w:val="22"/>
          <w:szCs w:val="22"/>
        </w:rPr>
        <w:t>对特定产品，在符合本通知第一条第（一）项和第（二）项条件的基础上，应当符合财政部会同有关行业主管部门确定的其关键组件、关键工序在中国境内生产、完成等要求。</w:t>
      </w:r>
    </w:p>
    <w:p w14:paraId="5910D595">
      <w:pPr>
        <w:spacing w:line="420" w:lineRule="exact"/>
        <w:ind w:firstLine="440" w:firstLineChars="200"/>
        <w:rPr>
          <w:rFonts w:hint="eastAsia" w:ascii="宋体" w:hAnsi="宋体" w:cs="宋体"/>
          <w:sz w:val="22"/>
          <w:szCs w:val="22"/>
        </w:rPr>
      </w:pPr>
      <w:r>
        <w:rPr>
          <w:rFonts w:hint="eastAsia" w:ascii="宋体" w:hAnsi="宋体" w:cs="宋体"/>
          <w:sz w:val="22"/>
          <w:szCs w:val="22"/>
        </w:rPr>
        <w:t>3.6.2 本国产品标准的适用范围</w:t>
      </w:r>
    </w:p>
    <w:p w14:paraId="75DEA9CA">
      <w:pPr>
        <w:spacing w:line="420" w:lineRule="exact"/>
        <w:ind w:firstLine="440" w:firstLineChars="200"/>
        <w:rPr>
          <w:rFonts w:hint="eastAsia" w:ascii="宋体" w:hAnsi="宋体" w:cs="宋体"/>
          <w:sz w:val="22"/>
          <w:szCs w:val="22"/>
        </w:rPr>
      </w:pPr>
      <w:r>
        <w:rPr>
          <w:rFonts w:hint="eastAsia" w:ascii="宋体" w:hAnsi="宋体" w:cs="宋体"/>
          <w:sz w:val="22"/>
          <w:szCs w:val="22"/>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A24A377">
      <w:pPr>
        <w:spacing w:line="420" w:lineRule="exact"/>
        <w:ind w:firstLine="440" w:firstLineChars="200"/>
        <w:rPr>
          <w:rFonts w:hint="eastAsia" w:ascii="宋体" w:hAnsi="宋体" w:cs="宋体"/>
          <w:sz w:val="22"/>
          <w:szCs w:val="22"/>
        </w:rPr>
      </w:pPr>
      <w:r>
        <w:rPr>
          <w:rFonts w:hint="eastAsia" w:ascii="宋体" w:hAnsi="宋体" w:cs="宋体"/>
          <w:sz w:val="22"/>
          <w:szCs w:val="22"/>
        </w:rPr>
        <w:t>3.6.3 对本国产品的支持政策</w:t>
      </w:r>
    </w:p>
    <w:p w14:paraId="6A9FFA73">
      <w:pPr>
        <w:spacing w:line="420" w:lineRule="exact"/>
        <w:ind w:firstLine="440" w:firstLineChars="200"/>
        <w:rPr>
          <w:rFonts w:hint="eastAsia" w:ascii="宋体" w:hAnsi="宋体" w:cs="宋体"/>
          <w:sz w:val="22"/>
          <w:szCs w:val="22"/>
        </w:rPr>
      </w:pPr>
      <w:r>
        <w:rPr>
          <w:rFonts w:hint="eastAsia" w:ascii="宋体" w:hAnsi="宋体" w:cs="宋体"/>
          <w:sz w:val="22"/>
          <w:szCs w:val="22"/>
        </w:rPr>
        <w:t>政府采购活动中既有本国产品又有非本国产品参与竞争的，依法对本国产品给予价格评审优惠，对本国产品的报价给予20%的价格扣除，用扣除后的价格参与评审。</w:t>
      </w:r>
    </w:p>
    <w:p w14:paraId="1657EF1D">
      <w:pPr>
        <w:spacing w:line="420" w:lineRule="exact"/>
        <w:ind w:firstLine="440" w:firstLineChars="200"/>
        <w:rPr>
          <w:rFonts w:hint="eastAsia" w:ascii="宋体" w:hAnsi="宋体" w:cs="宋体"/>
          <w:sz w:val="22"/>
          <w:szCs w:val="22"/>
        </w:rPr>
      </w:pPr>
      <w:r>
        <w:rPr>
          <w:rFonts w:hint="eastAsia" w:ascii="宋体" w:hAnsi="宋体" w:cs="宋体"/>
          <w:sz w:val="22"/>
          <w:szCs w:val="22"/>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467CDD23">
      <w:pPr>
        <w:spacing w:line="420" w:lineRule="exact"/>
        <w:ind w:firstLine="440" w:firstLineChars="200"/>
        <w:rPr>
          <w:rFonts w:hint="eastAsia" w:ascii="宋体" w:hAnsi="宋体" w:cs="宋体"/>
          <w:sz w:val="22"/>
          <w:szCs w:val="22"/>
        </w:rPr>
      </w:pPr>
      <w:r>
        <w:rPr>
          <w:rFonts w:hint="eastAsia" w:ascii="宋体" w:hAnsi="宋体" w:cs="宋体"/>
          <w:sz w:val="22"/>
          <w:szCs w:val="22"/>
        </w:rPr>
        <w:t>3.6.4有关证明文件</w:t>
      </w:r>
    </w:p>
    <w:p w14:paraId="3F3C6AFF">
      <w:pPr>
        <w:spacing w:line="420" w:lineRule="exact"/>
        <w:rPr>
          <w:rFonts w:hint="eastAsia" w:ascii="宋体" w:hAnsi="宋体" w:cs="宋体"/>
          <w:sz w:val="22"/>
          <w:szCs w:val="22"/>
        </w:rPr>
      </w:pPr>
      <w:r>
        <w:rPr>
          <w:rFonts w:hint="eastAsia" w:ascii="宋体" w:hAnsi="宋体" w:cs="宋体"/>
          <w:sz w:val="22"/>
          <w:szCs w:val="22"/>
        </w:rPr>
        <w:t>供应商提供产品符合《国务院办公厅关于在政府采购中实施本国产品标准及相关政策的通知》（国办发〔2025〕34号）本国产品相关规定的，提供《关于符合本国产品标准的声明函》（格式见本采购文件第六部分，以下简称《声明函》）或财政部会同有关部门规定的有关证明文件，该产品视为本国产品。供应商提供虚假《声明函》、虚假证明文件谋取中标、成交的，依照《中华人民共和国政府采购法》等法律法规规定追究相应责任。</w:t>
      </w:r>
    </w:p>
    <w:p w14:paraId="0BE185F7">
      <w:pPr>
        <w:spacing w:line="420" w:lineRule="exact"/>
        <w:rPr>
          <w:rFonts w:hint="eastAsia" w:ascii="宋体" w:hAnsi="宋体" w:cs="宋体"/>
          <w:b/>
          <w:sz w:val="20"/>
          <w:szCs w:val="22"/>
        </w:rPr>
      </w:pPr>
      <w:r>
        <w:rPr>
          <w:rFonts w:hint="eastAsia" w:ascii="宋体" w:hAnsi="宋体" w:cs="宋体"/>
          <w:b/>
          <w:sz w:val="22"/>
          <w:szCs w:val="22"/>
        </w:rPr>
        <w:t>4. 询问、质疑、投诉</w:t>
      </w:r>
    </w:p>
    <w:p w14:paraId="65DD1996">
      <w:pPr>
        <w:pStyle w:val="125"/>
        <w:shd w:val="clear" w:color="auto" w:fill="FFFFFF"/>
        <w:snapToGrid w:val="0"/>
        <w:spacing w:before="0" w:beforeAutospacing="0" w:after="0" w:afterAutospacing="0" w:line="420" w:lineRule="exact"/>
        <w:ind w:firstLine="440" w:firstLineChars="200"/>
        <w:contextualSpacing/>
        <w:rPr>
          <w:rFonts w:hint="eastAsia"/>
          <w:sz w:val="22"/>
          <w:szCs w:val="22"/>
          <w:lang w:val="zh-CN"/>
        </w:rPr>
      </w:pPr>
      <w:r>
        <w:rPr>
          <w:rFonts w:hint="eastAsia"/>
          <w:sz w:val="22"/>
          <w:szCs w:val="22"/>
          <w:lang w:val="zh-CN"/>
        </w:rPr>
        <w:t>4.1在线询问、质疑、投诉</w:t>
      </w:r>
    </w:p>
    <w:p w14:paraId="6E2B8CEB">
      <w:pPr>
        <w:pStyle w:val="125"/>
        <w:shd w:val="clear" w:color="auto" w:fill="FFFFFF"/>
        <w:snapToGrid w:val="0"/>
        <w:spacing w:before="0" w:beforeAutospacing="0" w:after="0" w:afterAutospacing="0" w:line="420" w:lineRule="exact"/>
        <w:ind w:firstLine="440" w:firstLineChars="200"/>
        <w:contextualSpacing/>
        <w:rPr>
          <w:rFonts w:hint="eastAsia"/>
          <w:sz w:val="22"/>
          <w:szCs w:val="22"/>
          <w:lang w:val="zh-CN"/>
        </w:rPr>
      </w:pPr>
      <w:r>
        <w:rPr>
          <w:rFonts w:hint="eastAsia"/>
          <w:sz w:val="22"/>
          <w:szCs w:val="22"/>
          <w:lang w:val="zh-CN"/>
        </w:rPr>
        <w:t>根据《浙江省财政厅关于进一步促进政府采购公平竞争打造最优营商环境的通知》（浙财采监</w:t>
      </w:r>
      <w:r>
        <w:rPr>
          <w:sz w:val="22"/>
          <w:szCs w:val="22"/>
        </w:rPr>
        <w:t>〔</w:t>
      </w:r>
      <w:r>
        <w:rPr>
          <w:rFonts w:hint="eastAsia"/>
          <w:sz w:val="22"/>
          <w:szCs w:val="22"/>
          <w:lang w:val="zh-CN"/>
        </w:rPr>
        <w:t>2021</w:t>
      </w:r>
      <w:r>
        <w:rPr>
          <w:sz w:val="22"/>
          <w:szCs w:val="22"/>
        </w:rPr>
        <w:t>〕</w:t>
      </w:r>
      <w:r>
        <w:rPr>
          <w:rFonts w:hint="eastAsia"/>
          <w:sz w:val="22"/>
          <w:szCs w:val="22"/>
          <w:lang w:val="zh-CN"/>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7CA1620">
      <w:pPr>
        <w:autoSpaceDE w:val="0"/>
        <w:autoSpaceDN w:val="0"/>
        <w:spacing w:line="420" w:lineRule="exact"/>
        <w:ind w:firstLine="440" w:firstLineChars="200"/>
        <w:jc w:val="left"/>
        <w:rPr>
          <w:rFonts w:hint="eastAsia" w:ascii="宋体" w:hAnsi="宋体" w:cs="宋体"/>
          <w:kern w:val="0"/>
          <w:sz w:val="22"/>
          <w:szCs w:val="22"/>
          <w:lang w:val="zh-CN"/>
        </w:rPr>
      </w:pPr>
      <w:r>
        <w:rPr>
          <w:rFonts w:hint="eastAsia" w:ascii="宋体" w:hAnsi="宋体" w:cs="宋体"/>
          <w:kern w:val="0"/>
          <w:sz w:val="22"/>
          <w:szCs w:val="22"/>
          <w:lang w:val="zh-CN"/>
        </w:rPr>
        <w:t>4.2供应商询问</w:t>
      </w:r>
    </w:p>
    <w:p w14:paraId="3EBF7BC1">
      <w:pPr>
        <w:autoSpaceDE w:val="0"/>
        <w:autoSpaceDN w:val="0"/>
        <w:spacing w:line="420" w:lineRule="exact"/>
        <w:ind w:firstLine="440" w:firstLineChars="200"/>
        <w:jc w:val="left"/>
        <w:rPr>
          <w:rFonts w:hint="eastAsia" w:ascii="宋体" w:hAnsi="宋体" w:cs="宋体"/>
          <w:kern w:val="0"/>
          <w:sz w:val="22"/>
          <w:szCs w:val="22"/>
          <w:lang w:val="zh-CN"/>
        </w:rPr>
      </w:pPr>
      <w:r>
        <w:rPr>
          <w:rFonts w:hint="eastAsia" w:ascii="宋体" w:hAnsi="宋体" w:cs="宋体"/>
          <w:kern w:val="0"/>
          <w:sz w:val="22"/>
          <w:szCs w:val="22"/>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2FB6272">
      <w:pPr>
        <w:tabs>
          <w:tab w:val="left" w:pos="2622"/>
        </w:tabs>
        <w:autoSpaceDE w:val="0"/>
        <w:autoSpaceDN w:val="0"/>
        <w:spacing w:line="420" w:lineRule="exact"/>
        <w:ind w:firstLine="440" w:firstLineChars="200"/>
        <w:jc w:val="left"/>
        <w:rPr>
          <w:rFonts w:hint="eastAsia" w:ascii="宋体" w:hAnsi="宋体" w:cs="宋体"/>
          <w:kern w:val="0"/>
          <w:sz w:val="22"/>
          <w:szCs w:val="22"/>
          <w:lang w:val="zh-CN"/>
        </w:rPr>
      </w:pPr>
      <w:r>
        <w:rPr>
          <w:rFonts w:hint="eastAsia" w:ascii="宋体" w:hAnsi="宋体" w:cs="宋体"/>
          <w:kern w:val="0"/>
          <w:sz w:val="22"/>
          <w:szCs w:val="22"/>
          <w:lang w:val="zh-CN"/>
        </w:rPr>
        <w:t>4.3供应商质疑</w:t>
      </w:r>
      <w:r>
        <w:rPr>
          <w:rFonts w:hint="eastAsia" w:ascii="宋体" w:hAnsi="宋体" w:cs="宋体"/>
          <w:kern w:val="0"/>
          <w:sz w:val="22"/>
          <w:szCs w:val="22"/>
          <w:lang w:val="zh-CN"/>
        </w:rPr>
        <w:tab/>
      </w:r>
    </w:p>
    <w:p w14:paraId="10FC8642">
      <w:pPr>
        <w:pStyle w:val="54"/>
        <w:spacing w:line="420" w:lineRule="exact"/>
        <w:rPr>
          <w:rFonts w:hint="eastAsia" w:ascii="宋体" w:hAnsi="宋体" w:eastAsia="宋体" w:cs="宋体"/>
          <w:b/>
          <w:bCs/>
          <w:szCs w:val="22"/>
          <w:lang w:val="zh-CN"/>
        </w:rPr>
      </w:pPr>
      <w:r>
        <w:rPr>
          <w:rFonts w:hint="eastAsia" w:ascii="宋体" w:hAnsi="宋体" w:eastAsia="宋体" w:cs="宋体"/>
          <w:szCs w:val="22"/>
        </w:rPr>
        <w:t>4.3.1</w:t>
      </w:r>
      <w:r>
        <w:rPr>
          <w:rFonts w:hint="eastAsia" w:ascii="宋体" w:hAnsi="宋体" w:eastAsia="宋体" w:cs="宋体"/>
          <w:szCs w:val="22"/>
          <w:lang w:val="zh-CN"/>
        </w:rPr>
        <w:t>供应商认为采购文件、采购过程、中标或者成交结果使自己的权益受到损害的，可以在知道或者应知其权益受到损害之日起七个工作日内向采购人、采购代理机构提出质疑。为有效保护供应商合法权益和提高采购效率，鼓励供应商发现自己的权益受到损害后尽早提出质疑。</w:t>
      </w:r>
      <w:r>
        <w:rPr>
          <w:rFonts w:hint="eastAsia" w:ascii="宋体" w:hAnsi="宋体" w:eastAsia="宋体" w:cs="宋体"/>
          <w:b/>
          <w:bCs/>
          <w:szCs w:val="22"/>
          <w:lang w:val="zh-CN"/>
        </w:rPr>
        <w:t>供应商</w:t>
      </w:r>
      <w:r>
        <w:rPr>
          <w:rFonts w:hint="eastAsia" w:ascii="宋体" w:hAnsi="宋体" w:eastAsia="宋体" w:cs="宋体"/>
          <w:b/>
          <w:bCs/>
          <w:szCs w:val="22"/>
        </w:rPr>
        <w:t>应</w:t>
      </w:r>
      <w:r>
        <w:rPr>
          <w:rFonts w:hint="eastAsia" w:ascii="宋体" w:hAnsi="宋体" w:eastAsia="宋体" w:cs="宋体"/>
          <w:b/>
          <w:bCs/>
          <w:szCs w:val="22"/>
          <w:lang w:val="zh-CN"/>
        </w:rPr>
        <w:t>在法定质疑期内一次性提出针对同一采购程序环节的质疑。</w:t>
      </w:r>
    </w:p>
    <w:p w14:paraId="42B75975">
      <w:pPr>
        <w:pStyle w:val="54"/>
        <w:spacing w:line="420" w:lineRule="exact"/>
        <w:rPr>
          <w:rFonts w:hint="eastAsia" w:ascii="宋体" w:hAnsi="宋体" w:eastAsia="宋体" w:cs="宋体"/>
          <w:szCs w:val="22"/>
          <w:lang w:val="zh-CN"/>
        </w:rPr>
      </w:pPr>
      <w:r>
        <w:rPr>
          <w:rFonts w:hint="eastAsia" w:ascii="宋体" w:hAnsi="宋体" w:eastAsia="宋体" w:cs="宋体"/>
          <w:szCs w:val="22"/>
        </w:rPr>
        <w:t>4.3.2</w:t>
      </w:r>
      <w:r>
        <w:rPr>
          <w:rFonts w:hint="eastAsia" w:ascii="宋体" w:hAnsi="宋体" w:eastAsia="宋体" w:cs="宋体"/>
          <w:szCs w:val="22"/>
          <w:lang w:val="zh-CN"/>
        </w:rPr>
        <w:t>供应商知道或者应知其权益受到损害之日，是指：</w:t>
      </w:r>
    </w:p>
    <w:p w14:paraId="0EEFC249">
      <w:pPr>
        <w:pStyle w:val="54"/>
        <w:spacing w:line="420" w:lineRule="exact"/>
        <w:rPr>
          <w:rFonts w:hint="eastAsia" w:ascii="宋体" w:hAnsi="宋体" w:eastAsia="宋体" w:cs="宋体"/>
          <w:szCs w:val="22"/>
          <w:lang w:val="zh-CN"/>
        </w:rPr>
      </w:pPr>
      <w:r>
        <w:rPr>
          <w:rFonts w:hint="eastAsia" w:ascii="宋体" w:hAnsi="宋体" w:eastAsia="宋体" w:cs="宋体"/>
          <w:szCs w:val="22"/>
        </w:rPr>
        <w:t>（1）</w:t>
      </w:r>
      <w:r>
        <w:rPr>
          <w:rFonts w:hint="eastAsia" w:ascii="宋体" w:hAnsi="宋体" w:eastAsia="宋体" w:cs="宋体"/>
          <w:szCs w:val="22"/>
          <w:lang w:val="zh-CN"/>
        </w:rPr>
        <w:t>对可以质疑的采购文件提出质疑的，为获取采购文件之日；获取采购文件时采购公告期限已届满的，为采购公告期限届满之日；</w:t>
      </w:r>
    </w:p>
    <w:p w14:paraId="1EFD29C3">
      <w:pPr>
        <w:pStyle w:val="54"/>
        <w:spacing w:line="420" w:lineRule="exact"/>
        <w:rPr>
          <w:rFonts w:hint="eastAsia" w:ascii="宋体" w:hAnsi="宋体" w:eastAsia="宋体" w:cs="宋体"/>
          <w:szCs w:val="22"/>
          <w:lang w:val="zh-CN"/>
        </w:rPr>
      </w:pPr>
      <w:r>
        <w:rPr>
          <w:rFonts w:hint="eastAsia" w:ascii="宋体" w:hAnsi="宋体" w:eastAsia="宋体" w:cs="宋体"/>
          <w:szCs w:val="22"/>
        </w:rPr>
        <w:t>（2）</w:t>
      </w:r>
      <w:r>
        <w:rPr>
          <w:rFonts w:hint="eastAsia" w:ascii="宋体" w:hAnsi="宋体" w:eastAsia="宋体" w:cs="宋体"/>
          <w:szCs w:val="22"/>
          <w:lang w:val="zh-CN"/>
        </w:rPr>
        <w:t>对采购过程中开标、资格审查、符合性审查和评审等环节提出质疑的，为各采购程序环节结束之日；</w:t>
      </w:r>
    </w:p>
    <w:p w14:paraId="7137DD00">
      <w:pPr>
        <w:pStyle w:val="54"/>
        <w:spacing w:line="420" w:lineRule="exact"/>
        <w:rPr>
          <w:rFonts w:hint="eastAsia" w:ascii="宋体" w:hAnsi="宋体" w:eastAsia="宋体" w:cs="宋体"/>
          <w:szCs w:val="22"/>
          <w:lang w:val="zh-CN"/>
        </w:rPr>
      </w:pPr>
      <w:r>
        <w:rPr>
          <w:rFonts w:hint="eastAsia" w:ascii="宋体" w:hAnsi="宋体" w:eastAsia="宋体" w:cs="宋体"/>
          <w:szCs w:val="22"/>
        </w:rPr>
        <w:t>（3）</w:t>
      </w:r>
      <w:r>
        <w:rPr>
          <w:rFonts w:hint="eastAsia" w:ascii="宋体" w:hAnsi="宋体" w:eastAsia="宋体" w:cs="宋体"/>
          <w:szCs w:val="22"/>
          <w:lang w:val="zh-CN"/>
        </w:rPr>
        <w:t>对中标或者成交结果提出质疑的，为中标或者成交结果公告期限届满之日；</w:t>
      </w:r>
    </w:p>
    <w:p w14:paraId="07264DED">
      <w:pPr>
        <w:pStyle w:val="54"/>
        <w:spacing w:line="420" w:lineRule="exact"/>
        <w:rPr>
          <w:rFonts w:hint="eastAsia" w:ascii="宋体" w:hAnsi="宋体" w:eastAsia="宋体" w:cs="宋体"/>
          <w:szCs w:val="22"/>
          <w:lang w:val="zh-CN"/>
        </w:rPr>
      </w:pPr>
      <w:r>
        <w:rPr>
          <w:rFonts w:hint="eastAsia" w:ascii="宋体" w:hAnsi="宋体" w:eastAsia="宋体" w:cs="宋体"/>
          <w:szCs w:val="22"/>
          <w:lang w:val="zh-CN"/>
        </w:rPr>
        <w:t>（</w:t>
      </w:r>
      <w:r>
        <w:rPr>
          <w:rFonts w:hint="eastAsia" w:ascii="宋体" w:hAnsi="宋体" w:eastAsia="宋体" w:cs="宋体"/>
          <w:szCs w:val="22"/>
        </w:rPr>
        <w:t>4）</w:t>
      </w:r>
      <w:r>
        <w:rPr>
          <w:rFonts w:hint="eastAsia" w:ascii="宋体" w:hAnsi="宋体" w:eastAsia="宋体" w:cs="宋体"/>
          <w:szCs w:val="22"/>
          <w:lang w:val="zh-CN"/>
        </w:rPr>
        <w:t>采购文件、采购过程、中标或者成交结果发生澄清、修改、更正的，对经澄清、修改、更正的部分内容提出质疑的，为通知送达供应商之日或者澄清公告、更正公告发布之日。</w:t>
      </w:r>
    </w:p>
    <w:p w14:paraId="63883990">
      <w:pPr>
        <w:pStyle w:val="54"/>
        <w:spacing w:line="420" w:lineRule="exact"/>
        <w:rPr>
          <w:rFonts w:hint="eastAsia" w:ascii="宋体" w:hAnsi="宋体" w:eastAsia="宋体" w:cs="宋体"/>
          <w:szCs w:val="22"/>
          <w:lang w:val="zh-CN"/>
        </w:rPr>
      </w:pPr>
      <w:r>
        <w:rPr>
          <w:rFonts w:hint="eastAsia" w:ascii="宋体" w:hAnsi="宋体" w:eastAsia="宋体" w:cs="宋体"/>
          <w:szCs w:val="22"/>
        </w:rPr>
        <w:t>4</w:t>
      </w:r>
      <w:r>
        <w:rPr>
          <w:rFonts w:hint="eastAsia" w:ascii="宋体" w:hAnsi="宋体" w:eastAsia="宋体" w:cs="宋体"/>
          <w:szCs w:val="22"/>
          <w:lang w:val="zh-CN"/>
        </w:rPr>
        <w:t>.3.3提出质疑的供应商（以下简称质疑供应商）应当是参与所质疑项目（采购包）采购活动的供应商。潜在供应商已依法获取其可质疑的采购文件的，可以对该采购文件提出质疑。</w:t>
      </w:r>
    </w:p>
    <w:p w14:paraId="7C15398D">
      <w:pPr>
        <w:pStyle w:val="54"/>
        <w:spacing w:line="420" w:lineRule="exact"/>
        <w:rPr>
          <w:rFonts w:hint="eastAsia" w:ascii="宋体" w:hAnsi="宋体" w:eastAsia="宋体" w:cs="宋体"/>
          <w:szCs w:val="22"/>
          <w:lang w:val="zh-CN"/>
        </w:rPr>
      </w:pPr>
      <w:r>
        <w:rPr>
          <w:rFonts w:hint="eastAsia" w:ascii="宋体" w:hAnsi="宋体" w:eastAsia="宋体" w:cs="宋体"/>
          <w:szCs w:val="22"/>
          <w:lang w:val="zh-CN"/>
        </w:rPr>
        <w:t>项目设立、项目预算、采购方式、组织形式、进口产品核准、采购需求调查过程、专门面向中小企业采购、合同履约等不属于可质疑事项。</w:t>
      </w:r>
    </w:p>
    <w:p w14:paraId="554DDA2C">
      <w:pPr>
        <w:pStyle w:val="54"/>
        <w:spacing w:line="420" w:lineRule="exact"/>
        <w:rPr>
          <w:rFonts w:hint="eastAsia" w:ascii="宋体" w:hAnsi="宋体" w:eastAsia="宋体" w:cs="宋体"/>
          <w:szCs w:val="22"/>
          <w:lang w:val="zh-CN"/>
        </w:rPr>
      </w:pPr>
      <w:r>
        <w:rPr>
          <w:rFonts w:hint="eastAsia" w:ascii="宋体" w:hAnsi="宋体" w:eastAsia="宋体" w:cs="宋体"/>
          <w:szCs w:val="22"/>
        </w:rPr>
        <w:t>4.3.4</w:t>
      </w:r>
      <w:r>
        <w:rPr>
          <w:rFonts w:hint="eastAsia" w:ascii="宋体" w:hAnsi="宋体" w:eastAsia="宋体" w:cs="宋体"/>
          <w:szCs w:val="22"/>
          <w:lang w:val="zh-CN"/>
        </w:rPr>
        <w:t>质疑供应商通过电子交易平台提交质疑函的，提出质疑日期为质疑函在电子交易平台提交当日。质疑供应商通过邮寄提交质疑函的，质疑供应商应在质疑期内交邮，并承担邮寄费用。质疑供应商现场递交质疑函的，采购人、采购代理机构应向质疑供应商出具签收回执，注明接收日期。</w:t>
      </w:r>
    </w:p>
    <w:p w14:paraId="26B79EE1">
      <w:pPr>
        <w:pStyle w:val="21"/>
        <w:spacing w:beforeLines="0" w:afterLines="0" w:line="420" w:lineRule="exact"/>
        <w:ind w:firstLine="440" w:firstLineChars="200"/>
        <w:rPr>
          <w:rFonts w:hint="eastAsia" w:hAnsi="宋体" w:cs="宋体"/>
          <w:sz w:val="22"/>
          <w:szCs w:val="22"/>
          <w:lang w:val="zh-CN"/>
        </w:rPr>
      </w:pPr>
      <w:r>
        <w:rPr>
          <w:rFonts w:hint="eastAsia" w:hAnsi="宋体" w:cs="宋体"/>
          <w:sz w:val="22"/>
          <w:szCs w:val="22"/>
          <w:lang w:val="zh-CN"/>
        </w:rPr>
        <w:t>4.3.</w:t>
      </w:r>
      <w:r>
        <w:rPr>
          <w:rFonts w:hint="eastAsia" w:hAnsi="宋体" w:cs="宋体"/>
          <w:sz w:val="22"/>
          <w:szCs w:val="22"/>
        </w:rPr>
        <w:t>5</w:t>
      </w:r>
      <w:r>
        <w:rPr>
          <w:rFonts w:hint="eastAsia" w:hAnsi="宋体" w:cs="宋体"/>
          <w:sz w:val="22"/>
          <w:szCs w:val="22"/>
          <w:lang w:val="zh-CN"/>
        </w:rPr>
        <w:t>供应商提出质疑应当提交质疑函和必要的证明材料。质疑函应当包括下列内容：</w:t>
      </w:r>
    </w:p>
    <w:p w14:paraId="6D56EFDB">
      <w:pPr>
        <w:pStyle w:val="21"/>
        <w:spacing w:beforeLines="0" w:afterLines="0" w:line="420" w:lineRule="exact"/>
        <w:ind w:firstLine="440" w:firstLineChars="200"/>
        <w:rPr>
          <w:rFonts w:hint="eastAsia" w:hAnsi="宋体" w:cs="宋体"/>
          <w:sz w:val="22"/>
          <w:szCs w:val="22"/>
          <w:lang w:val="zh-CN"/>
        </w:rPr>
      </w:pPr>
      <w:r>
        <w:rPr>
          <w:rFonts w:hint="eastAsia" w:hAnsi="宋体" w:cs="宋体"/>
          <w:sz w:val="22"/>
          <w:szCs w:val="22"/>
          <w:lang w:val="zh-CN"/>
        </w:rPr>
        <w:t>（1）供应商的姓名或者名称、地址、邮编、联系人及联系电话；</w:t>
      </w:r>
    </w:p>
    <w:p w14:paraId="3B3CA7C2">
      <w:pPr>
        <w:pStyle w:val="21"/>
        <w:spacing w:beforeLines="0" w:afterLines="0" w:line="420" w:lineRule="exact"/>
        <w:ind w:firstLine="440" w:firstLineChars="200"/>
        <w:rPr>
          <w:rFonts w:hint="eastAsia" w:hAnsi="宋体" w:cs="宋体"/>
          <w:sz w:val="22"/>
          <w:szCs w:val="22"/>
          <w:lang w:val="zh-CN"/>
        </w:rPr>
      </w:pPr>
      <w:r>
        <w:rPr>
          <w:rFonts w:hint="eastAsia" w:hAnsi="宋体" w:cs="宋体"/>
          <w:sz w:val="22"/>
          <w:szCs w:val="22"/>
          <w:lang w:val="zh-CN"/>
        </w:rPr>
        <w:t>（2）质疑项目的名称、编号；</w:t>
      </w:r>
    </w:p>
    <w:p w14:paraId="20FC996A">
      <w:pPr>
        <w:pStyle w:val="21"/>
        <w:spacing w:beforeLines="0" w:afterLines="0" w:line="420" w:lineRule="exact"/>
        <w:ind w:firstLine="440" w:firstLineChars="200"/>
        <w:rPr>
          <w:rFonts w:hint="eastAsia" w:hAnsi="宋体" w:cs="宋体"/>
          <w:sz w:val="22"/>
          <w:szCs w:val="22"/>
          <w:lang w:val="zh-CN"/>
        </w:rPr>
      </w:pPr>
      <w:r>
        <w:rPr>
          <w:rFonts w:hint="eastAsia" w:hAnsi="宋体" w:cs="宋体"/>
          <w:sz w:val="22"/>
          <w:szCs w:val="22"/>
          <w:lang w:val="zh-CN"/>
        </w:rPr>
        <w:t>（3）具体、明确的质疑事项和与质疑事项相关的请求；</w:t>
      </w:r>
    </w:p>
    <w:p w14:paraId="15964C7B">
      <w:pPr>
        <w:pStyle w:val="21"/>
        <w:spacing w:beforeLines="0" w:afterLines="0" w:line="420" w:lineRule="exact"/>
        <w:ind w:firstLine="440" w:firstLineChars="200"/>
        <w:rPr>
          <w:rFonts w:hint="eastAsia" w:hAnsi="宋体" w:cs="宋体"/>
          <w:sz w:val="22"/>
          <w:szCs w:val="22"/>
          <w:lang w:val="zh-CN"/>
        </w:rPr>
      </w:pPr>
      <w:r>
        <w:rPr>
          <w:rFonts w:hint="eastAsia" w:hAnsi="宋体" w:cs="宋体"/>
          <w:sz w:val="22"/>
          <w:szCs w:val="22"/>
          <w:lang w:val="zh-CN"/>
        </w:rPr>
        <w:t>（4）事实依据；</w:t>
      </w:r>
    </w:p>
    <w:p w14:paraId="4200BD69">
      <w:pPr>
        <w:pStyle w:val="21"/>
        <w:spacing w:beforeLines="0" w:afterLines="0" w:line="420" w:lineRule="exact"/>
        <w:ind w:firstLine="440" w:firstLineChars="200"/>
        <w:rPr>
          <w:rFonts w:hint="eastAsia" w:hAnsi="宋体" w:cs="宋体"/>
          <w:sz w:val="22"/>
          <w:szCs w:val="22"/>
          <w:lang w:val="zh-CN"/>
        </w:rPr>
      </w:pPr>
      <w:r>
        <w:rPr>
          <w:rFonts w:hint="eastAsia" w:hAnsi="宋体" w:cs="宋体"/>
          <w:sz w:val="22"/>
          <w:szCs w:val="22"/>
          <w:lang w:val="zh-CN"/>
        </w:rPr>
        <w:t>（5）必要的法律依据；</w:t>
      </w:r>
    </w:p>
    <w:p w14:paraId="316F3DDC">
      <w:pPr>
        <w:pStyle w:val="21"/>
        <w:spacing w:beforeLines="0" w:afterLines="0" w:line="420" w:lineRule="exact"/>
        <w:ind w:firstLine="440" w:firstLineChars="200"/>
        <w:rPr>
          <w:rFonts w:hint="eastAsia" w:hAnsi="宋体" w:cs="宋体"/>
          <w:sz w:val="22"/>
          <w:szCs w:val="22"/>
          <w:lang w:val="zh-CN"/>
        </w:rPr>
      </w:pPr>
      <w:r>
        <w:rPr>
          <w:rFonts w:hint="eastAsia" w:hAnsi="宋体" w:cs="宋体"/>
          <w:sz w:val="22"/>
          <w:szCs w:val="22"/>
          <w:lang w:val="zh-CN"/>
        </w:rPr>
        <w:t>（6）提出质疑的日期。</w:t>
      </w:r>
    </w:p>
    <w:p w14:paraId="13A4FD29">
      <w:pPr>
        <w:pStyle w:val="125"/>
        <w:shd w:val="clear" w:color="auto" w:fill="FFFFFF"/>
        <w:snapToGrid w:val="0"/>
        <w:spacing w:before="0" w:beforeAutospacing="0" w:after="0" w:afterAutospacing="0" w:line="420" w:lineRule="exact"/>
        <w:ind w:firstLine="440" w:firstLineChars="200"/>
        <w:contextualSpacing/>
        <w:rPr>
          <w:rFonts w:hint="eastAsia"/>
          <w:sz w:val="22"/>
          <w:szCs w:val="22"/>
        </w:rPr>
      </w:pPr>
      <w:r>
        <w:rPr>
          <w:rFonts w:hint="eastAsia"/>
          <w:sz w:val="22"/>
          <w:szCs w:val="22"/>
        </w:rPr>
        <w:t xml:space="preserve"> 供应商为自然人的，应当由本人签字；供应商为法人或者其他组织的，应当由法定代表人、主要负责人，或者其授权代表签字或者盖章，并加盖公章。以联合体形式参加政府采购活动的，其投诉应当由组成联合体的所有供应商共同提出。</w:t>
      </w:r>
    </w:p>
    <w:p w14:paraId="3B90D860">
      <w:pPr>
        <w:pStyle w:val="54"/>
        <w:spacing w:line="420" w:lineRule="exact"/>
        <w:rPr>
          <w:rFonts w:hint="eastAsia" w:ascii="宋体" w:hAnsi="宋体" w:eastAsia="宋体" w:cs="宋体"/>
          <w:szCs w:val="22"/>
        </w:rPr>
      </w:pPr>
      <w:r>
        <w:rPr>
          <w:rFonts w:hint="eastAsia" w:ascii="宋体" w:hAnsi="宋体" w:eastAsia="宋体" w:cs="宋体"/>
          <w:szCs w:val="22"/>
          <w:lang w:val="zh-CN"/>
        </w:rPr>
        <w:t>供应商提出质疑可使用财政部制定的质疑函范本，该范本可在浙江政府采购网下载专区下载。</w:t>
      </w:r>
    </w:p>
    <w:p w14:paraId="3EC9A37B">
      <w:pPr>
        <w:pStyle w:val="54"/>
        <w:spacing w:line="420" w:lineRule="exact"/>
        <w:rPr>
          <w:rFonts w:hint="eastAsia" w:ascii="宋体" w:hAnsi="宋体" w:eastAsia="宋体" w:cs="宋体"/>
          <w:szCs w:val="22"/>
          <w:lang w:val="zh-CN"/>
        </w:rPr>
      </w:pPr>
      <w:r>
        <w:rPr>
          <w:rFonts w:hint="eastAsia" w:ascii="宋体" w:hAnsi="宋体" w:eastAsia="宋体" w:cs="宋体"/>
          <w:szCs w:val="22"/>
        </w:rPr>
        <w:t>4.3.6</w:t>
      </w:r>
      <w:r>
        <w:rPr>
          <w:rFonts w:hint="eastAsia" w:ascii="宋体" w:hAnsi="宋体" w:eastAsia="宋体" w:cs="宋体"/>
          <w:szCs w:val="22"/>
          <w:lang w:val="zh-CN"/>
        </w:rPr>
        <w:t>供应商提交的质疑函缺少具体明确的质疑事项、事实依据、必要的法律依据、与质疑事项相关的请求、签章等内容的，采购人、采购代理机构可通知其在法定质疑期内补充、完善。质疑供应商在法定质疑期内未按要求补充、完善的，自行承担不利后果。</w:t>
      </w:r>
    </w:p>
    <w:p w14:paraId="58917FE5">
      <w:pPr>
        <w:pStyle w:val="54"/>
        <w:spacing w:line="420" w:lineRule="exact"/>
        <w:rPr>
          <w:rFonts w:hint="eastAsia" w:ascii="宋体" w:hAnsi="宋体" w:eastAsia="宋体" w:cs="宋体"/>
          <w:szCs w:val="22"/>
          <w:lang w:val="zh-CN"/>
        </w:rPr>
      </w:pPr>
      <w:r>
        <w:rPr>
          <w:rFonts w:hint="eastAsia" w:ascii="宋体" w:hAnsi="宋体" w:eastAsia="宋体" w:cs="宋体"/>
          <w:szCs w:val="22"/>
          <w:lang w:val="zh-CN"/>
        </w:rPr>
        <w:t>采购人、采购代理机构有初步证据认为质疑供应商权益未受到损害的，可要求其提供属于潜在供应商或者合法权益受到损害的证明材料。经营主体明显不具有履行合同所必需的设备和专业技术能力的，不属于潜在供应商。</w:t>
      </w:r>
    </w:p>
    <w:p w14:paraId="60E468B4">
      <w:pPr>
        <w:pStyle w:val="125"/>
        <w:shd w:val="clear" w:color="auto" w:fill="FFFFFF"/>
        <w:snapToGrid w:val="0"/>
        <w:spacing w:before="0" w:beforeAutospacing="0" w:after="0" w:afterAutospacing="0" w:line="420" w:lineRule="exact"/>
        <w:ind w:firstLine="400"/>
        <w:contextualSpacing/>
        <w:rPr>
          <w:rFonts w:hint="eastAsia"/>
          <w:sz w:val="22"/>
          <w:szCs w:val="22"/>
        </w:rPr>
      </w:pPr>
      <w:r>
        <w:rPr>
          <w:rFonts w:hint="eastAsia"/>
          <w:sz w:val="22"/>
          <w:szCs w:val="22"/>
        </w:rPr>
        <w:t>4.3.7供应商有下列情形之一的，质疑事项不予处理，由采购人、采购代理机构收到质疑函后七个工作日内书面通知质疑供应商：</w:t>
      </w:r>
    </w:p>
    <w:p w14:paraId="3591AC8A">
      <w:pPr>
        <w:pStyle w:val="125"/>
        <w:shd w:val="clear" w:color="auto" w:fill="FFFFFF"/>
        <w:snapToGrid w:val="0"/>
        <w:spacing w:before="0" w:beforeAutospacing="0" w:after="0" w:afterAutospacing="0" w:line="420" w:lineRule="exact"/>
        <w:ind w:firstLine="400"/>
        <w:contextualSpacing/>
        <w:rPr>
          <w:rFonts w:hint="eastAsia"/>
          <w:sz w:val="22"/>
          <w:szCs w:val="22"/>
        </w:rPr>
      </w:pPr>
      <w:bookmarkStart w:id="27" w:name="OLE_LINK3"/>
      <w:r>
        <w:rPr>
          <w:rFonts w:hint="eastAsia"/>
          <w:sz w:val="22"/>
          <w:szCs w:val="22"/>
        </w:rPr>
        <w:t>（1）</w:t>
      </w:r>
      <w:bookmarkEnd w:id="27"/>
      <w:r>
        <w:rPr>
          <w:rFonts w:hint="eastAsia"/>
          <w:sz w:val="22"/>
          <w:szCs w:val="22"/>
        </w:rPr>
        <w:t>潜在供应商未提供依法获取采购文件证据材料，对采购文件提出质疑的；</w:t>
      </w:r>
    </w:p>
    <w:p w14:paraId="3094FA3C">
      <w:pPr>
        <w:pStyle w:val="125"/>
        <w:shd w:val="clear" w:color="auto" w:fill="FFFFFF"/>
        <w:snapToGrid w:val="0"/>
        <w:spacing w:before="0" w:beforeAutospacing="0" w:after="0" w:afterAutospacing="0" w:line="420" w:lineRule="exact"/>
        <w:ind w:firstLine="400"/>
        <w:contextualSpacing/>
        <w:rPr>
          <w:rFonts w:hint="eastAsia"/>
          <w:sz w:val="22"/>
          <w:szCs w:val="22"/>
        </w:rPr>
      </w:pPr>
      <w:r>
        <w:rPr>
          <w:rFonts w:hint="eastAsia"/>
          <w:sz w:val="22"/>
          <w:szCs w:val="22"/>
        </w:rPr>
        <w:t>（2）供应商未按采购人、采购代理机构要求提供项目设置的特定资格条件证明材料，对特定资格条件以外的采购文件内容提出质疑的；</w:t>
      </w:r>
    </w:p>
    <w:p w14:paraId="5E5089F1">
      <w:pPr>
        <w:pStyle w:val="125"/>
        <w:shd w:val="clear" w:color="auto" w:fill="FFFFFF"/>
        <w:snapToGrid w:val="0"/>
        <w:spacing w:before="0" w:beforeAutospacing="0" w:after="0" w:afterAutospacing="0" w:line="420" w:lineRule="exact"/>
        <w:ind w:firstLine="400"/>
        <w:contextualSpacing/>
        <w:rPr>
          <w:rFonts w:hint="eastAsia"/>
          <w:sz w:val="22"/>
          <w:szCs w:val="22"/>
        </w:rPr>
      </w:pPr>
      <w:r>
        <w:rPr>
          <w:rFonts w:hint="eastAsia"/>
          <w:sz w:val="22"/>
          <w:szCs w:val="22"/>
        </w:rPr>
        <w:t>（3）未提交投标文件，对采购过程、采购结果提出质疑的；</w:t>
      </w:r>
    </w:p>
    <w:p w14:paraId="52C8BA97">
      <w:pPr>
        <w:pStyle w:val="125"/>
        <w:shd w:val="clear" w:color="auto" w:fill="FFFFFF"/>
        <w:snapToGrid w:val="0"/>
        <w:spacing w:before="0" w:beforeAutospacing="0" w:after="0" w:afterAutospacing="0" w:line="420" w:lineRule="exact"/>
        <w:ind w:firstLine="400"/>
        <w:contextualSpacing/>
        <w:rPr>
          <w:rFonts w:hint="eastAsia"/>
          <w:sz w:val="22"/>
          <w:szCs w:val="22"/>
        </w:rPr>
      </w:pPr>
      <w:r>
        <w:rPr>
          <w:rFonts w:hint="eastAsia"/>
          <w:sz w:val="22"/>
          <w:szCs w:val="22"/>
        </w:rPr>
        <w:t>（4）未通过资格审查，对评审过程、采购结果提出质疑的；</w:t>
      </w:r>
    </w:p>
    <w:p w14:paraId="79AB1D1A">
      <w:pPr>
        <w:pStyle w:val="125"/>
        <w:shd w:val="clear" w:color="auto" w:fill="FFFFFF"/>
        <w:snapToGrid w:val="0"/>
        <w:spacing w:before="0" w:beforeAutospacing="0" w:after="0" w:afterAutospacing="0" w:line="420" w:lineRule="exact"/>
        <w:ind w:firstLine="400"/>
        <w:contextualSpacing/>
        <w:rPr>
          <w:rFonts w:hint="eastAsia"/>
          <w:sz w:val="22"/>
          <w:szCs w:val="22"/>
        </w:rPr>
      </w:pPr>
      <w:r>
        <w:rPr>
          <w:rFonts w:hint="eastAsia"/>
          <w:sz w:val="22"/>
          <w:szCs w:val="22"/>
        </w:rPr>
        <w:t>（5）未通过符合性审查，对符合性审查后的评审活动、采购结果提出质疑的；</w:t>
      </w:r>
    </w:p>
    <w:p w14:paraId="34885E04">
      <w:pPr>
        <w:pStyle w:val="125"/>
        <w:shd w:val="clear" w:color="auto" w:fill="FFFFFF"/>
        <w:snapToGrid w:val="0"/>
        <w:spacing w:before="0" w:beforeAutospacing="0" w:after="0" w:afterAutospacing="0" w:line="420" w:lineRule="exact"/>
        <w:ind w:firstLine="400"/>
        <w:contextualSpacing/>
        <w:rPr>
          <w:rFonts w:hint="eastAsia"/>
          <w:sz w:val="22"/>
          <w:szCs w:val="22"/>
        </w:rPr>
      </w:pPr>
      <w:r>
        <w:rPr>
          <w:rFonts w:hint="eastAsia"/>
          <w:sz w:val="22"/>
          <w:szCs w:val="22"/>
        </w:rPr>
        <w:t>（6）未通过采购文件规定的方式提出质疑的；</w:t>
      </w:r>
    </w:p>
    <w:p w14:paraId="6E8B84C2">
      <w:pPr>
        <w:pStyle w:val="125"/>
        <w:shd w:val="clear" w:color="auto" w:fill="FFFFFF"/>
        <w:snapToGrid w:val="0"/>
        <w:spacing w:before="0" w:beforeAutospacing="0" w:after="0" w:afterAutospacing="0" w:line="420" w:lineRule="exact"/>
        <w:ind w:firstLine="400"/>
        <w:contextualSpacing/>
        <w:rPr>
          <w:rFonts w:hint="eastAsia"/>
          <w:sz w:val="22"/>
          <w:szCs w:val="22"/>
        </w:rPr>
      </w:pPr>
      <w:r>
        <w:rPr>
          <w:rFonts w:hint="eastAsia"/>
          <w:sz w:val="22"/>
          <w:szCs w:val="22"/>
        </w:rPr>
        <w:t>（7）提出质疑时间已超出法定质疑期的；</w:t>
      </w:r>
    </w:p>
    <w:p w14:paraId="7971075A">
      <w:pPr>
        <w:pStyle w:val="125"/>
        <w:shd w:val="clear" w:color="auto" w:fill="FFFFFF"/>
        <w:snapToGrid w:val="0"/>
        <w:spacing w:before="0" w:beforeAutospacing="0" w:after="0" w:afterAutospacing="0" w:line="420" w:lineRule="exact"/>
        <w:ind w:firstLine="400"/>
        <w:contextualSpacing/>
        <w:rPr>
          <w:rFonts w:hint="eastAsia"/>
          <w:sz w:val="22"/>
          <w:szCs w:val="22"/>
        </w:rPr>
      </w:pPr>
      <w:r>
        <w:rPr>
          <w:rFonts w:hint="eastAsia"/>
          <w:sz w:val="22"/>
          <w:szCs w:val="22"/>
        </w:rPr>
        <w:t>（8）采购文件要求供应商在法定质疑期内一次性提出针对同一采购程序环节质疑，再次提出质疑的；</w:t>
      </w:r>
    </w:p>
    <w:p w14:paraId="0033F1B9">
      <w:pPr>
        <w:pStyle w:val="125"/>
        <w:shd w:val="clear" w:color="auto" w:fill="FFFFFF"/>
        <w:snapToGrid w:val="0"/>
        <w:spacing w:before="0" w:beforeAutospacing="0" w:after="0" w:afterAutospacing="0" w:line="420" w:lineRule="exact"/>
        <w:ind w:firstLine="400"/>
        <w:contextualSpacing/>
        <w:rPr>
          <w:rFonts w:hint="eastAsia"/>
          <w:sz w:val="22"/>
          <w:szCs w:val="22"/>
        </w:rPr>
      </w:pPr>
      <w:r>
        <w:rPr>
          <w:rFonts w:hint="eastAsia"/>
          <w:sz w:val="22"/>
          <w:szCs w:val="22"/>
        </w:rPr>
        <w:t>（9）质疑函未按采购人、采购代理机构要求补充完善签署、盖章、联系方式、提交合法有效的授权委托书的；</w:t>
      </w:r>
    </w:p>
    <w:p w14:paraId="63CCFA94">
      <w:pPr>
        <w:pStyle w:val="125"/>
        <w:shd w:val="clear" w:color="auto" w:fill="FFFFFF"/>
        <w:snapToGrid w:val="0"/>
        <w:spacing w:before="0" w:beforeAutospacing="0" w:after="0" w:afterAutospacing="0" w:line="420" w:lineRule="exact"/>
        <w:ind w:firstLine="400"/>
        <w:contextualSpacing/>
        <w:rPr>
          <w:rFonts w:hint="eastAsia"/>
          <w:sz w:val="22"/>
          <w:szCs w:val="22"/>
        </w:rPr>
      </w:pPr>
      <w:r>
        <w:rPr>
          <w:rFonts w:hint="eastAsia"/>
          <w:sz w:val="22"/>
          <w:szCs w:val="22"/>
        </w:rPr>
        <w:t>（10）质疑供应商未按照采购人、采购代理机构要求提供属于潜在供应商或其合法权益受到损害的事实依据的；</w:t>
      </w:r>
    </w:p>
    <w:p w14:paraId="49B5FEB2">
      <w:pPr>
        <w:pStyle w:val="125"/>
        <w:shd w:val="clear" w:color="auto" w:fill="FFFFFF"/>
        <w:snapToGrid w:val="0"/>
        <w:spacing w:before="0" w:beforeAutospacing="0" w:after="0" w:afterAutospacing="0" w:line="420" w:lineRule="exact"/>
        <w:ind w:firstLine="400"/>
        <w:contextualSpacing/>
        <w:rPr>
          <w:rFonts w:hint="eastAsia"/>
          <w:sz w:val="22"/>
          <w:szCs w:val="22"/>
        </w:rPr>
      </w:pPr>
      <w:r>
        <w:rPr>
          <w:rFonts w:hint="eastAsia"/>
          <w:sz w:val="22"/>
          <w:szCs w:val="22"/>
        </w:rPr>
        <w:t>（11）以联合体形式参加政府采购活动，联合体成员未共同提出质疑的；</w:t>
      </w:r>
    </w:p>
    <w:p w14:paraId="65F8CF59">
      <w:pPr>
        <w:pStyle w:val="125"/>
        <w:shd w:val="clear" w:color="auto" w:fill="FFFFFF"/>
        <w:snapToGrid w:val="0"/>
        <w:spacing w:before="0" w:beforeAutospacing="0" w:after="0" w:afterAutospacing="0" w:line="420" w:lineRule="exact"/>
        <w:ind w:firstLine="400"/>
        <w:contextualSpacing/>
        <w:rPr>
          <w:rFonts w:hint="eastAsia"/>
          <w:sz w:val="22"/>
          <w:szCs w:val="22"/>
        </w:rPr>
      </w:pPr>
      <w:r>
        <w:rPr>
          <w:rFonts w:hint="eastAsia"/>
          <w:sz w:val="22"/>
          <w:szCs w:val="22"/>
        </w:rPr>
        <w:t>（12）法律法规或省级以上财政部门规定的其他情形。</w:t>
      </w:r>
    </w:p>
    <w:p w14:paraId="15377DA0">
      <w:pPr>
        <w:pStyle w:val="125"/>
        <w:shd w:val="clear" w:color="auto" w:fill="FFFFFF"/>
        <w:snapToGrid w:val="0"/>
        <w:spacing w:before="0" w:beforeAutospacing="0" w:after="0" w:afterAutospacing="0" w:line="420" w:lineRule="exact"/>
        <w:ind w:firstLine="440" w:firstLineChars="200"/>
        <w:contextualSpacing/>
        <w:rPr>
          <w:rFonts w:hint="eastAsia"/>
          <w:sz w:val="22"/>
          <w:szCs w:val="22"/>
          <w:lang w:val="zh-CN"/>
        </w:rPr>
      </w:pPr>
      <w:r>
        <w:rPr>
          <w:rFonts w:hint="eastAsia"/>
          <w:sz w:val="22"/>
          <w:szCs w:val="22"/>
          <w:lang w:val="zh-CN"/>
        </w:rPr>
        <w:t>4.4供应商投诉</w:t>
      </w:r>
    </w:p>
    <w:p w14:paraId="0CDB1302">
      <w:pPr>
        <w:pStyle w:val="125"/>
        <w:shd w:val="clear" w:color="auto" w:fill="FFFFFF"/>
        <w:snapToGrid w:val="0"/>
        <w:spacing w:before="0" w:beforeAutospacing="0" w:after="0" w:afterAutospacing="0" w:line="420" w:lineRule="exact"/>
        <w:ind w:firstLine="440" w:firstLineChars="200"/>
        <w:contextualSpacing/>
        <w:rPr>
          <w:rFonts w:hint="eastAsia"/>
          <w:sz w:val="22"/>
          <w:szCs w:val="22"/>
        </w:rPr>
      </w:pPr>
      <w:r>
        <w:rPr>
          <w:rFonts w:hint="eastAsia"/>
          <w:sz w:val="22"/>
          <w:szCs w:val="22"/>
        </w:rPr>
        <w:t>4.4.1质疑供应商对采购人、采购代理机构的答复不满意或者采购人、采购代理机构未在规定的时间内作出答复的，可以在答复期满后十五个工作日内向同级政府采购监督管理部门提出投诉。</w:t>
      </w:r>
    </w:p>
    <w:p w14:paraId="4B74E9D3">
      <w:pPr>
        <w:pStyle w:val="125"/>
        <w:shd w:val="clear" w:color="auto" w:fill="FFFFFF"/>
        <w:snapToGrid w:val="0"/>
        <w:spacing w:before="0" w:beforeAutospacing="0" w:after="0" w:afterAutospacing="0" w:line="420" w:lineRule="exact"/>
        <w:ind w:firstLine="400"/>
        <w:contextualSpacing/>
        <w:rPr>
          <w:rFonts w:hint="eastAsia"/>
          <w:sz w:val="22"/>
          <w:szCs w:val="22"/>
        </w:rPr>
      </w:pPr>
      <w:r>
        <w:rPr>
          <w:rFonts w:hint="eastAsia"/>
          <w:sz w:val="22"/>
          <w:szCs w:val="22"/>
        </w:rPr>
        <w:t>4.4.</w:t>
      </w:r>
      <w:r>
        <w:rPr>
          <w:rFonts w:hint="eastAsia"/>
          <w:sz w:val="22"/>
          <w:szCs w:val="22"/>
          <w:lang w:val="zh-CN"/>
        </w:rPr>
        <w:t>2</w:t>
      </w:r>
      <w:r>
        <w:rPr>
          <w:rFonts w:hint="eastAsia"/>
          <w:sz w:val="22"/>
          <w:szCs w:val="22"/>
        </w:rPr>
        <w:t>供应商投诉的事项不得超出已质疑事项的范围，基于质疑答复内容提出的投诉事项除外。</w:t>
      </w:r>
    </w:p>
    <w:p w14:paraId="5F3B2309">
      <w:pPr>
        <w:pStyle w:val="125"/>
        <w:shd w:val="clear" w:color="auto" w:fill="FFFFFF"/>
        <w:snapToGrid w:val="0"/>
        <w:spacing w:before="0" w:beforeAutospacing="0" w:after="0" w:afterAutospacing="0" w:line="420" w:lineRule="exact"/>
        <w:ind w:firstLine="400"/>
        <w:contextualSpacing/>
        <w:rPr>
          <w:rFonts w:hint="eastAsia"/>
          <w:sz w:val="22"/>
          <w:szCs w:val="22"/>
        </w:rPr>
      </w:pPr>
      <w:r>
        <w:rPr>
          <w:rFonts w:hint="eastAsia"/>
          <w:sz w:val="22"/>
          <w:szCs w:val="22"/>
        </w:rPr>
        <w:t>4.4.3供应商投诉应当有明确的请求和必要的证明材料。</w:t>
      </w:r>
    </w:p>
    <w:p w14:paraId="7ABBF2DF">
      <w:pPr>
        <w:pStyle w:val="125"/>
        <w:shd w:val="clear" w:color="auto" w:fill="FFFFFF"/>
        <w:snapToGrid w:val="0"/>
        <w:spacing w:before="0" w:beforeAutospacing="0" w:after="0" w:afterAutospacing="0" w:line="420" w:lineRule="exact"/>
        <w:ind w:firstLine="400"/>
        <w:contextualSpacing/>
        <w:rPr>
          <w:rFonts w:hint="eastAsia"/>
          <w:sz w:val="22"/>
          <w:szCs w:val="22"/>
        </w:rPr>
      </w:pPr>
      <w:r>
        <w:rPr>
          <w:rFonts w:hint="eastAsia"/>
          <w:sz w:val="22"/>
          <w:szCs w:val="22"/>
        </w:rPr>
        <w:t>4.4.4 以联合体形式参加政府采购活动的，其投诉应当由组成联合体的所有供应商共同提出。</w:t>
      </w:r>
    </w:p>
    <w:p w14:paraId="176156B7">
      <w:pPr>
        <w:pStyle w:val="125"/>
        <w:shd w:val="clear" w:color="auto" w:fill="FFFFFF"/>
        <w:snapToGrid w:val="0"/>
        <w:spacing w:before="0" w:beforeAutospacing="0" w:after="0" w:afterAutospacing="0" w:line="420" w:lineRule="exact"/>
        <w:ind w:firstLine="440" w:firstLineChars="200"/>
        <w:contextualSpacing/>
        <w:rPr>
          <w:rFonts w:hint="eastAsia"/>
          <w:sz w:val="22"/>
          <w:szCs w:val="22"/>
        </w:rPr>
      </w:pPr>
      <w:r>
        <w:rPr>
          <w:rFonts w:hint="eastAsia"/>
          <w:sz w:val="22"/>
          <w:szCs w:val="22"/>
        </w:rPr>
        <w:t>4.4.5投诉材料</w:t>
      </w:r>
      <w:r>
        <w:rPr>
          <w:rFonts w:hint="eastAsia" w:hAnsi="Courier New"/>
          <w:sz w:val="22"/>
          <w:szCs w:val="22"/>
        </w:rPr>
        <w:t>寄送</w:t>
      </w:r>
      <w:r>
        <w:rPr>
          <w:rFonts w:hint="eastAsia"/>
          <w:sz w:val="22"/>
          <w:szCs w:val="22"/>
        </w:rPr>
        <w:t>相关信息详见《第一部分  招标公告》。</w:t>
      </w:r>
    </w:p>
    <w:p w14:paraId="0C486E25">
      <w:pPr>
        <w:pStyle w:val="125"/>
        <w:shd w:val="clear" w:color="auto" w:fill="FFFFFF"/>
        <w:snapToGrid w:val="0"/>
        <w:spacing w:before="0" w:beforeAutospacing="0" w:after="0" w:afterAutospacing="0" w:line="420" w:lineRule="exact"/>
        <w:ind w:firstLine="440" w:firstLineChars="200"/>
        <w:contextualSpacing/>
        <w:rPr>
          <w:rFonts w:hint="eastAsia"/>
          <w:sz w:val="22"/>
          <w:szCs w:val="22"/>
        </w:rPr>
      </w:pPr>
      <w:r>
        <w:rPr>
          <w:rFonts w:hint="eastAsia"/>
          <w:sz w:val="22"/>
          <w:szCs w:val="22"/>
        </w:rPr>
        <w:t>投诉书</w:t>
      </w:r>
      <w:r>
        <w:rPr>
          <w:rFonts w:hint="eastAsia"/>
          <w:sz w:val="22"/>
          <w:szCs w:val="22"/>
          <w:lang w:val="zh-CN"/>
        </w:rPr>
        <w:t>使用财政部制定的</w:t>
      </w:r>
      <w:r>
        <w:rPr>
          <w:rFonts w:hint="eastAsia"/>
          <w:sz w:val="22"/>
          <w:szCs w:val="22"/>
        </w:rPr>
        <w:t>投诉书</w:t>
      </w:r>
      <w:r>
        <w:rPr>
          <w:rFonts w:hint="eastAsia"/>
          <w:sz w:val="22"/>
          <w:szCs w:val="22"/>
          <w:lang w:val="zh-CN"/>
        </w:rPr>
        <w:t>范本，该范本可在浙江政府采购网下载专区下载。</w:t>
      </w:r>
    </w:p>
    <w:p w14:paraId="51B635BE">
      <w:pPr>
        <w:spacing w:line="420" w:lineRule="exact"/>
        <w:jc w:val="center"/>
        <w:outlineLvl w:val="1"/>
        <w:rPr>
          <w:rFonts w:hint="eastAsia" w:ascii="宋体" w:hAnsi="宋体" w:cs="宋体"/>
          <w:b/>
          <w:sz w:val="28"/>
          <w:szCs w:val="18"/>
        </w:rPr>
      </w:pPr>
      <w:r>
        <w:rPr>
          <w:rFonts w:hint="eastAsia" w:ascii="宋体" w:hAnsi="宋体" w:cs="宋体"/>
          <w:b/>
          <w:sz w:val="28"/>
          <w:szCs w:val="18"/>
        </w:rPr>
        <w:t xml:space="preserve">  </w:t>
      </w:r>
      <w:r>
        <w:rPr>
          <w:rFonts w:hint="eastAsia" w:ascii="Arial" w:hAnsi="Arial" w:cs="宋体"/>
          <w:b/>
          <w:szCs w:val="21"/>
        </w:rPr>
        <w:t xml:space="preserve">    </w:t>
      </w:r>
      <w:bookmarkStart w:id="28" w:name="_Toc20717"/>
      <w:r>
        <w:rPr>
          <w:rFonts w:hint="eastAsia" w:ascii="Arial" w:hAnsi="Arial" w:cs="宋体"/>
          <w:b/>
          <w:szCs w:val="21"/>
        </w:rPr>
        <w:t>二、招标文件的构成、澄清、修改</w:t>
      </w:r>
      <w:bookmarkEnd w:id="28"/>
    </w:p>
    <w:p w14:paraId="56388B9F">
      <w:pPr>
        <w:pStyle w:val="21"/>
        <w:spacing w:beforeLines="0" w:afterLines="0" w:line="420" w:lineRule="exact"/>
        <w:rPr>
          <w:rFonts w:hint="eastAsia" w:hAnsi="宋体" w:cs="宋体"/>
          <w:b/>
          <w:sz w:val="22"/>
          <w:szCs w:val="22"/>
        </w:rPr>
      </w:pPr>
      <w:r>
        <w:rPr>
          <w:rFonts w:hint="eastAsia" w:hAnsi="宋体" w:cs="宋体"/>
          <w:b/>
          <w:sz w:val="22"/>
          <w:szCs w:val="22"/>
        </w:rPr>
        <w:t>5．招标文件的构成</w:t>
      </w:r>
    </w:p>
    <w:p w14:paraId="5251252F">
      <w:pPr>
        <w:pStyle w:val="21"/>
        <w:spacing w:beforeLines="0" w:afterLines="0" w:line="420" w:lineRule="exact"/>
        <w:ind w:firstLine="440" w:firstLineChars="200"/>
        <w:rPr>
          <w:rFonts w:hint="eastAsia" w:hAnsi="宋体" w:cs="宋体"/>
          <w:sz w:val="22"/>
          <w:szCs w:val="22"/>
        </w:rPr>
      </w:pPr>
      <w:r>
        <w:rPr>
          <w:rFonts w:hint="eastAsia" w:hAnsi="宋体" w:cs="宋体"/>
          <w:sz w:val="22"/>
          <w:szCs w:val="22"/>
        </w:rPr>
        <w:t>5.1 招标文件包括下列文件及附件：</w:t>
      </w:r>
    </w:p>
    <w:p w14:paraId="0E0C4E6C">
      <w:pPr>
        <w:pStyle w:val="21"/>
        <w:tabs>
          <w:tab w:val="left" w:pos="840"/>
        </w:tabs>
        <w:spacing w:beforeLines="0" w:afterLines="0" w:line="420" w:lineRule="exact"/>
        <w:ind w:firstLine="880" w:firstLineChars="400"/>
        <w:rPr>
          <w:rFonts w:hint="eastAsia" w:hAnsi="宋体" w:cs="宋体"/>
          <w:sz w:val="22"/>
          <w:szCs w:val="22"/>
        </w:rPr>
      </w:pPr>
      <w:r>
        <w:rPr>
          <w:rFonts w:hint="eastAsia" w:hAnsi="宋体" w:cs="宋体"/>
          <w:sz w:val="22"/>
          <w:szCs w:val="22"/>
        </w:rPr>
        <w:t>5.1.1招标公告；</w:t>
      </w:r>
    </w:p>
    <w:p w14:paraId="0929509E">
      <w:pPr>
        <w:pStyle w:val="21"/>
        <w:tabs>
          <w:tab w:val="left" w:pos="840"/>
        </w:tabs>
        <w:spacing w:beforeLines="0" w:afterLines="0" w:line="420" w:lineRule="exact"/>
        <w:ind w:firstLine="880" w:firstLineChars="400"/>
        <w:rPr>
          <w:rFonts w:hint="eastAsia" w:hAnsi="宋体" w:cs="宋体"/>
          <w:sz w:val="22"/>
          <w:szCs w:val="22"/>
        </w:rPr>
      </w:pPr>
      <w:r>
        <w:rPr>
          <w:rFonts w:hint="eastAsia" w:hAnsi="宋体" w:cs="宋体"/>
          <w:sz w:val="22"/>
          <w:szCs w:val="22"/>
        </w:rPr>
        <w:t>5.1.2投标人须知；</w:t>
      </w:r>
    </w:p>
    <w:p w14:paraId="1106668A">
      <w:pPr>
        <w:pStyle w:val="21"/>
        <w:tabs>
          <w:tab w:val="left" w:pos="840"/>
        </w:tabs>
        <w:spacing w:beforeLines="0" w:afterLines="0" w:line="420" w:lineRule="exact"/>
        <w:ind w:firstLine="880" w:firstLineChars="400"/>
        <w:rPr>
          <w:rFonts w:hint="eastAsia" w:hAnsi="宋体" w:cs="宋体"/>
          <w:sz w:val="22"/>
          <w:szCs w:val="22"/>
        </w:rPr>
      </w:pPr>
      <w:r>
        <w:rPr>
          <w:rFonts w:hint="eastAsia" w:hAnsi="宋体" w:cs="宋体"/>
          <w:sz w:val="22"/>
          <w:szCs w:val="22"/>
        </w:rPr>
        <w:t>5.1.3采购需求；</w:t>
      </w:r>
    </w:p>
    <w:p w14:paraId="3D9864E5">
      <w:pPr>
        <w:pStyle w:val="21"/>
        <w:tabs>
          <w:tab w:val="left" w:pos="840"/>
        </w:tabs>
        <w:spacing w:beforeLines="0" w:afterLines="0" w:line="420" w:lineRule="exact"/>
        <w:ind w:firstLine="880" w:firstLineChars="400"/>
        <w:rPr>
          <w:rFonts w:hint="eastAsia" w:hAnsi="宋体" w:cs="宋体"/>
          <w:sz w:val="22"/>
          <w:szCs w:val="22"/>
        </w:rPr>
      </w:pPr>
      <w:r>
        <w:rPr>
          <w:rFonts w:hint="eastAsia" w:hAnsi="宋体" w:cs="宋体"/>
          <w:sz w:val="22"/>
          <w:szCs w:val="22"/>
        </w:rPr>
        <w:t>5.1.4评标办法；</w:t>
      </w:r>
    </w:p>
    <w:p w14:paraId="1A6377D7">
      <w:pPr>
        <w:pStyle w:val="21"/>
        <w:tabs>
          <w:tab w:val="left" w:pos="840"/>
        </w:tabs>
        <w:spacing w:beforeLines="0" w:afterLines="0" w:line="420" w:lineRule="exact"/>
        <w:ind w:firstLine="880" w:firstLineChars="400"/>
        <w:rPr>
          <w:rFonts w:hint="eastAsia" w:hAnsi="宋体" w:cs="宋体"/>
          <w:sz w:val="22"/>
          <w:szCs w:val="22"/>
        </w:rPr>
      </w:pPr>
      <w:r>
        <w:rPr>
          <w:rFonts w:hint="eastAsia" w:hAnsi="宋体" w:cs="宋体"/>
          <w:sz w:val="22"/>
          <w:szCs w:val="22"/>
        </w:rPr>
        <w:t>5.1.5拟签订的合同文本；</w:t>
      </w:r>
    </w:p>
    <w:p w14:paraId="74F933FE">
      <w:pPr>
        <w:pStyle w:val="21"/>
        <w:tabs>
          <w:tab w:val="left" w:pos="840"/>
        </w:tabs>
        <w:spacing w:beforeLines="0" w:afterLines="0" w:line="420" w:lineRule="exact"/>
        <w:ind w:firstLine="880" w:firstLineChars="400"/>
        <w:rPr>
          <w:rFonts w:hint="eastAsia" w:hAnsi="宋体" w:cs="宋体"/>
          <w:sz w:val="22"/>
          <w:szCs w:val="22"/>
        </w:rPr>
      </w:pPr>
      <w:r>
        <w:rPr>
          <w:rFonts w:hint="eastAsia" w:hAnsi="宋体" w:cs="宋体"/>
          <w:sz w:val="22"/>
          <w:szCs w:val="22"/>
        </w:rPr>
        <w:t>5.1.6应提交的有关格式范例。</w:t>
      </w:r>
    </w:p>
    <w:p w14:paraId="174C7CA7">
      <w:pPr>
        <w:spacing w:line="420" w:lineRule="exact"/>
        <w:ind w:firstLine="440" w:firstLineChars="200"/>
        <w:rPr>
          <w:rFonts w:hint="eastAsia" w:ascii="宋体" w:hAnsi="宋体" w:cs="宋体"/>
          <w:sz w:val="22"/>
          <w:szCs w:val="22"/>
        </w:rPr>
      </w:pPr>
      <w:r>
        <w:rPr>
          <w:rFonts w:hint="eastAsia" w:ascii="宋体" w:hAnsi="宋体" w:cs="宋体"/>
          <w:sz w:val="22"/>
          <w:szCs w:val="22"/>
        </w:rPr>
        <w:t>5.2与本项目有关的</w:t>
      </w:r>
      <w:r>
        <w:rPr>
          <w:rFonts w:hint="eastAsia" w:ascii="宋体" w:hAnsi="宋体" w:cs="宋体"/>
          <w:bCs/>
          <w:sz w:val="22"/>
          <w:szCs w:val="22"/>
        </w:rPr>
        <w:t>澄清或者修改的内容为招标文件的组成部分</w:t>
      </w:r>
      <w:r>
        <w:rPr>
          <w:rFonts w:hint="eastAsia" w:ascii="宋体" w:hAnsi="宋体" w:cs="宋体"/>
          <w:sz w:val="22"/>
          <w:szCs w:val="22"/>
        </w:rPr>
        <w:t>。</w:t>
      </w:r>
    </w:p>
    <w:p w14:paraId="6C56E35D">
      <w:pPr>
        <w:pStyle w:val="21"/>
        <w:spacing w:beforeLines="0" w:afterLines="0" w:line="420" w:lineRule="exact"/>
        <w:rPr>
          <w:rFonts w:hint="eastAsia" w:hAnsi="宋体" w:cs="宋体"/>
          <w:b/>
          <w:sz w:val="22"/>
          <w:szCs w:val="22"/>
        </w:rPr>
      </w:pPr>
      <w:r>
        <w:rPr>
          <w:rFonts w:hint="eastAsia" w:hAnsi="宋体" w:cs="宋体"/>
          <w:b/>
          <w:sz w:val="22"/>
          <w:szCs w:val="22"/>
        </w:rPr>
        <w:t>6. 招标文件的澄清、修改</w:t>
      </w:r>
    </w:p>
    <w:p w14:paraId="5C5D58AD">
      <w:pPr>
        <w:pStyle w:val="189"/>
        <w:snapToGrid w:val="0"/>
        <w:spacing w:before="0" w:beforeAutospacing="0" w:after="0" w:afterAutospacing="0" w:line="420" w:lineRule="exact"/>
        <w:ind w:firstLine="440"/>
        <w:rPr>
          <w:rFonts w:hint="eastAsia" w:ascii="宋体" w:hAnsi="宋体" w:cs="宋体"/>
          <w:sz w:val="22"/>
          <w:szCs w:val="18"/>
        </w:rPr>
      </w:pPr>
      <w:r>
        <w:rPr>
          <w:rFonts w:hint="eastAsia" w:ascii="宋体" w:hAnsi="宋体" w:cs="宋体"/>
          <w:sz w:val="22"/>
          <w:szCs w:val="18"/>
        </w:rPr>
        <w:t>6.1已获取招标文件的潜在投标人，若有问题需要澄清，应于投标截止时间前，以书面形式向采购代理机构提出。</w:t>
      </w:r>
    </w:p>
    <w:p w14:paraId="041FC24A">
      <w:pPr>
        <w:pStyle w:val="189"/>
        <w:snapToGrid w:val="0"/>
        <w:spacing w:before="0" w:beforeAutospacing="0" w:after="0" w:afterAutospacing="0" w:line="420" w:lineRule="exact"/>
        <w:ind w:firstLine="440"/>
        <w:rPr>
          <w:rFonts w:hint="eastAsia" w:ascii="宋体" w:hAnsi="宋体" w:cs="宋体"/>
          <w:sz w:val="22"/>
          <w:szCs w:val="18"/>
        </w:rPr>
      </w:pPr>
      <w:r>
        <w:rPr>
          <w:rFonts w:hint="eastAsia" w:ascii="宋体" w:hAnsi="宋体" w:cs="宋体"/>
          <w:sz w:val="22"/>
          <w:szCs w:val="18"/>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16D3167">
      <w:pPr>
        <w:pStyle w:val="2"/>
        <w:spacing w:after="0" w:line="420" w:lineRule="exact"/>
        <w:jc w:val="center"/>
        <w:rPr>
          <w:rFonts w:ascii="Arial" w:hAnsi="Arial" w:cs="宋体"/>
          <w:b/>
          <w:kern w:val="2"/>
          <w:sz w:val="21"/>
          <w:szCs w:val="21"/>
        </w:rPr>
      </w:pPr>
      <w:bookmarkStart w:id="29" w:name="_Toc6708"/>
      <w:r>
        <w:rPr>
          <w:rFonts w:hint="eastAsia" w:ascii="Arial" w:hAnsi="Arial" w:cs="宋体"/>
          <w:b/>
          <w:kern w:val="2"/>
          <w:sz w:val="21"/>
          <w:szCs w:val="21"/>
        </w:rPr>
        <w:t>三、投标</w:t>
      </w:r>
      <w:bookmarkEnd w:id="29"/>
    </w:p>
    <w:p w14:paraId="650D0FD0">
      <w:pPr>
        <w:pStyle w:val="21"/>
        <w:spacing w:beforeLines="0" w:afterLines="0" w:line="420" w:lineRule="exact"/>
        <w:rPr>
          <w:rFonts w:hint="eastAsia" w:hAnsi="宋体" w:cs="宋体"/>
          <w:b/>
          <w:sz w:val="22"/>
          <w:szCs w:val="22"/>
        </w:rPr>
      </w:pPr>
      <w:r>
        <w:rPr>
          <w:rFonts w:hint="eastAsia" w:hAnsi="宋体" w:cs="宋体"/>
          <w:b/>
          <w:sz w:val="22"/>
          <w:szCs w:val="22"/>
        </w:rPr>
        <w:t>7. 招标文件的获取</w:t>
      </w:r>
    </w:p>
    <w:p w14:paraId="41247EC5">
      <w:pPr>
        <w:spacing w:line="420" w:lineRule="exact"/>
        <w:ind w:firstLine="440" w:firstLineChars="200"/>
        <w:rPr>
          <w:rFonts w:hint="eastAsia" w:ascii="宋体" w:hAnsi="宋体" w:cs="宋体"/>
          <w:snapToGrid w:val="0"/>
          <w:kern w:val="28"/>
          <w:sz w:val="22"/>
          <w:szCs w:val="22"/>
        </w:rPr>
      </w:pPr>
      <w:r>
        <w:rPr>
          <w:rFonts w:hint="eastAsia" w:ascii="宋体" w:hAnsi="宋体" w:cs="宋体"/>
          <w:snapToGrid w:val="0"/>
          <w:kern w:val="28"/>
          <w:sz w:val="22"/>
          <w:szCs w:val="22"/>
        </w:rPr>
        <w:t>详见招标公告中获取招标文件的时间期限、地点、方式及招标文件售价。</w:t>
      </w:r>
    </w:p>
    <w:p w14:paraId="30202E19">
      <w:pPr>
        <w:pStyle w:val="21"/>
        <w:spacing w:beforeLines="0" w:afterLines="0" w:line="420" w:lineRule="exact"/>
        <w:rPr>
          <w:rFonts w:hint="eastAsia" w:hAnsi="宋体" w:cs="宋体"/>
          <w:b/>
          <w:sz w:val="22"/>
          <w:szCs w:val="22"/>
        </w:rPr>
      </w:pPr>
      <w:r>
        <w:rPr>
          <w:rFonts w:hint="eastAsia" w:hAnsi="宋体" w:cs="宋体"/>
          <w:b/>
          <w:sz w:val="22"/>
          <w:szCs w:val="22"/>
        </w:rPr>
        <w:t>8.开标前答疑会或现场考察</w:t>
      </w:r>
    </w:p>
    <w:p w14:paraId="5D954973">
      <w:pPr>
        <w:pStyle w:val="21"/>
        <w:spacing w:beforeLines="0" w:afterLines="0" w:line="420" w:lineRule="exact"/>
        <w:ind w:firstLine="440" w:firstLineChars="200"/>
        <w:rPr>
          <w:rFonts w:hint="eastAsia" w:hAnsi="宋体" w:cs="宋体"/>
          <w:sz w:val="22"/>
          <w:szCs w:val="22"/>
        </w:rPr>
      </w:pPr>
      <w:r>
        <w:rPr>
          <w:rFonts w:hint="eastAsia" w:hAnsi="宋体" w:cs="宋体"/>
          <w:sz w:val="22"/>
          <w:szCs w:val="22"/>
        </w:rPr>
        <w:t>采购人组织潜在投标人现场考察或者召开开标前答疑会的，潜在投标人按第二部分投标人须知前附表的规定参加现场考察或者开标前答疑会。</w:t>
      </w:r>
    </w:p>
    <w:p w14:paraId="432FAED9">
      <w:pPr>
        <w:pStyle w:val="21"/>
        <w:spacing w:beforeLines="0" w:afterLines="0" w:line="420" w:lineRule="exact"/>
        <w:rPr>
          <w:rFonts w:hint="eastAsia" w:hAnsi="宋体" w:cs="宋体"/>
          <w:b/>
          <w:sz w:val="22"/>
          <w:szCs w:val="22"/>
        </w:rPr>
      </w:pPr>
      <w:r>
        <w:rPr>
          <w:rFonts w:hint="eastAsia" w:hAnsi="宋体" w:cs="宋体"/>
          <w:b/>
          <w:kern w:val="28"/>
          <w:sz w:val="22"/>
          <w:szCs w:val="22"/>
        </w:rPr>
        <w:t>9.投标保证金</w:t>
      </w:r>
    </w:p>
    <w:p w14:paraId="17538E28">
      <w:pPr>
        <w:pStyle w:val="10"/>
        <w:numPr>
          <w:ilvl w:val="0"/>
          <w:numId w:val="0"/>
        </w:numPr>
        <w:spacing w:line="420" w:lineRule="exact"/>
        <w:ind w:left="412" w:leftChars="196"/>
        <w:rPr>
          <w:rFonts w:hint="eastAsia" w:hAnsi="宋体" w:cs="宋体"/>
          <w:sz w:val="22"/>
          <w:szCs w:val="18"/>
        </w:rPr>
      </w:pPr>
      <w:r>
        <w:rPr>
          <w:rFonts w:hint="eastAsia" w:hAnsi="宋体" w:cs="宋体"/>
          <w:sz w:val="22"/>
          <w:szCs w:val="18"/>
        </w:rPr>
        <w:t>详见《第二部分 投标人须知》前附表。</w:t>
      </w:r>
    </w:p>
    <w:p w14:paraId="7B814767">
      <w:pPr>
        <w:pStyle w:val="21"/>
        <w:spacing w:beforeLines="0" w:afterLines="0" w:line="420" w:lineRule="exact"/>
        <w:rPr>
          <w:rFonts w:hint="eastAsia" w:hAnsi="宋体" w:cs="宋体"/>
          <w:b/>
          <w:sz w:val="22"/>
          <w:szCs w:val="22"/>
        </w:rPr>
      </w:pPr>
      <w:r>
        <w:rPr>
          <w:rFonts w:hint="eastAsia" w:hAnsi="宋体" w:cs="宋体"/>
          <w:b/>
          <w:sz w:val="22"/>
          <w:szCs w:val="22"/>
        </w:rPr>
        <w:t>10. 投标文件的语言</w:t>
      </w:r>
    </w:p>
    <w:p w14:paraId="299D476F">
      <w:pPr>
        <w:autoSpaceDE w:val="0"/>
        <w:autoSpaceDN w:val="0"/>
        <w:spacing w:line="420" w:lineRule="exact"/>
        <w:ind w:firstLine="440" w:firstLineChars="200"/>
        <w:rPr>
          <w:rFonts w:hint="eastAsia" w:ascii="宋体" w:hAnsi="宋体" w:cs="宋体"/>
          <w:sz w:val="22"/>
          <w:szCs w:val="22"/>
          <w:lang w:val="zh-CN"/>
        </w:rPr>
      </w:pPr>
      <w:r>
        <w:rPr>
          <w:rFonts w:hint="eastAsia" w:ascii="宋体" w:hAnsi="宋体" w:cs="宋体"/>
          <w:sz w:val="22"/>
          <w:szCs w:val="22"/>
        </w:rPr>
        <w:t>投标文件及投标人与采购有关的来往通知、函件和文件均应使用中文。</w:t>
      </w:r>
    </w:p>
    <w:p w14:paraId="11CA4179">
      <w:pPr>
        <w:pStyle w:val="21"/>
        <w:spacing w:beforeLines="0" w:afterLines="0" w:line="420" w:lineRule="exact"/>
        <w:rPr>
          <w:rFonts w:hint="eastAsia" w:hAnsi="宋体" w:cs="宋体"/>
          <w:b/>
          <w:sz w:val="22"/>
          <w:szCs w:val="22"/>
        </w:rPr>
      </w:pPr>
      <w:r>
        <w:rPr>
          <w:rFonts w:hint="eastAsia" w:hAnsi="宋体" w:cs="宋体"/>
          <w:b/>
          <w:sz w:val="22"/>
          <w:szCs w:val="22"/>
        </w:rPr>
        <w:t>11. 投标文件的组成</w:t>
      </w:r>
    </w:p>
    <w:p w14:paraId="173E71C3">
      <w:pPr>
        <w:spacing w:line="420" w:lineRule="exact"/>
        <w:ind w:firstLine="660" w:firstLineChars="300"/>
        <w:rPr>
          <w:rFonts w:hint="eastAsia" w:ascii="宋体" w:hAnsi="宋体" w:cs="宋体"/>
          <w:bCs/>
          <w:sz w:val="22"/>
          <w:szCs w:val="22"/>
        </w:rPr>
      </w:pPr>
      <w:r>
        <w:rPr>
          <w:rFonts w:hint="eastAsia" w:ascii="宋体" w:hAnsi="宋体" w:cs="宋体"/>
          <w:bCs/>
          <w:sz w:val="22"/>
          <w:szCs w:val="22"/>
        </w:rPr>
        <w:t>11.1 资格文件：</w:t>
      </w:r>
    </w:p>
    <w:p w14:paraId="519EFF29">
      <w:pPr>
        <w:spacing w:line="420" w:lineRule="exact"/>
        <w:ind w:firstLine="660" w:firstLineChars="300"/>
        <w:rPr>
          <w:rFonts w:hint="eastAsia" w:ascii="宋体" w:hAnsi="宋体" w:cs="宋体"/>
          <w:bCs/>
          <w:sz w:val="22"/>
          <w:szCs w:val="22"/>
        </w:rPr>
      </w:pPr>
      <w:r>
        <w:rPr>
          <w:rFonts w:hint="eastAsia" w:ascii="宋体" w:hAnsi="宋体" w:cs="宋体"/>
          <w:bCs/>
          <w:sz w:val="22"/>
          <w:szCs w:val="22"/>
        </w:rPr>
        <w:t>（1）投标人资格声明函（格式见附件）；</w:t>
      </w:r>
    </w:p>
    <w:p w14:paraId="5BAFA002">
      <w:pPr>
        <w:spacing w:line="420" w:lineRule="exact"/>
        <w:ind w:firstLine="660" w:firstLineChars="300"/>
        <w:rPr>
          <w:rFonts w:hint="eastAsia" w:ascii="宋体" w:hAnsi="宋体" w:cs="宋体"/>
          <w:bCs/>
          <w:sz w:val="22"/>
          <w:szCs w:val="22"/>
        </w:rPr>
      </w:pPr>
      <w:r>
        <w:rPr>
          <w:rFonts w:hint="eastAsia" w:ascii="宋体" w:hAnsi="宋体" w:cs="宋体"/>
          <w:bCs/>
          <w:sz w:val="22"/>
          <w:szCs w:val="22"/>
        </w:rPr>
        <w:t>（2）有效的企业法人营业执照（或事业法人登记证）、其他组织（个体工商户）的营业执照或者民办非企业单位登记证书（复印件加盖公章）；</w:t>
      </w:r>
    </w:p>
    <w:p w14:paraId="6B55B99A">
      <w:pPr>
        <w:snapToGrid w:val="0"/>
        <w:spacing w:line="440" w:lineRule="exact"/>
        <w:ind w:firstLine="444" w:firstLineChars="202"/>
        <w:rPr>
          <w:rFonts w:hint="eastAsia" w:ascii="宋体" w:hAnsi="宋体" w:eastAsia="宋体" w:cs="宋体"/>
          <w:color w:val="auto"/>
          <w:szCs w:val="21"/>
        </w:rPr>
      </w:pPr>
      <w:r>
        <w:rPr>
          <w:rFonts w:hint="eastAsia" w:ascii="宋体" w:hAnsi="宋体" w:cs="宋体"/>
          <w:bCs/>
          <w:sz w:val="22"/>
          <w:szCs w:val="22"/>
        </w:rPr>
        <w:t>（3）</w:t>
      </w:r>
      <w:r>
        <w:rPr>
          <w:rFonts w:hint="eastAsia" w:ascii="宋体" w:hAnsi="宋体" w:eastAsia="宋体" w:cs="宋体"/>
          <w:color w:val="auto"/>
          <w:szCs w:val="21"/>
        </w:rPr>
        <w:t>投标人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采购代理机构于投标截止日当天在“信用中国”网站（www.creditchina.gov.cn）及中国政府采购网查询结果为准，如相关失信记录已失效，投标人需提供相关证明资料加盖公章）；</w:t>
      </w:r>
    </w:p>
    <w:p w14:paraId="6C12D1FF">
      <w:pPr>
        <w:spacing w:line="420" w:lineRule="exact"/>
        <w:ind w:firstLine="660" w:firstLineChars="300"/>
        <w:rPr>
          <w:rFonts w:hint="eastAsia" w:ascii="宋体" w:hAnsi="宋体" w:cs="宋体"/>
          <w:bCs/>
          <w:sz w:val="22"/>
          <w:szCs w:val="22"/>
        </w:rPr>
      </w:pPr>
      <w:r>
        <w:rPr>
          <w:rFonts w:hint="eastAsia" w:ascii="宋体" w:hAnsi="宋体" w:cs="宋体"/>
          <w:bCs/>
          <w:sz w:val="22"/>
          <w:szCs w:val="22"/>
        </w:rPr>
        <w:t>（</w:t>
      </w:r>
      <w:r>
        <w:rPr>
          <w:rFonts w:hint="eastAsia" w:ascii="宋体" w:hAnsi="宋体" w:cs="宋体"/>
          <w:bCs/>
          <w:sz w:val="22"/>
          <w:szCs w:val="22"/>
          <w:lang w:val="en-US" w:eastAsia="zh-CN"/>
        </w:rPr>
        <w:t>4</w:t>
      </w:r>
      <w:r>
        <w:rPr>
          <w:rFonts w:hint="eastAsia" w:ascii="宋体" w:hAnsi="宋体" w:cs="宋体"/>
          <w:bCs/>
          <w:sz w:val="22"/>
          <w:szCs w:val="22"/>
        </w:rPr>
        <w:t>）中小企业声明函（格式见附件）；</w:t>
      </w:r>
    </w:p>
    <w:p w14:paraId="290F0FC3">
      <w:pPr>
        <w:spacing w:line="420" w:lineRule="exact"/>
        <w:ind w:firstLine="660" w:firstLineChars="300"/>
        <w:rPr>
          <w:rFonts w:hint="eastAsia" w:ascii="宋体" w:hAnsi="宋体" w:cs="宋体"/>
          <w:bCs/>
          <w:sz w:val="22"/>
          <w:szCs w:val="22"/>
        </w:rPr>
      </w:pPr>
      <w:r>
        <w:rPr>
          <w:rFonts w:hint="eastAsia" w:ascii="宋体" w:hAnsi="宋体" w:cs="宋体"/>
          <w:bCs/>
          <w:sz w:val="22"/>
          <w:szCs w:val="22"/>
        </w:rPr>
        <w:t>（</w:t>
      </w:r>
      <w:r>
        <w:rPr>
          <w:rFonts w:hint="eastAsia" w:ascii="宋体" w:hAnsi="宋体" w:cs="宋体"/>
          <w:bCs/>
          <w:sz w:val="22"/>
          <w:szCs w:val="22"/>
          <w:lang w:val="en-US" w:eastAsia="zh-CN"/>
        </w:rPr>
        <w:t>5</w:t>
      </w:r>
      <w:r>
        <w:rPr>
          <w:rFonts w:hint="eastAsia" w:ascii="宋体" w:hAnsi="宋体" w:cs="宋体"/>
          <w:bCs/>
          <w:sz w:val="22"/>
          <w:szCs w:val="22"/>
        </w:rPr>
        <w:t>）残疾人福利性单位声明函（如有，格式见附件）。</w:t>
      </w:r>
    </w:p>
    <w:p w14:paraId="41DC6383">
      <w:pPr>
        <w:spacing w:line="420" w:lineRule="exact"/>
        <w:ind w:firstLine="660" w:firstLineChars="300"/>
        <w:rPr>
          <w:rFonts w:hint="eastAsia" w:ascii="宋体" w:hAnsi="宋体" w:cs="宋体"/>
          <w:bCs/>
          <w:sz w:val="22"/>
          <w:szCs w:val="22"/>
        </w:rPr>
      </w:pPr>
      <w:r>
        <w:rPr>
          <w:rFonts w:hint="eastAsia" w:ascii="宋体" w:hAnsi="宋体" w:cs="宋体"/>
          <w:bCs/>
          <w:sz w:val="22"/>
          <w:szCs w:val="22"/>
        </w:rPr>
        <w:t>（</w:t>
      </w:r>
      <w:r>
        <w:rPr>
          <w:rFonts w:hint="eastAsia" w:ascii="宋体" w:hAnsi="宋体" w:cs="宋体"/>
          <w:bCs/>
          <w:sz w:val="22"/>
          <w:szCs w:val="22"/>
          <w:lang w:val="en-US" w:eastAsia="zh-CN"/>
        </w:rPr>
        <w:t>6</w:t>
      </w:r>
      <w:r>
        <w:rPr>
          <w:rFonts w:hint="eastAsia" w:ascii="宋体" w:hAnsi="宋体" w:cs="宋体"/>
          <w:bCs/>
          <w:sz w:val="22"/>
          <w:szCs w:val="22"/>
        </w:rPr>
        <w:t>）监狱企业证明文件（如有，自行提供证明资料）。</w:t>
      </w:r>
    </w:p>
    <w:p w14:paraId="0901AFA1">
      <w:pPr>
        <w:spacing w:line="420" w:lineRule="exact"/>
        <w:ind w:firstLine="660" w:firstLineChars="300"/>
        <w:rPr>
          <w:rFonts w:hint="eastAsia" w:ascii="宋体" w:hAnsi="宋体" w:cs="宋体"/>
          <w:bCs/>
          <w:sz w:val="22"/>
          <w:szCs w:val="22"/>
        </w:rPr>
      </w:pPr>
      <w:r>
        <w:rPr>
          <w:rFonts w:hint="eastAsia" w:ascii="宋体" w:hAnsi="宋体" w:cs="宋体"/>
          <w:bCs/>
          <w:sz w:val="22"/>
          <w:szCs w:val="22"/>
          <w:lang w:eastAsia="zh-CN"/>
        </w:rPr>
        <w:t>（</w:t>
      </w:r>
      <w:r>
        <w:rPr>
          <w:rFonts w:hint="eastAsia" w:ascii="宋体" w:hAnsi="宋体" w:cs="宋体"/>
          <w:bCs/>
          <w:sz w:val="22"/>
          <w:szCs w:val="22"/>
          <w:lang w:val="en-US" w:eastAsia="zh-CN"/>
        </w:rPr>
        <w:t>7</w:t>
      </w:r>
      <w:r>
        <w:rPr>
          <w:rFonts w:hint="eastAsia" w:ascii="宋体" w:hAnsi="宋体" w:cs="宋体"/>
          <w:bCs/>
          <w:sz w:val="22"/>
          <w:szCs w:val="22"/>
          <w:lang w:eastAsia="zh-CN"/>
        </w:rPr>
        <w:t>）</w:t>
      </w:r>
      <w:r>
        <w:rPr>
          <w:rFonts w:hint="eastAsia" w:ascii="宋体" w:hAnsi="宋体" w:cs="宋体"/>
          <w:bCs/>
          <w:sz w:val="22"/>
          <w:szCs w:val="22"/>
        </w:rPr>
        <w:t>本项目特定资格条件的证明文件（如有，提供复印件加盖公章）；</w:t>
      </w:r>
    </w:p>
    <w:p w14:paraId="3EE270DB">
      <w:pPr>
        <w:spacing w:line="420" w:lineRule="exact"/>
        <w:ind w:firstLine="660" w:firstLineChars="300"/>
        <w:rPr>
          <w:rFonts w:hint="eastAsia" w:ascii="宋体" w:hAnsi="宋体" w:cs="宋体"/>
          <w:bCs/>
          <w:sz w:val="22"/>
          <w:szCs w:val="22"/>
        </w:rPr>
      </w:pPr>
      <w:r>
        <w:rPr>
          <w:rFonts w:hint="eastAsia" w:ascii="宋体" w:hAnsi="宋体" w:cs="宋体"/>
          <w:bCs/>
          <w:sz w:val="22"/>
          <w:szCs w:val="22"/>
        </w:rPr>
        <w:t>（</w:t>
      </w:r>
      <w:r>
        <w:rPr>
          <w:rFonts w:hint="eastAsia" w:ascii="宋体" w:hAnsi="宋体" w:cs="宋体"/>
          <w:bCs/>
          <w:sz w:val="22"/>
          <w:szCs w:val="22"/>
          <w:lang w:val="en-US" w:eastAsia="zh-CN"/>
        </w:rPr>
        <w:t>8</w:t>
      </w:r>
      <w:r>
        <w:rPr>
          <w:rFonts w:hint="eastAsia" w:ascii="宋体" w:hAnsi="宋体" w:cs="宋体"/>
          <w:bCs/>
          <w:sz w:val="22"/>
          <w:szCs w:val="22"/>
        </w:rPr>
        <w:t>）采购文件要求的其他资格条件证明材料（如有）。</w:t>
      </w:r>
    </w:p>
    <w:p w14:paraId="10105A5A">
      <w:pPr>
        <w:spacing w:line="420" w:lineRule="exact"/>
        <w:ind w:firstLine="660" w:firstLineChars="300"/>
        <w:rPr>
          <w:rFonts w:hint="eastAsia" w:ascii="宋体" w:hAnsi="宋体" w:cs="宋体"/>
          <w:bCs/>
          <w:sz w:val="22"/>
          <w:szCs w:val="22"/>
        </w:rPr>
      </w:pPr>
      <w:r>
        <w:rPr>
          <w:rFonts w:hint="eastAsia" w:ascii="宋体" w:hAnsi="宋体" w:cs="宋体"/>
          <w:bCs/>
          <w:sz w:val="22"/>
          <w:szCs w:val="22"/>
        </w:rPr>
        <w:t>11.2 商务技术文件：</w:t>
      </w:r>
    </w:p>
    <w:p w14:paraId="5E66EB89">
      <w:pPr>
        <w:spacing w:line="420" w:lineRule="exact"/>
        <w:ind w:firstLine="660" w:firstLineChars="300"/>
        <w:rPr>
          <w:rFonts w:hint="eastAsia" w:ascii="宋体" w:hAnsi="宋体" w:cs="宋体"/>
          <w:bCs/>
          <w:sz w:val="22"/>
          <w:szCs w:val="22"/>
        </w:rPr>
      </w:pPr>
      <w:r>
        <w:rPr>
          <w:rFonts w:hint="eastAsia" w:ascii="宋体" w:hAnsi="宋体" w:cs="宋体"/>
          <w:bCs/>
          <w:sz w:val="22"/>
          <w:szCs w:val="22"/>
        </w:rPr>
        <w:t>（1）投标函（格式见附件）；</w:t>
      </w:r>
    </w:p>
    <w:p w14:paraId="2D66D37E">
      <w:pPr>
        <w:spacing w:line="420" w:lineRule="exact"/>
        <w:ind w:firstLine="660" w:firstLineChars="300"/>
        <w:rPr>
          <w:rFonts w:hint="eastAsia" w:ascii="宋体" w:hAnsi="宋体" w:cs="宋体"/>
          <w:bCs/>
          <w:sz w:val="22"/>
          <w:szCs w:val="22"/>
        </w:rPr>
      </w:pPr>
      <w:r>
        <w:rPr>
          <w:rFonts w:hint="eastAsia" w:ascii="宋体" w:hAnsi="宋体" w:cs="宋体"/>
          <w:bCs/>
          <w:sz w:val="22"/>
          <w:szCs w:val="22"/>
        </w:rPr>
        <w:t>（2）法定代表人的身份证明或法定代表人授权书【投标人的代表若为非法定代表人的，必须提交法定代表人授权书及授权代表开标之日前近三个月内任意一个月投标人为其的缴纳社保证明加盖公章，格式见附件】；</w:t>
      </w:r>
    </w:p>
    <w:p w14:paraId="5CCC51C1">
      <w:pPr>
        <w:spacing w:line="420" w:lineRule="exact"/>
        <w:ind w:firstLine="660" w:firstLineChars="300"/>
        <w:rPr>
          <w:rFonts w:hint="eastAsia" w:ascii="宋体" w:hAnsi="宋体" w:cs="宋体"/>
          <w:bCs/>
          <w:sz w:val="22"/>
          <w:szCs w:val="22"/>
        </w:rPr>
      </w:pPr>
      <w:r>
        <w:rPr>
          <w:rFonts w:hint="eastAsia" w:ascii="宋体" w:hAnsi="宋体" w:cs="宋体"/>
          <w:bCs/>
          <w:sz w:val="22"/>
          <w:szCs w:val="22"/>
        </w:rPr>
        <w:t>（3）商务需求偏离表（格式见附件)；</w:t>
      </w:r>
    </w:p>
    <w:p w14:paraId="25692FCF">
      <w:pPr>
        <w:spacing w:line="420" w:lineRule="exact"/>
        <w:ind w:firstLine="660" w:firstLineChars="300"/>
        <w:rPr>
          <w:rFonts w:hint="eastAsia" w:ascii="宋体" w:hAnsi="宋体" w:cs="宋体"/>
          <w:bCs/>
          <w:sz w:val="22"/>
          <w:szCs w:val="22"/>
        </w:rPr>
      </w:pPr>
      <w:r>
        <w:rPr>
          <w:rFonts w:hint="eastAsia" w:ascii="宋体" w:hAnsi="宋体" w:cs="宋体"/>
          <w:bCs/>
          <w:sz w:val="22"/>
          <w:szCs w:val="22"/>
        </w:rPr>
        <w:t>（4）技术需求偏离表（格式见附件）；</w:t>
      </w:r>
    </w:p>
    <w:p w14:paraId="4F5BD1BE">
      <w:pPr>
        <w:spacing w:line="420" w:lineRule="exact"/>
        <w:ind w:firstLine="660" w:firstLineChars="300"/>
        <w:rPr>
          <w:rFonts w:hint="eastAsia" w:ascii="宋体" w:hAnsi="宋体" w:cs="宋体"/>
          <w:bCs/>
          <w:sz w:val="22"/>
          <w:szCs w:val="22"/>
        </w:rPr>
      </w:pPr>
      <w:r>
        <w:rPr>
          <w:rFonts w:hint="eastAsia" w:ascii="宋体" w:hAnsi="宋体" w:cs="宋体"/>
          <w:bCs/>
          <w:sz w:val="22"/>
          <w:szCs w:val="22"/>
        </w:rPr>
        <w:t>（5）技术需求中要求提供的证明资料（按要求提供）；</w:t>
      </w:r>
    </w:p>
    <w:p w14:paraId="108A530C">
      <w:pPr>
        <w:spacing w:line="420" w:lineRule="exact"/>
        <w:ind w:firstLine="660" w:firstLineChars="300"/>
        <w:rPr>
          <w:rFonts w:hint="eastAsia" w:ascii="宋体" w:hAnsi="宋体" w:cs="宋体"/>
          <w:bCs/>
          <w:sz w:val="22"/>
          <w:szCs w:val="22"/>
        </w:rPr>
      </w:pPr>
      <w:r>
        <w:rPr>
          <w:rFonts w:hint="eastAsia" w:ascii="宋体" w:hAnsi="宋体" w:cs="宋体"/>
          <w:bCs/>
          <w:sz w:val="22"/>
          <w:szCs w:val="22"/>
        </w:rPr>
        <w:t>（6）第四章评标办法及评分标准中需提供的所有内容（按评分要求逐项提供）；</w:t>
      </w:r>
    </w:p>
    <w:p w14:paraId="25A0B1DA">
      <w:pPr>
        <w:spacing w:line="420" w:lineRule="exact"/>
        <w:ind w:firstLine="660" w:firstLineChars="300"/>
        <w:rPr>
          <w:rFonts w:hint="eastAsia" w:ascii="宋体" w:hAnsi="宋体" w:cs="宋体"/>
          <w:bCs/>
          <w:sz w:val="22"/>
          <w:szCs w:val="22"/>
        </w:rPr>
      </w:pPr>
      <w:r>
        <w:rPr>
          <w:rFonts w:hint="eastAsia" w:ascii="宋体" w:hAnsi="宋体" w:cs="宋体"/>
          <w:bCs/>
          <w:sz w:val="22"/>
          <w:szCs w:val="22"/>
        </w:rPr>
        <w:t>（7）投标人认为有必要提交的其他商务技术说明文件和资料 。</w:t>
      </w:r>
    </w:p>
    <w:p w14:paraId="20D3BE68">
      <w:pPr>
        <w:spacing w:line="420" w:lineRule="exact"/>
        <w:ind w:firstLine="660" w:firstLineChars="300"/>
        <w:rPr>
          <w:rFonts w:hint="eastAsia" w:ascii="宋体" w:hAnsi="宋体" w:cs="宋体"/>
          <w:bCs/>
          <w:sz w:val="22"/>
          <w:szCs w:val="22"/>
        </w:rPr>
      </w:pPr>
      <w:r>
        <w:rPr>
          <w:rFonts w:hint="eastAsia" w:ascii="宋体" w:hAnsi="宋体" w:cs="宋体"/>
          <w:bCs/>
          <w:sz w:val="22"/>
          <w:szCs w:val="22"/>
        </w:rPr>
        <w:t xml:space="preserve">11.3 报价文件： </w:t>
      </w:r>
    </w:p>
    <w:p w14:paraId="763C56D2">
      <w:pPr>
        <w:spacing w:line="420" w:lineRule="exact"/>
        <w:ind w:firstLine="660" w:firstLineChars="300"/>
        <w:rPr>
          <w:rFonts w:hint="eastAsia" w:ascii="宋体" w:hAnsi="宋体" w:cs="宋体"/>
          <w:bCs/>
          <w:sz w:val="22"/>
          <w:szCs w:val="22"/>
        </w:rPr>
      </w:pPr>
      <w:r>
        <w:rPr>
          <w:rFonts w:hint="eastAsia" w:ascii="宋体" w:hAnsi="宋体" w:cs="宋体"/>
          <w:bCs/>
          <w:sz w:val="22"/>
          <w:szCs w:val="22"/>
        </w:rPr>
        <w:t>（1）开标一览表（格式见附件）；</w:t>
      </w:r>
    </w:p>
    <w:p w14:paraId="03DBBB97">
      <w:pPr>
        <w:spacing w:line="420" w:lineRule="exact"/>
        <w:ind w:firstLine="660" w:firstLineChars="300"/>
        <w:rPr>
          <w:rFonts w:hint="eastAsia" w:ascii="宋体" w:hAnsi="宋体" w:cs="宋体"/>
          <w:bCs/>
          <w:sz w:val="22"/>
          <w:szCs w:val="22"/>
        </w:rPr>
      </w:pPr>
      <w:r>
        <w:rPr>
          <w:rFonts w:hint="eastAsia" w:ascii="宋体" w:hAnsi="宋体" w:cs="宋体"/>
          <w:bCs/>
          <w:sz w:val="22"/>
          <w:szCs w:val="22"/>
        </w:rPr>
        <w:t>（2）分项报价表（格式见附件）；</w:t>
      </w:r>
    </w:p>
    <w:p w14:paraId="1FB848BA">
      <w:pPr>
        <w:spacing w:line="420" w:lineRule="exact"/>
        <w:ind w:firstLine="660" w:firstLineChars="300"/>
        <w:rPr>
          <w:rFonts w:hint="eastAsia" w:ascii="宋体" w:hAnsi="宋体" w:cs="宋体"/>
          <w:bCs/>
          <w:sz w:val="22"/>
          <w:szCs w:val="22"/>
        </w:rPr>
      </w:pPr>
      <w:r>
        <w:rPr>
          <w:rFonts w:hint="eastAsia" w:ascii="宋体" w:hAnsi="宋体" w:cs="宋体"/>
          <w:bCs/>
          <w:sz w:val="22"/>
          <w:szCs w:val="22"/>
        </w:rPr>
        <w:t>（3）关于符合本国产品标准的声明函；</w:t>
      </w:r>
    </w:p>
    <w:p w14:paraId="7BCADC3C">
      <w:pPr>
        <w:spacing w:line="420" w:lineRule="exact"/>
        <w:ind w:firstLine="660" w:firstLineChars="300"/>
        <w:rPr>
          <w:rFonts w:hint="eastAsia" w:ascii="宋体" w:hAnsi="宋体" w:cs="宋体"/>
          <w:bCs/>
          <w:sz w:val="22"/>
          <w:szCs w:val="22"/>
        </w:rPr>
      </w:pPr>
      <w:r>
        <w:rPr>
          <w:rFonts w:hint="eastAsia" w:ascii="宋体" w:hAnsi="宋体" w:cs="宋体"/>
          <w:bCs/>
          <w:sz w:val="22"/>
          <w:szCs w:val="22"/>
        </w:rPr>
        <w:t>（4）</w:t>
      </w:r>
      <w:r>
        <w:rPr>
          <w:rFonts w:hint="eastAsia" w:ascii="宋体" w:hAnsi="宋体" w:cs="宋体"/>
          <w:sz w:val="22"/>
          <w:szCs w:val="22"/>
        </w:rPr>
        <w:t>关于本国产品成本比例的声明函（如适用）；</w:t>
      </w:r>
    </w:p>
    <w:p w14:paraId="306FF3BE">
      <w:pPr>
        <w:spacing w:line="420" w:lineRule="exact"/>
        <w:ind w:firstLine="660" w:firstLineChars="300"/>
        <w:rPr>
          <w:rFonts w:hint="eastAsia" w:ascii="宋体" w:hAnsi="宋体" w:cs="宋体"/>
          <w:bCs/>
          <w:sz w:val="22"/>
          <w:szCs w:val="22"/>
        </w:rPr>
      </w:pPr>
      <w:r>
        <w:rPr>
          <w:rFonts w:hint="eastAsia" w:ascii="宋体" w:hAnsi="宋体" w:cs="宋体"/>
          <w:bCs/>
          <w:sz w:val="22"/>
          <w:szCs w:val="22"/>
        </w:rPr>
        <w:t>（5）投标人针对报价需要说明的其他文件和说明。</w:t>
      </w:r>
    </w:p>
    <w:p w14:paraId="51E682EF">
      <w:pPr>
        <w:spacing w:line="420" w:lineRule="exact"/>
        <w:ind w:firstLine="442" w:firstLineChars="200"/>
        <w:rPr>
          <w:rFonts w:hint="eastAsia" w:ascii="宋体" w:hAnsi="宋体" w:cs="宋体"/>
          <w:b/>
          <w:sz w:val="22"/>
          <w:szCs w:val="20"/>
        </w:rPr>
      </w:pPr>
      <w:r>
        <w:rPr>
          <w:rFonts w:hint="eastAsia" w:ascii="宋体" w:hAnsi="宋体" w:cs="宋体"/>
          <w:b/>
          <w:sz w:val="22"/>
          <w:szCs w:val="22"/>
        </w:rPr>
        <w:t>注：投标文件含有采购人不能接受的附加条件的，投标无效；投标人提供虚假材料投标的，投标无效。</w:t>
      </w:r>
      <w:r>
        <w:rPr>
          <w:rFonts w:hint="eastAsia"/>
          <w:b/>
          <w:sz w:val="22"/>
          <w:szCs w:val="22"/>
          <w:shd w:val="clear" w:color="auto" w:fill="FFFFFF"/>
        </w:rPr>
        <w:t>投标人应对投标文件中材料的真实性、合法性负责。投标人可事先在公开官网查询、核对相关证书和报告内容，确保投标（响应）文件资料准确无误。</w:t>
      </w:r>
    </w:p>
    <w:p w14:paraId="1339EC89">
      <w:pPr>
        <w:snapToGrid w:val="0"/>
        <w:spacing w:line="420" w:lineRule="exact"/>
        <w:rPr>
          <w:rFonts w:hint="eastAsia" w:ascii="宋体" w:hAnsi="宋体" w:cs="宋体"/>
          <w:b/>
          <w:sz w:val="22"/>
          <w:szCs w:val="22"/>
        </w:rPr>
      </w:pPr>
      <w:bookmarkStart w:id="30" w:name="_Toc14413"/>
      <w:r>
        <w:rPr>
          <w:rFonts w:hint="eastAsia" w:ascii="宋体" w:hAnsi="宋体" w:cs="宋体"/>
          <w:b/>
          <w:sz w:val="22"/>
          <w:szCs w:val="22"/>
        </w:rPr>
        <w:t>12</w:t>
      </w:r>
      <w:r>
        <w:rPr>
          <w:rFonts w:hint="eastAsia" w:ascii="宋体" w:hAnsi="宋体" w:cs="宋体"/>
          <w:b/>
          <w:sz w:val="22"/>
          <w:szCs w:val="22"/>
          <w:lang w:val="zh-CN"/>
        </w:rPr>
        <w:t xml:space="preserve">. </w:t>
      </w:r>
      <w:r>
        <w:rPr>
          <w:rFonts w:hint="eastAsia" w:ascii="宋体" w:hAnsi="宋体" w:cs="宋体"/>
          <w:b/>
          <w:sz w:val="22"/>
          <w:szCs w:val="22"/>
        </w:rPr>
        <w:t>投标文件的编制</w:t>
      </w:r>
      <w:bookmarkEnd w:id="30"/>
    </w:p>
    <w:p w14:paraId="3033F1DA">
      <w:pPr>
        <w:spacing w:line="420" w:lineRule="exact"/>
        <w:ind w:firstLine="440" w:firstLineChars="200"/>
        <w:rPr>
          <w:rFonts w:hint="eastAsia" w:ascii="宋体" w:hAnsi="宋体" w:cs="宋体"/>
          <w:b/>
          <w:sz w:val="22"/>
          <w:szCs w:val="22"/>
        </w:rPr>
      </w:pPr>
      <w:r>
        <w:rPr>
          <w:rFonts w:hint="eastAsia" w:ascii="宋体" w:hAnsi="宋体" w:cs="宋体"/>
          <w:kern w:val="0"/>
          <w:sz w:val="22"/>
          <w:szCs w:val="22"/>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3D206DE">
      <w:pPr>
        <w:spacing w:line="420" w:lineRule="exact"/>
        <w:ind w:firstLine="440" w:firstLineChars="200"/>
        <w:rPr>
          <w:rFonts w:hint="eastAsia" w:ascii="宋体" w:hAnsi="宋体" w:cs="宋体"/>
          <w:kern w:val="0"/>
          <w:sz w:val="22"/>
          <w:szCs w:val="22"/>
          <w:lang w:val="zh-CN"/>
        </w:rPr>
      </w:pPr>
      <w:r>
        <w:rPr>
          <w:rFonts w:hint="eastAsia" w:ascii="宋体" w:hAnsi="宋体" w:cs="宋体"/>
          <w:kern w:val="0"/>
          <w:sz w:val="22"/>
          <w:szCs w:val="22"/>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3B5E6836">
      <w:pPr>
        <w:spacing w:line="420" w:lineRule="exact"/>
        <w:ind w:firstLine="440" w:firstLineChars="200"/>
        <w:rPr>
          <w:rFonts w:hint="eastAsia" w:ascii="宋体" w:hAnsi="宋体" w:cs="宋体"/>
          <w:kern w:val="0"/>
          <w:sz w:val="22"/>
          <w:szCs w:val="22"/>
          <w:lang w:val="zh-CN"/>
        </w:rPr>
      </w:pPr>
      <w:r>
        <w:rPr>
          <w:rFonts w:hint="eastAsia" w:ascii="宋体" w:hAnsi="宋体" w:cs="宋体"/>
          <w:kern w:val="0"/>
          <w:sz w:val="22"/>
          <w:szCs w:val="22"/>
          <w:lang w:val="zh-CN"/>
        </w:rPr>
        <w:t>12.3使用“政采云电子交易客户端”需要提前申领CA数字证书，申领流程请自行前往“浙江政府采购网-下载专区-电子交易客户端-CA驱动和申领流程”进行查阅。</w:t>
      </w:r>
    </w:p>
    <w:p w14:paraId="2FD0B93C">
      <w:pPr>
        <w:snapToGrid w:val="0"/>
        <w:spacing w:line="420" w:lineRule="exact"/>
        <w:rPr>
          <w:rFonts w:hint="eastAsia" w:ascii="宋体" w:hAnsi="宋体" w:cs="宋体"/>
          <w:b/>
          <w:sz w:val="22"/>
          <w:szCs w:val="22"/>
        </w:rPr>
      </w:pPr>
      <w:r>
        <w:rPr>
          <w:rFonts w:hint="eastAsia" w:ascii="宋体" w:hAnsi="宋体" w:cs="宋体"/>
          <w:b/>
          <w:sz w:val="22"/>
          <w:szCs w:val="22"/>
        </w:rPr>
        <w:t>13.投标文件的签署、盖章</w:t>
      </w:r>
    </w:p>
    <w:p w14:paraId="755EEF90">
      <w:pPr>
        <w:pStyle w:val="189"/>
        <w:snapToGrid w:val="0"/>
        <w:spacing w:before="0" w:beforeAutospacing="0" w:after="0" w:afterAutospacing="0" w:line="420" w:lineRule="exact"/>
        <w:ind w:firstLine="440"/>
        <w:rPr>
          <w:rFonts w:hint="eastAsia" w:ascii="宋体" w:hAnsi="宋体" w:cs="宋体"/>
          <w:sz w:val="22"/>
          <w:szCs w:val="18"/>
        </w:rPr>
      </w:pPr>
      <w:r>
        <w:rPr>
          <w:rFonts w:hint="eastAsia" w:ascii="宋体" w:hAnsi="宋体" w:cs="宋体"/>
          <w:sz w:val="22"/>
          <w:szCs w:val="22"/>
        </w:rPr>
        <w:t>13.1投标文件按照招标文件第六部分格式要</w:t>
      </w:r>
      <w:r>
        <w:rPr>
          <w:rFonts w:hint="eastAsia" w:ascii="宋体" w:hAnsi="宋体" w:cs="宋体"/>
          <w:sz w:val="22"/>
          <w:szCs w:val="18"/>
        </w:rPr>
        <w:t>求进行签署、盖章。</w:t>
      </w:r>
    </w:p>
    <w:p w14:paraId="56194D10">
      <w:pPr>
        <w:pStyle w:val="189"/>
        <w:snapToGrid w:val="0"/>
        <w:spacing w:before="0" w:beforeAutospacing="0" w:after="0" w:afterAutospacing="0" w:line="420" w:lineRule="exact"/>
        <w:ind w:firstLine="440"/>
        <w:rPr>
          <w:rFonts w:hint="eastAsia" w:ascii="宋体" w:hAnsi="宋体" w:cs="宋体"/>
          <w:b/>
          <w:sz w:val="22"/>
          <w:szCs w:val="18"/>
        </w:rPr>
      </w:pPr>
      <w:r>
        <w:rPr>
          <w:rFonts w:hint="eastAsia" w:ascii="宋体" w:hAnsi="宋体" w:cs="宋体"/>
          <w:bCs/>
          <w:sz w:val="22"/>
        </w:rPr>
        <w:t>★</w:t>
      </w:r>
      <w:r>
        <w:rPr>
          <w:rFonts w:hint="eastAsia" w:ascii="宋体" w:hAnsi="宋体" w:cs="宋体"/>
          <w:b/>
          <w:sz w:val="22"/>
          <w:szCs w:val="18"/>
        </w:rPr>
        <w:t>投标人的投标文件未按照招标文件要求签署、盖章的，其投标无效</w:t>
      </w:r>
      <w:r>
        <w:rPr>
          <w:rFonts w:hint="eastAsia" w:ascii="宋体" w:hAnsi="宋体" w:cs="宋体"/>
          <w:sz w:val="22"/>
          <w:szCs w:val="22"/>
        </w:rPr>
        <w:t>。</w:t>
      </w:r>
    </w:p>
    <w:p w14:paraId="23AE526E">
      <w:pPr>
        <w:pStyle w:val="189"/>
        <w:snapToGrid w:val="0"/>
        <w:spacing w:before="0" w:beforeAutospacing="0" w:after="0" w:afterAutospacing="0" w:line="420" w:lineRule="exact"/>
        <w:ind w:firstLine="440"/>
        <w:rPr>
          <w:rFonts w:hint="eastAsia" w:ascii="宋体" w:hAnsi="宋体" w:cs="宋体"/>
          <w:sz w:val="22"/>
          <w:szCs w:val="18"/>
        </w:rPr>
      </w:pPr>
      <w:r>
        <w:rPr>
          <w:rFonts w:hint="eastAsia" w:ascii="宋体" w:hAnsi="宋体" w:cs="宋体"/>
          <w:sz w:val="22"/>
          <w:szCs w:val="18"/>
        </w:rPr>
        <w:t>13.2为确保网上操作合法、有效和安全，投标人应当在投标截止时间前完成在“政府采购云平台”的身份认证，确保在电子投标过程中能够对相关数据电文进行加密和使用电子签章。</w:t>
      </w:r>
    </w:p>
    <w:p w14:paraId="719D03D9">
      <w:pPr>
        <w:pStyle w:val="189"/>
        <w:snapToGrid w:val="0"/>
        <w:spacing w:before="0" w:beforeAutospacing="0" w:after="0" w:afterAutospacing="0" w:line="420" w:lineRule="exact"/>
        <w:ind w:firstLine="440"/>
        <w:rPr>
          <w:rFonts w:hint="eastAsia" w:ascii="宋体" w:hAnsi="宋体" w:cs="宋体"/>
          <w:sz w:val="22"/>
          <w:szCs w:val="22"/>
        </w:rPr>
      </w:pPr>
      <w:r>
        <w:rPr>
          <w:rFonts w:hint="eastAsia" w:ascii="宋体" w:hAnsi="宋体" w:cs="宋体"/>
          <w:sz w:val="22"/>
          <w:szCs w:val="18"/>
        </w:rPr>
        <w:t>13.3招标文件对投标文件签署、盖章的要求适用于电子签章。</w:t>
      </w:r>
    </w:p>
    <w:p w14:paraId="2FA99D62">
      <w:pPr>
        <w:pStyle w:val="189"/>
        <w:spacing w:before="0" w:beforeAutospacing="0" w:after="0" w:afterAutospacing="0" w:line="420" w:lineRule="exact"/>
        <w:ind w:firstLine="0" w:firstLineChars="0"/>
        <w:rPr>
          <w:rFonts w:hint="eastAsia" w:ascii="宋体" w:hAnsi="宋体" w:cs="宋体"/>
          <w:b/>
          <w:sz w:val="22"/>
          <w:szCs w:val="22"/>
        </w:rPr>
      </w:pPr>
      <w:r>
        <w:rPr>
          <w:rFonts w:hint="eastAsia" w:ascii="宋体" w:hAnsi="宋体" w:cs="宋体"/>
          <w:b/>
          <w:sz w:val="22"/>
          <w:szCs w:val="22"/>
        </w:rPr>
        <w:t>14. 投标文件的提交、补充、修改、撤回</w:t>
      </w:r>
    </w:p>
    <w:p w14:paraId="190794B1">
      <w:pPr>
        <w:pStyle w:val="189"/>
        <w:spacing w:before="0" w:beforeAutospacing="0" w:after="0" w:afterAutospacing="0" w:line="420" w:lineRule="exact"/>
        <w:ind w:firstLine="440"/>
        <w:rPr>
          <w:rFonts w:hint="eastAsia" w:ascii="宋体" w:hAnsi="宋体" w:cs="宋体"/>
          <w:sz w:val="22"/>
          <w:szCs w:val="22"/>
        </w:rPr>
      </w:pPr>
      <w:r>
        <w:rPr>
          <w:rFonts w:hint="eastAsia" w:ascii="宋体" w:hAnsi="宋体" w:cs="宋体"/>
          <w:sz w:val="22"/>
          <w:szCs w:val="22"/>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2E006D8">
      <w:pPr>
        <w:pStyle w:val="189"/>
        <w:spacing w:before="0" w:beforeAutospacing="0" w:after="0" w:afterAutospacing="0" w:line="420" w:lineRule="exact"/>
        <w:ind w:firstLine="440"/>
        <w:rPr>
          <w:rFonts w:hint="eastAsia" w:ascii="宋体" w:hAnsi="宋体" w:cs="宋体"/>
          <w:sz w:val="22"/>
          <w:szCs w:val="22"/>
        </w:rPr>
      </w:pPr>
      <w:r>
        <w:rPr>
          <w:rFonts w:hint="eastAsia" w:ascii="宋体" w:hAnsi="宋体" w:cs="宋体"/>
          <w:sz w:val="22"/>
          <w:szCs w:val="22"/>
        </w:rPr>
        <w:t>14.2电子交易平台收到投标文件，将妥善保存并即时向供应商发出确认回执通知。在投标截止时间前，除供应商补充、修改或者撤回投标文件外，任何单位和个人不得解密或提取投标文件。</w:t>
      </w:r>
    </w:p>
    <w:p w14:paraId="77735D50">
      <w:pPr>
        <w:pStyle w:val="189"/>
        <w:spacing w:before="0" w:beforeAutospacing="0" w:after="0" w:afterAutospacing="0" w:line="420" w:lineRule="exact"/>
        <w:ind w:firstLine="440"/>
        <w:rPr>
          <w:rFonts w:hint="eastAsia" w:ascii="宋体" w:hAnsi="宋体" w:cs="宋体"/>
          <w:sz w:val="22"/>
          <w:szCs w:val="22"/>
        </w:rPr>
      </w:pPr>
      <w:r>
        <w:rPr>
          <w:rFonts w:hint="eastAsia" w:ascii="宋体" w:hAnsi="宋体" w:cs="宋体"/>
          <w:sz w:val="22"/>
          <w:szCs w:val="22"/>
        </w:rPr>
        <w:t>14.3采购人、采购代理机构可以视情况延长投标文件提交的截止时间。在上述情况下，采购代理机构与投标人以前在投标截止期方面的全部权利、责任和义务，将适用于延长至新的投标截止期。</w:t>
      </w:r>
    </w:p>
    <w:p w14:paraId="1FCFC5E4">
      <w:pPr>
        <w:pStyle w:val="21"/>
        <w:spacing w:beforeLines="0" w:afterLines="0" w:line="420" w:lineRule="exact"/>
        <w:rPr>
          <w:rFonts w:hint="eastAsia" w:hAnsi="宋体" w:cs="宋体"/>
          <w:b/>
          <w:sz w:val="22"/>
          <w:szCs w:val="22"/>
        </w:rPr>
      </w:pPr>
      <w:r>
        <w:rPr>
          <w:rFonts w:hint="eastAsia" w:hAnsi="宋体" w:cs="宋体"/>
          <w:b/>
          <w:sz w:val="22"/>
          <w:szCs w:val="22"/>
        </w:rPr>
        <w:t>15.备份投标文件</w:t>
      </w:r>
    </w:p>
    <w:p w14:paraId="00E7912D">
      <w:pPr>
        <w:pStyle w:val="21"/>
        <w:spacing w:beforeLines="0" w:afterLines="0" w:line="420" w:lineRule="exact"/>
        <w:ind w:firstLine="330" w:firstLineChars="150"/>
        <w:rPr>
          <w:rFonts w:hint="eastAsia" w:hAnsi="宋体" w:cs="宋体"/>
          <w:b/>
          <w:sz w:val="22"/>
          <w:szCs w:val="22"/>
        </w:rPr>
      </w:pPr>
      <w:r>
        <w:rPr>
          <w:rFonts w:hint="eastAsia" w:hAnsi="宋体" w:cs="宋体"/>
          <w:sz w:val="22"/>
          <w:szCs w:val="22"/>
        </w:rPr>
        <w:t xml:space="preserve"> 15.1投标人在电子交易平台传输递交投标文件后，还可以在投标截止时间前直接提交或者以邮寄方式递交备份投标文件1份，</w:t>
      </w:r>
      <w:r>
        <w:rPr>
          <w:rFonts w:hint="eastAsia" w:hAnsi="宋体" w:cs="宋体"/>
          <w:b/>
          <w:sz w:val="22"/>
          <w:szCs w:val="22"/>
        </w:rPr>
        <w:t>但采购人、采购代理机构不强制投标人提交备份投标文件。</w:t>
      </w:r>
    </w:p>
    <w:p w14:paraId="4EB91A8D">
      <w:pPr>
        <w:pStyle w:val="21"/>
        <w:spacing w:beforeLines="0" w:afterLines="0" w:line="420" w:lineRule="exact"/>
        <w:ind w:firstLine="440" w:firstLineChars="200"/>
        <w:rPr>
          <w:rFonts w:hint="eastAsia" w:hAnsi="宋体" w:cs="宋体"/>
          <w:b/>
          <w:sz w:val="22"/>
          <w:szCs w:val="22"/>
        </w:rPr>
      </w:pPr>
      <w:r>
        <w:rPr>
          <w:rFonts w:hint="eastAsia" w:hAnsi="宋体" w:cs="宋体"/>
          <w:sz w:val="22"/>
          <w:szCs w:val="22"/>
        </w:rPr>
        <w:t>15.2备份投标文件须在“政采云投标客户端”制作生成，并储存在</w:t>
      </w:r>
      <w:r>
        <w:rPr>
          <w:rFonts w:hint="eastAsia" w:hAnsi="宋体" w:cs="宋体"/>
          <w:kern w:val="28"/>
          <w:sz w:val="22"/>
          <w:szCs w:val="22"/>
        </w:rPr>
        <w:t>U盘存储</w:t>
      </w:r>
      <w:r>
        <w:rPr>
          <w:rFonts w:hint="eastAsia" w:hAnsi="宋体" w:cs="宋体"/>
          <w:sz w:val="22"/>
          <w:szCs w:val="22"/>
        </w:rPr>
        <w:t>介质中。备份投标文件应当密封包装并在包装上加盖公章并注明投标项目名称，投标人名称(联合体投标的，包装物封面需注明联合体投标，并注明联合体成员各方的名称和联合协议中约定的牵头人的名称)。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2"/>
          <w:szCs w:val="22"/>
        </w:rPr>
        <w:t>不符合上述制作、存储、密封规定的备份投标文件将被视为无效或者被拒绝接收。</w:t>
      </w:r>
    </w:p>
    <w:p w14:paraId="2E3C7DB3">
      <w:pPr>
        <w:pStyle w:val="21"/>
        <w:spacing w:beforeLines="0" w:afterLines="0" w:line="420" w:lineRule="exact"/>
        <w:ind w:firstLine="440" w:firstLineChars="200"/>
        <w:rPr>
          <w:rFonts w:hint="eastAsia" w:hAnsi="宋体" w:cs="宋体"/>
          <w:sz w:val="22"/>
          <w:szCs w:val="22"/>
        </w:rPr>
      </w:pPr>
      <w:r>
        <w:rPr>
          <w:rFonts w:hint="eastAsia" w:hAnsi="宋体" w:cs="宋体"/>
          <w:sz w:val="22"/>
          <w:szCs w:val="22"/>
        </w:rPr>
        <w:t>15.3直接提交备份投标文件的，投标人应于投标截止时间前在招标文件第二部分投标人须知前附表载明地点将备份投标文件提交给采购代理机构，采购代理机构将拒绝接受逾期送达的备份投标文件。</w:t>
      </w:r>
    </w:p>
    <w:p w14:paraId="61AEFF3C">
      <w:pPr>
        <w:pStyle w:val="21"/>
        <w:spacing w:beforeLines="0" w:afterLines="0" w:line="420" w:lineRule="exact"/>
        <w:ind w:firstLine="440" w:firstLineChars="200"/>
        <w:rPr>
          <w:rFonts w:hint="eastAsia" w:hAnsi="宋体" w:cs="宋体"/>
          <w:sz w:val="22"/>
          <w:szCs w:val="22"/>
        </w:rPr>
      </w:pPr>
      <w:r>
        <w:rPr>
          <w:rFonts w:hint="eastAsia" w:hAnsi="宋体" w:cs="宋体"/>
          <w:sz w:val="22"/>
          <w:szCs w:val="22"/>
        </w:rPr>
        <w:t>15.4以邮寄方式递交备份投标文件的，投标人应先将备份投标文件按要求密封和标记，再进行邮件外包装后邮寄。备份投标文件须在招标文件第二部分投标人须知前附表规定截止时间之前送达到规定的地点；送达时间以签收人签收时间为准。采购代理机构将拒绝接受逾期送达的备份投标文件。邮寄过程中，电子备份投标文件发生泄露、遗失、损坏或延期送达等情况的，由投标人自行负责。</w:t>
      </w:r>
    </w:p>
    <w:p w14:paraId="11829E61">
      <w:pPr>
        <w:pStyle w:val="21"/>
        <w:spacing w:beforeLines="0" w:afterLines="0" w:line="420" w:lineRule="exact"/>
        <w:ind w:firstLine="440" w:firstLineChars="199"/>
        <w:rPr>
          <w:rFonts w:hint="eastAsia" w:hAnsi="宋体" w:cs="宋体"/>
          <w:b/>
          <w:sz w:val="22"/>
          <w:szCs w:val="22"/>
        </w:rPr>
      </w:pPr>
      <w:r>
        <w:rPr>
          <w:rFonts w:hint="eastAsia" w:hAnsi="宋体" w:cs="宋体"/>
          <w:b/>
          <w:sz w:val="22"/>
          <w:szCs w:val="22"/>
        </w:rPr>
        <w:t>15.5投标人仅提交备份投标文件，未在电子交易平台传输递交投标文件的，投标无效。</w:t>
      </w:r>
    </w:p>
    <w:p w14:paraId="5B02B332">
      <w:pPr>
        <w:pStyle w:val="189"/>
        <w:spacing w:before="0" w:beforeAutospacing="0" w:after="0" w:afterAutospacing="0" w:line="420" w:lineRule="exact"/>
        <w:ind w:firstLine="0" w:firstLineChars="0"/>
        <w:rPr>
          <w:rFonts w:hint="eastAsia" w:ascii="宋体" w:hAnsi="宋体" w:cs="宋体"/>
          <w:b/>
          <w:sz w:val="22"/>
          <w:szCs w:val="22"/>
        </w:rPr>
      </w:pPr>
      <w:r>
        <w:rPr>
          <w:rFonts w:hint="eastAsia" w:ascii="宋体" w:hAnsi="宋体" w:cs="宋体"/>
          <w:b/>
          <w:sz w:val="22"/>
          <w:szCs w:val="22"/>
        </w:rPr>
        <w:t>16.投标文件的无效处理</w:t>
      </w:r>
    </w:p>
    <w:p w14:paraId="11A17BB4">
      <w:pPr>
        <w:pStyle w:val="15"/>
        <w:adjustRightInd w:val="0"/>
        <w:spacing w:line="420" w:lineRule="exact"/>
        <w:ind w:firstLine="330" w:firstLineChars="150"/>
        <w:rPr>
          <w:rFonts w:hint="eastAsia" w:hAnsi="宋体" w:cs="宋体"/>
          <w:spacing w:val="0"/>
          <w:kern w:val="2"/>
          <w:sz w:val="22"/>
        </w:rPr>
      </w:pPr>
      <w:r>
        <w:rPr>
          <w:rFonts w:hint="eastAsia" w:hAnsi="宋体" w:cs="宋体"/>
          <w:spacing w:val="0"/>
          <w:kern w:val="2"/>
          <w:sz w:val="22"/>
        </w:rPr>
        <w:t>有招标文件第四部分4.2规定的情形之一的，投标无效：</w:t>
      </w:r>
    </w:p>
    <w:p w14:paraId="7B136980">
      <w:pPr>
        <w:pStyle w:val="189"/>
        <w:spacing w:before="0" w:beforeAutospacing="0" w:after="0" w:afterAutospacing="0" w:line="420" w:lineRule="exact"/>
        <w:ind w:firstLine="0" w:firstLineChars="0"/>
        <w:rPr>
          <w:rFonts w:hint="eastAsia" w:ascii="宋体" w:hAnsi="宋体" w:cs="宋体"/>
          <w:b/>
          <w:sz w:val="22"/>
          <w:szCs w:val="22"/>
        </w:rPr>
      </w:pPr>
      <w:r>
        <w:rPr>
          <w:rFonts w:hint="eastAsia" w:ascii="宋体" w:hAnsi="宋体" w:cs="宋体"/>
          <w:b/>
          <w:sz w:val="22"/>
          <w:szCs w:val="22"/>
        </w:rPr>
        <w:t>17.投标有效期</w:t>
      </w:r>
    </w:p>
    <w:p w14:paraId="32C34DC9">
      <w:pPr>
        <w:spacing w:line="420" w:lineRule="exact"/>
        <w:ind w:firstLine="440" w:firstLineChars="200"/>
        <w:rPr>
          <w:rFonts w:hint="eastAsia" w:ascii="宋体" w:hAnsi="宋体" w:cs="宋体"/>
          <w:sz w:val="22"/>
          <w:szCs w:val="18"/>
        </w:rPr>
      </w:pPr>
      <w:r>
        <w:rPr>
          <w:rFonts w:hint="eastAsia" w:ascii="宋体" w:hAnsi="宋体" w:cs="宋体"/>
          <w:sz w:val="22"/>
          <w:szCs w:val="18"/>
        </w:rPr>
        <w:t>17.1投标有效期为从提交投标文件的截止之日起90天。</w:t>
      </w:r>
    </w:p>
    <w:p w14:paraId="098BDC48">
      <w:pPr>
        <w:spacing w:line="420" w:lineRule="exact"/>
        <w:ind w:firstLine="400" w:firstLineChars="200"/>
        <w:rPr>
          <w:rFonts w:hint="eastAsia" w:ascii="宋体" w:hAnsi="宋体" w:cs="宋体"/>
          <w:b/>
          <w:sz w:val="22"/>
          <w:szCs w:val="20"/>
        </w:rPr>
      </w:pPr>
      <w:r>
        <w:rPr>
          <w:rFonts w:hint="eastAsia" w:ascii="宋体" w:hAnsi="宋体" w:cs="宋体"/>
          <w:bCs/>
          <w:sz w:val="20"/>
          <w:szCs w:val="20"/>
        </w:rPr>
        <w:t>★</w:t>
      </w:r>
      <w:r>
        <w:rPr>
          <w:rFonts w:hint="eastAsia" w:ascii="宋体" w:hAnsi="宋体" w:cs="宋体"/>
          <w:b/>
          <w:sz w:val="22"/>
          <w:szCs w:val="18"/>
        </w:rPr>
        <w:t>投标人的投标文件中承</w:t>
      </w:r>
      <w:r>
        <w:rPr>
          <w:rFonts w:hint="eastAsia" w:ascii="宋体" w:hAnsi="宋体" w:cs="宋体"/>
          <w:b/>
          <w:sz w:val="22"/>
          <w:szCs w:val="20"/>
        </w:rPr>
        <w:t>诺的投标有效期少于招标文件中载明的投标有效期的，投标无效。</w:t>
      </w:r>
    </w:p>
    <w:p w14:paraId="558E7BD7">
      <w:pPr>
        <w:pStyle w:val="189"/>
        <w:spacing w:before="0" w:beforeAutospacing="0" w:after="0" w:afterAutospacing="0" w:line="420" w:lineRule="exact"/>
        <w:ind w:firstLine="440"/>
        <w:rPr>
          <w:rFonts w:hint="eastAsia" w:ascii="宋体" w:hAnsi="宋体" w:cs="宋体"/>
          <w:sz w:val="22"/>
          <w:szCs w:val="18"/>
        </w:rPr>
      </w:pPr>
      <w:r>
        <w:rPr>
          <w:rFonts w:hint="eastAsia" w:ascii="宋体" w:hAnsi="宋体" w:cs="宋体"/>
          <w:sz w:val="22"/>
          <w:szCs w:val="18"/>
        </w:rPr>
        <w:t>17.2投标文件合格投递后，自投标截止日期起，在投标有效期内有效。</w:t>
      </w:r>
    </w:p>
    <w:p w14:paraId="5631BE19">
      <w:pPr>
        <w:pStyle w:val="189"/>
        <w:spacing w:before="0" w:beforeAutospacing="0" w:after="0" w:afterAutospacing="0" w:line="420" w:lineRule="exact"/>
        <w:ind w:firstLine="440"/>
        <w:rPr>
          <w:rFonts w:hint="eastAsia" w:ascii="宋体" w:hAnsi="宋体" w:cs="宋体"/>
          <w:sz w:val="22"/>
          <w:szCs w:val="18"/>
        </w:rPr>
      </w:pPr>
      <w:r>
        <w:rPr>
          <w:rFonts w:hint="eastAsia" w:ascii="宋体" w:hAnsi="宋体" w:cs="宋体"/>
          <w:sz w:val="22"/>
          <w:szCs w:val="18"/>
        </w:rPr>
        <w:t>17.3在原定投标有效期满之前，如果出现特殊情况，采购代理机构可以以书面形式通知投标人延长投标有效期。投标人同意延长的，不得要求或被允许修改其投标文件，投标人拒绝延长的，其投标无效。</w:t>
      </w:r>
    </w:p>
    <w:p w14:paraId="4D569A80">
      <w:pPr>
        <w:pStyle w:val="189"/>
        <w:spacing w:before="0" w:beforeAutospacing="0" w:after="0" w:afterAutospacing="0" w:line="420" w:lineRule="exact"/>
        <w:ind w:firstLine="1265" w:firstLineChars="600"/>
        <w:jc w:val="center"/>
        <w:outlineLvl w:val="1"/>
        <w:rPr>
          <w:rFonts w:ascii="Arial" w:hAnsi="Arial" w:cs="宋体"/>
          <w:b/>
          <w:kern w:val="2"/>
          <w:sz w:val="21"/>
          <w:szCs w:val="21"/>
        </w:rPr>
      </w:pPr>
      <w:bookmarkStart w:id="31" w:name="_Toc24357"/>
      <w:r>
        <w:rPr>
          <w:rFonts w:hint="eastAsia" w:ascii="Arial" w:hAnsi="Arial" w:cs="宋体"/>
          <w:b/>
          <w:kern w:val="2"/>
          <w:sz w:val="21"/>
          <w:szCs w:val="21"/>
        </w:rPr>
        <w:t>四、开标、资格审查与信用信息查询</w:t>
      </w:r>
      <w:bookmarkEnd w:id="31"/>
    </w:p>
    <w:p w14:paraId="0E71FD0A">
      <w:pPr>
        <w:pStyle w:val="190"/>
        <w:spacing w:before="0" w:line="420" w:lineRule="exact"/>
        <w:ind w:left="0" w:firstLine="221" w:firstLineChars="100"/>
        <w:contextualSpacing/>
        <w:rPr>
          <w:rFonts w:hint="eastAsia" w:ascii="宋体" w:hAnsi="宋体" w:cs="宋体"/>
          <w:sz w:val="22"/>
          <w:szCs w:val="18"/>
        </w:rPr>
      </w:pPr>
      <w:r>
        <w:rPr>
          <w:rFonts w:hint="eastAsia" w:ascii="宋体" w:hAnsi="宋体" w:cs="宋体"/>
          <w:b/>
          <w:sz w:val="22"/>
          <w:szCs w:val="22"/>
        </w:rPr>
        <w:t>18.开标</w:t>
      </w:r>
      <w:r>
        <w:rPr>
          <w:rFonts w:hint="eastAsia" w:ascii="宋体" w:hAnsi="宋体" w:cs="宋体"/>
          <w:sz w:val="22"/>
          <w:szCs w:val="18"/>
        </w:rPr>
        <w:t xml:space="preserve"> </w:t>
      </w:r>
    </w:p>
    <w:p w14:paraId="4605289F">
      <w:pPr>
        <w:pStyle w:val="190"/>
        <w:spacing w:before="0" w:line="420" w:lineRule="exact"/>
        <w:ind w:left="0" w:firstLine="440" w:firstLineChars="200"/>
        <w:contextualSpacing/>
        <w:rPr>
          <w:rFonts w:hint="eastAsia" w:ascii="宋体" w:hAnsi="宋体" w:cs="宋体"/>
          <w:sz w:val="22"/>
          <w:szCs w:val="18"/>
        </w:rPr>
      </w:pPr>
      <w:r>
        <w:rPr>
          <w:rFonts w:hint="eastAsia" w:ascii="宋体" w:hAnsi="宋体" w:cs="宋体"/>
          <w:sz w:val="22"/>
          <w:szCs w:val="18"/>
        </w:rPr>
        <w:t>18.1采购代理机构按照招标文件规定的时间通过电子交易平台组织开标，所有投标人均应当准时在线参加。投标人不足3家的，不得开标。</w:t>
      </w:r>
    </w:p>
    <w:p w14:paraId="4EF43A3F">
      <w:pPr>
        <w:pStyle w:val="190"/>
        <w:spacing w:before="0" w:line="420" w:lineRule="exact"/>
        <w:ind w:left="0" w:firstLine="220" w:firstLineChars="100"/>
        <w:contextualSpacing/>
        <w:rPr>
          <w:rFonts w:hint="eastAsia" w:ascii="宋体" w:hAnsi="宋体" w:cs="宋体"/>
          <w:sz w:val="22"/>
          <w:szCs w:val="18"/>
        </w:rPr>
      </w:pPr>
      <w:r>
        <w:rPr>
          <w:rFonts w:hint="eastAsia" w:ascii="宋体" w:hAnsi="宋体" w:cs="宋体"/>
          <w:sz w:val="22"/>
          <w:szCs w:val="18"/>
        </w:rPr>
        <w:t>　18.2开标时，电子交易平台按开标时间自动提取所有投标文件。采购代理机构依托电子交易平台发起开始解密指令，投标人按照平台提示和招标文件的规定在半小时内完成在线解密。</w:t>
      </w:r>
    </w:p>
    <w:p w14:paraId="0A6B5E9A">
      <w:pPr>
        <w:pStyle w:val="190"/>
        <w:spacing w:before="0" w:line="420" w:lineRule="exact"/>
        <w:ind w:left="0" w:firstLine="221" w:firstLineChars="100"/>
        <w:contextualSpacing/>
        <w:rPr>
          <w:rFonts w:hint="eastAsia" w:ascii="宋体" w:hAnsi="宋体" w:cs="宋体"/>
          <w:b/>
          <w:sz w:val="22"/>
          <w:szCs w:val="18"/>
        </w:rPr>
      </w:pPr>
      <w:r>
        <w:rPr>
          <w:rFonts w:hint="eastAsia" w:ascii="宋体" w:hAnsi="宋体" w:cs="宋体"/>
          <w:b/>
          <w:bCs/>
          <w:sz w:val="22"/>
          <w:szCs w:val="18"/>
        </w:rPr>
        <w:t>　18.3投标</w:t>
      </w:r>
      <w:r>
        <w:rPr>
          <w:rFonts w:hint="eastAsia" w:ascii="宋体" w:hAnsi="宋体" w:cs="宋体"/>
          <w:b/>
          <w:sz w:val="22"/>
          <w:szCs w:val="18"/>
        </w:rPr>
        <w:t>文件未按时解密，投标人提供了备份投标文件的，以备份投标文件作为依据，否则视为投标文件撤回。投标文件已按时解密的，备份投标文件自动失效。</w:t>
      </w:r>
    </w:p>
    <w:p w14:paraId="5418FA02">
      <w:pPr>
        <w:widowControl/>
        <w:snapToGrid w:val="0"/>
        <w:spacing w:line="420" w:lineRule="exact"/>
        <w:jc w:val="left"/>
        <w:rPr>
          <w:rFonts w:hint="eastAsia" w:ascii="宋体" w:hAnsi="宋体" w:cs="宋体"/>
          <w:b/>
          <w:sz w:val="22"/>
          <w:szCs w:val="18"/>
        </w:rPr>
      </w:pPr>
      <w:r>
        <w:rPr>
          <w:rFonts w:hint="eastAsia" w:ascii="宋体" w:hAnsi="宋体" w:cs="宋体"/>
          <w:b/>
          <w:sz w:val="22"/>
          <w:szCs w:val="18"/>
        </w:rPr>
        <w:t>　19.资格审查</w:t>
      </w:r>
    </w:p>
    <w:p w14:paraId="5D3C042E">
      <w:pPr>
        <w:snapToGrid w:val="0"/>
        <w:spacing w:line="420" w:lineRule="exact"/>
        <w:ind w:firstLine="440" w:firstLineChars="200"/>
        <w:rPr>
          <w:rFonts w:hint="eastAsia" w:ascii="宋体" w:hAnsi="宋体" w:cs="宋体"/>
          <w:sz w:val="22"/>
          <w:szCs w:val="22"/>
        </w:rPr>
      </w:pPr>
      <w:r>
        <w:rPr>
          <w:rFonts w:hint="eastAsia" w:ascii="宋体" w:hAnsi="宋体" w:cs="宋体"/>
          <w:kern w:val="0"/>
          <w:sz w:val="22"/>
          <w:szCs w:val="22"/>
        </w:rPr>
        <w:t>19.1</w:t>
      </w:r>
      <w:r>
        <w:rPr>
          <w:rFonts w:hint="eastAsia" w:ascii="宋体" w:hAnsi="宋体" w:cs="宋体"/>
          <w:sz w:val="22"/>
          <w:szCs w:val="22"/>
        </w:rPr>
        <w:t>采购人或采购代理机构依据法律法规和招标文件的规定，对投标人的资格进行审查。</w:t>
      </w:r>
    </w:p>
    <w:p w14:paraId="6279304D">
      <w:pPr>
        <w:pStyle w:val="189"/>
        <w:spacing w:before="0" w:beforeAutospacing="0" w:after="0" w:afterAutospacing="0" w:line="420" w:lineRule="exact"/>
        <w:ind w:firstLine="440"/>
        <w:rPr>
          <w:rFonts w:hint="eastAsia" w:ascii="宋体" w:hAnsi="宋体" w:cs="宋体"/>
          <w:sz w:val="22"/>
          <w:szCs w:val="18"/>
        </w:rPr>
      </w:pPr>
      <w:r>
        <w:rPr>
          <w:rFonts w:hint="eastAsia" w:ascii="宋体" w:hAnsi="宋体" w:cs="宋体"/>
          <w:sz w:val="22"/>
          <w:szCs w:val="22"/>
        </w:rPr>
        <w:t>19.2投标人未按照招标文件要求提供与</w:t>
      </w:r>
      <w:r>
        <w:rPr>
          <w:rFonts w:hint="eastAsia" w:ascii="宋体" w:hAnsi="宋体" w:cs="宋体"/>
          <w:sz w:val="22"/>
          <w:szCs w:val="18"/>
        </w:rPr>
        <w:t>资格条件相应的</w:t>
      </w:r>
      <w:r>
        <w:rPr>
          <w:rFonts w:hint="eastAsia" w:ascii="宋体" w:hAnsi="宋体" w:cs="宋体"/>
          <w:sz w:val="22"/>
          <w:szCs w:val="22"/>
        </w:rPr>
        <w:t>有效资格证明材料的，视为</w:t>
      </w:r>
      <w:r>
        <w:rPr>
          <w:rFonts w:hint="eastAsia" w:ascii="宋体" w:hAnsi="宋体" w:cs="宋体"/>
          <w:sz w:val="22"/>
          <w:szCs w:val="18"/>
        </w:rPr>
        <w:t>投标人不具备招标文件中规定的资格要求，其投标无效。</w:t>
      </w:r>
    </w:p>
    <w:p w14:paraId="5E3EE0C6">
      <w:pPr>
        <w:pStyle w:val="189"/>
        <w:spacing w:before="0" w:beforeAutospacing="0" w:after="0" w:afterAutospacing="0" w:line="420" w:lineRule="exact"/>
        <w:ind w:firstLine="440"/>
        <w:rPr>
          <w:rFonts w:hint="eastAsia" w:ascii="宋体" w:hAnsi="宋体" w:cs="宋体"/>
          <w:sz w:val="22"/>
          <w:szCs w:val="18"/>
        </w:rPr>
      </w:pPr>
      <w:r>
        <w:rPr>
          <w:rFonts w:hint="eastAsia" w:ascii="宋体" w:hAnsi="宋体" w:cs="宋体"/>
          <w:sz w:val="22"/>
          <w:szCs w:val="22"/>
        </w:rPr>
        <w:t>19.</w:t>
      </w:r>
      <w:r>
        <w:rPr>
          <w:rFonts w:hint="eastAsia" w:ascii="宋体" w:hAnsi="宋体" w:cs="宋体"/>
          <w:sz w:val="22"/>
          <w:szCs w:val="18"/>
        </w:rPr>
        <w:t>3对未通过资格审查的投标人，采购人或采购代理机构告知其未通过的原因。</w:t>
      </w:r>
    </w:p>
    <w:p w14:paraId="2D41EDDD">
      <w:pPr>
        <w:pStyle w:val="189"/>
        <w:spacing w:before="0" w:beforeAutospacing="0" w:after="0" w:afterAutospacing="0" w:line="420" w:lineRule="exact"/>
        <w:ind w:firstLine="440"/>
        <w:rPr>
          <w:rFonts w:hint="eastAsia" w:ascii="宋体" w:hAnsi="宋体" w:cs="宋体"/>
          <w:sz w:val="22"/>
          <w:szCs w:val="18"/>
        </w:rPr>
      </w:pPr>
      <w:r>
        <w:rPr>
          <w:rFonts w:hint="eastAsia" w:ascii="宋体" w:hAnsi="宋体" w:cs="宋体"/>
          <w:sz w:val="22"/>
          <w:szCs w:val="22"/>
        </w:rPr>
        <w:t>19.</w:t>
      </w:r>
      <w:r>
        <w:rPr>
          <w:rFonts w:hint="eastAsia" w:ascii="宋体" w:hAnsi="宋体" w:cs="宋体"/>
          <w:sz w:val="22"/>
          <w:szCs w:val="18"/>
        </w:rPr>
        <w:t>4合格投标人不足3家的，不再评标。</w:t>
      </w:r>
    </w:p>
    <w:p w14:paraId="554EFA45">
      <w:pPr>
        <w:pStyle w:val="189"/>
        <w:spacing w:before="0" w:beforeAutospacing="0" w:after="0" w:afterAutospacing="0" w:line="420" w:lineRule="exact"/>
        <w:ind w:firstLine="0" w:firstLineChars="0"/>
        <w:rPr>
          <w:rFonts w:hint="eastAsia" w:ascii="宋体" w:hAnsi="宋体" w:cs="宋体"/>
          <w:b/>
          <w:sz w:val="22"/>
          <w:szCs w:val="22"/>
        </w:rPr>
      </w:pPr>
      <w:r>
        <w:rPr>
          <w:rFonts w:hint="eastAsia" w:ascii="宋体" w:hAnsi="宋体" w:cs="宋体"/>
          <w:b/>
          <w:sz w:val="22"/>
          <w:szCs w:val="22"/>
        </w:rPr>
        <w:t>20.信用信息查询</w:t>
      </w:r>
    </w:p>
    <w:p w14:paraId="51E411BE">
      <w:pPr>
        <w:pStyle w:val="189"/>
        <w:spacing w:before="0" w:beforeAutospacing="0" w:after="0" w:afterAutospacing="0" w:line="420" w:lineRule="exact"/>
        <w:ind w:firstLine="495" w:firstLineChars="0"/>
        <w:rPr>
          <w:rFonts w:hint="eastAsia" w:ascii="宋体" w:hAnsi="宋体" w:cs="宋体"/>
          <w:sz w:val="22"/>
          <w:szCs w:val="22"/>
        </w:rPr>
      </w:pPr>
      <w:r>
        <w:rPr>
          <w:rFonts w:hint="eastAsia" w:ascii="宋体" w:hAnsi="宋体" w:cs="宋体"/>
          <w:sz w:val="22"/>
          <w:szCs w:val="22"/>
        </w:rPr>
        <w:t>20.1信用信息查询渠道及截止时间：采购代理机构将在资格审查时通过“信用中国”网站(www.creditchina.gov.cn)、中国政府采购网(www.ccgp.gov.cn)渠道查询投标人接受资格审查时的信用记录。</w:t>
      </w:r>
    </w:p>
    <w:p w14:paraId="35897659">
      <w:pPr>
        <w:pStyle w:val="189"/>
        <w:spacing w:before="0" w:beforeAutospacing="0" w:after="0" w:afterAutospacing="0" w:line="420" w:lineRule="exact"/>
        <w:ind w:firstLine="495" w:firstLineChars="0"/>
        <w:rPr>
          <w:rFonts w:hint="eastAsia" w:ascii="宋体" w:hAnsi="宋体" w:cs="宋体"/>
          <w:sz w:val="22"/>
          <w:szCs w:val="22"/>
        </w:rPr>
      </w:pPr>
      <w:r>
        <w:rPr>
          <w:rFonts w:hint="eastAsia" w:ascii="宋体" w:hAnsi="宋体" w:cs="宋体"/>
          <w:sz w:val="22"/>
          <w:szCs w:val="22"/>
        </w:rPr>
        <w:t>20.2信用信息查询记录和证据留存的具体方式：现场查询的投标人的信用记录、查询结果经确认后将与采购文件一起存档。</w:t>
      </w:r>
    </w:p>
    <w:p w14:paraId="758E0361">
      <w:pPr>
        <w:pStyle w:val="189"/>
        <w:spacing w:before="0" w:beforeAutospacing="0" w:after="0" w:afterAutospacing="0" w:line="420" w:lineRule="exact"/>
        <w:ind w:firstLine="495" w:firstLineChars="0"/>
        <w:rPr>
          <w:rFonts w:hint="eastAsia" w:ascii="宋体" w:hAnsi="宋体" w:cs="宋体"/>
          <w:sz w:val="22"/>
          <w:szCs w:val="22"/>
        </w:rPr>
      </w:pPr>
      <w:r>
        <w:rPr>
          <w:rFonts w:hint="eastAsia" w:ascii="宋体" w:hAnsi="宋体" w:cs="宋体"/>
          <w:sz w:val="22"/>
          <w:szCs w:val="22"/>
        </w:rPr>
        <w:t>20.3信用信息的使用规则：经查询列入失信被执行人名单、重大税收违法失信主体、政府采购严重违法失信行为记录名单的投标人将被拒绝参与政府采购活动。</w:t>
      </w:r>
    </w:p>
    <w:p w14:paraId="64249247">
      <w:pPr>
        <w:pStyle w:val="189"/>
        <w:spacing w:before="0" w:beforeAutospacing="0" w:after="0" w:afterAutospacing="0" w:line="420" w:lineRule="exact"/>
        <w:ind w:firstLine="440"/>
        <w:rPr>
          <w:rFonts w:hint="eastAsia" w:ascii="宋体" w:hAnsi="宋体" w:cs="宋体"/>
          <w:sz w:val="22"/>
          <w:szCs w:val="18"/>
        </w:rPr>
      </w:pPr>
      <w:r>
        <w:rPr>
          <w:rFonts w:hint="eastAsia" w:ascii="宋体" w:hAnsi="宋体" w:cs="宋体"/>
          <w:sz w:val="22"/>
          <w:szCs w:val="22"/>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sz w:val="22"/>
          <w:szCs w:val="18"/>
        </w:rPr>
        <w:t>。</w:t>
      </w:r>
    </w:p>
    <w:p w14:paraId="6A0C9950">
      <w:pPr>
        <w:pStyle w:val="189"/>
        <w:spacing w:before="0" w:beforeAutospacing="0" w:after="0" w:afterAutospacing="0" w:line="420" w:lineRule="exact"/>
        <w:ind w:firstLine="1265" w:firstLineChars="600"/>
        <w:jc w:val="center"/>
        <w:outlineLvl w:val="1"/>
        <w:rPr>
          <w:rFonts w:ascii="Arial" w:hAnsi="Arial" w:cs="宋体"/>
          <w:b/>
          <w:kern w:val="2"/>
          <w:sz w:val="21"/>
          <w:szCs w:val="21"/>
        </w:rPr>
      </w:pPr>
      <w:bookmarkStart w:id="32" w:name="_Toc23139"/>
      <w:r>
        <w:rPr>
          <w:rFonts w:hint="eastAsia" w:ascii="Arial" w:hAnsi="Arial" w:cs="宋体"/>
          <w:b/>
          <w:kern w:val="2"/>
          <w:sz w:val="21"/>
          <w:szCs w:val="21"/>
        </w:rPr>
        <w:t>五、评标</w:t>
      </w:r>
      <w:bookmarkEnd w:id="32"/>
    </w:p>
    <w:p w14:paraId="00628502">
      <w:pPr>
        <w:spacing w:line="420" w:lineRule="exact"/>
        <w:rPr>
          <w:rFonts w:hint="eastAsia" w:ascii="宋体" w:hAnsi="宋体" w:cs="宋体"/>
          <w:sz w:val="22"/>
          <w:szCs w:val="22"/>
        </w:rPr>
      </w:pPr>
      <w:r>
        <w:rPr>
          <w:rFonts w:hint="eastAsia" w:ascii="宋体" w:hAnsi="宋体" w:cs="宋体"/>
          <w:bCs/>
          <w:sz w:val="22"/>
          <w:szCs w:val="22"/>
        </w:rPr>
        <w:t>21.</w:t>
      </w:r>
      <w:r>
        <w:rPr>
          <w:rFonts w:hint="eastAsia" w:ascii="宋体" w:hAnsi="宋体" w:cs="宋体"/>
          <w:bCs/>
          <w:sz w:val="20"/>
          <w:szCs w:val="22"/>
        </w:rPr>
        <w:t xml:space="preserve"> </w:t>
      </w:r>
      <w:r>
        <w:rPr>
          <w:rFonts w:hint="eastAsia" w:ascii="宋体" w:hAnsi="宋体" w:cs="宋体"/>
          <w:bCs/>
          <w:sz w:val="22"/>
          <w:szCs w:val="22"/>
        </w:rPr>
        <w:t>评</w:t>
      </w:r>
      <w:r>
        <w:rPr>
          <w:rFonts w:hint="eastAsia" w:ascii="宋体" w:hAnsi="宋体" w:cs="宋体"/>
          <w:sz w:val="22"/>
          <w:szCs w:val="22"/>
        </w:rPr>
        <w:t>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p>
    <w:p w14:paraId="5E954344">
      <w:pPr>
        <w:spacing w:line="420" w:lineRule="exact"/>
        <w:rPr>
          <w:rFonts w:hint="eastAsia" w:ascii="宋体" w:hAnsi="宋体" w:cs="宋体"/>
          <w:b/>
          <w:sz w:val="22"/>
          <w:szCs w:val="22"/>
        </w:rPr>
      </w:pPr>
      <w:r>
        <w:rPr>
          <w:rFonts w:hint="eastAsia" w:ascii="宋体" w:hAnsi="宋体" w:cs="宋体"/>
          <w:b/>
          <w:sz w:val="22"/>
          <w:szCs w:val="22"/>
        </w:rPr>
        <w:t>详见招标文件第四部分评标办法。</w:t>
      </w:r>
    </w:p>
    <w:p w14:paraId="1F42619F">
      <w:pPr>
        <w:spacing w:line="420" w:lineRule="exact"/>
        <w:rPr>
          <w:rFonts w:hint="eastAsia" w:ascii="宋体" w:hAnsi="宋体" w:cs="宋体"/>
          <w:b/>
          <w:sz w:val="22"/>
          <w:szCs w:val="22"/>
        </w:rPr>
      </w:pPr>
    </w:p>
    <w:p w14:paraId="50A7D16D">
      <w:pPr>
        <w:pStyle w:val="189"/>
        <w:spacing w:before="0" w:beforeAutospacing="0" w:after="0" w:afterAutospacing="0" w:line="420" w:lineRule="exact"/>
        <w:ind w:firstLine="1265" w:firstLineChars="600"/>
        <w:jc w:val="center"/>
        <w:outlineLvl w:val="1"/>
        <w:rPr>
          <w:rFonts w:ascii="Arial" w:hAnsi="Arial" w:cs="宋体"/>
          <w:b/>
          <w:kern w:val="2"/>
          <w:sz w:val="21"/>
          <w:szCs w:val="21"/>
        </w:rPr>
      </w:pPr>
      <w:bookmarkStart w:id="33" w:name="_Toc32708"/>
      <w:r>
        <w:rPr>
          <w:rFonts w:hint="eastAsia" w:ascii="Arial" w:hAnsi="Arial" w:cs="宋体"/>
          <w:b/>
          <w:kern w:val="2"/>
          <w:sz w:val="21"/>
          <w:szCs w:val="21"/>
        </w:rPr>
        <w:t>六、定 标</w:t>
      </w:r>
      <w:bookmarkEnd w:id="33"/>
    </w:p>
    <w:p w14:paraId="511A1312">
      <w:pPr>
        <w:pStyle w:val="189"/>
        <w:snapToGrid w:val="0"/>
        <w:spacing w:before="0" w:beforeAutospacing="0" w:after="0" w:afterAutospacing="0" w:line="420" w:lineRule="exact"/>
        <w:ind w:firstLine="0" w:firstLineChars="0"/>
        <w:rPr>
          <w:rFonts w:hint="eastAsia" w:ascii="宋体" w:hAnsi="宋体" w:cs="宋体"/>
          <w:b/>
          <w:sz w:val="22"/>
          <w:szCs w:val="22"/>
        </w:rPr>
      </w:pPr>
      <w:r>
        <w:rPr>
          <w:rFonts w:hint="eastAsia" w:ascii="宋体" w:hAnsi="宋体" w:cs="宋体"/>
          <w:b/>
          <w:sz w:val="22"/>
          <w:szCs w:val="22"/>
        </w:rPr>
        <w:t>22. 确定中标供应商</w:t>
      </w:r>
    </w:p>
    <w:p w14:paraId="705A7686">
      <w:pPr>
        <w:pStyle w:val="189"/>
        <w:snapToGrid w:val="0"/>
        <w:spacing w:before="0" w:beforeAutospacing="0" w:after="0" w:afterAutospacing="0" w:line="420" w:lineRule="exact"/>
        <w:ind w:firstLine="440"/>
        <w:rPr>
          <w:rFonts w:hint="eastAsia" w:ascii="宋体" w:hAnsi="宋体" w:cs="宋体"/>
          <w:b/>
          <w:sz w:val="22"/>
          <w:szCs w:val="22"/>
        </w:rPr>
      </w:pPr>
      <w:r>
        <w:rPr>
          <w:rFonts w:hint="eastAsia" w:ascii="宋体" w:hAnsi="宋体" w:cs="宋体"/>
          <w:sz w:val="22"/>
          <w:szCs w:val="22"/>
        </w:rPr>
        <w:t>政府采购项目实行全流程电子化，评审报告送交、采购结果确定和结果公告均在线完成。为进一步提升采购结果确定效率，采购代理机构应当依法及时将评审报告在线送交采购人。采购单位应当自收到评审报告之日起5个工作日内在线确定中标或者成交供应商。中标、成交通知书和中标、成交结果公告应当在规定时间内同时发出。</w:t>
      </w:r>
    </w:p>
    <w:p w14:paraId="5981DC7A">
      <w:pPr>
        <w:pStyle w:val="189"/>
        <w:numPr>
          <w:ilvl w:val="0"/>
          <w:numId w:val="10"/>
        </w:numPr>
        <w:snapToGrid w:val="0"/>
        <w:spacing w:before="0" w:beforeAutospacing="0" w:after="0" w:afterAutospacing="0" w:line="420" w:lineRule="exact"/>
        <w:ind w:firstLine="0" w:firstLineChars="0"/>
        <w:rPr>
          <w:rFonts w:hint="eastAsia" w:ascii="宋体" w:hAnsi="宋体" w:cs="宋体"/>
          <w:b/>
          <w:sz w:val="22"/>
          <w:szCs w:val="22"/>
        </w:rPr>
      </w:pPr>
      <w:r>
        <w:rPr>
          <w:rFonts w:hint="eastAsia" w:ascii="宋体" w:hAnsi="宋体" w:cs="宋体"/>
          <w:b/>
          <w:sz w:val="22"/>
          <w:szCs w:val="22"/>
        </w:rPr>
        <w:t>中标通知与中标结果公告</w:t>
      </w:r>
    </w:p>
    <w:p w14:paraId="65F42071">
      <w:pPr>
        <w:pStyle w:val="189"/>
        <w:snapToGrid w:val="0"/>
        <w:spacing w:before="0" w:beforeAutospacing="0" w:after="0" w:afterAutospacing="0" w:line="420" w:lineRule="exact"/>
        <w:ind w:firstLine="440"/>
        <w:rPr>
          <w:rFonts w:hint="eastAsia" w:ascii="宋体" w:hAnsi="宋体" w:cs="宋体"/>
          <w:sz w:val="22"/>
          <w:szCs w:val="22"/>
        </w:rPr>
      </w:pPr>
      <w:r>
        <w:rPr>
          <w:rFonts w:hint="eastAsia" w:ascii="宋体" w:hAnsi="宋体" w:cs="宋体"/>
          <w:sz w:val="22"/>
          <w:szCs w:val="22"/>
        </w:rPr>
        <w:t>23.1自中标人确定之日起2个工作日内，采购代理机构通过电子交易平台向中标人发出中标通知书，同时编制发布采购结果公告。采购代理机构也可以以纸质形式进行中标通知。</w:t>
      </w:r>
    </w:p>
    <w:p w14:paraId="618D6D02">
      <w:pPr>
        <w:pStyle w:val="189"/>
        <w:snapToGrid w:val="0"/>
        <w:spacing w:before="0" w:beforeAutospacing="0" w:after="0" w:afterAutospacing="0" w:line="420" w:lineRule="exact"/>
        <w:ind w:firstLine="440"/>
        <w:rPr>
          <w:rFonts w:hint="eastAsia" w:ascii="宋体" w:hAnsi="宋体" w:cs="宋体"/>
          <w:sz w:val="22"/>
          <w:szCs w:val="22"/>
        </w:rPr>
      </w:pPr>
      <w:r>
        <w:rPr>
          <w:rFonts w:hint="eastAsia" w:ascii="宋体" w:hAnsi="宋体" w:cs="宋体"/>
          <w:sz w:val="22"/>
          <w:szCs w:val="22"/>
        </w:rPr>
        <w:t>23.2中标结果公告内容包括采购人及其委托的采购代理机构的名称、地址、联系方式，项目名称和项目编号，中标人名称、地址和中标金额，主要中标标的的名称、规格型号、数量、单价或者标的基本概况等、中标公告期限以及评审专家名单、评分汇总及明细。</w:t>
      </w:r>
    </w:p>
    <w:p w14:paraId="099BDD64">
      <w:pPr>
        <w:pStyle w:val="189"/>
        <w:snapToGrid w:val="0"/>
        <w:spacing w:before="0" w:beforeAutospacing="0" w:after="0" w:afterAutospacing="0" w:line="420" w:lineRule="exact"/>
        <w:ind w:firstLine="440"/>
        <w:rPr>
          <w:rFonts w:hint="eastAsia" w:ascii="宋体" w:hAnsi="宋体" w:cs="宋体"/>
          <w:b/>
          <w:sz w:val="28"/>
          <w:szCs w:val="22"/>
        </w:rPr>
      </w:pPr>
      <w:r>
        <w:rPr>
          <w:rFonts w:hint="eastAsia" w:ascii="宋体" w:hAnsi="宋体" w:cs="宋体"/>
          <w:sz w:val="22"/>
          <w:szCs w:val="22"/>
        </w:rPr>
        <w:t>23.3公告期限为1个工作日。</w:t>
      </w:r>
    </w:p>
    <w:p w14:paraId="3B88FBE0">
      <w:pPr>
        <w:pStyle w:val="189"/>
        <w:spacing w:before="0" w:beforeAutospacing="0" w:after="0" w:afterAutospacing="0" w:line="420" w:lineRule="exact"/>
        <w:ind w:firstLine="1265" w:firstLineChars="600"/>
        <w:jc w:val="center"/>
        <w:outlineLvl w:val="1"/>
        <w:rPr>
          <w:rFonts w:ascii="Arial" w:hAnsi="Arial" w:cs="宋体"/>
          <w:b/>
          <w:kern w:val="2"/>
          <w:sz w:val="21"/>
          <w:szCs w:val="21"/>
        </w:rPr>
      </w:pPr>
      <w:bookmarkStart w:id="34" w:name="_Toc22272"/>
      <w:r>
        <w:rPr>
          <w:rFonts w:hint="eastAsia" w:ascii="Arial" w:hAnsi="Arial" w:cs="宋体"/>
          <w:b/>
          <w:kern w:val="2"/>
          <w:sz w:val="21"/>
          <w:szCs w:val="21"/>
        </w:rPr>
        <w:t>七、合同授予</w:t>
      </w:r>
      <w:bookmarkEnd w:id="34"/>
    </w:p>
    <w:p w14:paraId="1133A335">
      <w:pPr>
        <w:pStyle w:val="189"/>
        <w:snapToGrid w:val="0"/>
        <w:spacing w:before="0" w:beforeAutospacing="0" w:after="0" w:afterAutospacing="0" w:line="420" w:lineRule="exact"/>
        <w:ind w:firstLine="0" w:firstLineChars="0"/>
        <w:rPr>
          <w:rFonts w:hint="eastAsia" w:ascii="宋体" w:hAnsi="宋体" w:cs="宋体"/>
          <w:b/>
          <w:sz w:val="22"/>
          <w:szCs w:val="22"/>
        </w:rPr>
      </w:pPr>
      <w:r>
        <w:rPr>
          <w:rFonts w:hint="eastAsia" w:ascii="宋体" w:hAnsi="宋体" w:cs="宋体"/>
          <w:b/>
          <w:sz w:val="22"/>
          <w:szCs w:val="22"/>
        </w:rPr>
        <w:t>24. 合同主要条款详见第五部分拟签订的合同文本。</w:t>
      </w:r>
    </w:p>
    <w:p w14:paraId="0508F223">
      <w:pPr>
        <w:pStyle w:val="189"/>
        <w:snapToGrid w:val="0"/>
        <w:spacing w:before="0" w:beforeAutospacing="0" w:after="0" w:afterAutospacing="0" w:line="420" w:lineRule="exact"/>
        <w:ind w:firstLine="0" w:firstLineChars="0"/>
        <w:rPr>
          <w:rFonts w:hint="eastAsia" w:ascii="宋体" w:hAnsi="宋体" w:cs="宋体"/>
          <w:b/>
          <w:sz w:val="22"/>
          <w:szCs w:val="22"/>
        </w:rPr>
      </w:pPr>
      <w:r>
        <w:rPr>
          <w:rFonts w:hint="eastAsia" w:ascii="宋体" w:hAnsi="宋体" w:cs="宋体"/>
          <w:b/>
          <w:sz w:val="22"/>
          <w:szCs w:val="22"/>
        </w:rPr>
        <w:t>25. 合同的签订</w:t>
      </w:r>
    </w:p>
    <w:p w14:paraId="433DDFF0">
      <w:pPr>
        <w:pStyle w:val="189"/>
        <w:spacing w:before="0" w:beforeAutospacing="0" w:after="0" w:afterAutospacing="0" w:line="420" w:lineRule="exact"/>
        <w:ind w:firstLine="440"/>
        <w:rPr>
          <w:rFonts w:hint="eastAsia" w:ascii="宋体" w:hAnsi="宋体" w:cs="宋体"/>
          <w:sz w:val="22"/>
          <w:szCs w:val="22"/>
        </w:rPr>
      </w:pPr>
      <w:r>
        <w:rPr>
          <w:rFonts w:hint="eastAsia" w:ascii="宋体" w:hAnsi="宋体" w:cs="宋体"/>
          <w:sz w:val="22"/>
          <w:szCs w:val="22"/>
        </w:rPr>
        <w:t>25.1 采购人与中标供应商应当在中标通知书发出之日起三十日内，按照招标文件及中标供应商的投标文件确定的事项签订政府采购合同，并在合同签订之日起2个工作日内依法发布合同公告。</w:t>
      </w:r>
    </w:p>
    <w:p w14:paraId="37C4CF02">
      <w:pPr>
        <w:pStyle w:val="189"/>
        <w:snapToGrid w:val="0"/>
        <w:spacing w:before="0" w:beforeAutospacing="0" w:after="0" w:afterAutospacing="0" w:line="420" w:lineRule="exact"/>
        <w:ind w:firstLine="440"/>
        <w:rPr>
          <w:rFonts w:hint="eastAsia" w:ascii="宋体" w:hAnsi="宋体" w:cs="宋体"/>
          <w:sz w:val="22"/>
          <w:szCs w:val="18"/>
        </w:rPr>
      </w:pPr>
      <w:r>
        <w:rPr>
          <w:rFonts w:hint="eastAsia" w:ascii="宋体" w:hAnsi="宋体" w:cs="宋体"/>
          <w:sz w:val="22"/>
          <w:szCs w:val="18"/>
          <w:lang w:val="zh-CN"/>
        </w:rPr>
        <w:t>25.2中标人按规定的日期、时间、地点，由法定代表人或其授权代表与采购人代表签订合同。如中标人为联合体的，由联合体成员各方法定代表人或其授权代表与采购人代表签订合同。</w:t>
      </w:r>
    </w:p>
    <w:p w14:paraId="14464AE2">
      <w:pPr>
        <w:pStyle w:val="189"/>
        <w:snapToGrid w:val="0"/>
        <w:spacing w:before="0" w:beforeAutospacing="0" w:after="0" w:afterAutospacing="0" w:line="420" w:lineRule="exact"/>
        <w:ind w:firstLine="440"/>
        <w:rPr>
          <w:rFonts w:hint="eastAsia" w:ascii="宋体" w:hAnsi="宋体" w:cs="宋体"/>
          <w:sz w:val="22"/>
          <w:szCs w:val="18"/>
        </w:rPr>
      </w:pPr>
      <w:r>
        <w:rPr>
          <w:rFonts w:hint="eastAsia" w:ascii="宋体" w:hAnsi="宋体" w:cs="宋体"/>
          <w:sz w:val="22"/>
          <w:szCs w:val="18"/>
        </w:rPr>
        <w:t>25.3如签订合同并生效后，供应商无故拒绝或延期，除按照合同条款处理外，列入不良行为记录一次，并给予通报。</w:t>
      </w:r>
    </w:p>
    <w:p w14:paraId="67B37AB2">
      <w:pPr>
        <w:pStyle w:val="189"/>
        <w:snapToGrid w:val="0"/>
        <w:spacing w:before="0" w:beforeAutospacing="0" w:after="0" w:afterAutospacing="0" w:line="420" w:lineRule="exact"/>
        <w:ind w:firstLine="440"/>
        <w:rPr>
          <w:rFonts w:hint="eastAsia" w:ascii="宋体" w:hAnsi="宋体" w:cs="宋体"/>
          <w:sz w:val="22"/>
          <w:szCs w:val="18"/>
        </w:rPr>
      </w:pPr>
      <w:r>
        <w:rPr>
          <w:rFonts w:hint="eastAsia" w:ascii="宋体" w:hAnsi="宋体" w:cs="宋体"/>
          <w:sz w:val="22"/>
          <w:szCs w:val="18"/>
        </w:rPr>
        <w:t>25.4中标供应商拒绝与采购人签订合同的，采购人可以按照评审报告推荐的中标或者成交候选人名单排序，确定下一候选人为中标供应商，也可以重新开展政府采购活动。</w:t>
      </w:r>
    </w:p>
    <w:p w14:paraId="6B76DA26">
      <w:pPr>
        <w:pStyle w:val="189"/>
        <w:snapToGrid w:val="0"/>
        <w:spacing w:before="0" w:beforeAutospacing="0" w:after="0" w:afterAutospacing="0" w:line="420" w:lineRule="exact"/>
        <w:ind w:firstLine="0" w:firstLineChars="0"/>
        <w:rPr>
          <w:rFonts w:hint="eastAsia" w:ascii="宋体" w:hAnsi="宋体" w:cs="宋体"/>
          <w:b/>
          <w:sz w:val="22"/>
          <w:szCs w:val="22"/>
        </w:rPr>
      </w:pPr>
      <w:r>
        <w:rPr>
          <w:rFonts w:hint="eastAsia" w:ascii="宋体" w:hAnsi="宋体" w:cs="宋体"/>
          <w:b/>
          <w:sz w:val="22"/>
          <w:szCs w:val="22"/>
        </w:rPr>
        <w:t>26. 履约保证金（如有）</w:t>
      </w:r>
    </w:p>
    <w:p w14:paraId="499BDBB1">
      <w:pPr>
        <w:pStyle w:val="4"/>
        <w:tabs>
          <w:tab w:val="left" w:pos="432"/>
        </w:tabs>
        <w:spacing w:before="0" w:after="0" w:line="420" w:lineRule="exact"/>
        <w:ind w:left="0" w:firstLine="440" w:firstLineChars="200"/>
        <w:rPr>
          <w:rFonts w:hint="eastAsia" w:ascii="宋体" w:hAnsi="宋体" w:eastAsia="宋体" w:cs="宋体"/>
          <w:b w:val="0"/>
          <w:bCs w:val="0"/>
          <w:snapToGrid w:val="0"/>
          <w:kern w:val="28"/>
          <w:sz w:val="22"/>
          <w:szCs w:val="28"/>
        </w:rPr>
      </w:pPr>
      <w:bookmarkStart w:id="35" w:name="_Toc5410"/>
      <w:r>
        <w:rPr>
          <w:rFonts w:hint="eastAsia" w:ascii="宋体" w:hAnsi="宋体" w:eastAsia="宋体" w:cs="宋体"/>
          <w:b w:val="0"/>
          <w:bCs w:val="0"/>
          <w:snapToGrid w:val="0"/>
          <w:kern w:val="28"/>
          <w:sz w:val="22"/>
          <w:szCs w:val="28"/>
        </w:rPr>
        <w:t>拟签订的合同文本要求中标供应商提交履约保证金的，供应商应当以支票、汇票、本票或者金融机构、担保机构出具的保函等非现金形式提交。</w:t>
      </w:r>
      <w:bookmarkEnd w:id="35"/>
    </w:p>
    <w:p w14:paraId="7B47E0C0">
      <w:pPr>
        <w:pStyle w:val="189"/>
        <w:spacing w:before="0" w:beforeAutospacing="0" w:after="0" w:afterAutospacing="0" w:line="420" w:lineRule="exact"/>
        <w:ind w:firstLine="1265" w:firstLineChars="600"/>
        <w:jc w:val="center"/>
        <w:outlineLvl w:val="1"/>
        <w:rPr>
          <w:rFonts w:ascii="Arial" w:hAnsi="Arial" w:cs="宋体"/>
          <w:b/>
          <w:kern w:val="2"/>
          <w:sz w:val="21"/>
          <w:szCs w:val="21"/>
        </w:rPr>
      </w:pPr>
      <w:bookmarkStart w:id="36" w:name="_Toc362"/>
      <w:r>
        <w:rPr>
          <w:rFonts w:hint="eastAsia" w:ascii="Arial" w:hAnsi="Arial" w:cs="宋体"/>
          <w:b/>
          <w:kern w:val="2"/>
          <w:sz w:val="21"/>
          <w:szCs w:val="21"/>
        </w:rPr>
        <w:t>八、电子交易活动的中止</w:t>
      </w:r>
      <w:bookmarkEnd w:id="36"/>
    </w:p>
    <w:p w14:paraId="0F862295">
      <w:pPr>
        <w:pStyle w:val="189"/>
        <w:snapToGrid w:val="0"/>
        <w:spacing w:before="0" w:beforeAutospacing="0" w:after="0" w:afterAutospacing="0" w:line="420" w:lineRule="exact"/>
        <w:ind w:firstLine="0" w:firstLineChars="0"/>
        <w:rPr>
          <w:rFonts w:hint="eastAsia" w:ascii="宋体" w:hAnsi="宋体" w:cs="宋体"/>
          <w:sz w:val="22"/>
          <w:szCs w:val="18"/>
        </w:rPr>
      </w:pPr>
      <w:r>
        <w:rPr>
          <w:rFonts w:hint="eastAsia" w:ascii="宋体" w:hAnsi="宋体" w:cs="宋体"/>
          <w:b/>
          <w:bCs/>
          <w:sz w:val="22"/>
          <w:szCs w:val="18"/>
        </w:rPr>
        <w:t>27</w:t>
      </w:r>
      <w:r>
        <w:rPr>
          <w:rFonts w:hint="eastAsia" w:ascii="宋体" w:hAnsi="宋体" w:cs="宋体"/>
          <w:b/>
          <w:sz w:val="22"/>
          <w:szCs w:val="22"/>
        </w:rPr>
        <w:t>. 电子交易活动的中止。</w:t>
      </w:r>
      <w:r>
        <w:rPr>
          <w:rFonts w:hint="eastAsia" w:ascii="宋体" w:hAnsi="宋体" w:cs="宋体"/>
          <w:sz w:val="22"/>
          <w:szCs w:val="18"/>
        </w:rPr>
        <w:t>采购过程中出现以下情形，导致电子交易平台无法正常运行，或者无法保证电子交易的公平、公正和安全时，采购代理机构可中止电子交易活动：</w:t>
      </w:r>
    </w:p>
    <w:p w14:paraId="27E97949">
      <w:pPr>
        <w:pStyle w:val="189"/>
        <w:snapToGrid w:val="0"/>
        <w:spacing w:before="0" w:beforeAutospacing="0" w:after="0" w:afterAutospacing="0" w:line="420" w:lineRule="exact"/>
        <w:ind w:firstLine="440"/>
        <w:rPr>
          <w:rFonts w:hint="eastAsia" w:ascii="宋体" w:hAnsi="宋体" w:cs="宋体"/>
          <w:sz w:val="22"/>
          <w:szCs w:val="18"/>
        </w:rPr>
      </w:pPr>
      <w:r>
        <w:rPr>
          <w:rFonts w:hint="eastAsia" w:ascii="宋体" w:hAnsi="宋体" w:cs="宋体"/>
          <w:sz w:val="22"/>
          <w:szCs w:val="18"/>
        </w:rPr>
        <w:t xml:space="preserve">27.1电子交易平台发生故障而无法登录访问的； </w:t>
      </w:r>
    </w:p>
    <w:p w14:paraId="42DEA01D">
      <w:pPr>
        <w:pStyle w:val="189"/>
        <w:snapToGrid w:val="0"/>
        <w:spacing w:before="0" w:beforeAutospacing="0" w:after="0" w:afterAutospacing="0" w:line="420" w:lineRule="exact"/>
        <w:ind w:firstLine="440"/>
        <w:rPr>
          <w:rFonts w:hint="eastAsia" w:ascii="宋体" w:hAnsi="宋体" w:cs="宋体"/>
          <w:sz w:val="22"/>
          <w:szCs w:val="18"/>
        </w:rPr>
      </w:pPr>
      <w:r>
        <w:rPr>
          <w:rFonts w:hint="eastAsia" w:ascii="宋体" w:hAnsi="宋体" w:cs="宋体"/>
          <w:sz w:val="22"/>
          <w:szCs w:val="18"/>
        </w:rPr>
        <w:t>27.2电子交易平台应用或数据库出现错误，不能进行正常操作的；</w:t>
      </w:r>
    </w:p>
    <w:p w14:paraId="71B15405">
      <w:pPr>
        <w:pStyle w:val="189"/>
        <w:snapToGrid w:val="0"/>
        <w:spacing w:before="0" w:beforeAutospacing="0" w:after="0" w:afterAutospacing="0" w:line="420" w:lineRule="exact"/>
        <w:ind w:firstLine="440"/>
        <w:rPr>
          <w:rFonts w:hint="eastAsia" w:ascii="宋体" w:hAnsi="宋体" w:cs="宋体"/>
          <w:sz w:val="22"/>
          <w:szCs w:val="18"/>
        </w:rPr>
      </w:pPr>
      <w:r>
        <w:rPr>
          <w:rFonts w:hint="eastAsia" w:ascii="宋体" w:hAnsi="宋体" w:cs="宋体"/>
          <w:sz w:val="22"/>
          <w:szCs w:val="18"/>
        </w:rPr>
        <w:t>27.3电子交易平台发现严重安全漏洞，有潜在泄密危险的；</w:t>
      </w:r>
    </w:p>
    <w:p w14:paraId="3AF13BB4">
      <w:pPr>
        <w:pStyle w:val="189"/>
        <w:snapToGrid w:val="0"/>
        <w:spacing w:before="0" w:beforeAutospacing="0" w:after="0" w:afterAutospacing="0" w:line="420" w:lineRule="exact"/>
        <w:ind w:firstLine="440"/>
        <w:rPr>
          <w:rFonts w:hint="eastAsia" w:ascii="宋体" w:hAnsi="宋体" w:cs="宋体"/>
          <w:sz w:val="22"/>
          <w:szCs w:val="18"/>
        </w:rPr>
      </w:pPr>
      <w:r>
        <w:rPr>
          <w:rFonts w:hint="eastAsia" w:ascii="宋体" w:hAnsi="宋体" w:cs="宋体"/>
          <w:sz w:val="22"/>
          <w:szCs w:val="18"/>
        </w:rPr>
        <w:t xml:space="preserve">27.4病毒发作导致不能进行正常操作的； </w:t>
      </w:r>
    </w:p>
    <w:p w14:paraId="538C33D8">
      <w:pPr>
        <w:pStyle w:val="189"/>
        <w:snapToGrid w:val="0"/>
        <w:spacing w:before="0" w:beforeAutospacing="0" w:after="0" w:afterAutospacing="0" w:line="420" w:lineRule="exact"/>
        <w:ind w:firstLine="440"/>
        <w:rPr>
          <w:rFonts w:hint="eastAsia" w:ascii="宋体" w:hAnsi="宋体" w:cs="宋体"/>
          <w:sz w:val="22"/>
          <w:szCs w:val="18"/>
        </w:rPr>
      </w:pPr>
      <w:r>
        <w:rPr>
          <w:rFonts w:hint="eastAsia" w:ascii="宋体" w:hAnsi="宋体" w:cs="宋体"/>
          <w:sz w:val="22"/>
          <w:szCs w:val="18"/>
        </w:rPr>
        <w:t>27.5其他无法保证电子交易的公平、公正和安全的情况。</w:t>
      </w:r>
    </w:p>
    <w:p w14:paraId="44ADBBF0">
      <w:pPr>
        <w:pStyle w:val="189"/>
        <w:snapToGrid w:val="0"/>
        <w:spacing w:before="0" w:beforeAutospacing="0" w:after="0" w:afterAutospacing="0" w:line="420" w:lineRule="exact"/>
        <w:ind w:firstLine="0" w:firstLineChars="0"/>
        <w:rPr>
          <w:rFonts w:hint="eastAsia" w:ascii="宋体" w:hAnsi="宋体" w:cs="宋体"/>
          <w:sz w:val="22"/>
          <w:szCs w:val="18"/>
        </w:rPr>
      </w:pPr>
      <w:r>
        <w:rPr>
          <w:rFonts w:hint="eastAsia" w:ascii="宋体" w:hAnsi="宋体" w:cs="宋体"/>
          <w:sz w:val="22"/>
          <w:szCs w:val="18"/>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14:paraId="580FB131">
      <w:pPr>
        <w:pStyle w:val="189"/>
        <w:spacing w:before="0" w:beforeAutospacing="0" w:after="0" w:afterAutospacing="0" w:line="420" w:lineRule="exact"/>
        <w:ind w:firstLine="1265" w:firstLineChars="600"/>
        <w:jc w:val="center"/>
        <w:outlineLvl w:val="1"/>
        <w:rPr>
          <w:rFonts w:ascii="Arial" w:hAnsi="Arial" w:cs="宋体"/>
          <w:b/>
          <w:kern w:val="2"/>
          <w:sz w:val="21"/>
          <w:szCs w:val="21"/>
        </w:rPr>
      </w:pPr>
      <w:bookmarkStart w:id="37" w:name="_Toc12798"/>
      <w:r>
        <w:rPr>
          <w:rFonts w:hint="eastAsia" w:ascii="Arial" w:hAnsi="Arial" w:cs="宋体"/>
          <w:b/>
          <w:kern w:val="2"/>
          <w:sz w:val="21"/>
          <w:szCs w:val="21"/>
        </w:rPr>
        <w:t>九、验收</w:t>
      </w:r>
      <w:bookmarkEnd w:id="37"/>
    </w:p>
    <w:p w14:paraId="6D0D77D2">
      <w:pPr>
        <w:pStyle w:val="189"/>
        <w:snapToGrid w:val="0"/>
        <w:spacing w:before="0" w:beforeAutospacing="0" w:after="0" w:afterAutospacing="0" w:line="420" w:lineRule="exact"/>
        <w:ind w:firstLine="0" w:firstLineChars="0"/>
        <w:rPr>
          <w:rFonts w:hint="eastAsia" w:ascii="宋体" w:hAnsi="宋体" w:cs="宋体"/>
          <w:b/>
          <w:sz w:val="22"/>
          <w:szCs w:val="22"/>
        </w:rPr>
      </w:pPr>
      <w:r>
        <w:rPr>
          <w:rFonts w:hint="eastAsia" w:ascii="宋体" w:hAnsi="宋体" w:cs="宋体"/>
          <w:b/>
          <w:sz w:val="22"/>
          <w:szCs w:val="22"/>
        </w:rPr>
        <w:t>29.验收</w:t>
      </w:r>
    </w:p>
    <w:p w14:paraId="38BA9705">
      <w:pPr>
        <w:tabs>
          <w:tab w:val="left" w:pos="0"/>
        </w:tabs>
        <w:spacing w:line="420" w:lineRule="exact"/>
        <w:ind w:firstLine="480"/>
        <w:rPr>
          <w:rFonts w:hint="eastAsia" w:ascii="宋体" w:hAnsi="宋体" w:cs="宋体"/>
          <w:kern w:val="0"/>
          <w:sz w:val="22"/>
          <w:szCs w:val="22"/>
        </w:rPr>
      </w:pPr>
      <w:r>
        <w:rPr>
          <w:rFonts w:hint="eastAsia" w:ascii="宋体" w:hAnsi="宋体" w:cs="宋体"/>
          <w:kern w:val="0"/>
          <w:sz w:val="22"/>
          <w:szCs w:val="22"/>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9406BA9">
      <w:pPr>
        <w:tabs>
          <w:tab w:val="left" w:pos="0"/>
        </w:tabs>
        <w:spacing w:line="420" w:lineRule="exact"/>
        <w:ind w:firstLine="480"/>
        <w:rPr>
          <w:rFonts w:hint="eastAsia" w:ascii="宋体" w:hAnsi="宋体" w:cs="宋体"/>
          <w:kern w:val="0"/>
          <w:sz w:val="22"/>
          <w:szCs w:val="22"/>
        </w:rPr>
      </w:pPr>
      <w:r>
        <w:rPr>
          <w:rFonts w:hint="eastAsia" w:ascii="宋体" w:hAnsi="宋体" w:cs="宋体"/>
          <w:kern w:val="0"/>
          <w:sz w:val="22"/>
          <w:szCs w:val="22"/>
        </w:rPr>
        <w:t>29.2采购人可以邀请参加本项目的其他投标人或者第三方机构参与验收。参与验收的投标人或者第三方机构的意见作为验收书的参考资料一并存档。</w:t>
      </w:r>
    </w:p>
    <w:p w14:paraId="676F3238">
      <w:pPr>
        <w:tabs>
          <w:tab w:val="left" w:pos="0"/>
        </w:tabs>
        <w:spacing w:line="420" w:lineRule="exact"/>
        <w:ind w:firstLine="480"/>
        <w:rPr>
          <w:rFonts w:hint="eastAsia" w:ascii="宋体" w:hAnsi="宋体" w:cs="宋体"/>
          <w:kern w:val="0"/>
          <w:sz w:val="22"/>
          <w:szCs w:val="22"/>
        </w:rPr>
      </w:pPr>
      <w:r>
        <w:rPr>
          <w:rFonts w:hint="eastAsia" w:ascii="宋体" w:hAnsi="宋体" w:cs="宋体"/>
          <w:kern w:val="0"/>
          <w:sz w:val="22"/>
          <w:szCs w:val="22"/>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FE689E7">
      <w:pPr>
        <w:tabs>
          <w:tab w:val="left" w:pos="0"/>
        </w:tabs>
        <w:spacing w:line="420" w:lineRule="exact"/>
        <w:ind w:firstLine="480"/>
        <w:rPr>
          <w:rFonts w:ascii="Arial" w:hAnsi="Arial" w:cs="宋体"/>
          <w:sz w:val="20"/>
          <w:szCs w:val="20"/>
        </w:rPr>
      </w:pPr>
      <w:r>
        <w:rPr>
          <w:rFonts w:hint="eastAsia" w:ascii="宋体" w:hAnsi="宋体" w:cs="宋体"/>
          <w:kern w:val="0"/>
          <w:sz w:val="22"/>
          <w:szCs w:val="22"/>
        </w:rPr>
        <w:t>29.4验收合格的项目，采购人将根据采购合同的约定及时向供应商支付采购资金、退还履约保证金。验收不合格的项目，采购人将依法及时处理。采购合同的履行、违约责任和解决争议的方式等适用《中华人民共和国民法典》。</w:t>
      </w:r>
    </w:p>
    <w:bookmarkEnd w:id="22"/>
    <w:p w14:paraId="3A452A8D">
      <w:pPr>
        <w:pStyle w:val="3"/>
        <w:spacing w:before="0" w:after="0" w:line="420" w:lineRule="exact"/>
        <w:jc w:val="center"/>
        <w:rPr>
          <w:rFonts w:ascii="Arial" w:hAnsi="Arial" w:cs="宋体"/>
          <w:sz w:val="36"/>
          <w:szCs w:val="36"/>
        </w:rPr>
      </w:pPr>
      <w:bookmarkStart w:id="38" w:name="_Hlt75236101"/>
      <w:bookmarkEnd w:id="38"/>
      <w:bookmarkStart w:id="39" w:name="_Hlt74714665"/>
      <w:bookmarkEnd w:id="39"/>
      <w:bookmarkStart w:id="40" w:name="_Hlt74707468"/>
      <w:bookmarkEnd w:id="40"/>
      <w:bookmarkStart w:id="41" w:name="_Hlt68403820"/>
      <w:bookmarkEnd w:id="41"/>
      <w:bookmarkStart w:id="42" w:name="_Hlt68072990"/>
      <w:bookmarkEnd w:id="42"/>
      <w:bookmarkStart w:id="43" w:name="_Hlt74730295"/>
      <w:bookmarkEnd w:id="43"/>
      <w:bookmarkStart w:id="44" w:name="_Hlt74729768"/>
      <w:bookmarkEnd w:id="44"/>
      <w:bookmarkStart w:id="45" w:name="_Hlt75236011"/>
      <w:bookmarkEnd w:id="45"/>
      <w:bookmarkStart w:id="46" w:name="_Hlt68072998"/>
      <w:bookmarkEnd w:id="46"/>
      <w:bookmarkStart w:id="47" w:name="_Hlt75236290"/>
      <w:bookmarkEnd w:id="47"/>
      <w:bookmarkStart w:id="48" w:name="_Hlt68057669"/>
      <w:bookmarkEnd w:id="48"/>
      <w:bookmarkStart w:id="49" w:name="_Hlt68073093"/>
      <w:bookmarkEnd w:id="49"/>
      <w:r>
        <w:rPr>
          <w:rFonts w:hint="eastAsia" w:ascii="Arial" w:hAnsi="Arial" w:cs="宋体"/>
          <w:sz w:val="36"/>
          <w:szCs w:val="36"/>
        </w:rPr>
        <w:br w:type="page"/>
      </w:r>
      <w:bookmarkStart w:id="50" w:name="_Toc29582"/>
      <w:bookmarkStart w:id="51" w:name="_Toc9603"/>
      <w:r>
        <w:rPr>
          <w:rFonts w:hint="eastAsia"/>
          <w:color w:val="000000"/>
          <w:sz w:val="30"/>
        </w:rPr>
        <w:t>第三章  采购需求</w:t>
      </w:r>
      <w:bookmarkEnd w:id="50"/>
      <w:bookmarkEnd w:id="51"/>
    </w:p>
    <w:p w14:paraId="0A7E2F94">
      <w:pPr>
        <w:spacing w:line="360" w:lineRule="auto"/>
        <w:jc w:val="center"/>
        <w:outlineLvl w:val="1"/>
        <w:rPr>
          <w:rFonts w:ascii="Arial" w:hAnsi="Arial"/>
          <w:b/>
          <w:sz w:val="24"/>
          <w:szCs w:val="28"/>
        </w:rPr>
      </w:pPr>
      <w:bookmarkStart w:id="52" w:name="_Toc29273"/>
      <w:r>
        <w:rPr>
          <w:rFonts w:hint="eastAsia" w:ascii="Arial" w:hAnsi="Arial"/>
          <w:b/>
          <w:sz w:val="24"/>
          <w:szCs w:val="28"/>
        </w:rPr>
        <w:t>前附表</w:t>
      </w:r>
      <w:bookmarkEnd w:id="52"/>
    </w:p>
    <w:tbl>
      <w:tblPr>
        <w:tblStyle w:val="44"/>
        <w:tblW w:w="0" w:type="auto"/>
        <w:tblInd w:w="-22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5"/>
        <w:gridCol w:w="3705"/>
        <w:gridCol w:w="4545"/>
      </w:tblGrid>
      <w:tr w14:paraId="7CDE2A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765" w:type="dxa"/>
            <w:vAlign w:val="center"/>
          </w:tcPr>
          <w:p w14:paraId="25F3F7C4">
            <w:pPr>
              <w:snapToGrid w:val="0"/>
              <w:spacing w:line="400" w:lineRule="exact"/>
              <w:jc w:val="center"/>
              <w:outlineLvl w:val="1"/>
              <w:rPr>
                <w:rFonts w:ascii="Arial" w:hAnsi="Arial"/>
                <w:b/>
                <w:szCs w:val="28"/>
              </w:rPr>
            </w:pPr>
            <w:bookmarkStart w:id="53" w:name="_Toc30145"/>
            <w:r>
              <w:rPr>
                <w:rFonts w:hint="eastAsia" w:ascii="Arial" w:hAnsi="Arial"/>
                <w:b/>
                <w:szCs w:val="28"/>
              </w:rPr>
              <w:t>序号</w:t>
            </w:r>
            <w:bookmarkEnd w:id="53"/>
          </w:p>
        </w:tc>
        <w:tc>
          <w:tcPr>
            <w:tcW w:w="3705" w:type="dxa"/>
            <w:vAlign w:val="center"/>
          </w:tcPr>
          <w:p w14:paraId="1B74DA1F">
            <w:pPr>
              <w:snapToGrid w:val="0"/>
              <w:spacing w:line="400" w:lineRule="exact"/>
              <w:jc w:val="center"/>
              <w:outlineLvl w:val="1"/>
              <w:rPr>
                <w:rFonts w:ascii="Arial" w:hAnsi="Arial"/>
                <w:b/>
                <w:szCs w:val="28"/>
              </w:rPr>
            </w:pPr>
            <w:bookmarkStart w:id="54" w:name="_Toc17182"/>
            <w:r>
              <w:rPr>
                <w:rFonts w:hint="eastAsia" w:ascii="Arial" w:hAnsi="Arial"/>
                <w:b/>
                <w:szCs w:val="28"/>
              </w:rPr>
              <w:t>子项</w:t>
            </w:r>
            <w:bookmarkEnd w:id="54"/>
          </w:p>
        </w:tc>
        <w:tc>
          <w:tcPr>
            <w:tcW w:w="4545" w:type="dxa"/>
            <w:vAlign w:val="center"/>
          </w:tcPr>
          <w:p w14:paraId="6CE0886A">
            <w:pPr>
              <w:snapToGrid w:val="0"/>
              <w:spacing w:line="400" w:lineRule="exact"/>
              <w:jc w:val="center"/>
              <w:outlineLvl w:val="1"/>
              <w:rPr>
                <w:rFonts w:ascii="Arial" w:hAnsi="Arial"/>
                <w:b/>
                <w:szCs w:val="28"/>
              </w:rPr>
            </w:pPr>
            <w:bookmarkStart w:id="55" w:name="_Toc3959"/>
            <w:r>
              <w:rPr>
                <w:rFonts w:hint="eastAsia" w:ascii="Arial" w:hAnsi="Arial"/>
                <w:b/>
                <w:szCs w:val="28"/>
              </w:rPr>
              <w:t>招标需求</w:t>
            </w:r>
            <w:bookmarkEnd w:id="55"/>
          </w:p>
        </w:tc>
      </w:tr>
      <w:tr w14:paraId="05C8B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65" w:type="dxa"/>
            <w:vMerge w:val="restart"/>
            <w:vAlign w:val="center"/>
          </w:tcPr>
          <w:p w14:paraId="720B31BB">
            <w:pPr>
              <w:snapToGrid w:val="0"/>
              <w:spacing w:line="400" w:lineRule="exact"/>
              <w:jc w:val="center"/>
              <w:outlineLvl w:val="1"/>
              <w:rPr>
                <w:rFonts w:ascii="Arial" w:hAnsi="Arial"/>
                <w:b/>
                <w:szCs w:val="28"/>
              </w:rPr>
            </w:pPr>
            <w:bookmarkStart w:id="56" w:name="_Toc7050"/>
            <w:r>
              <w:rPr>
                <w:rFonts w:hint="eastAsia" w:ascii="Arial" w:hAnsi="Arial"/>
                <w:b/>
                <w:szCs w:val="28"/>
              </w:rPr>
              <w:t>一</w:t>
            </w:r>
            <w:bookmarkEnd w:id="56"/>
          </w:p>
        </w:tc>
        <w:tc>
          <w:tcPr>
            <w:tcW w:w="3705" w:type="dxa"/>
            <w:vAlign w:val="center"/>
          </w:tcPr>
          <w:p w14:paraId="327FC2F4">
            <w:pPr>
              <w:snapToGrid w:val="0"/>
              <w:spacing w:line="400" w:lineRule="exact"/>
              <w:outlineLvl w:val="1"/>
              <w:rPr>
                <w:rFonts w:ascii="Arial" w:hAnsi="Arial"/>
                <w:bCs/>
                <w:szCs w:val="28"/>
              </w:rPr>
            </w:pPr>
            <w:bookmarkStart w:id="57" w:name="_Toc14506"/>
            <w:r>
              <w:rPr>
                <w:rFonts w:hint="eastAsia" w:ascii="Arial" w:hAnsi="Arial"/>
                <w:bCs/>
                <w:szCs w:val="28"/>
              </w:rPr>
              <w:t>采购标的需实现的功能或者目标</w:t>
            </w:r>
            <w:bookmarkEnd w:id="57"/>
          </w:p>
        </w:tc>
        <w:tc>
          <w:tcPr>
            <w:tcW w:w="4545" w:type="dxa"/>
            <w:vAlign w:val="center"/>
          </w:tcPr>
          <w:p w14:paraId="6A66D365">
            <w:pPr>
              <w:snapToGrid w:val="0"/>
              <w:spacing w:line="400" w:lineRule="exact"/>
              <w:outlineLvl w:val="1"/>
              <w:rPr>
                <w:rFonts w:ascii="Arial" w:hAnsi="Arial"/>
                <w:b/>
                <w:szCs w:val="28"/>
              </w:rPr>
            </w:pPr>
            <w:bookmarkStart w:id="58" w:name="_Toc7987"/>
            <w:r>
              <w:rPr>
                <w:rFonts w:hint="eastAsia" w:ascii="Arial" w:hAnsi="Arial"/>
                <w:bCs/>
                <w:szCs w:val="28"/>
              </w:rPr>
              <w:t>象山县书院实验室使用。</w:t>
            </w:r>
            <w:bookmarkEnd w:id="58"/>
          </w:p>
        </w:tc>
      </w:tr>
      <w:tr w14:paraId="79EE3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65" w:type="dxa"/>
            <w:vMerge w:val="continue"/>
            <w:vAlign w:val="center"/>
          </w:tcPr>
          <w:p w14:paraId="7F5B7160">
            <w:pPr>
              <w:snapToGrid w:val="0"/>
              <w:spacing w:line="400" w:lineRule="exact"/>
              <w:jc w:val="center"/>
              <w:rPr>
                <w:rFonts w:ascii="Arial" w:hAnsi="Arial"/>
                <w:b/>
                <w:szCs w:val="28"/>
              </w:rPr>
            </w:pPr>
          </w:p>
        </w:tc>
        <w:tc>
          <w:tcPr>
            <w:tcW w:w="3705" w:type="dxa"/>
            <w:vAlign w:val="center"/>
          </w:tcPr>
          <w:p w14:paraId="72195BC5">
            <w:pPr>
              <w:snapToGrid w:val="0"/>
              <w:spacing w:line="400" w:lineRule="exact"/>
              <w:outlineLvl w:val="1"/>
              <w:rPr>
                <w:rFonts w:ascii="Arial" w:hAnsi="Arial"/>
                <w:bCs/>
                <w:szCs w:val="28"/>
              </w:rPr>
            </w:pPr>
            <w:bookmarkStart w:id="59" w:name="_Toc27661"/>
            <w:r>
              <w:rPr>
                <w:rFonts w:hint="eastAsia" w:ascii="Arial" w:hAnsi="Arial"/>
                <w:bCs/>
                <w:szCs w:val="28"/>
              </w:rPr>
              <w:t>为落实政府采购需满足的要求</w:t>
            </w:r>
            <w:bookmarkEnd w:id="59"/>
          </w:p>
        </w:tc>
        <w:tc>
          <w:tcPr>
            <w:tcW w:w="4545" w:type="dxa"/>
            <w:vAlign w:val="center"/>
          </w:tcPr>
          <w:p w14:paraId="51E283FC">
            <w:pPr>
              <w:snapToGrid w:val="0"/>
              <w:spacing w:line="400" w:lineRule="exact"/>
              <w:outlineLvl w:val="1"/>
              <w:rPr>
                <w:rFonts w:ascii="Arial" w:hAnsi="Arial"/>
                <w:bCs/>
                <w:szCs w:val="28"/>
              </w:rPr>
            </w:pPr>
            <w:bookmarkStart w:id="60" w:name="_Toc5517"/>
            <w:r>
              <w:rPr>
                <w:rFonts w:hint="eastAsia" w:ascii="Arial" w:hAnsi="Arial"/>
                <w:bCs/>
                <w:szCs w:val="28"/>
              </w:rPr>
              <w:t>详见第一章 招标公告。</w:t>
            </w:r>
            <w:bookmarkEnd w:id="60"/>
          </w:p>
        </w:tc>
      </w:tr>
      <w:tr w14:paraId="3DF97B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65" w:type="dxa"/>
            <w:vAlign w:val="center"/>
          </w:tcPr>
          <w:p w14:paraId="42F204E9">
            <w:pPr>
              <w:snapToGrid w:val="0"/>
              <w:spacing w:line="400" w:lineRule="exact"/>
              <w:jc w:val="center"/>
              <w:outlineLvl w:val="1"/>
              <w:rPr>
                <w:rFonts w:ascii="Arial" w:hAnsi="Arial"/>
                <w:b/>
                <w:szCs w:val="28"/>
              </w:rPr>
            </w:pPr>
            <w:bookmarkStart w:id="61" w:name="_Toc29841"/>
            <w:r>
              <w:rPr>
                <w:rFonts w:hint="eastAsia" w:ascii="Arial" w:hAnsi="Arial"/>
                <w:b/>
                <w:szCs w:val="28"/>
              </w:rPr>
              <w:t>二</w:t>
            </w:r>
            <w:bookmarkEnd w:id="61"/>
          </w:p>
        </w:tc>
        <w:tc>
          <w:tcPr>
            <w:tcW w:w="3705" w:type="dxa"/>
            <w:vAlign w:val="center"/>
          </w:tcPr>
          <w:p w14:paraId="59B34811">
            <w:pPr>
              <w:snapToGrid w:val="0"/>
              <w:spacing w:line="400" w:lineRule="exact"/>
              <w:outlineLvl w:val="1"/>
              <w:rPr>
                <w:rFonts w:ascii="Arial" w:hAnsi="Arial"/>
                <w:bCs/>
                <w:szCs w:val="28"/>
              </w:rPr>
            </w:pPr>
            <w:bookmarkStart w:id="62" w:name="_Toc25071"/>
            <w:r>
              <w:rPr>
                <w:rFonts w:hint="eastAsia" w:ascii="Arial" w:hAnsi="Arial"/>
                <w:bCs/>
                <w:szCs w:val="28"/>
              </w:rPr>
              <w:t>采购标的需执行的国家相关标准、行业标准、地方标准或者其他标准规范</w:t>
            </w:r>
            <w:bookmarkEnd w:id="62"/>
          </w:p>
        </w:tc>
        <w:tc>
          <w:tcPr>
            <w:tcW w:w="4545" w:type="dxa"/>
            <w:vAlign w:val="center"/>
          </w:tcPr>
          <w:p w14:paraId="4DE0A3D2">
            <w:pPr>
              <w:snapToGrid w:val="0"/>
              <w:spacing w:line="400" w:lineRule="exact"/>
              <w:outlineLvl w:val="1"/>
              <w:rPr>
                <w:rFonts w:ascii="Arial" w:hAnsi="Arial"/>
                <w:bCs/>
                <w:szCs w:val="28"/>
              </w:rPr>
            </w:pPr>
            <w:bookmarkStart w:id="63" w:name="_Toc25547"/>
            <w:r>
              <w:rPr>
                <w:rFonts w:hint="eastAsia" w:ascii="Arial" w:hAnsi="Arial"/>
                <w:bCs/>
                <w:szCs w:val="28"/>
              </w:rPr>
              <w:t>供应商应使用本次招标的项目所需的标准和规范的最新版本。</w:t>
            </w:r>
            <w:bookmarkEnd w:id="63"/>
          </w:p>
        </w:tc>
      </w:tr>
      <w:tr w14:paraId="35806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65" w:type="dxa"/>
            <w:vAlign w:val="center"/>
          </w:tcPr>
          <w:p w14:paraId="27036033">
            <w:pPr>
              <w:snapToGrid w:val="0"/>
              <w:spacing w:line="400" w:lineRule="exact"/>
              <w:jc w:val="center"/>
              <w:outlineLvl w:val="1"/>
              <w:rPr>
                <w:rFonts w:ascii="Arial" w:hAnsi="Arial"/>
                <w:b/>
                <w:szCs w:val="28"/>
              </w:rPr>
            </w:pPr>
            <w:bookmarkStart w:id="64" w:name="_Toc1218"/>
            <w:r>
              <w:rPr>
                <w:rFonts w:hint="eastAsia" w:ascii="Arial" w:hAnsi="Arial"/>
                <w:b/>
                <w:szCs w:val="28"/>
              </w:rPr>
              <w:t>三</w:t>
            </w:r>
            <w:bookmarkEnd w:id="64"/>
          </w:p>
        </w:tc>
        <w:tc>
          <w:tcPr>
            <w:tcW w:w="3705" w:type="dxa"/>
            <w:vAlign w:val="center"/>
          </w:tcPr>
          <w:p w14:paraId="478E4CAF">
            <w:pPr>
              <w:snapToGrid w:val="0"/>
              <w:spacing w:line="400" w:lineRule="exact"/>
              <w:outlineLvl w:val="1"/>
              <w:rPr>
                <w:rFonts w:ascii="Arial" w:hAnsi="Arial"/>
                <w:bCs/>
                <w:szCs w:val="28"/>
              </w:rPr>
            </w:pPr>
            <w:bookmarkStart w:id="65" w:name="_Toc24806"/>
            <w:r>
              <w:rPr>
                <w:rFonts w:hint="eastAsia" w:ascii="Arial" w:hAnsi="Arial"/>
                <w:bCs/>
                <w:szCs w:val="28"/>
              </w:rPr>
              <w:t>采购标的需满足的质量、安全、技术规格、物理特性等要求</w:t>
            </w:r>
            <w:bookmarkEnd w:id="65"/>
          </w:p>
        </w:tc>
        <w:tc>
          <w:tcPr>
            <w:tcW w:w="4545" w:type="dxa"/>
            <w:vAlign w:val="center"/>
          </w:tcPr>
          <w:p w14:paraId="3920AC58">
            <w:pPr>
              <w:snapToGrid w:val="0"/>
              <w:spacing w:line="400" w:lineRule="exact"/>
              <w:outlineLvl w:val="1"/>
              <w:rPr>
                <w:rFonts w:ascii="Arial" w:hAnsi="Arial"/>
                <w:bCs/>
                <w:szCs w:val="28"/>
              </w:rPr>
            </w:pPr>
            <w:bookmarkStart w:id="66" w:name="_Toc14160"/>
            <w:r>
              <w:rPr>
                <w:rFonts w:hint="eastAsia" w:ascii="Arial" w:hAnsi="Arial"/>
                <w:bCs/>
                <w:szCs w:val="28"/>
              </w:rPr>
              <w:t>详见第三章 采购需求 第一条。</w:t>
            </w:r>
            <w:bookmarkEnd w:id="66"/>
          </w:p>
        </w:tc>
      </w:tr>
      <w:tr w14:paraId="32499A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65" w:type="dxa"/>
            <w:vAlign w:val="center"/>
          </w:tcPr>
          <w:p w14:paraId="1ACE9396">
            <w:pPr>
              <w:snapToGrid w:val="0"/>
              <w:spacing w:line="400" w:lineRule="exact"/>
              <w:jc w:val="center"/>
              <w:outlineLvl w:val="1"/>
              <w:rPr>
                <w:rFonts w:ascii="Arial" w:hAnsi="Arial"/>
                <w:b/>
                <w:szCs w:val="28"/>
              </w:rPr>
            </w:pPr>
            <w:bookmarkStart w:id="67" w:name="_Toc15299"/>
            <w:r>
              <w:rPr>
                <w:rFonts w:hint="eastAsia" w:ascii="Arial" w:hAnsi="Arial"/>
                <w:bCs/>
                <w:szCs w:val="28"/>
              </w:rPr>
              <w:t>四</w:t>
            </w:r>
            <w:bookmarkEnd w:id="67"/>
          </w:p>
        </w:tc>
        <w:tc>
          <w:tcPr>
            <w:tcW w:w="3705" w:type="dxa"/>
            <w:vAlign w:val="center"/>
          </w:tcPr>
          <w:p w14:paraId="0200A05C">
            <w:pPr>
              <w:snapToGrid w:val="0"/>
              <w:spacing w:line="400" w:lineRule="exact"/>
              <w:outlineLvl w:val="1"/>
              <w:rPr>
                <w:rFonts w:ascii="Arial" w:hAnsi="Arial"/>
                <w:bCs/>
                <w:szCs w:val="28"/>
              </w:rPr>
            </w:pPr>
            <w:bookmarkStart w:id="68" w:name="_Toc32449"/>
            <w:r>
              <w:rPr>
                <w:rFonts w:hint="eastAsia" w:ascii="Arial" w:hAnsi="Arial"/>
                <w:bCs/>
                <w:szCs w:val="28"/>
              </w:rPr>
              <w:t>采购标的数量、采购项目交付或者实施的时间和地点</w:t>
            </w:r>
            <w:bookmarkEnd w:id="68"/>
          </w:p>
        </w:tc>
        <w:tc>
          <w:tcPr>
            <w:tcW w:w="4545" w:type="dxa"/>
            <w:vAlign w:val="center"/>
          </w:tcPr>
          <w:p w14:paraId="6D14AC1B">
            <w:pPr>
              <w:snapToGrid w:val="0"/>
              <w:spacing w:line="400" w:lineRule="exact"/>
              <w:outlineLvl w:val="1"/>
              <w:rPr>
                <w:rFonts w:ascii="Arial" w:hAnsi="Arial"/>
                <w:bCs/>
                <w:szCs w:val="28"/>
              </w:rPr>
            </w:pPr>
            <w:bookmarkStart w:id="69" w:name="_Toc20083"/>
            <w:r>
              <w:rPr>
                <w:rFonts w:hint="eastAsia" w:ascii="Arial" w:hAnsi="Arial"/>
                <w:bCs/>
                <w:szCs w:val="28"/>
              </w:rPr>
              <w:t>采购标的数量、实施的时间（即合同履约期限）：详见第一章 招标公告。</w:t>
            </w:r>
            <w:bookmarkEnd w:id="69"/>
          </w:p>
          <w:p w14:paraId="4D1B7AFA">
            <w:pPr>
              <w:snapToGrid w:val="0"/>
              <w:spacing w:line="400" w:lineRule="exact"/>
              <w:outlineLvl w:val="1"/>
              <w:rPr>
                <w:rFonts w:ascii="Arial" w:hAnsi="Arial" w:cs="Arial"/>
                <w:szCs w:val="21"/>
              </w:rPr>
            </w:pPr>
            <w:bookmarkStart w:id="70" w:name="_Toc14409"/>
            <w:r>
              <w:rPr>
                <w:rFonts w:hint="eastAsia" w:ascii="Arial" w:hAnsi="Arial" w:cs="Arial"/>
                <w:szCs w:val="21"/>
              </w:rPr>
              <w:t>实施的地点：业主指定。</w:t>
            </w:r>
            <w:bookmarkEnd w:id="70"/>
          </w:p>
        </w:tc>
      </w:tr>
      <w:tr w14:paraId="6A25E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65" w:type="dxa"/>
            <w:vAlign w:val="center"/>
          </w:tcPr>
          <w:p w14:paraId="4CB00D8D">
            <w:pPr>
              <w:snapToGrid w:val="0"/>
              <w:spacing w:line="400" w:lineRule="exact"/>
              <w:jc w:val="center"/>
              <w:outlineLvl w:val="1"/>
              <w:rPr>
                <w:rFonts w:ascii="Arial" w:hAnsi="Arial"/>
                <w:b/>
                <w:szCs w:val="28"/>
              </w:rPr>
            </w:pPr>
            <w:bookmarkStart w:id="71" w:name="_Toc18229"/>
            <w:r>
              <w:rPr>
                <w:rFonts w:hint="eastAsia" w:ascii="Arial" w:hAnsi="Arial"/>
                <w:bCs/>
                <w:szCs w:val="28"/>
              </w:rPr>
              <w:t>五</w:t>
            </w:r>
            <w:bookmarkEnd w:id="71"/>
          </w:p>
        </w:tc>
        <w:tc>
          <w:tcPr>
            <w:tcW w:w="3705" w:type="dxa"/>
            <w:vAlign w:val="center"/>
          </w:tcPr>
          <w:p w14:paraId="1904B4D0">
            <w:pPr>
              <w:snapToGrid w:val="0"/>
              <w:spacing w:line="400" w:lineRule="exact"/>
              <w:outlineLvl w:val="1"/>
              <w:rPr>
                <w:rFonts w:ascii="Arial" w:hAnsi="Arial"/>
                <w:bCs/>
                <w:szCs w:val="28"/>
              </w:rPr>
            </w:pPr>
            <w:bookmarkStart w:id="72" w:name="_Toc28572"/>
            <w:r>
              <w:rPr>
                <w:rFonts w:hint="eastAsia" w:ascii="Arial" w:hAnsi="Arial"/>
                <w:bCs/>
                <w:szCs w:val="28"/>
              </w:rPr>
              <w:t>采购标的需满足的服务标准、期限、效率等要求</w:t>
            </w:r>
            <w:bookmarkEnd w:id="72"/>
          </w:p>
        </w:tc>
        <w:tc>
          <w:tcPr>
            <w:tcW w:w="4545" w:type="dxa"/>
            <w:vAlign w:val="center"/>
          </w:tcPr>
          <w:p w14:paraId="64995A30">
            <w:pPr>
              <w:snapToGrid w:val="0"/>
              <w:spacing w:line="400" w:lineRule="exact"/>
              <w:outlineLvl w:val="1"/>
              <w:rPr>
                <w:rFonts w:ascii="Arial" w:hAnsi="Arial"/>
                <w:bCs/>
                <w:szCs w:val="28"/>
              </w:rPr>
            </w:pPr>
            <w:bookmarkStart w:id="73" w:name="_Toc1939"/>
            <w:r>
              <w:rPr>
                <w:rFonts w:hint="eastAsia" w:ascii="Arial" w:hAnsi="Arial"/>
                <w:bCs/>
                <w:szCs w:val="28"/>
              </w:rPr>
              <w:t>详见第三章 采购需求 第一条。</w:t>
            </w:r>
            <w:bookmarkEnd w:id="73"/>
          </w:p>
        </w:tc>
      </w:tr>
      <w:tr w14:paraId="0AB51F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65" w:type="dxa"/>
            <w:vAlign w:val="center"/>
          </w:tcPr>
          <w:p w14:paraId="4A1C61F1">
            <w:pPr>
              <w:snapToGrid w:val="0"/>
              <w:spacing w:line="400" w:lineRule="exact"/>
              <w:jc w:val="center"/>
              <w:outlineLvl w:val="1"/>
              <w:rPr>
                <w:rFonts w:ascii="Arial" w:hAnsi="Arial"/>
                <w:b/>
                <w:szCs w:val="28"/>
              </w:rPr>
            </w:pPr>
            <w:bookmarkStart w:id="74" w:name="_Toc6685"/>
            <w:r>
              <w:rPr>
                <w:rFonts w:hint="eastAsia" w:ascii="Arial" w:hAnsi="Arial"/>
                <w:bCs/>
                <w:szCs w:val="28"/>
              </w:rPr>
              <w:t>六</w:t>
            </w:r>
            <w:bookmarkEnd w:id="74"/>
          </w:p>
        </w:tc>
        <w:tc>
          <w:tcPr>
            <w:tcW w:w="3705" w:type="dxa"/>
            <w:vAlign w:val="center"/>
          </w:tcPr>
          <w:p w14:paraId="3DE62973">
            <w:pPr>
              <w:snapToGrid w:val="0"/>
              <w:spacing w:line="400" w:lineRule="exact"/>
              <w:outlineLvl w:val="1"/>
              <w:rPr>
                <w:rFonts w:ascii="Arial" w:hAnsi="Arial"/>
                <w:bCs/>
                <w:szCs w:val="28"/>
              </w:rPr>
            </w:pPr>
            <w:bookmarkStart w:id="75" w:name="_Toc26976"/>
            <w:r>
              <w:rPr>
                <w:rFonts w:hint="eastAsia" w:ascii="Arial" w:hAnsi="Arial"/>
                <w:bCs/>
                <w:szCs w:val="28"/>
              </w:rPr>
              <w:t>采购标的验收标准</w:t>
            </w:r>
            <w:bookmarkEnd w:id="75"/>
          </w:p>
        </w:tc>
        <w:tc>
          <w:tcPr>
            <w:tcW w:w="4545" w:type="dxa"/>
            <w:vAlign w:val="center"/>
          </w:tcPr>
          <w:p w14:paraId="41D104E2">
            <w:pPr>
              <w:snapToGrid w:val="0"/>
              <w:spacing w:line="400" w:lineRule="exact"/>
              <w:outlineLvl w:val="1"/>
              <w:rPr>
                <w:rFonts w:ascii="Arial" w:hAnsi="Arial"/>
                <w:bCs/>
                <w:szCs w:val="28"/>
              </w:rPr>
            </w:pPr>
            <w:bookmarkStart w:id="76" w:name="_Toc25700"/>
            <w:r>
              <w:rPr>
                <w:rFonts w:hint="eastAsia" w:ascii="Arial" w:hAnsi="Arial"/>
                <w:bCs/>
                <w:szCs w:val="21"/>
              </w:rPr>
              <w:t>按照中标人提供的投标文件、中标人和采购人签订的政府采购合同为标准进行验收</w:t>
            </w:r>
            <w:r>
              <w:rPr>
                <w:rFonts w:hint="eastAsia" w:ascii="Arial" w:hAnsi="Arial"/>
                <w:bCs/>
                <w:szCs w:val="28"/>
              </w:rPr>
              <w:t>。</w:t>
            </w:r>
            <w:bookmarkEnd w:id="76"/>
          </w:p>
        </w:tc>
      </w:tr>
      <w:tr w14:paraId="77FDC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65" w:type="dxa"/>
            <w:vAlign w:val="center"/>
          </w:tcPr>
          <w:p w14:paraId="6180A3F3">
            <w:pPr>
              <w:snapToGrid w:val="0"/>
              <w:spacing w:line="400" w:lineRule="exact"/>
              <w:jc w:val="center"/>
              <w:outlineLvl w:val="1"/>
              <w:rPr>
                <w:rFonts w:ascii="Arial" w:hAnsi="Arial"/>
                <w:b/>
                <w:szCs w:val="28"/>
              </w:rPr>
            </w:pPr>
            <w:bookmarkStart w:id="77" w:name="_Toc159"/>
            <w:r>
              <w:rPr>
                <w:rFonts w:hint="eastAsia" w:ascii="Arial" w:hAnsi="Arial"/>
                <w:bCs/>
                <w:szCs w:val="28"/>
              </w:rPr>
              <w:t>七</w:t>
            </w:r>
            <w:bookmarkEnd w:id="77"/>
          </w:p>
        </w:tc>
        <w:tc>
          <w:tcPr>
            <w:tcW w:w="3705" w:type="dxa"/>
            <w:vAlign w:val="center"/>
          </w:tcPr>
          <w:p w14:paraId="1F1E7C78">
            <w:pPr>
              <w:snapToGrid w:val="0"/>
              <w:spacing w:line="400" w:lineRule="exact"/>
              <w:outlineLvl w:val="1"/>
              <w:rPr>
                <w:rFonts w:ascii="Arial" w:hAnsi="Arial"/>
                <w:bCs/>
                <w:szCs w:val="28"/>
              </w:rPr>
            </w:pPr>
            <w:bookmarkStart w:id="78" w:name="_Toc27916"/>
            <w:r>
              <w:rPr>
                <w:rFonts w:hint="eastAsia" w:ascii="Arial" w:hAnsi="Arial"/>
                <w:bCs/>
                <w:szCs w:val="28"/>
              </w:rPr>
              <w:t>采购标的其他技术、服务等要求</w:t>
            </w:r>
            <w:bookmarkEnd w:id="78"/>
          </w:p>
        </w:tc>
        <w:tc>
          <w:tcPr>
            <w:tcW w:w="4545" w:type="dxa"/>
            <w:vAlign w:val="center"/>
          </w:tcPr>
          <w:p w14:paraId="6F99BD3D">
            <w:pPr>
              <w:snapToGrid w:val="0"/>
              <w:spacing w:line="400" w:lineRule="exact"/>
              <w:outlineLvl w:val="1"/>
              <w:rPr>
                <w:rFonts w:ascii="Arial" w:hAnsi="Arial"/>
                <w:bCs/>
                <w:szCs w:val="28"/>
              </w:rPr>
            </w:pPr>
            <w:bookmarkStart w:id="79" w:name="_Toc27032"/>
            <w:r>
              <w:rPr>
                <w:rFonts w:hint="eastAsia" w:ascii="Arial" w:hAnsi="Arial"/>
                <w:bCs/>
                <w:szCs w:val="28"/>
              </w:rPr>
              <w:t>详见第三章 采购需求 第二条。</w:t>
            </w:r>
            <w:bookmarkEnd w:id="79"/>
          </w:p>
        </w:tc>
      </w:tr>
      <w:tr w14:paraId="7173AB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65" w:type="dxa"/>
            <w:vAlign w:val="center"/>
          </w:tcPr>
          <w:p w14:paraId="5F0CB6E9">
            <w:pPr>
              <w:snapToGrid w:val="0"/>
              <w:spacing w:line="400" w:lineRule="exact"/>
              <w:jc w:val="center"/>
              <w:outlineLvl w:val="1"/>
              <w:rPr>
                <w:rFonts w:ascii="Arial" w:hAnsi="Arial"/>
                <w:b/>
                <w:szCs w:val="28"/>
              </w:rPr>
            </w:pPr>
            <w:bookmarkStart w:id="80" w:name="_Toc24302"/>
            <w:r>
              <w:rPr>
                <w:rFonts w:hint="eastAsia" w:ascii="Arial" w:hAnsi="Arial"/>
                <w:bCs/>
                <w:szCs w:val="28"/>
              </w:rPr>
              <w:t>八</w:t>
            </w:r>
            <w:bookmarkEnd w:id="80"/>
          </w:p>
        </w:tc>
        <w:tc>
          <w:tcPr>
            <w:tcW w:w="3705" w:type="dxa"/>
            <w:vAlign w:val="center"/>
          </w:tcPr>
          <w:p w14:paraId="05D1E8C8">
            <w:pPr>
              <w:snapToGrid w:val="0"/>
              <w:spacing w:line="400" w:lineRule="exact"/>
              <w:outlineLvl w:val="1"/>
              <w:rPr>
                <w:rFonts w:ascii="Arial" w:hAnsi="Arial"/>
                <w:bCs/>
                <w:szCs w:val="28"/>
              </w:rPr>
            </w:pPr>
            <w:bookmarkStart w:id="81" w:name="_Toc27818"/>
            <w:r>
              <w:rPr>
                <w:rFonts w:hint="eastAsia" w:ascii="Arial" w:hAnsi="Arial"/>
                <w:bCs/>
                <w:szCs w:val="28"/>
              </w:rPr>
              <w:t>核心产品</w:t>
            </w:r>
            <w:bookmarkEnd w:id="81"/>
          </w:p>
        </w:tc>
        <w:tc>
          <w:tcPr>
            <w:tcW w:w="4545" w:type="dxa"/>
            <w:vAlign w:val="center"/>
          </w:tcPr>
          <w:p w14:paraId="60DBF5DB">
            <w:pPr>
              <w:snapToGrid w:val="0"/>
              <w:spacing w:line="400" w:lineRule="exact"/>
              <w:outlineLvl w:val="1"/>
              <w:rPr>
                <w:rFonts w:ascii="Arial" w:hAnsi="Arial"/>
                <w:bCs/>
                <w:szCs w:val="28"/>
              </w:rPr>
            </w:pPr>
            <w:bookmarkStart w:id="82" w:name="_Toc11825"/>
            <w:r>
              <w:rPr>
                <w:rFonts w:hint="eastAsia" w:ascii="Arial" w:hAnsi="Arial"/>
                <w:bCs/>
                <w:szCs w:val="28"/>
              </w:rPr>
              <w:t>详见第二章 供应商须知 前附表。</w:t>
            </w:r>
            <w:bookmarkEnd w:id="82"/>
          </w:p>
        </w:tc>
      </w:tr>
      <w:tr w14:paraId="42772D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65" w:type="dxa"/>
            <w:vAlign w:val="center"/>
          </w:tcPr>
          <w:p w14:paraId="7D75D90D">
            <w:pPr>
              <w:snapToGrid w:val="0"/>
              <w:spacing w:line="400" w:lineRule="exact"/>
              <w:jc w:val="center"/>
              <w:outlineLvl w:val="1"/>
              <w:rPr>
                <w:rFonts w:ascii="Arial" w:hAnsi="Arial"/>
                <w:b/>
                <w:szCs w:val="28"/>
              </w:rPr>
            </w:pPr>
            <w:bookmarkStart w:id="83" w:name="_Toc19865"/>
            <w:r>
              <w:rPr>
                <w:rFonts w:hint="eastAsia" w:ascii="Arial" w:hAnsi="Arial"/>
                <w:bCs/>
                <w:szCs w:val="28"/>
              </w:rPr>
              <w:t>九</w:t>
            </w:r>
            <w:bookmarkEnd w:id="83"/>
          </w:p>
        </w:tc>
        <w:tc>
          <w:tcPr>
            <w:tcW w:w="3705" w:type="dxa"/>
            <w:vAlign w:val="center"/>
          </w:tcPr>
          <w:p w14:paraId="2D14C4EE">
            <w:pPr>
              <w:snapToGrid w:val="0"/>
              <w:spacing w:line="400" w:lineRule="exact"/>
              <w:outlineLvl w:val="1"/>
              <w:rPr>
                <w:rFonts w:ascii="Arial" w:hAnsi="Arial"/>
                <w:bCs/>
                <w:szCs w:val="28"/>
              </w:rPr>
            </w:pPr>
            <w:bookmarkStart w:id="84" w:name="_Toc5846"/>
            <w:r>
              <w:rPr>
                <w:rFonts w:hint="eastAsia" w:ascii="Arial" w:hAnsi="Arial"/>
              </w:rPr>
              <w:t>现场踏勘</w:t>
            </w:r>
            <w:bookmarkEnd w:id="84"/>
          </w:p>
        </w:tc>
        <w:tc>
          <w:tcPr>
            <w:tcW w:w="4545" w:type="dxa"/>
            <w:vAlign w:val="center"/>
          </w:tcPr>
          <w:p w14:paraId="10D3A605">
            <w:pPr>
              <w:snapToGrid w:val="0"/>
              <w:spacing w:line="400" w:lineRule="exact"/>
              <w:outlineLvl w:val="1"/>
              <w:rPr>
                <w:rFonts w:ascii="Arial" w:hAnsi="Arial"/>
                <w:szCs w:val="21"/>
              </w:rPr>
            </w:pPr>
            <w:bookmarkStart w:id="85" w:name="_Toc2670"/>
            <w:r>
              <w:rPr>
                <w:rFonts w:hint="eastAsia" w:ascii="Arial" w:hAnsi="Arial"/>
              </w:rPr>
              <w:t>1、本项目各潜在供应商宜按采购文件第二章 供应商须知前附表“开标前答疑会或现场考察”要求进行现场踏勘</w:t>
            </w:r>
            <w:r>
              <w:rPr>
                <w:rFonts w:hint="eastAsia" w:ascii="Arial" w:hAnsi="Arial"/>
                <w:szCs w:val="21"/>
              </w:rPr>
              <w:t>以充分了解项目位置、情况、道路、及任何其他足以影响本次报价的情况。</w:t>
            </w:r>
            <w:bookmarkEnd w:id="85"/>
          </w:p>
          <w:p w14:paraId="2294D334">
            <w:pPr>
              <w:snapToGrid w:val="0"/>
              <w:spacing w:line="400" w:lineRule="exact"/>
              <w:outlineLvl w:val="1"/>
              <w:rPr>
                <w:rFonts w:ascii="Arial" w:hAnsi="Arial"/>
                <w:bCs/>
                <w:szCs w:val="28"/>
              </w:rPr>
            </w:pPr>
            <w:bookmarkStart w:id="86" w:name="_Toc12459"/>
            <w:r>
              <w:rPr>
                <w:rFonts w:hint="eastAsia" w:ascii="Arial" w:hAnsi="Arial"/>
                <w:szCs w:val="21"/>
              </w:rPr>
              <w:t>2、任何因忽视或误解项目现场实际情况而导致的增加费用、索赔或期限延长申请将不获批准。</w:t>
            </w:r>
            <w:bookmarkEnd w:id="86"/>
          </w:p>
        </w:tc>
      </w:tr>
      <w:tr w14:paraId="227B5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65" w:type="dxa"/>
            <w:vAlign w:val="center"/>
          </w:tcPr>
          <w:p w14:paraId="71068BA0">
            <w:pPr>
              <w:snapToGrid w:val="0"/>
              <w:spacing w:line="400" w:lineRule="exact"/>
              <w:jc w:val="center"/>
              <w:outlineLvl w:val="1"/>
              <w:rPr>
                <w:rFonts w:ascii="Arial" w:hAnsi="Arial"/>
                <w:bCs/>
                <w:szCs w:val="28"/>
              </w:rPr>
            </w:pPr>
            <w:bookmarkStart w:id="87" w:name="_Toc11803"/>
            <w:r>
              <w:rPr>
                <w:rFonts w:hint="eastAsia" w:ascii="Arial" w:hAnsi="Arial"/>
                <w:bCs/>
                <w:szCs w:val="28"/>
              </w:rPr>
              <w:t>十</w:t>
            </w:r>
            <w:bookmarkEnd w:id="87"/>
          </w:p>
        </w:tc>
        <w:tc>
          <w:tcPr>
            <w:tcW w:w="3705" w:type="dxa"/>
            <w:vAlign w:val="center"/>
          </w:tcPr>
          <w:p w14:paraId="23277A87">
            <w:pPr>
              <w:snapToGrid w:val="0"/>
              <w:spacing w:line="400" w:lineRule="exact"/>
              <w:outlineLvl w:val="1"/>
              <w:rPr>
                <w:rFonts w:ascii="Arial" w:hAnsi="Arial"/>
              </w:rPr>
            </w:pPr>
            <w:bookmarkStart w:id="88" w:name="_Toc19397"/>
            <w:r>
              <w:rPr>
                <w:rFonts w:hint="eastAsia" w:ascii="Arial" w:hAnsi="Arial"/>
              </w:rPr>
              <w:t>样品</w:t>
            </w:r>
            <w:bookmarkEnd w:id="88"/>
          </w:p>
        </w:tc>
        <w:tc>
          <w:tcPr>
            <w:tcW w:w="4545" w:type="dxa"/>
            <w:vAlign w:val="center"/>
          </w:tcPr>
          <w:p w14:paraId="3C945B32">
            <w:pPr>
              <w:snapToGrid w:val="0"/>
              <w:spacing w:line="400" w:lineRule="exact"/>
              <w:outlineLvl w:val="1"/>
              <w:rPr>
                <w:rFonts w:ascii="Arial" w:hAnsi="Arial"/>
                <w:szCs w:val="22"/>
              </w:rPr>
            </w:pPr>
            <w:bookmarkStart w:id="89" w:name="_Toc15749"/>
            <w:r>
              <w:rPr>
                <w:rFonts w:hint="eastAsia" w:ascii="Arial" w:hAnsi="Arial"/>
                <w:bCs/>
                <w:szCs w:val="28"/>
              </w:rPr>
              <w:t>详见第二章 供应商须知 前附表。</w:t>
            </w:r>
            <w:bookmarkEnd w:id="89"/>
          </w:p>
        </w:tc>
      </w:tr>
    </w:tbl>
    <w:p w14:paraId="7003A760">
      <w:pPr>
        <w:pStyle w:val="4"/>
        <w:numPr>
          <w:ilvl w:val="1"/>
          <w:numId w:val="0"/>
        </w:numPr>
        <w:spacing w:before="0" w:after="0" w:line="360" w:lineRule="auto"/>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rPr>
        <w:br w:type="page"/>
      </w:r>
      <w:bookmarkStart w:id="90" w:name="_Toc8699"/>
      <w:bookmarkStart w:id="91" w:name="_Toc460857893"/>
      <w:r>
        <w:rPr>
          <w:rFonts w:ascii="Times New Roman" w:hAnsi="Times New Roman" w:eastAsia="宋体"/>
          <w:color w:val="000000" w:themeColor="text1"/>
          <w:sz w:val="21"/>
          <w:szCs w:val="21"/>
          <w14:textFill>
            <w14:solidFill>
              <w14:schemeClr w14:val="tx1"/>
            </w14:solidFill>
          </w14:textFill>
        </w:rPr>
        <w:t>一、商务需求</w:t>
      </w:r>
      <w:bookmarkEnd w:id="90"/>
      <w:bookmarkEnd w:id="91"/>
    </w:p>
    <w:bookmarkEnd w:id="15"/>
    <w:bookmarkEnd w:id="16"/>
    <w:bookmarkEnd w:id="17"/>
    <w:bookmarkEnd w:id="18"/>
    <w:bookmarkEnd w:id="19"/>
    <w:bookmarkEnd w:id="20"/>
    <w:tbl>
      <w:tblPr>
        <w:tblStyle w:val="44"/>
        <w:tblW w:w="8953"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059"/>
        <w:gridCol w:w="6894"/>
      </w:tblGrid>
      <w:tr w14:paraId="34AD9C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938" w:hRule="atLeast"/>
        </w:trPr>
        <w:tc>
          <w:tcPr>
            <w:tcW w:w="2059" w:type="dxa"/>
            <w:vAlign w:val="center"/>
          </w:tcPr>
          <w:p w14:paraId="5738EE62">
            <w:pPr>
              <w:spacing w:line="400" w:lineRule="exact"/>
              <w:jc w:val="center"/>
              <w:rPr>
                <w:szCs w:val="21"/>
              </w:rPr>
            </w:pPr>
            <w:bookmarkStart w:id="92" w:name="_Toc460416338"/>
            <w:bookmarkStart w:id="93" w:name="_Toc460416593"/>
            <w:bookmarkStart w:id="94" w:name="_Toc460416642"/>
            <w:r>
              <w:rPr>
                <w:rFonts w:hint="eastAsia"/>
                <w:szCs w:val="21"/>
              </w:rPr>
              <w:t>合同履约</w:t>
            </w:r>
            <w:r>
              <w:rPr>
                <w:szCs w:val="21"/>
              </w:rPr>
              <w:t>期限及地点</w:t>
            </w:r>
          </w:p>
        </w:tc>
        <w:tc>
          <w:tcPr>
            <w:tcW w:w="6894" w:type="dxa"/>
            <w:vAlign w:val="center"/>
          </w:tcPr>
          <w:p w14:paraId="3E1DFDA5">
            <w:pPr>
              <w:spacing w:line="400" w:lineRule="exact"/>
              <w:rPr>
                <w:szCs w:val="21"/>
              </w:rPr>
            </w:pPr>
            <w:r>
              <w:rPr>
                <w:rFonts w:hint="eastAsia"/>
                <w:szCs w:val="21"/>
              </w:rPr>
              <w:t>合同履约</w:t>
            </w:r>
            <w:r>
              <w:rPr>
                <w:szCs w:val="21"/>
              </w:rPr>
              <w:t>期限：</w:t>
            </w:r>
            <w:r>
              <w:rPr>
                <w:rFonts w:hint="eastAsia" w:ascii="Arial" w:hAnsi="Arial"/>
                <w:szCs w:val="22"/>
              </w:rPr>
              <w:t>签订合同且具备实施条件后30个工作日</w:t>
            </w:r>
            <w:r>
              <w:rPr>
                <w:rFonts w:hint="eastAsia" w:ascii="Arial" w:hAnsi="Arial" w:cs="宋体"/>
                <w:bCs/>
                <w:szCs w:val="21"/>
              </w:rPr>
              <w:t>完成供货安装调试。</w:t>
            </w:r>
          </w:p>
          <w:p w14:paraId="1F9866D4">
            <w:pPr>
              <w:spacing w:line="400" w:lineRule="exact"/>
            </w:pPr>
            <w:r>
              <w:rPr>
                <w:szCs w:val="21"/>
              </w:rPr>
              <w:t>地点：业主指定地点。</w:t>
            </w:r>
          </w:p>
        </w:tc>
      </w:tr>
      <w:tr w14:paraId="540FDD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50" w:hRule="atLeast"/>
        </w:trPr>
        <w:tc>
          <w:tcPr>
            <w:tcW w:w="2059" w:type="dxa"/>
            <w:vAlign w:val="center"/>
          </w:tcPr>
          <w:p w14:paraId="034EFBF2">
            <w:pPr>
              <w:spacing w:line="400" w:lineRule="exact"/>
              <w:jc w:val="center"/>
              <w:rPr>
                <w:szCs w:val="21"/>
              </w:rPr>
            </w:pPr>
            <w:r>
              <w:rPr>
                <w:szCs w:val="21"/>
              </w:rPr>
              <w:t>付款条件</w:t>
            </w:r>
          </w:p>
        </w:tc>
        <w:tc>
          <w:tcPr>
            <w:tcW w:w="6894" w:type="dxa"/>
            <w:vAlign w:val="center"/>
          </w:tcPr>
          <w:p w14:paraId="08242019">
            <w:pPr>
              <w:snapToGrid w:val="0"/>
              <w:spacing w:line="400" w:lineRule="exact"/>
              <w:rPr>
                <w:rFonts w:ascii="Arial" w:hAnsi="Arial" w:cs="Arial"/>
                <w:szCs w:val="21"/>
              </w:rPr>
            </w:pPr>
            <w:r>
              <w:rPr>
                <w:rFonts w:hint="eastAsia" w:ascii="Arial" w:hAnsi="Arial" w:cs="Arial"/>
                <w:szCs w:val="21"/>
              </w:rPr>
              <w:t>1、预付款：在合同生效以及具备实施条件后7个工作日内支付，采购人向中标人支付合同总额40％（供应商明确表示降低或放弃预付款的可不受此限）；</w:t>
            </w:r>
          </w:p>
          <w:p w14:paraId="6CF026DD">
            <w:pPr>
              <w:adjustRightInd w:val="0"/>
              <w:snapToGrid w:val="0"/>
              <w:spacing w:line="400" w:lineRule="exact"/>
            </w:pPr>
            <w:r>
              <w:rPr>
                <w:rFonts w:hint="eastAsia" w:ascii="Arial" w:hAnsi="Arial" w:cs="Arial"/>
                <w:szCs w:val="21"/>
              </w:rPr>
              <w:t>2、货到安装调试并通过采购人验收合格后7个工作日内，采购人支付至合同总价的100%（凭</w:t>
            </w:r>
            <w:r>
              <w:rPr>
                <w:rFonts w:hint="eastAsia" w:ascii="Arial" w:hAnsi="Arial" w:cs="Arial"/>
                <w:szCs w:val="21"/>
                <w:lang w:val="en-US" w:eastAsia="zh-CN"/>
              </w:rPr>
              <w:t>正规</w:t>
            </w:r>
            <w:r>
              <w:rPr>
                <w:rFonts w:hint="eastAsia" w:ascii="Arial" w:hAnsi="Arial" w:cs="Arial"/>
                <w:szCs w:val="21"/>
              </w:rPr>
              <w:t>发票）。</w:t>
            </w:r>
          </w:p>
        </w:tc>
      </w:tr>
      <w:tr w14:paraId="55F643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53" w:hRule="atLeast"/>
        </w:trPr>
        <w:tc>
          <w:tcPr>
            <w:tcW w:w="2059" w:type="dxa"/>
            <w:vAlign w:val="center"/>
          </w:tcPr>
          <w:p w14:paraId="7FB3E6F4">
            <w:pPr>
              <w:spacing w:line="400" w:lineRule="exact"/>
              <w:jc w:val="center"/>
              <w:rPr>
                <w:szCs w:val="21"/>
              </w:rPr>
            </w:pPr>
            <w:r>
              <w:rPr>
                <w:szCs w:val="21"/>
              </w:rPr>
              <w:t>质保期</w:t>
            </w:r>
          </w:p>
        </w:tc>
        <w:tc>
          <w:tcPr>
            <w:tcW w:w="6894" w:type="dxa"/>
            <w:vAlign w:val="center"/>
          </w:tcPr>
          <w:p w14:paraId="33B01255">
            <w:pPr>
              <w:numPr>
                <w:ilvl w:val="0"/>
                <w:numId w:val="11"/>
              </w:numPr>
              <w:snapToGrid w:val="0"/>
              <w:spacing w:line="400" w:lineRule="exact"/>
              <w:jc w:val="left"/>
              <w:rPr>
                <w:szCs w:val="21"/>
              </w:rPr>
            </w:pPr>
            <w:r>
              <w:rPr>
                <w:rFonts w:hint="eastAsia" w:ascii="Arial" w:hAnsi="Arial" w:cs="Arial"/>
                <w:bCs/>
                <w:szCs w:val="21"/>
              </w:rPr>
              <w:t>产品经采购人验收合格之日起提供3年的质保。质保期内产生的维修费及维修替换损坏的部件费均无偿免费（人为损坏除外）提供。质保期外，供应商只承担免费维修费，维修需替换的部件费，另按实结算。</w:t>
            </w:r>
          </w:p>
          <w:p w14:paraId="04BC0BBE">
            <w:pPr>
              <w:numPr>
                <w:ilvl w:val="0"/>
                <w:numId w:val="11"/>
              </w:numPr>
              <w:snapToGrid w:val="0"/>
              <w:spacing w:line="400" w:lineRule="exact"/>
              <w:jc w:val="left"/>
              <w:rPr>
                <w:szCs w:val="21"/>
              </w:rPr>
            </w:pPr>
            <w:r>
              <w:rPr>
                <w:szCs w:val="21"/>
              </w:rPr>
              <w:t>在质保期内，投标人须免费负责修理和替换任何由于质量问题造成的损坏及故障。保修期间维修、零件更换、校准、人工、差旅等一切费用由供应商负担。</w:t>
            </w:r>
          </w:p>
          <w:p w14:paraId="3D1B28BA">
            <w:pPr>
              <w:spacing w:line="400" w:lineRule="exact"/>
            </w:pPr>
            <w:r>
              <w:rPr>
                <w:rFonts w:hint="eastAsia"/>
              </w:rPr>
              <w:t>3</w:t>
            </w:r>
            <w:r>
              <w:t>、</w:t>
            </w:r>
            <w:r>
              <w:rPr>
                <w:bCs/>
                <w:szCs w:val="21"/>
              </w:rPr>
              <w:t>质保期内被免费更换的</w:t>
            </w:r>
            <w:r>
              <w:rPr>
                <w:rFonts w:hint="eastAsia"/>
                <w:bCs/>
                <w:szCs w:val="21"/>
              </w:rPr>
              <w:t>设备</w:t>
            </w:r>
            <w:r>
              <w:rPr>
                <w:bCs/>
                <w:szCs w:val="21"/>
              </w:rPr>
              <w:t>质量保证：自更换之日起计</w:t>
            </w:r>
            <w:r>
              <w:rPr>
                <w:rFonts w:hint="eastAsia"/>
                <w:bCs/>
                <w:szCs w:val="21"/>
              </w:rPr>
              <w:t>3</w:t>
            </w:r>
            <w:r>
              <w:rPr>
                <w:bCs/>
                <w:szCs w:val="21"/>
              </w:rPr>
              <w:t>年</w:t>
            </w:r>
            <w:r>
              <w:rPr>
                <w:rFonts w:hint="eastAsia"/>
                <w:bCs/>
                <w:szCs w:val="21"/>
              </w:rPr>
              <w:t>。</w:t>
            </w:r>
          </w:p>
        </w:tc>
      </w:tr>
      <w:tr w14:paraId="2CC431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53" w:hRule="atLeast"/>
        </w:trPr>
        <w:tc>
          <w:tcPr>
            <w:tcW w:w="2059" w:type="dxa"/>
            <w:vAlign w:val="center"/>
          </w:tcPr>
          <w:p w14:paraId="6399E66B">
            <w:pPr>
              <w:snapToGrid w:val="0"/>
              <w:spacing w:line="400" w:lineRule="exact"/>
              <w:jc w:val="center"/>
              <w:rPr>
                <w:szCs w:val="21"/>
              </w:rPr>
            </w:pPr>
            <w:r>
              <w:rPr>
                <w:szCs w:val="21"/>
              </w:rPr>
              <w:t>伴随服务</w:t>
            </w:r>
          </w:p>
        </w:tc>
        <w:tc>
          <w:tcPr>
            <w:tcW w:w="6894" w:type="dxa"/>
            <w:vAlign w:val="center"/>
          </w:tcPr>
          <w:p w14:paraId="22297D9A">
            <w:pPr>
              <w:snapToGrid w:val="0"/>
              <w:spacing w:line="400" w:lineRule="exact"/>
              <w:rPr>
                <w:szCs w:val="21"/>
              </w:rPr>
            </w:pPr>
            <w:r>
              <w:rPr>
                <w:szCs w:val="21"/>
              </w:rPr>
              <w:t>货物的设计、制造、出厂检测、运输、保险、装卸，货物现场保管、安装、调试、培训等实施本项目至验收合格所包含的一切服务，费用包含在投标报价中。</w:t>
            </w:r>
          </w:p>
        </w:tc>
      </w:tr>
      <w:tr w14:paraId="265340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24" w:hRule="atLeast"/>
        </w:trPr>
        <w:tc>
          <w:tcPr>
            <w:tcW w:w="2059" w:type="dxa"/>
            <w:vAlign w:val="center"/>
          </w:tcPr>
          <w:p w14:paraId="7DAD8EF6">
            <w:pPr>
              <w:spacing w:line="400" w:lineRule="exact"/>
              <w:jc w:val="center"/>
              <w:rPr>
                <w:szCs w:val="21"/>
              </w:rPr>
            </w:pPr>
            <w:r>
              <w:rPr>
                <w:szCs w:val="21"/>
              </w:rPr>
              <w:t>售后服务要求</w:t>
            </w:r>
          </w:p>
        </w:tc>
        <w:tc>
          <w:tcPr>
            <w:tcW w:w="6894" w:type="dxa"/>
            <w:vAlign w:val="center"/>
          </w:tcPr>
          <w:p w14:paraId="06528209">
            <w:pPr>
              <w:spacing w:line="400" w:lineRule="exact"/>
              <w:rPr>
                <w:szCs w:val="21"/>
              </w:rPr>
            </w:pPr>
            <w:r>
              <w:rPr>
                <w:szCs w:val="21"/>
              </w:rPr>
              <w:t>售后服务的响应速度要求：若货物发生故障，应在</w:t>
            </w:r>
            <w:r>
              <w:rPr>
                <w:rFonts w:hint="eastAsia"/>
                <w:szCs w:val="21"/>
              </w:rPr>
              <w:t>4</w:t>
            </w:r>
            <w:r>
              <w:rPr>
                <w:szCs w:val="21"/>
              </w:rPr>
              <w:t>小时内响应，</w:t>
            </w:r>
            <w:r>
              <w:rPr>
                <w:rFonts w:hint="eastAsia"/>
                <w:szCs w:val="21"/>
              </w:rPr>
              <w:t>12</w:t>
            </w:r>
            <w:r>
              <w:rPr>
                <w:szCs w:val="21"/>
              </w:rPr>
              <w:t>小时内到达现场，24小时内不能修复的，则无偿提供备品供采购人使用。</w:t>
            </w:r>
          </w:p>
        </w:tc>
      </w:tr>
      <w:tr w14:paraId="678C09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9" w:hRule="atLeast"/>
        </w:trPr>
        <w:tc>
          <w:tcPr>
            <w:tcW w:w="2059" w:type="dxa"/>
            <w:vAlign w:val="center"/>
          </w:tcPr>
          <w:p w14:paraId="62E7E967">
            <w:pPr>
              <w:spacing w:line="400" w:lineRule="exact"/>
              <w:jc w:val="center"/>
              <w:rPr>
                <w:szCs w:val="21"/>
              </w:rPr>
            </w:pPr>
            <w:r>
              <w:rPr>
                <w:rFonts w:hint="eastAsia" w:ascii="宋体" w:hAnsi="宋体" w:cs="宋体"/>
                <w:bCs/>
                <w:sz w:val="20"/>
                <w:szCs w:val="20"/>
              </w:rPr>
              <w:t>★</w:t>
            </w:r>
            <w:r>
              <w:rPr>
                <w:rFonts w:hint="eastAsia"/>
                <w:szCs w:val="21"/>
              </w:rPr>
              <w:t>投标保证金</w:t>
            </w:r>
          </w:p>
        </w:tc>
        <w:tc>
          <w:tcPr>
            <w:tcW w:w="6894" w:type="dxa"/>
            <w:vAlign w:val="center"/>
          </w:tcPr>
          <w:p w14:paraId="75F20495">
            <w:pPr>
              <w:spacing w:line="400" w:lineRule="exact"/>
              <w:rPr>
                <w:szCs w:val="21"/>
              </w:rPr>
            </w:pPr>
            <w:r>
              <w:rPr>
                <w:rFonts w:hint="eastAsia"/>
                <w:szCs w:val="21"/>
              </w:rPr>
              <w:t>供应商在全国范围12个月内三次以上质疑不成立提起投诉查无实据的，由财政部门列入不良行为记录名单。</w:t>
            </w:r>
          </w:p>
          <w:p w14:paraId="60A6C51C">
            <w:pPr>
              <w:spacing w:line="400" w:lineRule="exact"/>
              <w:rPr>
                <w:szCs w:val="21"/>
              </w:rPr>
            </w:pPr>
            <w:r>
              <w:rPr>
                <w:rFonts w:hint="eastAsia"/>
                <w:szCs w:val="21"/>
              </w:rPr>
              <w:t>列入不良行为记录名单的供应商参加本项目政府采购活动的，须按照《中华人民共和国政府采购法实施条例》第三十三条、第四十八条规定缴纳投标保证金、履约保证金。</w:t>
            </w:r>
          </w:p>
          <w:p w14:paraId="78E49C1C">
            <w:pPr>
              <w:spacing w:line="400" w:lineRule="exact"/>
              <w:rPr>
                <w:szCs w:val="21"/>
              </w:rPr>
            </w:pPr>
            <w:r>
              <w:rPr>
                <w:rFonts w:hint="eastAsia"/>
                <w:szCs w:val="21"/>
              </w:rPr>
              <w:t>金额：预算金额的2%</w:t>
            </w:r>
          </w:p>
          <w:p w14:paraId="7545CF50">
            <w:pPr>
              <w:spacing w:line="400" w:lineRule="exact"/>
              <w:rPr>
                <w:szCs w:val="21"/>
              </w:rPr>
            </w:pPr>
            <w:r>
              <w:rPr>
                <w:rFonts w:hint="eastAsia"/>
                <w:szCs w:val="21"/>
              </w:rPr>
              <w:t>递交截止时间</w:t>
            </w:r>
            <w:r>
              <w:rPr>
                <w:rFonts w:hint="eastAsia"/>
                <w:szCs w:val="21"/>
                <w:lang w:eastAsia="zh-CN"/>
              </w:rPr>
              <w:t>：</w:t>
            </w:r>
            <w:r>
              <w:rPr>
                <w:rFonts w:hint="eastAsia"/>
                <w:szCs w:val="21"/>
              </w:rPr>
              <w:t>同投标(响应)文件递交截止时间。</w:t>
            </w:r>
          </w:p>
          <w:p w14:paraId="122F14B2">
            <w:pPr>
              <w:spacing w:line="400" w:lineRule="exact"/>
              <w:rPr>
                <w:szCs w:val="21"/>
              </w:rPr>
            </w:pPr>
            <w:r>
              <w:rPr>
                <w:rFonts w:hint="eastAsia"/>
                <w:szCs w:val="21"/>
              </w:rPr>
              <w:t>递交形式：支票、汇票、本票或者金融机构、担保机构出具的保函等非现金形式提交。</w:t>
            </w:r>
          </w:p>
          <w:p w14:paraId="3339A20B">
            <w:pPr>
              <w:spacing w:line="400" w:lineRule="exact"/>
              <w:rPr>
                <w:szCs w:val="21"/>
              </w:rPr>
            </w:pPr>
            <w:r>
              <w:rPr>
                <w:rFonts w:hint="eastAsia"/>
                <w:szCs w:val="21"/>
              </w:rPr>
              <w:t>投标保证金汇入账户:</w:t>
            </w:r>
          </w:p>
          <w:p w14:paraId="450A4E5F">
            <w:pPr>
              <w:snapToGrid w:val="0"/>
              <w:spacing w:line="400" w:lineRule="exact"/>
              <w:rPr>
                <w:rFonts w:ascii="Arial" w:hAnsi="Arial" w:cs="宋体"/>
                <w:szCs w:val="21"/>
              </w:rPr>
            </w:pPr>
            <w:r>
              <w:rPr>
                <w:rFonts w:hint="eastAsia" w:ascii="Arial" w:hAnsi="Arial" w:cs="宋体"/>
                <w:szCs w:val="21"/>
              </w:rPr>
              <w:t>户    名：宁波慧泽工程管理咨询有限公司</w:t>
            </w:r>
          </w:p>
          <w:p w14:paraId="376D6C34">
            <w:pPr>
              <w:snapToGrid w:val="0"/>
              <w:spacing w:line="400" w:lineRule="exact"/>
              <w:rPr>
                <w:rFonts w:ascii="Arial" w:hAnsi="Arial" w:cs="宋体"/>
                <w:szCs w:val="21"/>
              </w:rPr>
            </w:pPr>
            <w:r>
              <w:rPr>
                <w:rFonts w:hint="eastAsia" w:ascii="Arial" w:hAnsi="Arial" w:cs="宋体"/>
                <w:szCs w:val="21"/>
              </w:rPr>
              <w:t>开户银行：宁波银行鼓楼支行</w:t>
            </w:r>
          </w:p>
          <w:p w14:paraId="7BDCCA9F">
            <w:pPr>
              <w:spacing w:line="400" w:lineRule="exact"/>
              <w:rPr>
                <w:rFonts w:ascii="Arial" w:hAnsi="Arial" w:cs="宋体"/>
                <w:szCs w:val="21"/>
              </w:rPr>
            </w:pPr>
            <w:r>
              <w:rPr>
                <w:rFonts w:hint="eastAsia" w:ascii="Arial" w:hAnsi="Arial" w:cs="宋体"/>
                <w:szCs w:val="21"/>
              </w:rPr>
              <w:t>银行账号：2403 0122 0002 08510</w:t>
            </w:r>
          </w:p>
          <w:p w14:paraId="60563DC1">
            <w:pPr>
              <w:spacing w:line="400" w:lineRule="exact"/>
              <w:rPr>
                <w:rFonts w:ascii="Arial" w:hAnsi="Arial" w:cs="宋体"/>
                <w:szCs w:val="21"/>
              </w:rPr>
            </w:pPr>
            <w:r>
              <w:rPr>
                <w:rFonts w:hint="eastAsia" w:ascii="Arial" w:hAnsi="Arial" w:cs="宋体"/>
                <w:b/>
                <w:bCs/>
                <w:szCs w:val="21"/>
              </w:rPr>
              <w:t>注：未列入不良行为记录名单的供应商无须提供投标保证金。</w:t>
            </w:r>
          </w:p>
        </w:tc>
      </w:tr>
      <w:tr w14:paraId="4EA893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24" w:hRule="atLeast"/>
        </w:trPr>
        <w:tc>
          <w:tcPr>
            <w:tcW w:w="2059" w:type="dxa"/>
            <w:vAlign w:val="center"/>
          </w:tcPr>
          <w:p w14:paraId="02432B50">
            <w:pPr>
              <w:snapToGrid w:val="0"/>
              <w:spacing w:line="400" w:lineRule="exact"/>
              <w:jc w:val="center"/>
              <w:rPr>
                <w:bCs/>
                <w:szCs w:val="21"/>
              </w:rPr>
            </w:pPr>
            <w:r>
              <w:rPr>
                <w:rFonts w:hint="eastAsia" w:ascii="宋体" w:hAnsi="宋体" w:cs="宋体"/>
                <w:bCs/>
                <w:sz w:val="20"/>
                <w:szCs w:val="20"/>
              </w:rPr>
              <w:t>★</w:t>
            </w:r>
            <w:r>
              <w:rPr>
                <w:rFonts w:hint="eastAsia" w:ascii="Arial" w:hAnsi="Arial" w:cs="仿宋_GB2312"/>
                <w:bCs/>
                <w:szCs w:val="21"/>
              </w:rPr>
              <w:t>履约保证金</w:t>
            </w:r>
          </w:p>
        </w:tc>
        <w:tc>
          <w:tcPr>
            <w:tcW w:w="6894" w:type="dxa"/>
            <w:vAlign w:val="center"/>
          </w:tcPr>
          <w:p w14:paraId="65E14067">
            <w:pPr>
              <w:spacing w:line="400" w:lineRule="exact"/>
              <w:rPr>
                <w:szCs w:val="21"/>
              </w:rPr>
            </w:pPr>
            <w:r>
              <w:rPr>
                <w:rFonts w:hint="eastAsia"/>
                <w:szCs w:val="21"/>
              </w:rPr>
              <w:t>金额：合同金额的10%</w:t>
            </w:r>
          </w:p>
          <w:p w14:paraId="0D708CEF">
            <w:pPr>
              <w:spacing w:line="400" w:lineRule="exact"/>
              <w:rPr>
                <w:szCs w:val="21"/>
              </w:rPr>
            </w:pPr>
            <w:r>
              <w:rPr>
                <w:rFonts w:hint="eastAsia"/>
                <w:szCs w:val="21"/>
              </w:rPr>
              <w:t>递交截止时间：合同签订后5日内</w:t>
            </w:r>
          </w:p>
          <w:p w14:paraId="31DB6B51">
            <w:pPr>
              <w:spacing w:line="400" w:lineRule="exact"/>
              <w:rPr>
                <w:szCs w:val="21"/>
              </w:rPr>
            </w:pPr>
            <w:r>
              <w:rPr>
                <w:rFonts w:hint="eastAsia"/>
                <w:szCs w:val="21"/>
              </w:rPr>
              <w:t>递交形式：支票、汇票、本票或者金融机构、担保机构出具的保函等非现金形式提交。</w:t>
            </w:r>
          </w:p>
          <w:p w14:paraId="49B0C8A2">
            <w:pPr>
              <w:snapToGrid w:val="0"/>
              <w:spacing w:line="400" w:lineRule="exact"/>
              <w:rPr>
                <w:bCs/>
                <w:szCs w:val="21"/>
              </w:rPr>
            </w:pPr>
            <w:r>
              <w:rPr>
                <w:rFonts w:hint="eastAsia"/>
                <w:bCs/>
                <w:szCs w:val="21"/>
              </w:rPr>
              <w:t>履约保证金汇入账户：以采购人提供的账户信息为准。</w:t>
            </w:r>
          </w:p>
          <w:p w14:paraId="1E0DD043">
            <w:pPr>
              <w:snapToGrid w:val="0"/>
              <w:spacing w:line="400" w:lineRule="exact"/>
              <w:rPr>
                <w:bCs/>
                <w:szCs w:val="21"/>
              </w:rPr>
            </w:pPr>
            <w:r>
              <w:rPr>
                <w:rFonts w:hint="eastAsia"/>
                <w:bCs/>
                <w:szCs w:val="21"/>
              </w:rPr>
              <w:t>履约保证金将在合同履约期限届满后一次性退还。</w:t>
            </w:r>
          </w:p>
          <w:p w14:paraId="12FB52EA">
            <w:pPr>
              <w:snapToGrid w:val="0"/>
              <w:spacing w:line="400" w:lineRule="exact"/>
              <w:rPr>
                <w:bCs/>
                <w:szCs w:val="21"/>
              </w:rPr>
            </w:pPr>
            <w:r>
              <w:rPr>
                <w:rFonts w:hint="eastAsia" w:ascii="Arial" w:hAnsi="Arial" w:cs="宋体"/>
                <w:b/>
                <w:bCs/>
                <w:szCs w:val="21"/>
              </w:rPr>
              <w:t>注：未列入不良行为记录名单的供应商无须提供投标保证金。</w:t>
            </w:r>
          </w:p>
        </w:tc>
      </w:tr>
      <w:tr w14:paraId="2D6041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24" w:hRule="atLeast"/>
        </w:trPr>
        <w:tc>
          <w:tcPr>
            <w:tcW w:w="2059" w:type="dxa"/>
            <w:vAlign w:val="center"/>
          </w:tcPr>
          <w:p w14:paraId="343B138A">
            <w:pPr>
              <w:spacing w:line="400" w:lineRule="exact"/>
              <w:jc w:val="center"/>
              <w:rPr>
                <w:szCs w:val="21"/>
              </w:rPr>
            </w:pPr>
            <w:r>
              <w:rPr>
                <w:szCs w:val="21"/>
              </w:rPr>
              <w:t>验收标准</w:t>
            </w:r>
          </w:p>
        </w:tc>
        <w:tc>
          <w:tcPr>
            <w:tcW w:w="6894" w:type="dxa"/>
            <w:vAlign w:val="center"/>
          </w:tcPr>
          <w:p w14:paraId="59695678">
            <w:pPr>
              <w:spacing w:line="400" w:lineRule="exact"/>
              <w:rPr>
                <w:bCs/>
                <w:szCs w:val="21"/>
              </w:rPr>
            </w:pPr>
            <w:r>
              <w:rPr>
                <w:szCs w:val="21"/>
              </w:rPr>
              <w:t>应符合国家或行业有关的质量标准或验收规范并</w:t>
            </w:r>
            <w:r>
              <w:rPr>
                <w:bCs/>
                <w:szCs w:val="21"/>
              </w:rPr>
              <w:t>按照中标人提供的投标文件及中标人和采购人签订的政府采购合同为标准进行验收。</w:t>
            </w:r>
          </w:p>
          <w:p w14:paraId="3927226B">
            <w:pPr>
              <w:spacing w:line="400" w:lineRule="exact"/>
              <w:rPr>
                <w:szCs w:val="21"/>
              </w:rPr>
            </w:pPr>
            <w:r>
              <w:rPr>
                <w:bCs/>
                <w:szCs w:val="21"/>
              </w:rPr>
              <w:t>具体要求</w:t>
            </w:r>
            <w:r>
              <w:rPr>
                <w:szCs w:val="21"/>
              </w:rPr>
              <w:t>详见采购文件技术需求。</w:t>
            </w:r>
          </w:p>
        </w:tc>
      </w:tr>
      <w:bookmarkEnd w:id="92"/>
      <w:bookmarkEnd w:id="93"/>
      <w:bookmarkEnd w:id="94"/>
      <w:tr w14:paraId="354F3C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57" w:hRule="atLeast"/>
        </w:trPr>
        <w:tc>
          <w:tcPr>
            <w:tcW w:w="2059" w:type="dxa"/>
            <w:vAlign w:val="center"/>
          </w:tcPr>
          <w:p w14:paraId="60AF7C28">
            <w:pPr>
              <w:jc w:val="center"/>
            </w:pPr>
            <w:bookmarkStart w:id="95" w:name="_Toc460857894"/>
            <w:r>
              <w:t>合同终止</w:t>
            </w:r>
          </w:p>
        </w:tc>
        <w:tc>
          <w:tcPr>
            <w:tcW w:w="6894" w:type="dxa"/>
            <w:vAlign w:val="center"/>
          </w:tcPr>
          <w:p w14:paraId="473AFD52">
            <w:pPr>
              <w:spacing w:line="400" w:lineRule="exact"/>
              <w:rPr>
                <w:szCs w:val="21"/>
              </w:rPr>
            </w:pPr>
            <w:r>
              <w:rPr>
                <w:szCs w:val="21"/>
              </w:rPr>
              <w:t>1、未能使合同货物达到合同附件规定的技术性能和指标的；</w:t>
            </w:r>
          </w:p>
          <w:p w14:paraId="3D15171E">
            <w:pPr>
              <w:spacing w:line="400" w:lineRule="exact"/>
              <w:rPr>
                <w:szCs w:val="21"/>
              </w:rPr>
            </w:pPr>
            <w:r>
              <w:rPr>
                <w:szCs w:val="21"/>
              </w:rPr>
              <w:t>2、未能在合同规定的期限（或采购人同意延长的最终期限）内提供全部或部分货物的；</w:t>
            </w:r>
          </w:p>
          <w:p w14:paraId="6D24BC0D">
            <w:pPr>
              <w:spacing w:line="400" w:lineRule="exact"/>
              <w:rPr>
                <w:szCs w:val="21"/>
              </w:rPr>
            </w:pPr>
            <w:r>
              <w:rPr>
                <w:szCs w:val="21"/>
              </w:rPr>
              <w:t>3、未能履行合同规定的其它义务。</w:t>
            </w:r>
          </w:p>
        </w:tc>
      </w:tr>
    </w:tbl>
    <w:p w14:paraId="3BE31F35">
      <w:pPr>
        <w:rPr>
          <w:color w:val="000000"/>
          <w:szCs w:val="21"/>
        </w:rPr>
      </w:pPr>
      <w:r>
        <w:rPr>
          <w:color w:val="000000"/>
          <w:szCs w:val="21"/>
        </w:rPr>
        <w:br w:type="page"/>
      </w:r>
    </w:p>
    <w:p w14:paraId="13310CAC">
      <w:pPr>
        <w:pStyle w:val="4"/>
        <w:numPr>
          <w:ilvl w:val="1"/>
          <w:numId w:val="0"/>
        </w:numPr>
        <w:spacing w:before="0" w:after="0" w:line="360" w:lineRule="auto"/>
        <w:jc w:val="center"/>
        <w:rPr>
          <w:rFonts w:ascii="Times New Roman" w:hAnsi="Times New Roman" w:eastAsia="宋体"/>
          <w:color w:val="auto"/>
          <w:sz w:val="21"/>
          <w:szCs w:val="21"/>
        </w:rPr>
      </w:pPr>
      <w:r>
        <w:rPr>
          <w:rFonts w:hint="eastAsia" w:ascii="Times New Roman" w:hAnsi="Times New Roman" w:eastAsia="宋体"/>
          <w:color w:val="auto"/>
          <w:sz w:val="21"/>
          <w:szCs w:val="21"/>
        </w:rPr>
        <w:t>二、采购清单与技术要求</w:t>
      </w:r>
    </w:p>
    <w:p w14:paraId="5BBFE2D9">
      <w:pPr>
        <w:numPr>
          <w:ilvl w:val="0"/>
          <w:numId w:val="12"/>
        </w:numPr>
        <w:spacing w:line="440" w:lineRule="exact"/>
        <w:rPr>
          <w:rFonts w:hint="eastAsia" w:ascii="宋体" w:hAnsi="宋体"/>
          <w:b/>
          <w:szCs w:val="21"/>
        </w:rPr>
      </w:pPr>
      <w:r>
        <w:rPr>
          <w:rFonts w:hint="eastAsia" w:ascii="宋体" w:hAnsi="宋体"/>
          <w:b/>
          <w:szCs w:val="21"/>
        </w:rPr>
        <w:t>采购清单</w:t>
      </w:r>
    </w:p>
    <w:p w14:paraId="6B6E79CB">
      <w:pPr>
        <w:numPr>
          <w:ilvl w:val="255"/>
          <w:numId w:val="0"/>
        </w:numPr>
        <w:spacing w:line="440" w:lineRule="exact"/>
        <w:rPr>
          <w:rFonts w:hint="eastAsia" w:ascii="宋体" w:hAnsi="宋体"/>
          <w:b/>
          <w:sz w:val="18"/>
          <w:szCs w:val="18"/>
        </w:rPr>
      </w:pPr>
      <w:r>
        <w:rPr>
          <w:rFonts w:hint="eastAsia" w:ascii="宋体" w:hAnsi="宋体"/>
          <w:b/>
          <w:sz w:val="18"/>
          <w:szCs w:val="18"/>
        </w:rPr>
        <w:t>（1）</w:t>
      </w:r>
      <w:r>
        <w:rPr>
          <w:rFonts w:hint="eastAsia" w:ascii="宋体" w:hAnsi="宋体" w:cs="宋体"/>
          <w:b/>
          <w:color w:val="000000" w:themeColor="text1"/>
          <w:kern w:val="0"/>
          <w:sz w:val="20"/>
          <w:szCs w:val="20"/>
          <w:lang w:bidi="ar"/>
          <w14:textFill>
            <w14:solidFill>
              <w14:schemeClr w14:val="tx1"/>
            </w14:solidFill>
          </w14:textFill>
        </w:rPr>
        <w:t>生物实验室</w:t>
      </w:r>
    </w:p>
    <w:tbl>
      <w:tblPr>
        <w:tblStyle w:val="44"/>
        <w:tblW w:w="8390" w:type="dxa"/>
        <w:tblInd w:w="-175" w:type="dxa"/>
        <w:tblLayout w:type="fixed"/>
        <w:tblCellMar>
          <w:top w:w="0" w:type="dxa"/>
          <w:left w:w="108" w:type="dxa"/>
          <w:bottom w:w="0" w:type="dxa"/>
          <w:right w:w="108" w:type="dxa"/>
        </w:tblCellMar>
      </w:tblPr>
      <w:tblGrid>
        <w:gridCol w:w="916"/>
        <w:gridCol w:w="4515"/>
        <w:gridCol w:w="1474"/>
        <w:gridCol w:w="1485"/>
      </w:tblGrid>
      <w:tr w14:paraId="6572381D">
        <w:tblPrEx>
          <w:tblCellMar>
            <w:top w:w="0" w:type="dxa"/>
            <w:left w:w="108" w:type="dxa"/>
            <w:bottom w:w="0" w:type="dxa"/>
            <w:right w:w="108" w:type="dxa"/>
          </w:tblCellMar>
        </w:tblPrEx>
        <w:trPr>
          <w:trHeight w:val="362"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08434E38">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序号</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191C7C5C">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名称</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74DB89DE">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数量</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25450F8C">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单位</w:t>
            </w:r>
          </w:p>
        </w:tc>
      </w:tr>
      <w:tr w14:paraId="10636D2F">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69DF8A99">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1</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3FD4F629">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教室专用演示设备</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67F44FEB">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22AAE016">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张</w:t>
            </w:r>
          </w:p>
        </w:tc>
      </w:tr>
      <w:tr w14:paraId="20242AED">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51605899">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2</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7833CC15">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教师实验课椅</w:t>
            </w:r>
            <w:r>
              <w:rPr>
                <w:rFonts w:hint="eastAsia" w:ascii="宋体" w:hAnsi="宋体" w:cs="宋体"/>
                <w:kern w:val="0"/>
                <w:szCs w:val="21"/>
                <w:lang w:bidi="ar"/>
              </w:rPr>
              <w:t>（</w:t>
            </w:r>
            <w:r>
              <w:rPr>
                <w:rFonts w:hint="eastAsia" w:ascii="宋体" w:hAnsi="宋体" w:cs="宋体"/>
                <w:b/>
                <w:bCs/>
                <w:kern w:val="0"/>
                <w:szCs w:val="21"/>
                <w:lang w:bidi="ar"/>
              </w:rPr>
              <w:t>样品</w:t>
            </w:r>
            <w:r>
              <w:rPr>
                <w:rFonts w:hint="eastAsia" w:ascii="宋体" w:hAnsi="宋体" w:cs="宋体"/>
                <w:kern w:val="0"/>
                <w:szCs w:val="21"/>
                <w:lang w:bidi="ar"/>
              </w:rPr>
              <w:t>）</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76292E0C">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24D87C45">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张</w:t>
            </w:r>
          </w:p>
        </w:tc>
      </w:tr>
      <w:tr w14:paraId="2973FE3E">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268F80FE">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3</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6A546145">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教师水龙头＋水槽</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42247B78">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0CA1778C">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32ED0C85">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61ED55D5">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4</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6902A6E4">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生物学生专用实践设备（</w:t>
            </w:r>
            <w:r>
              <w:rPr>
                <w:rFonts w:hint="eastAsia" w:ascii="宋体" w:hAnsi="宋体" w:cs="宋体"/>
                <w:b/>
                <w:bCs/>
                <w:color w:val="000000" w:themeColor="text1"/>
                <w:kern w:val="0"/>
                <w:szCs w:val="21"/>
                <w:lang w:bidi="ar"/>
                <w14:textFill>
                  <w14:solidFill>
                    <w14:schemeClr w14:val="tx1"/>
                  </w14:solidFill>
                </w14:textFill>
              </w:rPr>
              <w:t>样品</w:t>
            </w:r>
            <w:r>
              <w:rPr>
                <w:rFonts w:hint="eastAsia" w:ascii="宋体" w:hAnsi="宋体" w:cs="宋体"/>
                <w:color w:val="000000" w:themeColor="text1"/>
                <w:kern w:val="0"/>
                <w:szCs w:val="21"/>
                <w:lang w:bidi="ar"/>
                <w14:textFill>
                  <w14:solidFill>
                    <w14:schemeClr w14:val="tx1"/>
                  </w14:solidFill>
                </w14:textFill>
              </w:rPr>
              <w:t>）</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25C962DB">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24</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39E21FDC">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张</w:t>
            </w:r>
          </w:p>
        </w:tc>
      </w:tr>
      <w:tr w14:paraId="21B0A1D3">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4B061CBD">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5</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44895102">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学生三联高低位龙头</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62F5851A">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00002C50">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0A274E74">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103CEE4E">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6</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0C8ECEA7">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实验室专用水槽柜</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5D9A8581">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0C007F7B">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16E7805D">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20F97788">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7</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1D6B6983">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多功能实验下水装置</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3CBB768B">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7EBF95EC">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36DD5F27">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4A342C8D">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8</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4E9E02FA">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auto"/>
                <w:kern w:val="0"/>
                <w:szCs w:val="21"/>
                <w:lang w:bidi="ar"/>
              </w:rPr>
              <w:t>多功能柜（柱）</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1EE4FDED">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24</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51EE1D0D">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1E1B5F58">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6598366E">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9</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1B6CFCF2">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学生电源</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3F30815E">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24</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42DFC87E">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个</w:t>
            </w:r>
          </w:p>
        </w:tc>
      </w:tr>
      <w:tr w14:paraId="4CCF93AF">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1B257715">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10</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561861">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安全电源总控</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0CF1FA1D">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3A14D8D7">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台</w:t>
            </w:r>
          </w:p>
        </w:tc>
      </w:tr>
      <w:tr w14:paraId="5B3672E2">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526189C6">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11</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02EF4BAC">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安全光源</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3136B7B0">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24</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1B31A93E">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只</w:t>
            </w:r>
          </w:p>
        </w:tc>
      </w:tr>
      <w:tr w14:paraId="7E19043E">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52E22D41">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12</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49EEF8B2">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实验凳（</w:t>
            </w:r>
            <w:r>
              <w:rPr>
                <w:rFonts w:hint="eastAsia" w:ascii="宋体" w:hAnsi="宋体" w:cs="宋体"/>
                <w:b/>
                <w:bCs/>
                <w:color w:val="000000" w:themeColor="text1"/>
                <w:kern w:val="0"/>
                <w:szCs w:val="21"/>
                <w:lang w:bidi="ar"/>
                <w14:textFill>
                  <w14:solidFill>
                    <w14:schemeClr w14:val="tx1"/>
                  </w14:solidFill>
                </w14:textFill>
              </w:rPr>
              <w:t>样品</w:t>
            </w:r>
            <w:r>
              <w:rPr>
                <w:rFonts w:hint="eastAsia" w:ascii="宋体" w:hAnsi="宋体" w:cs="宋体"/>
                <w:color w:val="000000" w:themeColor="text1"/>
                <w:kern w:val="0"/>
                <w:szCs w:val="21"/>
                <w:lang w:bidi="ar"/>
                <w14:textFill>
                  <w14:solidFill>
                    <w14:schemeClr w14:val="tx1"/>
                  </w14:solidFill>
                </w14:textFill>
              </w:rPr>
              <w:t>）</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6FC79596">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48</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56C27BED">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个</w:t>
            </w:r>
          </w:p>
        </w:tc>
      </w:tr>
      <w:tr w14:paraId="736F7E73">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20C4B3DD">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13</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3534EA25">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安全终端装置</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4A076482">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18A7AB9E">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0B73305D">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1752E882">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14</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62AE77E6">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系统安装辅件1</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5A3AA6FE">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17254275">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484DA864">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5D13198E">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15</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40C83826">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排水布管</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5C1EE24B">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27DC44F1">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691E9C53">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6641F22C">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16</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0AF466C4">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给水布管</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5D172C71">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5D10D094">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5D889A9B">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565FFED5">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17</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3BC013AF">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仪器柜</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52C00667">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6</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2BC2717D">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组</w:t>
            </w:r>
          </w:p>
        </w:tc>
      </w:tr>
    </w:tbl>
    <w:p w14:paraId="5CA0101D">
      <w:pPr>
        <w:numPr>
          <w:ilvl w:val="255"/>
          <w:numId w:val="0"/>
        </w:numPr>
        <w:spacing w:line="440" w:lineRule="exact"/>
        <w:rPr>
          <w:rFonts w:hint="eastAsia" w:ascii="宋体" w:hAnsi="宋体"/>
          <w:b/>
          <w:sz w:val="18"/>
          <w:szCs w:val="18"/>
        </w:rPr>
      </w:pPr>
      <w:r>
        <w:rPr>
          <w:rFonts w:hint="eastAsia" w:ascii="宋体" w:hAnsi="宋体"/>
          <w:b/>
          <w:sz w:val="18"/>
          <w:szCs w:val="18"/>
        </w:rPr>
        <w:t>（2）小学科学、初中化学共用实验室</w:t>
      </w:r>
    </w:p>
    <w:tbl>
      <w:tblPr>
        <w:tblStyle w:val="44"/>
        <w:tblW w:w="8390" w:type="dxa"/>
        <w:tblInd w:w="-175" w:type="dxa"/>
        <w:tblLayout w:type="fixed"/>
        <w:tblCellMar>
          <w:top w:w="0" w:type="dxa"/>
          <w:left w:w="108" w:type="dxa"/>
          <w:bottom w:w="0" w:type="dxa"/>
          <w:right w:w="108" w:type="dxa"/>
        </w:tblCellMar>
      </w:tblPr>
      <w:tblGrid>
        <w:gridCol w:w="916"/>
        <w:gridCol w:w="4515"/>
        <w:gridCol w:w="1474"/>
        <w:gridCol w:w="1485"/>
      </w:tblGrid>
      <w:tr w14:paraId="12FA50BE">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03970048">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序号</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52F2722B">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名称</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3A12B550">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数量</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7AC281CB">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单位</w:t>
            </w:r>
          </w:p>
        </w:tc>
      </w:tr>
      <w:tr w14:paraId="74FCD77A">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27F85693">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1</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7D1E1F2A">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教室专用演示设备</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079E7F54">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668770BC">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个</w:t>
            </w:r>
          </w:p>
        </w:tc>
      </w:tr>
      <w:tr w14:paraId="4CEAE4FA">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22E354D7">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2</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063A76C7">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教师实验课椅</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0BEB6C64">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61A9DF5D">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张</w:t>
            </w:r>
          </w:p>
        </w:tc>
      </w:tr>
      <w:tr w14:paraId="1F93D5BA">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6A5F1DC4">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3</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5E05C4F6">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科学、化学学生专用实践设备</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1E620CA0">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24</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328B283F">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张</w:t>
            </w:r>
          </w:p>
        </w:tc>
      </w:tr>
      <w:tr w14:paraId="6C5D1775">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057AF613">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4</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593EDE8A">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实验室专用水槽</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5BEC3158">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0F2DD550">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590D7F93">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4A59C296">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5</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708AE1A9">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三联高低位龙头</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1B000330">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13</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6A870667">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679AD7B8">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75E4024A">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6</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4738D38F">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实验室专用排水设备模块</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6A18E665">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584B9B8A">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27D07297">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3A529ED6">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7</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0EA44E4A">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多功能实验下水装置</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505C187E">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782468AB">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037FC454">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02C8D81C">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8</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6E17680F">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实验凳</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13000901">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48</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03663805">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张</w:t>
            </w:r>
          </w:p>
        </w:tc>
      </w:tr>
      <w:tr w14:paraId="5ECA0624">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579B79F2">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9</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02A211EF">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万向罩</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1E96A936">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14E6369E">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个</w:t>
            </w:r>
          </w:p>
        </w:tc>
      </w:tr>
      <w:tr w14:paraId="0088C44F">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075A7C82">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10</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672A25">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洗眼器</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51C899A5">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17BB1E5E">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付</w:t>
            </w:r>
          </w:p>
        </w:tc>
      </w:tr>
      <w:tr w14:paraId="69173CBD">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19DFBB1B">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11</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3719BB53">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室内行程通风系统</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71342D30">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79B67E46">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598D55F5">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3B81FB7F">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12</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049A1301">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室外行程通风系统</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25D7B501">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5F479E36">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0FF89E32">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1E2777C4">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13</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6B2A52EC">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通风风机</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51BC14D4">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3777F4D7">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台</w:t>
            </w:r>
          </w:p>
        </w:tc>
      </w:tr>
      <w:tr w14:paraId="42182493">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4FD99F95">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14</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6ACBF28A">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风机控制配套设备</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2D24890D">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6DAA875E">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01CBD90B">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333FE5F5">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15</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3565B794">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顶装智能系统总控柜</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1A407EDC">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374F8C73">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台</w:t>
            </w:r>
          </w:p>
        </w:tc>
      </w:tr>
      <w:tr w14:paraId="11A00E37">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0452367E">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16</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61013BCB">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安全终端装置</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075FB82D">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7E294DF1">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008BD937">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444E0A9A">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17</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00F99FC0">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顶装智能控制模块</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03722826">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4D7AF167">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5B917849">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1018D093">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18</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230656B8">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APP控制模块</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4539A27A">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4F1B0B68">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7F907A1A">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76C06ABF">
            <w:pPr>
              <w:widowControl/>
              <w:spacing w:line="200" w:lineRule="exact"/>
              <w:jc w:val="center"/>
              <w:rPr>
                <w:rFonts w:hint="eastAsia" w:ascii="宋体" w:hAnsi="宋体" w:cs="宋体"/>
                <w:kern w:val="0"/>
                <w:sz w:val="20"/>
                <w:szCs w:val="20"/>
              </w:rPr>
            </w:pPr>
          </w:p>
          <w:p w14:paraId="4ECC269C">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19</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08F20704">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湿温度监视模块</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4803DDD9">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5762ACEA">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项</w:t>
            </w:r>
          </w:p>
        </w:tc>
      </w:tr>
      <w:tr w14:paraId="3406030F">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64A92344">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20</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47BAD03A">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顶装内主体结构</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64D329D1">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6</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13F83495">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77BAEAB9">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65B02280">
            <w:pPr>
              <w:widowControl/>
              <w:spacing w:line="200" w:lineRule="exact"/>
              <w:jc w:val="center"/>
              <w:rPr>
                <w:rFonts w:hint="eastAsia" w:ascii="宋体" w:hAnsi="宋体" w:cs="宋体"/>
                <w:kern w:val="0"/>
                <w:sz w:val="20"/>
                <w:szCs w:val="20"/>
              </w:rPr>
            </w:pPr>
          </w:p>
          <w:p w14:paraId="3128705A">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21</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776AFD17">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智能吊装集成箱</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5E7C57BC">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6</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633EB537">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3811AE43">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58CBC30D">
            <w:pPr>
              <w:widowControl/>
              <w:spacing w:line="200" w:lineRule="exact"/>
              <w:jc w:val="center"/>
              <w:rPr>
                <w:rFonts w:hint="eastAsia" w:ascii="宋体" w:hAnsi="宋体" w:cs="宋体"/>
                <w:kern w:val="0"/>
                <w:sz w:val="20"/>
                <w:szCs w:val="20"/>
              </w:rPr>
            </w:pPr>
            <w:r>
              <w:rPr>
                <w:rFonts w:hint="eastAsia" w:ascii="宋体" w:hAnsi="宋体" w:cs="宋体"/>
                <w:kern w:val="0"/>
                <w:sz w:val="20"/>
                <w:szCs w:val="20"/>
              </w:rPr>
              <w:t>22</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1C06AFB4">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顶装固定支架</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478F4809">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5ECB4B39">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60128D3C">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1957110A">
            <w:pPr>
              <w:widowControl/>
              <w:jc w:val="center"/>
              <w:textAlignment w:val="center"/>
              <w:rPr>
                <w:rFonts w:hint="eastAsia" w:ascii="宋体" w:hAnsi="宋体" w:cs="宋体"/>
                <w:kern w:val="0"/>
                <w:sz w:val="20"/>
                <w:szCs w:val="20"/>
              </w:rPr>
            </w:pPr>
            <w:r>
              <w:rPr>
                <w:rFonts w:hint="eastAsia" w:ascii="宋体" w:hAnsi="宋体" w:cs="宋体"/>
                <w:color w:val="000000" w:themeColor="text1"/>
                <w:kern w:val="0"/>
                <w:szCs w:val="21"/>
                <w:lang w:bidi="ar"/>
                <w14:textFill>
                  <w14:solidFill>
                    <w14:schemeClr w14:val="tx1"/>
                  </w14:solidFill>
                </w14:textFill>
              </w:rPr>
              <w:t>23</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3C357829">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顶装固定支架护罩</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6A4F9A54">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0AE075C4">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2EEBFB37">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42C11701">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24</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049C63E6">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顶装摇臂动力装置</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B11C8F">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A18804">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个</w:t>
            </w:r>
          </w:p>
        </w:tc>
      </w:tr>
      <w:tr w14:paraId="1B873AF4">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2E1126E7">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25</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630E2F0D">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顶装摇臂智能软件控制器</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2FFC56">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F03752">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33FF2E0F">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2DED675A">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26</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07A2B0D4">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智能电源腔体</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667349">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6168D4">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个</w:t>
            </w:r>
          </w:p>
        </w:tc>
      </w:tr>
      <w:tr w14:paraId="2EA30D9A">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5F96D342">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27</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38338316">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摇臂显示器</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38C35A">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24</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AB1DCD">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个</w:t>
            </w:r>
          </w:p>
        </w:tc>
      </w:tr>
      <w:tr w14:paraId="71B40A0E">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404D9567">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28</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7B695CB1">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多功能电源模块</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15EF0F">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24</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80D690">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个</w:t>
            </w:r>
          </w:p>
        </w:tc>
      </w:tr>
      <w:tr w14:paraId="30A2DEE2">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22F2C0AF">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29</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55D6CE51">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急停控制装置</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B5E3FA">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F7AC89">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个</w:t>
            </w:r>
          </w:p>
        </w:tc>
      </w:tr>
      <w:tr w14:paraId="6643D37C">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734D5924">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30</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7961C07F">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模块化供电线路</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22C33F">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A90C25">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394CD59C">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5315398D">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31</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704DB993">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智能照明控制装置</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D5370F">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AE21A0">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1A9AC19E">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53AB9D62">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32</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79C19F06">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万向吸风罩一体式集成</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FEB500">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24</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727261">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个</w:t>
            </w:r>
          </w:p>
        </w:tc>
      </w:tr>
      <w:tr w14:paraId="5FC08F4C">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3E027DBA">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33</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009E0C4F">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自动给排水模块套装</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4AEDF8">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981092">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1E192ECA">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794643C7">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34</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17A31C16">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给水布管</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7935F5">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17DA29">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项</w:t>
            </w:r>
          </w:p>
        </w:tc>
      </w:tr>
      <w:tr w14:paraId="3BDD577C">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4724B155">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35</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65B3DB53">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排水布管</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F1EA00">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AADC97">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项</w:t>
            </w:r>
          </w:p>
        </w:tc>
      </w:tr>
      <w:tr w14:paraId="76A691A7">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35720697">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36</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7273A0D3">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系统安装辅件</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EDB3EA">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1BFC30">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项</w:t>
            </w:r>
          </w:p>
        </w:tc>
      </w:tr>
      <w:tr w14:paraId="219025B8">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6F2EBA29">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37</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6EA8B8E5">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仪器柜</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59CA08B9">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6</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36BD91D3">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组</w:t>
            </w:r>
          </w:p>
        </w:tc>
      </w:tr>
    </w:tbl>
    <w:p w14:paraId="3203C40F">
      <w:pPr>
        <w:numPr>
          <w:ilvl w:val="255"/>
          <w:numId w:val="0"/>
        </w:numPr>
        <w:spacing w:line="440" w:lineRule="exact"/>
        <w:rPr>
          <w:rFonts w:hint="eastAsia" w:ascii="宋体" w:hAnsi="宋体"/>
          <w:b/>
          <w:sz w:val="18"/>
          <w:szCs w:val="18"/>
        </w:rPr>
      </w:pPr>
      <w:r>
        <w:rPr>
          <w:rFonts w:hint="eastAsia" w:ascii="宋体" w:hAnsi="宋体"/>
          <w:b/>
          <w:sz w:val="18"/>
          <w:szCs w:val="18"/>
        </w:rPr>
        <w:t>（3）科学准备室</w:t>
      </w:r>
    </w:p>
    <w:tbl>
      <w:tblPr>
        <w:tblStyle w:val="44"/>
        <w:tblW w:w="8390" w:type="dxa"/>
        <w:tblInd w:w="-175" w:type="dxa"/>
        <w:tblLayout w:type="fixed"/>
        <w:tblCellMar>
          <w:top w:w="0" w:type="dxa"/>
          <w:left w:w="108" w:type="dxa"/>
          <w:bottom w:w="0" w:type="dxa"/>
          <w:right w:w="108" w:type="dxa"/>
        </w:tblCellMar>
      </w:tblPr>
      <w:tblGrid>
        <w:gridCol w:w="916"/>
        <w:gridCol w:w="4515"/>
        <w:gridCol w:w="1474"/>
        <w:gridCol w:w="1485"/>
      </w:tblGrid>
      <w:tr w14:paraId="651711C1">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55854079">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序号</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740757AB">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名称</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58BB22AC">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数量</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1E2DFB86">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单位</w:t>
            </w:r>
          </w:p>
        </w:tc>
      </w:tr>
      <w:tr w14:paraId="5C1EECD2">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4110FD4B">
            <w:pPr>
              <w:widowControl/>
              <w:jc w:val="center"/>
              <w:textAlignment w:val="center"/>
              <w:rPr>
                <w:rFonts w:hint="eastAsia" w:ascii="宋体" w:hAnsi="宋体" w:cs="宋体"/>
                <w:kern w:val="0"/>
                <w:sz w:val="20"/>
                <w:szCs w:val="20"/>
              </w:rPr>
            </w:pPr>
            <w:r>
              <w:rPr>
                <w:rFonts w:hint="eastAsia" w:ascii="宋体" w:hAnsi="宋体" w:cs="宋体"/>
                <w:color w:val="000000" w:themeColor="text1"/>
                <w:kern w:val="0"/>
                <w:szCs w:val="21"/>
                <w:lang w:bidi="ar"/>
                <w14:textFill>
                  <w14:solidFill>
                    <w14:schemeClr w14:val="tx1"/>
                  </w14:solidFill>
                </w14:textFill>
              </w:rPr>
              <w:t>1</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43D1FA77">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边台承载设备</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6982875C">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4F8FD659">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台</w:t>
            </w:r>
          </w:p>
        </w:tc>
      </w:tr>
    </w:tbl>
    <w:p w14:paraId="297021FC">
      <w:pPr>
        <w:numPr>
          <w:ilvl w:val="255"/>
          <w:numId w:val="0"/>
        </w:numPr>
        <w:spacing w:line="440" w:lineRule="exact"/>
        <w:rPr>
          <w:rFonts w:hint="eastAsia" w:ascii="宋体" w:hAnsi="宋体"/>
          <w:b/>
          <w:sz w:val="18"/>
          <w:szCs w:val="18"/>
        </w:rPr>
      </w:pPr>
      <w:r>
        <w:rPr>
          <w:rFonts w:hint="eastAsia" w:ascii="宋体" w:hAnsi="宋体"/>
          <w:b/>
          <w:sz w:val="18"/>
          <w:szCs w:val="18"/>
        </w:rPr>
        <w:t>（4）科学仪器室</w:t>
      </w:r>
    </w:p>
    <w:tbl>
      <w:tblPr>
        <w:tblStyle w:val="44"/>
        <w:tblW w:w="8390" w:type="dxa"/>
        <w:tblInd w:w="-175" w:type="dxa"/>
        <w:tblLayout w:type="fixed"/>
        <w:tblCellMar>
          <w:top w:w="0" w:type="dxa"/>
          <w:left w:w="108" w:type="dxa"/>
          <w:bottom w:w="0" w:type="dxa"/>
          <w:right w:w="108" w:type="dxa"/>
        </w:tblCellMar>
      </w:tblPr>
      <w:tblGrid>
        <w:gridCol w:w="916"/>
        <w:gridCol w:w="4515"/>
        <w:gridCol w:w="1474"/>
        <w:gridCol w:w="1485"/>
      </w:tblGrid>
      <w:tr w14:paraId="71C567A1">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4DD49763">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序号</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6FC09ECF">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名称</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4B994FFA">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数量</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539E0F7F">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单位</w:t>
            </w:r>
          </w:p>
        </w:tc>
      </w:tr>
      <w:tr w14:paraId="46229C5B">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3D258C4A">
            <w:pPr>
              <w:widowControl/>
              <w:jc w:val="center"/>
              <w:textAlignment w:val="center"/>
              <w:rPr>
                <w:rFonts w:hint="eastAsia" w:ascii="宋体" w:hAnsi="宋体" w:cs="宋体"/>
                <w:kern w:val="0"/>
                <w:sz w:val="20"/>
                <w:szCs w:val="20"/>
              </w:rPr>
            </w:pPr>
            <w:r>
              <w:rPr>
                <w:rFonts w:hint="eastAsia" w:ascii="宋体" w:hAnsi="宋体" w:cs="宋体"/>
                <w:color w:val="000000" w:themeColor="text1"/>
                <w:kern w:val="0"/>
                <w:szCs w:val="21"/>
                <w:lang w:bidi="ar"/>
                <w14:textFill>
                  <w14:solidFill>
                    <w14:schemeClr w14:val="tx1"/>
                  </w14:solidFill>
                </w14:textFill>
              </w:rPr>
              <w:t>1</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6483D603">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仪器柜</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30B616D8">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18</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54972992">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组</w:t>
            </w:r>
          </w:p>
        </w:tc>
      </w:tr>
    </w:tbl>
    <w:p w14:paraId="38D5327D">
      <w:pPr>
        <w:numPr>
          <w:ilvl w:val="255"/>
          <w:numId w:val="0"/>
        </w:numPr>
        <w:spacing w:line="440" w:lineRule="exact"/>
        <w:rPr>
          <w:rFonts w:hint="eastAsia" w:ascii="宋体" w:hAnsi="宋体"/>
          <w:b/>
          <w:sz w:val="18"/>
          <w:szCs w:val="18"/>
        </w:rPr>
      </w:pPr>
      <w:r>
        <w:rPr>
          <w:rFonts w:hint="eastAsia" w:ascii="宋体" w:hAnsi="宋体"/>
          <w:b/>
          <w:sz w:val="18"/>
          <w:szCs w:val="18"/>
        </w:rPr>
        <w:t>（5）化学仪器室、药品室、危化品室</w:t>
      </w:r>
    </w:p>
    <w:tbl>
      <w:tblPr>
        <w:tblStyle w:val="44"/>
        <w:tblW w:w="8390" w:type="dxa"/>
        <w:tblInd w:w="-175" w:type="dxa"/>
        <w:tblLayout w:type="fixed"/>
        <w:tblCellMar>
          <w:top w:w="0" w:type="dxa"/>
          <w:left w:w="108" w:type="dxa"/>
          <w:bottom w:w="0" w:type="dxa"/>
          <w:right w:w="108" w:type="dxa"/>
        </w:tblCellMar>
      </w:tblPr>
      <w:tblGrid>
        <w:gridCol w:w="916"/>
        <w:gridCol w:w="4515"/>
        <w:gridCol w:w="1474"/>
        <w:gridCol w:w="1485"/>
      </w:tblGrid>
      <w:tr w14:paraId="6A312DF5">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65FEC0AC">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序号</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79326976">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名称</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1E04D20C">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数量</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39FAEBB4">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单位</w:t>
            </w:r>
          </w:p>
        </w:tc>
      </w:tr>
      <w:tr w14:paraId="4E1FE3F5">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7BBCFA79">
            <w:pPr>
              <w:widowControl/>
              <w:jc w:val="center"/>
              <w:textAlignment w:val="center"/>
              <w:rPr>
                <w:rFonts w:hint="eastAsia" w:ascii="宋体" w:hAnsi="宋体" w:cs="宋体"/>
                <w:kern w:val="0"/>
                <w:sz w:val="20"/>
                <w:szCs w:val="20"/>
              </w:rPr>
            </w:pPr>
            <w:r>
              <w:rPr>
                <w:rFonts w:hint="eastAsia" w:ascii="宋体" w:hAnsi="宋体" w:cs="宋体"/>
                <w:color w:val="000000" w:themeColor="text1"/>
                <w:kern w:val="0"/>
                <w:szCs w:val="21"/>
                <w:lang w:bidi="ar"/>
                <w14:textFill>
                  <w14:solidFill>
                    <w14:schemeClr w14:val="tx1"/>
                  </w14:solidFill>
                </w14:textFill>
              </w:rPr>
              <w:t>1</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1BE1F86F">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边台承载设备</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47047332">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10C419D6">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台</w:t>
            </w:r>
          </w:p>
        </w:tc>
      </w:tr>
      <w:tr w14:paraId="631814AF">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38791734">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187C00A2">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水龙头＋水槽</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6830F90D">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39CF5C63">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252A269B">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2DDE6BCC">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3</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48DA2C01">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滴水架</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74D6F35C">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7542F7D2">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22D0EBFD">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5D17D0C3">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4</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75B0BB7A">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操作台集成架</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18153414">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007BA761">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组</w:t>
            </w:r>
          </w:p>
        </w:tc>
      </w:tr>
      <w:tr w14:paraId="1A32A546">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43FA01C8">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5</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692335D3">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仪器柜</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06D4D1D9">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9</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2D831E6A">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组</w:t>
            </w:r>
          </w:p>
        </w:tc>
      </w:tr>
      <w:tr w14:paraId="468AAE9F">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23FB1CF6">
            <w:pPr>
              <w:widowControl/>
              <w:jc w:val="center"/>
              <w:textAlignment w:val="center"/>
              <w:rPr>
                <w:rFonts w:hint="eastAsia" w:ascii="宋体" w:hAnsi="宋体" w:cs="宋体"/>
                <w:kern w:val="0"/>
                <w:sz w:val="20"/>
                <w:szCs w:val="20"/>
              </w:rPr>
            </w:pPr>
            <w:r>
              <w:rPr>
                <w:rFonts w:hint="eastAsia" w:ascii="宋体" w:hAnsi="宋体" w:cs="宋体"/>
                <w:color w:val="000000" w:themeColor="text1"/>
                <w:kern w:val="0"/>
                <w:szCs w:val="21"/>
                <w:lang w:bidi="ar"/>
                <w14:textFill>
                  <w14:solidFill>
                    <w14:schemeClr w14:val="tx1"/>
                  </w14:solidFill>
                </w14:textFill>
              </w:rPr>
              <w:t>6</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7392DB7C">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PP试剂柜</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63FB273F">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351D77D3">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台</w:t>
            </w:r>
          </w:p>
        </w:tc>
      </w:tr>
      <w:tr w14:paraId="2341BA1B">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5159E2DA">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7</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00609DEA">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净气型易燃品毒害品储存柜</w:t>
            </w:r>
            <w:r>
              <w:rPr>
                <w:rFonts w:hint="eastAsia" w:ascii="宋体" w:hAnsi="宋体" w:cs="宋体"/>
                <w:b/>
                <w:bCs/>
                <w:color w:val="000000" w:themeColor="text1"/>
                <w:kern w:val="0"/>
                <w:szCs w:val="21"/>
                <w:lang w:bidi="ar"/>
                <w14:textFill>
                  <w14:solidFill>
                    <w14:schemeClr w14:val="tx1"/>
                  </w14:solidFill>
                </w14:textFill>
              </w:rPr>
              <w:t>（核心产品）</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1596CFE2">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55B1DB95">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台</w:t>
            </w:r>
          </w:p>
        </w:tc>
      </w:tr>
      <w:tr w14:paraId="60EEBD45">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2B8D54BC">
            <w:pPr>
              <w:widowControl/>
              <w:jc w:val="center"/>
              <w:textAlignment w:val="center"/>
              <w:rPr>
                <w:rFonts w:hint="eastAsia" w:ascii="宋体" w:hAnsi="宋体" w:cs="宋体"/>
                <w:kern w:val="0"/>
                <w:sz w:val="20"/>
                <w:szCs w:val="20"/>
              </w:rPr>
            </w:pPr>
            <w:r>
              <w:rPr>
                <w:rFonts w:hint="eastAsia" w:ascii="宋体" w:hAnsi="宋体" w:cs="宋体"/>
                <w:color w:val="000000" w:themeColor="text1"/>
                <w:kern w:val="0"/>
                <w:szCs w:val="21"/>
                <w:lang w:bidi="ar"/>
                <w14:textFill>
                  <w14:solidFill>
                    <w14:schemeClr w14:val="tx1"/>
                  </w14:solidFill>
                </w14:textFill>
              </w:rPr>
              <w:t>8</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67F8693E">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净气型防火柜</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3FEA4B29">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1A52435B">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台</w:t>
            </w:r>
          </w:p>
        </w:tc>
      </w:tr>
    </w:tbl>
    <w:p w14:paraId="41DFD748">
      <w:pPr>
        <w:numPr>
          <w:ilvl w:val="255"/>
          <w:numId w:val="0"/>
        </w:numPr>
        <w:spacing w:line="440" w:lineRule="exact"/>
        <w:rPr>
          <w:rFonts w:hint="eastAsia" w:ascii="宋体" w:hAnsi="宋体"/>
          <w:b/>
          <w:sz w:val="18"/>
          <w:szCs w:val="18"/>
        </w:rPr>
      </w:pPr>
      <w:r>
        <w:rPr>
          <w:rFonts w:hint="eastAsia" w:ascii="宋体" w:hAnsi="宋体"/>
          <w:b/>
          <w:sz w:val="18"/>
          <w:szCs w:val="18"/>
        </w:rPr>
        <w:t>（6）小学科学实验室</w:t>
      </w:r>
    </w:p>
    <w:tbl>
      <w:tblPr>
        <w:tblStyle w:val="44"/>
        <w:tblW w:w="8390" w:type="dxa"/>
        <w:tblInd w:w="-175" w:type="dxa"/>
        <w:tblLayout w:type="fixed"/>
        <w:tblCellMar>
          <w:top w:w="0" w:type="dxa"/>
          <w:left w:w="108" w:type="dxa"/>
          <w:bottom w:w="0" w:type="dxa"/>
          <w:right w:w="108" w:type="dxa"/>
        </w:tblCellMar>
      </w:tblPr>
      <w:tblGrid>
        <w:gridCol w:w="916"/>
        <w:gridCol w:w="4515"/>
        <w:gridCol w:w="1474"/>
        <w:gridCol w:w="1485"/>
      </w:tblGrid>
      <w:tr w14:paraId="5B53EB0F">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4352CF7B">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序号</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5AEE71DB">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名称</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0892C60A">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数量</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01C41B31">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单位</w:t>
            </w:r>
          </w:p>
        </w:tc>
      </w:tr>
      <w:tr w14:paraId="2F89E607">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3D6D8A80">
            <w:pPr>
              <w:widowControl/>
              <w:jc w:val="center"/>
              <w:textAlignment w:val="center"/>
              <w:rPr>
                <w:rFonts w:hint="eastAsia" w:ascii="宋体" w:hAnsi="宋体" w:cs="宋体"/>
                <w:kern w:val="0"/>
                <w:sz w:val="20"/>
                <w:szCs w:val="20"/>
              </w:rPr>
            </w:pPr>
            <w:r>
              <w:rPr>
                <w:rFonts w:hint="eastAsia" w:ascii="新宋体" w:hAnsi="新宋体" w:eastAsia="新宋体" w:cs="新宋体"/>
                <w:color w:val="000000" w:themeColor="text1"/>
                <w:kern w:val="0"/>
                <w:szCs w:val="21"/>
                <w:lang w:bidi="ar"/>
                <w14:textFill>
                  <w14:solidFill>
                    <w14:schemeClr w14:val="tx1"/>
                  </w14:solidFill>
                </w14:textFill>
              </w:rPr>
              <w:t>1</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2E671822">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教室专用演示设备</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44159CB4">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0C2982C1">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台</w:t>
            </w:r>
          </w:p>
        </w:tc>
      </w:tr>
      <w:tr w14:paraId="49B6AC44">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584A720F">
            <w:pPr>
              <w:widowControl/>
              <w:jc w:val="center"/>
              <w:textAlignment w:val="center"/>
              <w:rPr>
                <w:rFonts w:hint="eastAsia" w:ascii="新宋体" w:hAnsi="新宋体" w:eastAsia="新宋体" w:cs="新宋体"/>
                <w:color w:val="000000" w:themeColor="text1"/>
                <w:szCs w:val="21"/>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2</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3B068948">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教师实验课椅</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04CD7536">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59165B3A">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张</w:t>
            </w:r>
          </w:p>
        </w:tc>
      </w:tr>
      <w:tr w14:paraId="203B4972">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7FFB91A1">
            <w:pPr>
              <w:widowControl/>
              <w:jc w:val="center"/>
              <w:textAlignment w:val="center"/>
              <w:rPr>
                <w:rFonts w:hint="eastAsia" w:ascii="新宋体" w:hAnsi="新宋体" w:eastAsia="新宋体" w:cs="新宋体"/>
                <w:color w:val="000000" w:themeColor="text1"/>
                <w:szCs w:val="21"/>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3</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710EC106">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科学学生实践设备</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5E1006FA">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24</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27E89224">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张</w:t>
            </w:r>
          </w:p>
        </w:tc>
      </w:tr>
      <w:tr w14:paraId="7353BEDA">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1D7D5024">
            <w:pPr>
              <w:widowControl/>
              <w:jc w:val="center"/>
              <w:textAlignment w:val="center"/>
              <w:rPr>
                <w:rFonts w:hint="eastAsia" w:ascii="新宋体" w:hAnsi="新宋体" w:eastAsia="新宋体" w:cs="新宋体"/>
                <w:color w:val="000000" w:themeColor="text1"/>
                <w:szCs w:val="21"/>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4</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6B78319E">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实验凳</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7D14719B">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48</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14574737">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个</w:t>
            </w:r>
          </w:p>
        </w:tc>
      </w:tr>
      <w:tr w14:paraId="6E74C09F">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6ECDA209">
            <w:pPr>
              <w:widowControl/>
              <w:jc w:val="center"/>
              <w:textAlignment w:val="center"/>
              <w:rPr>
                <w:rFonts w:hint="eastAsia" w:ascii="新宋体" w:hAnsi="新宋体" w:eastAsia="新宋体" w:cs="新宋体"/>
                <w:color w:val="000000" w:themeColor="text1"/>
                <w:szCs w:val="21"/>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5</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61CE2263">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仪器柜</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3C0A1831">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6</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6A4EDCAD">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组</w:t>
            </w:r>
          </w:p>
        </w:tc>
      </w:tr>
      <w:tr w14:paraId="108B3E8B">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100E838F">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6</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D9B8BA">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认识植物和比较与测量实验箱</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907EC1">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5B7B05">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箱</w:t>
            </w:r>
          </w:p>
        </w:tc>
      </w:tr>
      <w:tr w14:paraId="53EF301C">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48EB1829">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7</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0AC989">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物体的形状、特征实验和认识动物实验箱</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E29B81">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74A51D">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箱</w:t>
            </w:r>
          </w:p>
        </w:tc>
      </w:tr>
      <w:tr w14:paraId="2EE2A2FA">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1A159590">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8</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1784A9">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地球家园和认识不同的材料实验箱</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492EF3">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9AD4CD">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箱</w:t>
            </w:r>
          </w:p>
        </w:tc>
      </w:tr>
      <w:tr w14:paraId="7168E820">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479316E1">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9</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E18935">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水的主题实验箱</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599D6F">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F96372">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箱</w:t>
            </w:r>
          </w:p>
        </w:tc>
      </w:tr>
      <w:tr w14:paraId="7B07B40A">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609DFA0D">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10</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8EAA41">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空气和天气的实验箱</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2637D0">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37E2E2">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箱</w:t>
            </w:r>
          </w:p>
        </w:tc>
      </w:tr>
      <w:tr w14:paraId="7800E678">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7192EFD3">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11</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07542F">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动物的一生和太阳月球的实验箱</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356386">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37B3FD">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箱</w:t>
            </w:r>
          </w:p>
        </w:tc>
      </w:tr>
      <w:tr w14:paraId="3D495C23">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55968992">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12</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28892C">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能量的主题实验箱</w:t>
            </w:r>
            <w:r>
              <w:rPr>
                <w:rFonts w:hint="eastAsia" w:ascii="宋体" w:hAnsi="宋体" w:cs="宋体"/>
                <w:b/>
                <w:bCs/>
                <w:color w:val="000000" w:themeColor="text1"/>
                <w:kern w:val="0"/>
                <w:szCs w:val="21"/>
                <w:lang w:bidi="ar"/>
                <w14:textFill>
                  <w14:solidFill>
                    <w14:schemeClr w14:val="tx1"/>
                  </w14:solidFill>
                </w14:textFill>
              </w:rPr>
              <w:t>（样品）</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231C60">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045BFA">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箱</w:t>
            </w:r>
          </w:p>
        </w:tc>
      </w:tr>
      <w:tr w14:paraId="1FA157DC">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42608E25">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13</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39FCB5">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演示实验展示台</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A06860">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D0DC55">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0E739ADE">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0BB4687E">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14</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196DE3">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控制柜</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995537">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66D7DB">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台</w:t>
            </w:r>
          </w:p>
        </w:tc>
      </w:tr>
      <w:tr w14:paraId="337BB0CB">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0408F3DE">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15</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804E7C">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顶装智能控制模块</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FC5C9">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638897">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6E7F3BD8">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2B3A2E78">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16</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157972">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移动端控制模块</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E11209">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7DB46B">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68327E43">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2227B88B">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17</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DF75B3">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温湿度监视模块</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B33F9F">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9CB0AB">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项</w:t>
            </w:r>
          </w:p>
        </w:tc>
      </w:tr>
      <w:tr w14:paraId="631EEBDB">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7422D124">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18</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BE3521">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主体框架</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093848">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C127C1">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58A27142">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344B1B1C">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19</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5BBFE3">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电源升降模块</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DD4295">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4FFCCF">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个</w:t>
            </w:r>
          </w:p>
        </w:tc>
      </w:tr>
      <w:tr w14:paraId="7648167E">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6ADFC591">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20</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AB4EA7">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升降电源主体</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F523A0">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648B7D">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个</w:t>
            </w:r>
          </w:p>
        </w:tc>
      </w:tr>
      <w:tr w14:paraId="4C718B73">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4693E90B">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21</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601BD8">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低压电源模块</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1906F0">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2BD405">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个</w:t>
            </w:r>
          </w:p>
        </w:tc>
      </w:tr>
      <w:tr w14:paraId="2973A725">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3AFF8721">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22</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EFDA59">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高压电源模块</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986E9C">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D82E43">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个</w:t>
            </w:r>
          </w:p>
        </w:tc>
      </w:tr>
      <w:tr w14:paraId="08FAB069">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54DFF202">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23</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542014">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USB充电模块</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5F6193">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24</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2F3B17">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个</w:t>
            </w:r>
          </w:p>
        </w:tc>
      </w:tr>
      <w:tr w14:paraId="036A57C5">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144E5176">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24</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97E0E1">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网络模块</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9AD661">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24</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1F1B62">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个</w:t>
            </w:r>
          </w:p>
        </w:tc>
      </w:tr>
      <w:tr w14:paraId="61F87775">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21B5D9E4">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25</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74B194">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系统安装辅件1</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CD6BFC">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B467A1">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项</w:t>
            </w:r>
          </w:p>
        </w:tc>
      </w:tr>
      <w:tr w14:paraId="1E7EB322">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140BB9E5">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26</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E7395F">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智能照明</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90A74F">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6F6B94">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74AA8D8E">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7DAAD2D3">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27</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66E0B1">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系统安装辅件</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C6997B">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FAB97B">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项</w:t>
            </w:r>
          </w:p>
        </w:tc>
      </w:tr>
    </w:tbl>
    <w:p w14:paraId="4E0573C0">
      <w:pPr>
        <w:numPr>
          <w:ilvl w:val="255"/>
          <w:numId w:val="0"/>
        </w:numPr>
        <w:spacing w:line="440" w:lineRule="exact"/>
        <w:rPr>
          <w:rFonts w:hint="eastAsia" w:ascii="宋体" w:hAnsi="宋体"/>
          <w:b/>
          <w:sz w:val="18"/>
          <w:szCs w:val="18"/>
        </w:rPr>
      </w:pPr>
      <w:r>
        <w:rPr>
          <w:rFonts w:hint="eastAsia" w:ascii="宋体" w:hAnsi="宋体"/>
          <w:b/>
          <w:sz w:val="18"/>
          <w:szCs w:val="18"/>
        </w:rPr>
        <w:t>（7）物理实验室</w:t>
      </w:r>
    </w:p>
    <w:tbl>
      <w:tblPr>
        <w:tblStyle w:val="44"/>
        <w:tblW w:w="8390" w:type="dxa"/>
        <w:tblInd w:w="-175" w:type="dxa"/>
        <w:tblLayout w:type="fixed"/>
        <w:tblCellMar>
          <w:top w:w="0" w:type="dxa"/>
          <w:left w:w="108" w:type="dxa"/>
          <w:bottom w:w="0" w:type="dxa"/>
          <w:right w:w="108" w:type="dxa"/>
        </w:tblCellMar>
      </w:tblPr>
      <w:tblGrid>
        <w:gridCol w:w="916"/>
        <w:gridCol w:w="4515"/>
        <w:gridCol w:w="1474"/>
        <w:gridCol w:w="1485"/>
      </w:tblGrid>
      <w:tr w14:paraId="4773E5CF">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42366DA2">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序号</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18B45F">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名称</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CC7627">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数量</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DDA79B">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单位</w:t>
            </w:r>
          </w:p>
        </w:tc>
      </w:tr>
      <w:tr w14:paraId="0A778648">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444423D2">
            <w:pPr>
              <w:widowControl/>
              <w:jc w:val="center"/>
              <w:textAlignment w:val="center"/>
              <w:rPr>
                <w:rFonts w:hint="eastAsia" w:ascii="新宋体" w:hAnsi="新宋体" w:eastAsia="新宋体" w:cs="新宋体"/>
                <w:color w:val="000000" w:themeColor="text1"/>
                <w:szCs w:val="21"/>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1</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051EFF2B">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教室专用演示设备</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112FB9DD">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6EFA1153">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台</w:t>
            </w:r>
          </w:p>
        </w:tc>
      </w:tr>
      <w:tr w14:paraId="6019CE6F">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266725A4">
            <w:pPr>
              <w:widowControl/>
              <w:jc w:val="center"/>
              <w:textAlignment w:val="center"/>
              <w:rPr>
                <w:rFonts w:hint="eastAsia" w:ascii="新宋体" w:hAnsi="新宋体" w:eastAsia="新宋体" w:cs="新宋体"/>
                <w:color w:val="000000" w:themeColor="text1"/>
                <w:szCs w:val="21"/>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2</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5E1BC1DE">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教师实验课椅</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69E951D0">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36F4958B">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张</w:t>
            </w:r>
          </w:p>
        </w:tc>
      </w:tr>
      <w:tr w14:paraId="272CECBF">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59116977">
            <w:pPr>
              <w:widowControl/>
              <w:jc w:val="center"/>
              <w:textAlignment w:val="center"/>
              <w:rPr>
                <w:rFonts w:hint="eastAsia" w:ascii="新宋体" w:hAnsi="新宋体" w:eastAsia="新宋体" w:cs="新宋体"/>
                <w:color w:val="000000" w:themeColor="text1"/>
                <w:szCs w:val="21"/>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3</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0C07DEB6">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物理学生实践设备</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24F7B5D9">
            <w:pPr>
              <w:widowControl/>
              <w:jc w:val="center"/>
              <w:textAlignment w:val="center"/>
              <w:rPr>
                <w:rFonts w:hint="eastAsia" w:ascii="新宋体" w:hAnsi="新宋体" w:eastAsia="新宋体" w:cs="新宋体"/>
                <w:color w:val="000000" w:themeColor="text1"/>
                <w:szCs w:val="21"/>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24</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4E08157B">
            <w:pPr>
              <w:widowControl/>
              <w:jc w:val="center"/>
              <w:textAlignment w:val="center"/>
              <w:rPr>
                <w:rFonts w:hint="eastAsia" w:ascii="新宋体" w:hAnsi="新宋体" w:eastAsia="新宋体" w:cs="新宋体"/>
                <w:color w:val="000000" w:themeColor="text1"/>
                <w:szCs w:val="21"/>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张</w:t>
            </w:r>
          </w:p>
        </w:tc>
      </w:tr>
      <w:tr w14:paraId="0769073A">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018325CB">
            <w:pPr>
              <w:widowControl/>
              <w:jc w:val="center"/>
              <w:textAlignment w:val="center"/>
              <w:rPr>
                <w:rFonts w:hint="eastAsia" w:ascii="新宋体" w:hAnsi="新宋体" w:eastAsia="新宋体" w:cs="新宋体"/>
                <w:color w:val="000000" w:themeColor="text1"/>
                <w:szCs w:val="21"/>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4</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1F4D9E63">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防静电实验凳</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7FC1F3EF">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48</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4EB81777">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个</w:t>
            </w:r>
          </w:p>
        </w:tc>
      </w:tr>
      <w:tr w14:paraId="080D913A">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6346EB20">
            <w:pPr>
              <w:widowControl/>
              <w:jc w:val="center"/>
              <w:textAlignment w:val="center"/>
              <w:rPr>
                <w:rFonts w:hint="eastAsia" w:ascii="新宋体" w:hAnsi="新宋体" w:eastAsia="新宋体" w:cs="新宋体"/>
                <w:color w:val="000000" w:themeColor="text1"/>
                <w:szCs w:val="21"/>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5</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32B7072A">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仪器柜</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329A963F">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6</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6F82CD5E">
            <w:pPr>
              <w:widowControl/>
              <w:jc w:val="center"/>
              <w:textAlignment w:val="center"/>
              <w:rPr>
                <w:rFonts w:hint="eastAsia" w:ascii="新宋体" w:hAnsi="新宋体" w:eastAsia="新宋体" w:cs="新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组</w:t>
            </w:r>
          </w:p>
        </w:tc>
      </w:tr>
      <w:tr w14:paraId="22584BFD">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0B891E23">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6</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55E3CE">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控制柜</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112D6D">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089566">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台</w:t>
            </w:r>
          </w:p>
        </w:tc>
      </w:tr>
      <w:tr w14:paraId="50B935E7">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3067EBE6">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7</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D198DE">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顶装智能控制模块</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E24CFA">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AFBB81">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47EB0F6D">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6C55CA4A">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8</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3E5DE3">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移动端控制模块</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A4A19D">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D8B6D6">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74716263">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1FBBA0B7">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9</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115755">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温湿度监视模块</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504354">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33B346">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项</w:t>
            </w:r>
          </w:p>
        </w:tc>
      </w:tr>
      <w:tr w14:paraId="14B596F2">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3CD867A0">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10</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0C421C">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主体框架</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5115F8">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C4B738">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0BFE5926">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156C6CDA">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11</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989DBD">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电源升降模块</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E864DB">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71EF83">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个</w:t>
            </w:r>
          </w:p>
        </w:tc>
      </w:tr>
      <w:tr w14:paraId="74886732">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37AEB14A">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D43D59">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升降电源主体</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25487">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B186AD">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个</w:t>
            </w:r>
          </w:p>
        </w:tc>
      </w:tr>
      <w:tr w14:paraId="13B2D131">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2FEBECE4">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13</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EBA6E5">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低压电源模块</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6E5E48">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23C7BF">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个</w:t>
            </w:r>
          </w:p>
        </w:tc>
      </w:tr>
      <w:tr w14:paraId="687D6D83">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4E10005E">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14</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EAFF7F">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高压电源模块</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5893D1">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2B62E3">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个</w:t>
            </w:r>
          </w:p>
        </w:tc>
      </w:tr>
      <w:tr w14:paraId="175BFAB1">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2EDF2CA2">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15</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C007DC">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USB充电模块</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FA67ED">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24</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71C33E">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个</w:t>
            </w:r>
          </w:p>
        </w:tc>
      </w:tr>
      <w:tr w14:paraId="74B99BF1">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3EAD119F">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16</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89D8E1">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网络模块</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51FA98">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24</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075E4D">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个</w:t>
            </w:r>
          </w:p>
        </w:tc>
      </w:tr>
      <w:tr w14:paraId="1A6089EE">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0FA062F1">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17</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006ABB">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系统安装辅件1</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0B3DBC">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4C18CE">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项</w:t>
            </w:r>
          </w:p>
        </w:tc>
      </w:tr>
      <w:tr w14:paraId="6C9764A2">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049822F1">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18</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8122DC">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智能照明</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232B51">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416A49">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r w14:paraId="6C0E8444">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06FC8D32">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19</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C171D6">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系统安装辅件</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38DAD6">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12</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301125">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项</w:t>
            </w:r>
          </w:p>
        </w:tc>
      </w:tr>
    </w:tbl>
    <w:p w14:paraId="03F51E04">
      <w:pPr>
        <w:numPr>
          <w:ilvl w:val="255"/>
          <w:numId w:val="0"/>
        </w:numPr>
        <w:spacing w:line="440" w:lineRule="exact"/>
        <w:rPr>
          <w:rFonts w:hint="eastAsia" w:ascii="宋体" w:hAnsi="宋体"/>
          <w:b/>
          <w:sz w:val="18"/>
          <w:szCs w:val="18"/>
        </w:rPr>
      </w:pPr>
      <w:r>
        <w:rPr>
          <w:rFonts w:hint="eastAsia" w:ascii="宋体" w:hAnsi="宋体"/>
          <w:b/>
          <w:sz w:val="18"/>
          <w:szCs w:val="18"/>
        </w:rPr>
        <w:t>（8）物理仪器室</w:t>
      </w:r>
    </w:p>
    <w:tbl>
      <w:tblPr>
        <w:tblStyle w:val="44"/>
        <w:tblW w:w="8390" w:type="dxa"/>
        <w:tblInd w:w="-175" w:type="dxa"/>
        <w:tblLayout w:type="fixed"/>
        <w:tblCellMar>
          <w:top w:w="0" w:type="dxa"/>
          <w:left w:w="108" w:type="dxa"/>
          <w:bottom w:w="0" w:type="dxa"/>
          <w:right w:w="108" w:type="dxa"/>
        </w:tblCellMar>
      </w:tblPr>
      <w:tblGrid>
        <w:gridCol w:w="916"/>
        <w:gridCol w:w="4515"/>
        <w:gridCol w:w="1474"/>
        <w:gridCol w:w="1485"/>
      </w:tblGrid>
      <w:tr w14:paraId="6A871FB1">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6D8D35EC">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序号</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5AA0F5">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名称</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DDCB84">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数量</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D57219">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单位</w:t>
            </w:r>
          </w:p>
        </w:tc>
      </w:tr>
      <w:tr w14:paraId="2AEC2CEF">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5CD7B7D2">
            <w:pPr>
              <w:widowControl/>
              <w:jc w:val="center"/>
              <w:textAlignment w:val="center"/>
              <w:rPr>
                <w:rFonts w:hint="eastAsia" w:ascii="新宋体" w:hAnsi="新宋体" w:eastAsia="新宋体" w:cs="新宋体"/>
                <w:szCs w:val="21"/>
              </w:rPr>
            </w:pPr>
            <w:r>
              <w:rPr>
                <w:rFonts w:hint="eastAsia" w:ascii="宋体" w:hAnsi="宋体" w:cs="宋体"/>
                <w:kern w:val="0"/>
                <w:szCs w:val="21"/>
                <w:lang w:bidi="ar"/>
              </w:rPr>
              <w:t>1</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5AB3CA0E">
            <w:pPr>
              <w:widowControl/>
              <w:jc w:val="center"/>
              <w:textAlignment w:val="center"/>
              <w:rPr>
                <w:rFonts w:hint="eastAsia" w:ascii="宋体" w:hAnsi="宋体" w:cs="宋体"/>
                <w:szCs w:val="21"/>
              </w:rPr>
            </w:pPr>
            <w:r>
              <w:rPr>
                <w:rFonts w:hint="eastAsia" w:ascii="宋体" w:hAnsi="宋体" w:cs="宋体"/>
                <w:kern w:val="0"/>
                <w:szCs w:val="21"/>
                <w:lang w:bidi="ar"/>
              </w:rPr>
              <w:t>边台承载设备</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3E5B61F7">
            <w:pPr>
              <w:widowControl/>
              <w:jc w:val="center"/>
              <w:textAlignment w:val="center"/>
              <w:rPr>
                <w:rFonts w:hint="eastAsia" w:ascii="宋体" w:hAnsi="宋体" w:cs="宋体"/>
                <w:szCs w:val="21"/>
              </w:rPr>
            </w:pPr>
            <w:r>
              <w:rPr>
                <w:rFonts w:hint="eastAsia" w:ascii="宋体" w:hAnsi="宋体" w:cs="宋体"/>
                <w:kern w:val="0"/>
                <w:szCs w:val="21"/>
                <w:lang w:bidi="ar"/>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52CA0344">
            <w:pPr>
              <w:widowControl/>
              <w:jc w:val="center"/>
              <w:textAlignment w:val="center"/>
              <w:rPr>
                <w:rFonts w:hint="eastAsia" w:ascii="宋体" w:hAnsi="宋体" w:cs="宋体"/>
                <w:szCs w:val="21"/>
              </w:rPr>
            </w:pPr>
            <w:r>
              <w:rPr>
                <w:rFonts w:hint="eastAsia" w:ascii="宋体" w:hAnsi="宋体" w:cs="宋体"/>
                <w:kern w:val="0"/>
                <w:szCs w:val="21"/>
                <w:lang w:bidi="ar"/>
              </w:rPr>
              <w:t>台</w:t>
            </w:r>
          </w:p>
        </w:tc>
      </w:tr>
      <w:tr w14:paraId="16CAD078">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41848F83">
            <w:pPr>
              <w:widowControl/>
              <w:jc w:val="center"/>
              <w:textAlignment w:val="center"/>
              <w:rPr>
                <w:rFonts w:hint="eastAsia" w:ascii="新宋体" w:hAnsi="新宋体" w:eastAsia="新宋体" w:cs="新宋体"/>
                <w:szCs w:val="21"/>
              </w:rPr>
            </w:pPr>
            <w:r>
              <w:rPr>
                <w:rFonts w:hint="eastAsia" w:ascii="宋体" w:hAnsi="宋体" w:cs="宋体"/>
                <w:kern w:val="0"/>
                <w:szCs w:val="21"/>
                <w:lang w:bidi="ar"/>
              </w:rPr>
              <w:t>2</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15826165">
            <w:pPr>
              <w:widowControl/>
              <w:jc w:val="center"/>
              <w:textAlignment w:val="center"/>
              <w:rPr>
                <w:rFonts w:hint="eastAsia" w:ascii="宋体" w:hAnsi="宋体" w:cs="宋体"/>
                <w:szCs w:val="21"/>
              </w:rPr>
            </w:pPr>
            <w:r>
              <w:rPr>
                <w:rFonts w:hint="eastAsia" w:ascii="宋体" w:hAnsi="宋体" w:cs="宋体"/>
                <w:kern w:val="0"/>
                <w:szCs w:val="21"/>
                <w:lang w:bidi="ar"/>
              </w:rPr>
              <w:t>水龙头＋水槽</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45DF1A23">
            <w:pPr>
              <w:widowControl/>
              <w:jc w:val="center"/>
              <w:textAlignment w:val="center"/>
              <w:rPr>
                <w:rFonts w:hint="eastAsia" w:ascii="宋体" w:hAnsi="宋体" w:cs="宋体"/>
                <w:szCs w:val="21"/>
              </w:rPr>
            </w:pPr>
            <w:r>
              <w:rPr>
                <w:rFonts w:hint="eastAsia" w:ascii="宋体" w:hAnsi="宋体" w:cs="宋体"/>
                <w:kern w:val="0"/>
                <w:szCs w:val="21"/>
                <w:lang w:bidi="ar"/>
              </w:rPr>
              <w:t>1</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1AFA7E45">
            <w:pPr>
              <w:widowControl/>
              <w:jc w:val="center"/>
              <w:textAlignment w:val="center"/>
              <w:rPr>
                <w:rFonts w:hint="eastAsia" w:ascii="宋体" w:hAnsi="宋体" w:cs="宋体"/>
                <w:szCs w:val="21"/>
              </w:rPr>
            </w:pPr>
            <w:r>
              <w:rPr>
                <w:rFonts w:hint="eastAsia" w:ascii="宋体" w:hAnsi="宋体" w:cs="宋体"/>
                <w:kern w:val="0"/>
                <w:szCs w:val="21"/>
                <w:lang w:bidi="ar"/>
              </w:rPr>
              <w:t>套</w:t>
            </w:r>
          </w:p>
        </w:tc>
      </w:tr>
      <w:tr w14:paraId="2958D6C9">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7DAC564B">
            <w:pPr>
              <w:widowControl/>
              <w:jc w:val="center"/>
              <w:textAlignment w:val="center"/>
              <w:rPr>
                <w:rFonts w:hint="eastAsia" w:ascii="新宋体" w:hAnsi="新宋体" w:eastAsia="新宋体" w:cs="新宋体"/>
                <w:szCs w:val="21"/>
              </w:rPr>
            </w:pPr>
            <w:r>
              <w:rPr>
                <w:rFonts w:hint="eastAsia" w:ascii="宋体" w:hAnsi="宋体" w:cs="宋体"/>
                <w:kern w:val="0"/>
                <w:szCs w:val="21"/>
                <w:lang w:bidi="ar"/>
              </w:rPr>
              <w:t>3</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57777F1E">
            <w:pPr>
              <w:widowControl/>
              <w:jc w:val="center"/>
              <w:textAlignment w:val="center"/>
              <w:rPr>
                <w:rFonts w:hint="eastAsia" w:ascii="宋体" w:hAnsi="宋体" w:cs="宋体"/>
                <w:szCs w:val="21"/>
              </w:rPr>
            </w:pPr>
            <w:r>
              <w:rPr>
                <w:rFonts w:hint="eastAsia" w:ascii="宋体" w:hAnsi="宋体" w:cs="宋体"/>
                <w:kern w:val="0"/>
                <w:szCs w:val="21"/>
                <w:lang w:bidi="ar"/>
              </w:rPr>
              <w:t>仪器柜</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1E54961D">
            <w:pPr>
              <w:widowControl/>
              <w:jc w:val="center"/>
              <w:textAlignment w:val="center"/>
              <w:rPr>
                <w:rFonts w:hint="eastAsia" w:ascii="新宋体" w:hAnsi="新宋体" w:eastAsia="新宋体" w:cs="新宋体"/>
                <w:kern w:val="0"/>
                <w:szCs w:val="21"/>
                <w:lang w:bidi="ar"/>
              </w:rPr>
            </w:pPr>
            <w:r>
              <w:rPr>
                <w:rFonts w:hint="eastAsia" w:ascii="宋体" w:hAnsi="宋体" w:cs="宋体"/>
                <w:kern w:val="0"/>
                <w:szCs w:val="21"/>
                <w:lang w:bidi="ar"/>
              </w:rPr>
              <w:t>7</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2E0FA5D0">
            <w:pPr>
              <w:widowControl/>
              <w:jc w:val="center"/>
              <w:textAlignment w:val="center"/>
              <w:rPr>
                <w:rFonts w:hint="eastAsia" w:ascii="新宋体" w:hAnsi="新宋体" w:eastAsia="新宋体" w:cs="新宋体"/>
                <w:kern w:val="0"/>
                <w:szCs w:val="21"/>
                <w:lang w:bidi="ar"/>
              </w:rPr>
            </w:pPr>
            <w:r>
              <w:rPr>
                <w:rFonts w:hint="eastAsia" w:ascii="宋体" w:hAnsi="宋体" w:cs="宋体"/>
                <w:kern w:val="0"/>
                <w:szCs w:val="21"/>
                <w:lang w:bidi="ar"/>
              </w:rPr>
              <w:t>组</w:t>
            </w:r>
          </w:p>
        </w:tc>
      </w:tr>
    </w:tbl>
    <w:p w14:paraId="503495AA">
      <w:pPr>
        <w:numPr>
          <w:ilvl w:val="255"/>
          <w:numId w:val="0"/>
        </w:numPr>
        <w:spacing w:line="440" w:lineRule="exact"/>
        <w:rPr>
          <w:rFonts w:hint="eastAsia" w:ascii="宋体" w:hAnsi="宋体"/>
          <w:b/>
          <w:sz w:val="18"/>
          <w:szCs w:val="18"/>
        </w:rPr>
      </w:pPr>
      <w:r>
        <w:rPr>
          <w:rFonts w:hint="eastAsia" w:ascii="宋体" w:hAnsi="宋体"/>
          <w:b/>
          <w:sz w:val="18"/>
          <w:szCs w:val="18"/>
        </w:rPr>
        <w:t>（9）生物仪器室</w:t>
      </w:r>
    </w:p>
    <w:tbl>
      <w:tblPr>
        <w:tblStyle w:val="44"/>
        <w:tblW w:w="8390" w:type="dxa"/>
        <w:tblInd w:w="-175" w:type="dxa"/>
        <w:tblLayout w:type="fixed"/>
        <w:tblCellMar>
          <w:top w:w="0" w:type="dxa"/>
          <w:left w:w="108" w:type="dxa"/>
          <w:bottom w:w="0" w:type="dxa"/>
          <w:right w:w="108" w:type="dxa"/>
        </w:tblCellMar>
      </w:tblPr>
      <w:tblGrid>
        <w:gridCol w:w="916"/>
        <w:gridCol w:w="4515"/>
        <w:gridCol w:w="1474"/>
        <w:gridCol w:w="1485"/>
      </w:tblGrid>
      <w:tr w14:paraId="31050720">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0C5E80E3">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序号</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834E0C">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名称</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55E412">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数量</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1B6BD8">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单位</w:t>
            </w:r>
          </w:p>
        </w:tc>
      </w:tr>
      <w:tr w14:paraId="4C9A195A">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28EF1F4F">
            <w:pPr>
              <w:widowControl/>
              <w:jc w:val="center"/>
              <w:textAlignment w:val="center"/>
              <w:rPr>
                <w:rFonts w:hint="eastAsia" w:ascii="新宋体" w:hAnsi="新宋体" w:eastAsia="新宋体" w:cs="新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7890D484">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仪器柜</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6735BC58">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18</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1387677E">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组</w:t>
            </w:r>
          </w:p>
        </w:tc>
      </w:tr>
    </w:tbl>
    <w:p w14:paraId="4ECB5D99">
      <w:pPr>
        <w:numPr>
          <w:ilvl w:val="255"/>
          <w:numId w:val="0"/>
        </w:numPr>
        <w:spacing w:line="440" w:lineRule="exact"/>
        <w:rPr>
          <w:rFonts w:hint="eastAsia" w:ascii="宋体" w:hAnsi="宋体"/>
          <w:b/>
          <w:sz w:val="18"/>
          <w:szCs w:val="18"/>
        </w:rPr>
      </w:pPr>
      <w:r>
        <w:rPr>
          <w:rFonts w:hint="eastAsia" w:ascii="宋体" w:hAnsi="宋体"/>
          <w:b/>
          <w:sz w:val="18"/>
          <w:szCs w:val="18"/>
        </w:rPr>
        <w:t>（10）实验室数据管理</w:t>
      </w:r>
    </w:p>
    <w:tbl>
      <w:tblPr>
        <w:tblStyle w:val="44"/>
        <w:tblW w:w="8390" w:type="dxa"/>
        <w:tblInd w:w="-175" w:type="dxa"/>
        <w:tblLayout w:type="fixed"/>
        <w:tblCellMar>
          <w:top w:w="0" w:type="dxa"/>
          <w:left w:w="108" w:type="dxa"/>
          <w:bottom w:w="0" w:type="dxa"/>
          <w:right w:w="108" w:type="dxa"/>
        </w:tblCellMar>
      </w:tblPr>
      <w:tblGrid>
        <w:gridCol w:w="916"/>
        <w:gridCol w:w="4515"/>
        <w:gridCol w:w="1474"/>
        <w:gridCol w:w="1485"/>
      </w:tblGrid>
      <w:tr w14:paraId="66BEEC47">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6AD2907E">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序号</w:t>
            </w:r>
          </w:p>
        </w:tc>
        <w:tc>
          <w:tcPr>
            <w:tcW w:w="45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FE30C7">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名称</w:t>
            </w:r>
          </w:p>
        </w:tc>
        <w:tc>
          <w:tcPr>
            <w:tcW w:w="14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A217A2">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数量</w:t>
            </w:r>
          </w:p>
        </w:tc>
        <w:tc>
          <w:tcPr>
            <w:tcW w:w="1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719DC9">
            <w:pPr>
              <w:widowControl/>
              <w:jc w:val="center"/>
              <w:textAlignment w:val="center"/>
              <w:rPr>
                <w:rFonts w:hint="eastAsia"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单位</w:t>
            </w:r>
          </w:p>
        </w:tc>
      </w:tr>
      <w:tr w14:paraId="6E0AF89E">
        <w:tblPrEx>
          <w:tblCellMar>
            <w:top w:w="0" w:type="dxa"/>
            <w:left w:w="108" w:type="dxa"/>
            <w:bottom w:w="0" w:type="dxa"/>
            <w:right w:w="108" w:type="dxa"/>
          </w:tblCellMar>
        </w:tblPrEx>
        <w:trPr>
          <w:trHeight w:val="397" w:hRule="atLeast"/>
        </w:trPr>
        <w:tc>
          <w:tcPr>
            <w:tcW w:w="916" w:type="dxa"/>
            <w:tcBorders>
              <w:top w:val="single" w:color="000000" w:sz="4" w:space="0"/>
              <w:left w:val="single" w:color="000000" w:sz="4" w:space="0"/>
              <w:bottom w:val="single" w:color="000000" w:sz="4" w:space="0"/>
              <w:right w:val="single" w:color="000000" w:sz="4" w:space="0"/>
            </w:tcBorders>
            <w:noWrap/>
            <w:vAlign w:val="center"/>
          </w:tcPr>
          <w:p w14:paraId="457B4BD7">
            <w:pPr>
              <w:widowControl/>
              <w:jc w:val="center"/>
              <w:textAlignment w:val="center"/>
              <w:rPr>
                <w:rFonts w:hint="eastAsia" w:ascii="新宋体" w:hAnsi="新宋体" w:eastAsia="新宋体" w:cs="新宋体"/>
                <w:color w:val="000000" w:themeColor="text1"/>
                <w:szCs w:val="21"/>
                <w14:textFill>
                  <w14:solidFill>
                    <w14:schemeClr w14:val="tx1"/>
                  </w14:solidFill>
                </w14:textFill>
              </w:rPr>
            </w:pPr>
            <w:r>
              <w:rPr>
                <w:rFonts w:hint="eastAsia" w:ascii="新宋体" w:hAnsi="新宋体" w:eastAsia="新宋体" w:cs="新宋体"/>
                <w:b/>
                <w:bCs/>
                <w:color w:val="000000" w:themeColor="text1"/>
                <w:kern w:val="0"/>
                <w:szCs w:val="21"/>
                <w:lang w:bidi="ar"/>
                <w14:textFill>
                  <w14:solidFill>
                    <w14:schemeClr w14:val="tx1"/>
                  </w14:solidFill>
                </w14:textFill>
              </w:rPr>
              <w:t>1</w:t>
            </w:r>
          </w:p>
        </w:tc>
        <w:tc>
          <w:tcPr>
            <w:tcW w:w="4515" w:type="dxa"/>
            <w:tcBorders>
              <w:top w:val="single" w:color="000000" w:sz="4" w:space="0"/>
              <w:left w:val="single" w:color="000000" w:sz="4" w:space="0"/>
              <w:bottom w:val="single" w:color="000000" w:sz="4" w:space="0"/>
              <w:right w:val="single" w:color="000000" w:sz="4" w:space="0"/>
            </w:tcBorders>
            <w:noWrap/>
            <w:vAlign w:val="center"/>
          </w:tcPr>
          <w:p w14:paraId="26194E19">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新宋体" w:hAnsi="新宋体" w:eastAsia="新宋体" w:cs="新宋体"/>
                <w:color w:val="000000" w:themeColor="text1"/>
                <w:kern w:val="0"/>
                <w:szCs w:val="21"/>
                <w:lang w:bidi="ar"/>
                <w14:textFill>
                  <w14:solidFill>
                    <w14:schemeClr w14:val="tx1"/>
                  </w14:solidFill>
                </w14:textFill>
              </w:rPr>
              <w:t>实验室数据备份管理装置</w:t>
            </w:r>
          </w:p>
        </w:tc>
        <w:tc>
          <w:tcPr>
            <w:tcW w:w="1474" w:type="dxa"/>
            <w:tcBorders>
              <w:top w:val="single" w:color="000000" w:sz="4" w:space="0"/>
              <w:left w:val="single" w:color="000000" w:sz="4" w:space="0"/>
              <w:bottom w:val="single" w:color="000000" w:sz="4" w:space="0"/>
              <w:right w:val="single" w:color="000000" w:sz="4" w:space="0"/>
            </w:tcBorders>
            <w:noWrap/>
            <w:vAlign w:val="center"/>
          </w:tcPr>
          <w:p w14:paraId="33D5EA80">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4</w:t>
            </w:r>
          </w:p>
        </w:tc>
        <w:tc>
          <w:tcPr>
            <w:tcW w:w="1485" w:type="dxa"/>
            <w:tcBorders>
              <w:top w:val="single" w:color="000000" w:sz="4" w:space="0"/>
              <w:left w:val="single" w:color="000000" w:sz="4" w:space="0"/>
              <w:bottom w:val="single" w:color="000000" w:sz="4" w:space="0"/>
              <w:right w:val="single" w:color="000000" w:sz="4" w:space="0"/>
            </w:tcBorders>
            <w:noWrap/>
            <w:vAlign w:val="center"/>
          </w:tcPr>
          <w:p w14:paraId="30920D0A">
            <w:pPr>
              <w:widowControl/>
              <w:jc w:val="center"/>
              <w:textAlignment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套</w:t>
            </w:r>
          </w:p>
        </w:tc>
      </w:tr>
    </w:tbl>
    <w:p w14:paraId="35F0CA3F">
      <w:pPr>
        <w:rPr>
          <w:b/>
          <w:bCs/>
          <w:color w:val="000000" w:themeColor="text1"/>
          <w:sz w:val="20"/>
          <w:szCs w:val="22"/>
          <w14:textFill>
            <w14:solidFill>
              <w14:schemeClr w14:val="tx1"/>
            </w14:solidFill>
          </w14:textFill>
        </w:rPr>
      </w:pPr>
      <w:r>
        <w:rPr>
          <w:b/>
          <w:bCs/>
          <w:color w:val="000000" w:themeColor="text1"/>
          <w:sz w:val="20"/>
          <w:szCs w:val="22"/>
          <w14:textFill>
            <w14:solidFill>
              <w14:schemeClr w14:val="tx1"/>
            </w14:solidFill>
          </w14:textFill>
        </w:rPr>
        <w:br w:type="page"/>
      </w:r>
    </w:p>
    <w:p w14:paraId="718BAEAC">
      <w:pPr>
        <w:rPr>
          <w:b/>
          <w:bCs/>
          <w:color w:val="000000" w:themeColor="text1"/>
          <w:sz w:val="20"/>
          <w:szCs w:val="22"/>
          <w14:textFill>
            <w14:solidFill>
              <w14:schemeClr w14:val="tx1"/>
            </w14:solidFill>
          </w14:textFill>
        </w:rPr>
        <w:sectPr>
          <w:headerReference r:id="rId6" w:type="default"/>
          <w:footerReference r:id="rId7" w:type="default"/>
          <w:pgSz w:w="11906" w:h="16838"/>
          <w:pgMar w:top="1440" w:right="1803" w:bottom="1440" w:left="1803" w:header="851" w:footer="992" w:gutter="0"/>
          <w:cols w:space="0" w:num="1"/>
          <w:docGrid w:type="lines" w:linePitch="319" w:charSpace="0"/>
        </w:sectPr>
      </w:pPr>
    </w:p>
    <w:p w14:paraId="16B8E9E2">
      <w:pPr>
        <w:spacing w:line="440" w:lineRule="exact"/>
        <w:rPr>
          <w:rFonts w:hint="eastAsia" w:ascii="宋体" w:hAnsi="宋体"/>
          <w:b/>
          <w:szCs w:val="21"/>
        </w:rPr>
      </w:pPr>
      <w:r>
        <w:rPr>
          <w:rFonts w:hint="eastAsia" w:ascii="宋体" w:hAnsi="宋体"/>
          <w:b/>
          <w:szCs w:val="21"/>
        </w:rPr>
        <w:t>二、技术要求</w:t>
      </w:r>
    </w:p>
    <w:p w14:paraId="4EF13E12">
      <w:pPr>
        <w:tabs>
          <w:tab w:val="left" w:pos="1934"/>
        </w:tabs>
        <w:ind w:firstLine="408"/>
        <w:rPr>
          <w:color w:val="000000" w:themeColor="text1"/>
          <w14:textFill>
            <w14:solidFill>
              <w14:schemeClr w14:val="tx1"/>
            </w14:solidFill>
          </w14:textFill>
        </w:rPr>
      </w:pPr>
      <w:r>
        <w:rPr>
          <w:rFonts w:hint="eastAsia"/>
          <w:color w:val="000000" w:themeColor="text1"/>
          <w14:textFill>
            <w14:solidFill>
              <w14:schemeClr w14:val="tx1"/>
            </w14:solidFill>
          </w14:textFill>
        </w:rPr>
        <w:tab/>
      </w:r>
    </w:p>
    <w:tbl>
      <w:tblPr>
        <w:tblStyle w:val="44"/>
        <w:tblW w:w="0" w:type="auto"/>
        <w:tblInd w:w="-348" w:type="dxa"/>
        <w:tblLayout w:type="fixed"/>
        <w:tblCellMar>
          <w:top w:w="0" w:type="dxa"/>
          <w:left w:w="108" w:type="dxa"/>
          <w:bottom w:w="0" w:type="dxa"/>
          <w:right w:w="108" w:type="dxa"/>
        </w:tblCellMar>
      </w:tblPr>
      <w:tblGrid>
        <w:gridCol w:w="500"/>
        <w:gridCol w:w="2757"/>
        <w:gridCol w:w="5770"/>
        <w:gridCol w:w="500"/>
        <w:gridCol w:w="500"/>
        <w:gridCol w:w="3345"/>
        <w:gridCol w:w="1150"/>
      </w:tblGrid>
      <w:tr w14:paraId="16710825">
        <w:trPr>
          <w:trHeight w:val="520" w:hRule="atLeast"/>
        </w:trPr>
        <w:tc>
          <w:tcPr>
            <w:tcW w:w="14522" w:type="dxa"/>
            <w:gridSpan w:val="7"/>
            <w:tcBorders>
              <w:top w:val="single" w:color="000000" w:sz="4" w:space="0"/>
              <w:left w:val="single" w:color="000000" w:sz="4" w:space="0"/>
              <w:bottom w:val="single" w:color="000000" w:sz="4" w:space="0"/>
              <w:right w:val="single" w:color="000000" w:sz="4" w:space="0"/>
            </w:tcBorders>
            <w:vAlign w:val="center"/>
          </w:tcPr>
          <w:p w14:paraId="17E71082">
            <w:pPr>
              <w:widowControl/>
              <w:jc w:val="center"/>
              <w:textAlignment w:val="center"/>
              <w:rPr>
                <w:rFonts w:hint="eastAsia" w:ascii="新宋体" w:hAnsi="新宋体" w:eastAsia="新宋体" w:cs="新宋体"/>
                <w:b/>
                <w:bCs/>
                <w:color w:val="000000" w:themeColor="text1"/>
                <w:kern w:val="0"/>
                <w:sz w:val="24"/>
                <w:lang w:bidi="ar"/>
                <w14:textFill>
                  <w14:solidFill>
                    <w14:schemeClr w14:val="tx1"/>
                  </w14:solidFill>
                </w14:textFill>
              </w:rPr>
            </w:pPr>
            <w:r>
              <w:rPr>
                <w:rFonts w:hint="eastAsia" w:asciiTheme="minorEastAsia" w:hAnsiTheme="minorEastAsia" w:eastAsiaTheme="minorEastAsia" w:cstheme="minorEastAsia"/>
                <w:b/>
                <w:bCs/>
                <w:color w:val="000000" w:themeColor="text1"/>
                <w:kern w:val="0"/>
                <w:sz w:val="22"/>
                <w:szCs w:val="22"/>
                <w:lang w:bidi="ar"/>
                <w14:textFill>
                  <w14:solidFill>
                    <w14:schemeClr w14:val="tx1"/>
                  </w14:solidFill>
                </w14:textFill>
              </w:rPr>
              <w:t>（1）生物实验室</w:t>
            </w:r>
          </w:p>
        </w:tc>
      </w:tr>
      <w:tr w14:paraId="384FEE28">
        <w:tblPrEx>
          <w:tblCellMar>
            <w:top w:w="0" w:type="dxa"/>
            <w:left w:w="108" w:type="dxa"/>
            <w:bottom w:w="0" w:type="dxa"/>
            <w:right w:w="108" w:type="dxa"/>
          </w:tblCellMar>
        </w:tblPrEx>
        <w:trPr>
          <w:trHeight w:val="52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095240C5">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序号</w:t>
            </w:r>
          </w:p>
        </w:tc>
        <w:tc>
          <w:tcPr>
            <w:tcW w:w="2757" w:type="dxa"/>
            <w:tcBorders>
              <w:top w:val="single" w:color="000000" w:sz="4" w:space="0"/>
              <w:left w:val="single" w:color="000000" w:sz="4" w:space="0"/>
              <w:bottom w:val="single" w:color="000000" w:sz="4" w:space="0"/>
              <w:right w:val="single" w:color="000000" w:sz="4" w:space="0"/>
            </w:tcBorders>
            <w:vAlign w:val="center"/>
          </w:tcPr>
          <w:p w14:paraId="338B8A6D">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设备名称</w:t>
            </w:r>
          </w:p>
        </w:tc>
        <w:tc>
          <w:tcPr>
            <w:tcW w:w="5770" w:type="dxa"/>
            <w:tcBorders>
              <w:top w:val="single" w:color="000000" w:sz="4" w:space="0"/>
              <w:left w:val="single" w:color="000000" w:sz="4" w:space="0"/>
              <w:bottom w:val="single" w:color="000000" w:sz="4" w:space="0"/>
              <w:right w:val="single" w:color="000000" w:sz="4" w:space="0"/>
            </w:tcBorders>
            <w:vAlign w:val="center"/>
          </w:tcPr>
          <w:p w14:paraId="0B4A4EAB">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规格参数</w:t>
            </w:r>
          </w:p>
        </w:tc>
        <w:tc>
          <w:tcPr>
            <w:tcW w:w="500" w:type="dxa"/>
            <w:tcBorders>
              <w:top w:val="single" w:color="000000" w:sz="4" w:space="0"/>
              <w:left w:val="single" w:color="000000" w:sz="4" w:space="0"/>
              <w:bottom w:val="single" w:color="000000" w:sz="4" w:space="0"/>
              <w:right w:val="single" w:color="000000" w:sz="4" w:space="0"/>
            </w:tcBorders>
            <w:vAlign w:val="center"/>
          </w:tcPr>
          <w:p w14:paraId="3CB8AC25">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数量</w:t>
            </w:r>
          </w:p>
        </w:tc>
        <w:tc>
          <w:tcPr>
            <w:tcW w:w="500" w:type="dxa"/>
            <w:tcBorders>
              <w:top w:val="single" w:color="000000" w:sz="4" w:space="0"/>
              <w:left w:val="single" w:color="000000" w:sz="4" w:space="0"/>
              <w:bottom w:val="single" w:color="000000" w:sz="4" w:space="0"/>
              <w:right w:val="single" w:color="000000" w:sz="4" w:space="0"/>
            </w:tcBorders>
            <w:vAlign w:val="center"/>
          </w:tcPr>
          <w:p w14:paraId="13B0DFDC">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单位</w:t>
            </w:r>
          </w:p>
        </w:tc>
        <w:tc>
          <w:tcPr>
            <w:tcW w:w="3345" w:type="dxa"/>
            <w:tcBorders>
              <w:top w:val="single" w:color="000000" w:sz="4" w:space="0"/>
              <w:left w:val="single" w:color="000000" w:sz="4" w:space="0"/>
              <w:bottom w:val="single" w:color="000000" w:sz="4" w:space="0"/>
              <w:right w:val="single" w:color="000000" w:sz="4" w:space="0"/>
            </w:tcBorders>
            <w:vAlign w:val="center"/>
          </w:tcPr>
          <w:p w14:paraId="0388BB4A">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参考图片</w:t>
            </w:r>
          </w:p>
        </w:tc>
        <w:tc>
          <w:tcPr>
            <w:tcW w:w="1150" w:type="dxa"/>
            <w:tcBorders>
              <w:top w:val="single" w:color="000000" w:sz="4" w:space="0"/>
              <w:left w:val="single" w:color="000000" w:sz="4" w:space="0"/>
              <w:bottom w:val="single" w:color="000000" w:sz="4" w:space="0"/>
              <w:right w:val="single" w:color="000000" w:sz="4" w:space="0"/>
            </w:tcBorders>
            <w:vAlign w:val="center"/>
          </w:tcPr>
          <w:p w14:paraId="2F85BA7C">
            <w:pPr>
              <w:widowControl/>
              <w:jc w:val="center"/>
              <w:textAlignment w:val="center"/>
              <w:rPr>
                <w:rFonts w:hint="eastAsia" w:ascii="新宋体" w:hAnsi="新宋体" w:eastAsia="新宋体" w:cs="新宋体"/>
                <w:b/>
                <w:bCs/>
                <w:color w:val="000000" w:themeColor="text1"/>
                <w:kern w:val="0"/>
                <w:sz w:val="22"/>
                <w:szCs w:val="22"/>
                <w:lang w:bidi="ar"/>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备注</w:t>
            </w:r>
          </w:p>
        </w:tc>
      </w:tr>
      <w:tr w14:paraId="22B3B4A3">
        <w:tblPrEx>
          <w:tblCellMar>
            <w:top w:w="0" w:type="dxa"/>
            <w:left w:w="108" w:type="dxa"/>
            <w:bottom w:w="0" w:type="dxa"/>
            <w:right w:w="108" w:type="dxa"/>
          </w:tblCellMar>
        </w:tblPrEx>
        <w:trPr>
          <w:trHeight w:val="388" w:hRule="atLeast"/>
        </w:trPr>
        <w:tc>
          <w:tcPr>
            <w:tcW w:w="500" w:type="dxa"/>
            <w:tcBorders>
              <w:top w:val="single" w:color="000000" w:sz="4" w:space="0"/>
              <w:left w:val="single" w:color="000000" w:sz="4" w:space="0"/>
              <w:bottom w:val="single" w:color="auto" w:sz="4" w:space="0"/>
              <w:right w:val="single" w:color="000000" w:sz="4" w:space="0"/>
            </w:tcBorders>
            <w:vAlign w:val="center"/>
          </w:tcPr>
          <w:p w14:paraId="6D703677">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2757" w:type="dxa"/>
            <w:tcBorders>
              <w:top w:val="single" w:color="000000" w:sz="4" w:space="0"/>
              <w:left w:val="single" w:color="000000" w:sz="4" w:space="0"/>
              <w:bottom w:val="single" w:color="auto" w:sz="4" w:space="0"/>
              <w:right w:val="single" w:color="000000" w:sz="4" w:space="0"/>
            </w:tcBorders>
            <w:vAlign w:val="center"/>
          </w:tcPr>
          <w:p w14:paraId="04E66D71">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教室专用演示设备</w:t>
            </w:r>
          </w:p>
        </w:tc>
        <w:tc>
          <w:tcPr>
            <w:tcW w:w="5770" w:type="dxa"/>
            <w:tcBorders>
              <w:top w:val="single" w:color="000000" w:sz="4" w:space="0"/>
              <w:left w:val="single" w:color="000000" w:sz="4" w:space="0"/>
              <w:bottom w:val="single" w:color="auto" w:sz="4" w:space="0"/>
              <w:right w:val="single" w:color="000000" w:sz="4" w:space="0"/>
            </w:tcBorders>
            <w:vAlign w:val="center"/>
          </w:tcPr>
          <w:p w14:paraId="1701456B">
            <w:pPr>
              <w:widowControl/>
              <w:jc w:val="left"/>
              <w:textAlignment w:val="center"/>
              <w:rPr>
                <w:rFonts w:hint="eastAsia" w:ascii="宋体" w:hAnsi="宋体" w:cs="宋体"/>
                <w:sz w:val="22"/>
                <w:szCs w:val="22"/>
              </w:rPr>
            </w:pPr>
            <w:r>
              <w:rPr>
                <w:rFonts w:hint="eastAsia" w:ascii="宋体" w:hAnsi="宋体" w:cs="宋体"/>
                <w:kern w:val="0"/>
                <w:sz w:val="22"/>
                <w:szCs w:val="22"/>
                <w:lang w:bidi="ar"/>
              </w:rPr>
              <w:t>1.规格：约3000mm*700mm*900mm</w:t>
            </w:r>
            <w:r>
              <w:rPr>
                <w:rFonts w:hint="eastAsia" w:ascii="宋体" w:hAnsi="宋体" w:cs="宋体"/>
                <w:kern w:val="0"/>
                <w:sz w:val="22"/>
                <w:szCs w:val="22"/>
                <w:lang w:bidi="ar"/>
              </w:rPr>
              <w:br w:type="textWrapping"/>
            </w:r>
            <w:r>
              <w:rPr>
                <w:rFonts w:hint="eastAsia" w:ascii="宋体" w:hAnsi="宋体" w:cs="宋体"/>
                <w:kern w:val="0"/>
                <w:sz w:val="22"/>
                <w:szCs w:val="22"/>
                <w:lang w:bidi="ar"/>
              </w:rPr>
              <w:t>2.结构：全钢结构，柜体为落地式结构，可以单独或组合使用。所有底柜正面应为平装嵌入式结构设计；所有钣金的表面接缝均应满焊，焊接处均应打磨平整。</w:t>
            </w:r>
            <w:r>
              <w:rPr>
                <w:rFonts w:hint="eastAsia" w:ascii="宋体" w:hAnsi="宋体" w:cs="宋体"/>
                <w:kern w:val="0"/>
                <w:sz w:val="22"/>
                <w:szCs w:val="22"/>
                <w:lang w:bidi="ar"/>
              </w:rPr>
              <w:br w:type="textWrapping"/>
            </w:r>
            <w:r>
              <w:rPr>
                <w:rFonts w:hint="eastAsia" w:ascii="宋体" w:hAnsi="宋体" w:cs="宋体"/>
                <w:kern w:val="0"/>
                <w:sz w:val="22"/>
                <w:szCs w:val="22"/>
                <w:lang w:bidi="ar"/>
              </w:rPr>
              <w:t>3.面板：台面：采用≤16mm厚一体实心的实验室专用陶瓷板台面，整个台面一体高温烧制成型，台面表面为耐腐蚀专业釉面，釉面与坯体结合后不脱落、不脱层。台面后方卡入学生桌铝型槽内，前方用预埋件与桌体固定。耐酸、耐碱、耐高温，坚固耐用，防潮、无细孔、不膨胀、不龟裂、不变形、不导电、便于维护及具有良好的承重性能。</w:t>
            </w:r>
            <w:r>
              <w:rPr>
                <w:rFonts w:hint="eastAsia" w:ascii="宋体" w:hAnsi="宋体" w:cs="宋体"/>
                <w:kern w:val="0"/>
                <w:sz w:val="22"/>
                <w:szCs w:val="22"/>
                <w:lang w:bidi="ar"/>
              </w:rPr>
              <w:br w:type="textWrapping"/>
            </w:r>
            <w:r>
              <w:rPr>
                <w:rFonts w:hint="eastAsia" w:ascii="宋体" w:hAnsi="宋体" w:cs="宋体"/>
                <w:kern w:val="0"/>
                <w:sz w:val="22"/>
                <w:szCs w:val="22"/>
                <w:lang w:bidi="ar"/>
              </w:rPr>
              <w:t>4.桌体：采用≥1mm镀锌钢板，保护焊焊接，打磨处理，表面经耐酸碱粉末烤漆处理，表面硬度附着力。</w:t>
            </w:r>
            <w:r>
              <w:rPr>
                <w:rFonts w:hint="eastAsia" w:ascii="宋体" w:hAnsi="宋体" w:cs="宋体"/>
                <w:kern w:val="0"/>
                <w:sz w:val="22"/>
                <w:szCs w:val="22"/>
                <w:lang w:bidi="ar"/>
              </w:rPr>
              <w:br w:type="textWrapping"/>
            </w:r>
            <w:r>
              <w:rPr>
                <w:rFonts w:hint="eastAsia" w:ascii="宋体" w:hAnsi="宋体" w:cs="宋体"/>
                <w:kern w:val="0"/>
                <w:sz w:val="22"/>
                <w:szCs w:val="22"/>
                <w:lang w:bidi="ar"/>
              </w:rPr>
              <w:t>5.滑轨：三节重型滚珠滑轨，承重性强，滑动流畅；无噪音，开合十万次不变形。</w:t>
            </w:r>
            <w:r>
              <w:rPr>
                <w:rFonts w:hint="eastAsia" w:ascii="宋体" w:hAnsi="宋体" w:cs="宋体"/>
                <w:kern w:val="0"/>
                <w:sz w:val="22"/>
                <w:szCs w:val="22"/>
                <w:lang w:bidi="ar"/>
              </w:rPr>
              <w:br w:type="textWrapping"/>
            </w:r>
            <w:r>
              <w:rPr>
                <w:rFonts w:hint="eastAsia" w:ascii="宋体" w:hAnsi="宋体" w:cs="宋体"/>
                <w:kern w:val="0"/>
                <w:sz w:val="22"/>
                <w:szCs w:val="22"/>
                <w:lang w:bidi="ar"/>
              </w:rPr>
              <w:t>6.拉手：采用C型不锈钢拉手。</w:t>
            </w:r>
            <w:r>
              <w:rPr>
                <w:rFonts w:hint="eastAsia" w:ascii="宋体" w:hAnsi="宋体" w:cs="宋体"/>
                <w:kern w:val="0"/>
                <w:sz w:val="22"/>
                <w:szCs w:val="22"/>
                <w:lang w:bidi="ar"/>
              </w:rPr>
              <w:br w:type="textWrapping"/>
            </w:r>
            <w:r>
              <w:rPr>
                <w:rFonts w:hint="eastAsia" w:ascii="宋体" w:hAnsi="宋体" w:cs="宋体"/>
                <w:kern w:val="0"/>
                <w:sz w:val="22"/>
                <w:szCs w:val="22"/>
                <w:lang w:bidi="ar"/>
              </w:rPr>
              <w:t>7.脚垫：采用柜体内置可调ABS脚垫。</w:t>
            </w:r>
            <w:r>
              <w:rPr>
                <w:rFonts w:hint="eastAsia" w:ascii="宋体" w:hAnsi="宋体" w:cs="宋体"/>
                <w:kern w:val="0"/>
                <w:sz w:val="22"/>
                <w:szCs w:val="22"/>
                <w:lang w:bidi="ar"/>
              </w:rPr>
              <w:br w:type="textWrapping"/>
            </w:r>
            <w:r>
              <w:rPr>
                <w:rFonts w:hint="eastAsia" w:ascii="宋体" w:hAnsi="宋体" w:cs="宋体"/>
                <w:kern w:val="0"/>
                <w:sz w:val="22"/>
                <w:szCs w:val="22"/>
                <w:lang w:bidi="ar"/>
              </w:rPr>
              <w:t>8.固定桌脚：ABS注塑专用桌垫。</w:t>
            </w:r>
            <w:r>
              <w:rPr>
                <w:rFonts w:hint="eastAsia" w:ascii="宋体" w:hAnsi="宋体" w:cs="宋体"/>
                <w:kern w:val="0"/>
                <w:sz w:val="22"/>
                <w:szCs w:val="22"/>
                <w:lang w:bidi="ar"/>
              </w:rPr>
              <w:br w:type="textWrapping"/>
            </w:r>
            <w:r>
              <w:rPr>
                <w:rFonts w:hint="eastAsia" w:ascii="宋体" w:hAnsi="宋体" w:cs="宋体"/>
                <w:kern w:val="0"/>
                <w:sz w:val="22"/>
                <w:szCs w:val="22"/>
                <w:lang w:bidi="ar"/>
              </w:rPr>
              <w:t>9.其他:预留多媒体设备（电脑、实物展台、DVD）等设备位置。</w:t>
            </w:r>
          </w:p>
        </w:tc>
        <w:tc>
          <w:tcPr>
            <w:tcW w:w="500" w:type="dxa"/>
            <w:tcBorders>
              <w:top w:val="single" w:color="000000" w:sz="4" w:space="0"/>
              <w:left w:val="single" w:color="000000" w:sz="4" w:space="0"/>
              <w:bottom w:val="single" w:color="auto" w:sz="4" w:space="0"/>
              <w:right w:val="single" w:color="000000" w:sz="4" w:space="0"/>
            </w:tcBorders>
            <w:vAlign w:val="center"/>
          </w:tcPr>
          <w:p w14:paraId="26D0EAA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auto" w:sz="4" w:space="0"/>
              <w:right w:val="single" w:color="000000" w:sz="4" w:space="0"/>
            </w:tcBorders>
            <w:vAlign w:val="center"/>
          </w:tcPr>
          <w:p w14:paraId="37C68E7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张</w:t>
            </w:r>
          </w:p>
        </w:tc>
        <w:tc>
          <w:tcPr>
            <w:tcW w:w="3345" w:type="dxa"/>
            <w:tcBorders>
              <w:top w:val="single" w:color="000000" w:sz="4" w:space="0"/>
              <w:left w:val="single" w:color="000000" w:sz="4" w:space="0"/>
              <w:bottom w:val="single" w:color="auto" w:sz="4" w:space="0"/>
              <w:right w:val="single" w:color="000000" w:sz="4" w:space="0"/>
            </w:tcBorders>
            <w:vAlign w:val="center"/>
          </w:tcPr>
          <w:p w14:paraId="57533800">
            <w:pPr>
              <w:widowControl/>
              <w:jc w:val="center"/>
              <w:textAlignment w:val="center"/>
              <w:rPr>
                <w:rFonts w:hint="eastAsia" w:ascii="宋体" w:hAnsi="宋体" w:cs="宋体"/>
                <w:b/>
                <w:bCs/>
                <w:color w:val="000000" w:themeColor="text1"/>
                <w:sz w:val="22"/>
                <w:szCs w:val="22"/>
                <w14:textFill>
                  <w14:solidFill>
                    <w14:schemeClr w14:val="tx1"/>
                  </w14:solidFill>
                </w14:textFill>
              </w:rPr>
            </w:pPr>
            <w:r>
              <w:rPr>
                <w:rFonts w:hint="eastAsia" w:ascii="宋体" w:hAnsi="宋体" w:cs="宋体"/>
                <w:b/>
                <w:bCs/>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78720" behindDoc="0" locked="0" layoutInCell="1" allowOverlap="1">
                  <wp:simplePos x="0" y="0"/>
                  <wp:positionH relativeFrom="column">
                    <wp:posOffset>412115</wp:posOffset>
                  </wp:positionH>
                  <wp:positionV relativeFrom="paragraph">
                    <wp:posOffset>161290</wp:posOffset>
                  </wp:positionV>
                  <wp:extent cx="1261745" cy="1485900"/>
                  <wp:effectExtent l="0" t="0" r="14605" b="0"/>
                  <wp:wrapNone/>
                  <wp:docPr id="21" name="图片_43"/>
                  <wp:cNvGraphicFramePr/>
                  <a:graphic xmlns:a="http://schemas.openxmlformats.org/drawingml/2006/main">
                    <a:graphicData uri="http://schemas.openxmlformats.org/drawingml/2006/picture">
                      <pic:pic xmlns:pic="http://schemas.openxmlformats.org/drawingml/2006/picture">
                        <pic:nvPicPr>
                          <pic:cNvPr id="21" name="图片_43"/>
                          <pic:cNvPicPr/>
                        </pic:nvPicPr>
                        <pic:blipFill>
                          <a:blip r:embed="rId19"/>
                          <a:stretch>
                            <a:fillRect/>
                          </a:stretch>
                        </pic:blipFill>
                        <pic:spPr>
                          <a:xfrm>
                            <a:off x="0" y="0"/>
                            <a:ext cx="1261745" cy="1485900"/>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auto" w:sz="4" w:space="0"/>
              <w:right w:val="single" w:color="000000" w:sz="4" w:space="0"/>
            </w:tcBorders>
            <w:vAlign w:val="center"/>
          </w:tcPr>
          <w:p w14:paraId="2E98459F">
            <w:pPr>
              <w:widowControl/>
              <w:jc w:val="center"/>
              <w:textAlignment w:val="center"/>
              <w:rPr>
                <w:rFonts w:hint="eastAsia" w:ascii="宋体" w:hAnsi="宋体" w:cs="宋体"/>
                <w:b/>
                <w:bCs/>
                <w:color w:val="000000" w:themeColor="text1"/>
                <w:kern w:val="0"/>
                <w:sz w:val="22"/>
                <w:szCs w:val="22"/>
                <w:bdr w:val="single" w:color="000000" w:sz="4" w:space="0"/>
                <w:lang w:bidi="ar"/>
                <w14:textFill>
                  <w14:solidFill>
                    <w14:schemeClr w14:val="tx1"/>
                  </w14:solidFill>
                </w14:textFill>
              </w:rPr>
            </w:pPr>
          </w:p>
        </w:tc>
      </w:tr>
      <w:tr w14:paraId="25FA9AA5">
        <w:tblPrEx>
          <w:tblCellMar>
            <w:top w:w="0" w:type="dxa"/>
            <w:left w:w="108" w:type="dxa"/>
            <w:bottom w:w="0" w:type="dxa"/>
            <w:right w:w="108" w:type="dxa"/>
          </w:tblCellMar>
        </w:tblPrEx>
        <w:trPr>
          <w:trHeight w:val="1540" w:hRule="atLeast"/>
        </w:trPr>
        <w:tc>
          <w:tcPr>
            <w:tcW w:w="500" w:type="dxa"/>
            <w:tcBorders>
              <w:top w:val="single" w:color="auto" w:sz="4" w:space="0"/>
              <w:left w:val="single" w:color="auto" w:sz="4" w:space="0"/>
              <w:bottom w:val="single" w:color="auto" w:sz="4" w:space="0"/>
              <w:right w:val="single" w:color="auto" w:sz="4" w:space="0"/>
            </w:tcBorders>
            <w:vAlign w:val="center"/>
          </w:tcPr>
          <w:p w14:paraId="63259CD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w:t>
            </w:r>
          </w:p>
        </w:tc>
        <w:tc>
          <w:tcPr>
            <w:tcW w:w="2757" w:type="dxa"/>
            <w:tcBorders>
              <w:top w:val="single" w:color="auto" w:sz="4" w:space="0"/>
              <w:left w:val="single" w:color="auto" w:sz="4" w:space="0"/>
              <w:bottom w:val="single" w:color="auto" w:sz="4" w:space="0"/>
              <w:right w:val="single" w:color="auto" w:sz="4" w:space="0"/>
            </w:tcBorders>
            <w:noWrap/>
            <w:vAlign w:val="center"/>
          </w:tcPr>
          <w:p w14:paraId="34FDE255">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教师实验课椅（</w:t>
            </w:r>
            <w:r>
              <w:rPr>
                <w:rFonts w:hint="eastAsia" w:ascii="宋体" w:hAnsi="宋体" w:cs="宋体"/>
                <w:b/>
                <w:bCs/>
                <w:kern w:val="0"/>
                <w:sz w:val="22"/>
                <w:szCs w:val="22"/>
                <w:lang w:bidi="ar"/>
              </w:rPr>
              <w:t>样品</w:t>
            </w:r>
            <w:r>
              <w:rPr>
                <w:rFonts w:hint="eastAsia" w:ascii="宋体" w:hAnsi="宋体" w:cs="宋体"/>
                <w:kern w:val="0"/>
                <w:sz w:val="22"/>
                <w:szCs w:val="22"/>
                <w:lang w:bidi="ar"/>
              </w:rPr>
              <w:t>）</w:t>
            </w:r>
          </w:p>
        </w:tc>
        <w:tc>
          <w:tcPr>
            <w:tcW w:w="5770" w:type="dxa"/>
            <w:tcBorders>
              <w:top w:val="single" w:color="auto" w:sz="4" w:space="0"/>
              <w:left w:val="single" w:color="auto" w:sz="4" w:space="0"/>
              <w:bottom w:val="single" w:color="auto" w:sz="4" w:space="0"/>
              <w:right w:val="single" w:color="auto" w:sz="4" w:space="0"/>
            </w:tcBorders>
            <w:vAlign w:val="center"/>
          </w:tcPr>
          <w:p w14:paraId="0AE099A5">
            <w:pPr>
              <w:widowControl/>
              <w:numPr>
                <w:ilvl w:val="0"/>
                <w:numId w:val="13"/>
              </w:numPr>
              <w:jc w:val="left"/>
              <w:textAlignment w:val="center"/>
              <w:rPr>
                <w:rFonts w:hint="eastAsia" w:ascii="宋体" w:hAnsi="宋体" w:cs="宋体"/>
                <w:kern w:val="0"/>
                <w:sz w:val="22"/>
                <w:szCs w:val="22"/>
                <w:lang w:bidi="ar"/>
              </w:rPr>
            </w:pPr>
            <w:r>
              <w:rPr>
                <w:rFonts w:hint="eastAsia" w:ascii="宋体" w:hAnsi="宋体" w:cs="宋体"/>
                <w:kern w:val="0"/>
                <w:sz w:val="22"/>
                <w:szCs w:val="22"/>
                <w:lang w:bidi="ar"/>
              </w:rPr>
              <w:t>规格:约380*400*800mm；</w:t>
            </w:r>
          </w:p>
          <w:p w14:paraId="6572FC59">
            <w:pPr>
              <w:widowControl/>
              <w:numPr>
                <w:ilvl w:val="0"/>
                <w:numId w:val="13"/>
              </w:numPr>
              <w:jc w:val="left"/>
              <w:textAlignment w:val="center"/>
              <w:rPr>
                <w:rFonts w:hint="eastAsia" w:ascii="宋体" w:hAnsi="宋体" w:cs="宋体"/>
                <w:sz w:val="22"/>
                <w:szCs w:val="22"/>
              </w:rPr>
            </w:pPr>
            <w:r>
              <w:rPr>
                <w:rFonts w:hint="eastAsia" w:ascii="宋体" w:hAnsi="宋体" w:cs="宋体"/>
                <w:kern w:val="0"/>
                <w:sz w:val="22"/>
                <w:szCs w:val="22"/>
                <w:lang w:bidi="ar"/>
              </w:rPr>
              <w:t>坐面为一体成型亚克力材质，靠面为一体成型树脂材质，四脚连接为一体成型表面抛光合金材质，整体美观，耐用。具有良好的防腐蚀功能。</w:t>
            </w:r>
            <w:r>
              <w:rPr>
                <w:rFonts w:hint="eastAsia" w:ascii="宋体" w:hAnsi="宋体" w:cs="宋体"/>
                <w:kern w:val="0"/>
                <w:sz w:val="22"/>
                <w:szCs w:val="22"/>
                <w:lang w:bidi="ar"/>
              </w:rPr>
              <w:br w:type="textWrapping"/>
            </w:r>
            <w:r>
              <w:rPr>
                <w:rFonts w:hint="eastAsia" w:ascii="Arial" w:hAnsi="Arial" w:cs="宋体"/>
                <w:kern w:val="0"/>
                <w:szCs w:val="21"/>
              </w:rPr>
              <w:t>★3</w:t>
            </w:r>
            <w:r>
              <w:rPr>
                <w:rFonts w:hint="eastAsia" w:ascii="宋体" w:hAnsi="宋体" w:cs="宋体"/>
                <w:kern w:val="0"/>
                <w:sz w:val="22"/>
                <w:szCs w:val="22"/>
                <w:lang w:bidi="ar"/>
              </w:rPr>
              <w:t>.课椅靠背座垫符合 GB 28481-2012《塑料家具中有害物质限量》要求。</w:t>
            </w:r>
          </w:p>
        </w:tc>
        <w:tc>
          <w:tcPr>
            <w:tcW w:w="500" w:type="dxa"/>
            <w:tcBorders>
              <w:top w:val="single" w:color="auto" w:sz="4" w:space="0"/>
              <w:left w:val="single" w:color="auto" w:sz="4" w:space="0"/>
              <w:bottom w:val="single" w:color="auto" w:sz="4" w:space="0"/>
              <w:right w:val="single" w:color="auto" w:sz="4" w:space="0"/>
            </w:tcBorders>
            <w:vAlign w:val="center"/>
          </w:tcPr>
          <w:p w14:paraId="0747BF0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auto" w:sz="4" w:space="0"/>
              <w:left w:val="single" w:color="auto" w:sz="4" w:space="0"/>
              <w:bottom w:val="single" w:color="auto" w:sz="4" w:space="0"/>
              <w:right w:val="single" w:color="auto" w:sz="4" w:space="0"/>
            </w:tcBorders>
            <w:vAlign w:val="center"/>
          </w:tcPr>
          <w:p w14:paraId="6677F0BD">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张</w:t>
            </w:r>
          </w:p>
        </w:tc>
        <w:tc>
          <w:tcPr>
            <w:tcW w:w="3345" w:type="dxa"/>
            <w:tcBorders>
              <w:top w:val="single" w:color="auto" w:sz="4" w:space="0"/>
              <w:left w:val="single" w:color="auto" w:sz="4" w:space="0"/>
              <w:bottom w:val="single" w:color="auto" w:sz="4" w:space="0"/>
              <w:right w:val="single" w:color="auto" w:sz="4" w:space="0"/>
            </w:tcBorders>
            <w:vAlign w:val="center"/>
          </w:tcPr>
          <w:p w14:paraId="225B7F45">
            <w:pPr>
              <w:widowControl/>
              <w:jc w:val="center"/>
              <w:textAlignment w:val="center"/>
              <w:rPr>
                <w:rFonts w:hint="eastAsia" w:ascii="宋体" w:hAnsi="宋体" w:cs="宋体"/>
                <w:b/>
                <w:bCs/>
                <w:color w:val="000000" w:themeColor="text1"/>
                <w:sz w:val="22"/>
                <w:szCs w:val="22"/>
                <w14:textFill>
                  <w14:solidFill>
                    <w14:schemeClr w14:val="tx1"/>
                  </w14:solidFill>
                </w14:textFill>
              </w:rPr>
            </w:pPr>
            <w:r>
              <w:rPr>
                <w:rFonts w:hint="eastAsia" w:ascii="宋体" w:hAnsi="宋体" w:cs="宋体"/>
                <w:b/>
                <w:bCs/>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76672" behindDoc="0" locked="0" layoutInCell="1" allowOverlap="1">
                  <wp:simplePos x="0" y="0"/>
                  <wp:positionH relativeFrom="column">
                    <wp:posOffset>511810</wp:posOffset>
                  </wp:positionH>
                  <wp:positionV relativeFrom="paragraph">
                    <wp:posOffset>325755</wp:posOffset>
                  </wp:positionV>
                  <wp:extent cx="492760" cy="419100"/>
                  <wp:effectExtent l="0" t="0" r="2540" b="0"/>
                  <wp:wrapNone/>
                  <wp:docPr id="18" name="图片_38"/>
                  <wp:cNvGraphicFramePr/>
                  <a:graphic xmlns:a="http://schemas.openxmlformats.org/drawingml/2006/main">
                    <a:graphicData uri="http://schemas.openxmlformats.org/drawingml/2006/picture">
                      <pic:pic xmlns:pic="http://schemas.openxmlformats.org/drawingml/2006/picture">
                        <pic:nvPicPr>
                          <pic:cNvPr id="18" name="图片_38"/>
                          <pic:cNvPicPr/>
                        </pic:nvPicPr>
                        <pic:blipFill>
                          <a:blip r:embed="rId20"/>
                          <a:stretch>
                            <a:fillRect/>
                          </a:stretch>
                        </pic:blipFill>
                        <pic:spPr>
                          <a:xfrm>
                            <a:off x="0" y="0"/>
                            <a:ext cx="492760" cy="419100"/>
                          </a:xfrm>
                          <a:prstGeom prst="rect">
                            <a:avLst/>
                          </a:prstGeom>
                          <a:noFill/>
                          <a:ln>
                            <a:noFill/>
                          </a:ln>
                        </pic:spPr>
                      </pic:pic>
                    </a:graphicData>
                  </a:graphic>
                </wp:anchor>
              </w:drawing>
            </w:r>
          </w:p>
        </w:tc>
        <w:tc>
          <w:tcPr>
            <w:tcW w:w="1150" w:type="dxa"/>
            <w:tcBorders>
              <w:top w:val="single" w:color="auto" w:sz="4" w:space="0"/>
              <w:left w:val="single" w:color="auto" w:sz="4" w:space="0"/>
              <w:bottom w:val="single" w:color="auto" w:sz="4" w:space="0"/>
              <w:right w:val="single" w:color="auto" w:sz="4" w:space="0"/>
            </w:tcBorders>
            <w:vAlign w:val="center"/>
          </w:tcPr>
          <w:p w14:paraId="2B2E302B">
            <w:pPr>
              <w:widowControl/>
              <w:jc w:val="center"/>
              <w:textAlignment w:val="center"/>
              <w:rPr>
                <w:rFonts w:hint="eastAsia" w:ascii="宋体" w:hAnsi="宋体"/>
                <w:bCs/>
                <w:sz w:val="24"/>
              </w:rPr>
            </w:pPr>
          </w:p>
        </w:tc>
      </w:tr>
      <w:tr w14:paraId="632DBB53">
        <w:tblPrEx>
          <w:tblCellMar>
            <w:top w:w="0" w:type="dxa"/>
            <w:left w:w="108" w:type="dxa"/>
            <w:bottom w:w="0" w:type="dxa"/>
            <w:right w:w="108" w:type="dxa"/>
          </w:tblCellMar>
        </w:tblPrEx>
        <w:trPr>
          <w:trHeight w:val="1540" w:hRule="atLeast"/>
        </w:trPr>
        <w:tc>
          <w:tcPr>
            <w:tcW w:w="500" w:type="dxa"/>
            <w:tcBorders>
              <w:top w:val="single" w:color="auto" w:sz="4" w:space="0"/>
              <w:left w:val="single" w:color="000000" w:sz="4" w:space="0"/>
              <w:bottom w:val="single" w:color="000000" w:sz="4" w:space="0"/>
              <w:right w:val="single" w:color="000000" w:sz="4" w:space="0"/>
            </w:tcBorders>
            <w:vAlign w:val="center"/>
          </w:tcPr>
          <w:p w14:paraId="1A0B683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3</w:t>
            </w:r>
          </w:p>
        </w:tc>
        <w:tc>
          <w:tcPr>
            <w:tcW w:w="2757" w:type="dxa"/>
            <w:tcBorders>
              <w:top w:val="single" w:color="auto" w:sz="4" w:space="0"/>
              <w:left w:val="single" w:color="000000" w:sz="4" w:space="0"/>
              <w:bottom w:val="single" w:color="000000" w:sz="4" w:space="0"/>
              <w:right w:val="single" w:color="000000" w:sz="4" w:space="0"/>
            </w:tcBorders>
            <w:vAlign w:val="center"/>
          </w:tcPr>
          <w:p w14:paraId="42A8AE6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教师水龙头＋水槽</w:t>
            </w:r>
          </w:p>
        </w:tc>
        <w:tc>
          <w:tcPr>
            <w:tcW w:w="5770" w:type="dxa"/>
            <w:tcBorders>
              <w:top w:val="single" w:color="auto" w:sz="4" w:space="0"/>
              <w:left w:val="single" w:color="000000" w:sz="4" w:space="0"/>
              <w:bottom w:val="single" w:color="000000" w:sz="4" w:space="0"/>
              <w:right w:val="single" w:color="000000" w:sz="4" w:space="0"/>
            </w:tcBorders>
            <w:vAlign w:val="center"/>
          </w:tcPr>
          <w:p w14:paraId="5C37DC17">
            <w:pPr>
              <w:widowControl/>
              <w:jc w:val="left"/>
              <w:textAlignment w:val="center"/>
              <w:rPr>
                <w:rFonts w:hint="eastAsia" w:ascii="宋体" w:hAnsi="宋体" w:cs="宋体"/>
                <w:kern w:val="0"/>
                <w:sz w:val="22"/>
                <w:szCs w:val="22"/>
                <w:lang w:bidi="ar"/>
              </w:rPr>
            </w:pPr>
            <w:r>
              <w:rPr>
                <w:rFonts w:hint="eastAsia" w:ascii="宋体" w:hAnsi="宋体" w:cs="宋体"/>
                <w:kern w:val="0"/>
                <w:sz w:val="22"/>
                <w:szCs w:val="22"/>
                <w:lang w:bidi="ar"/>
              </w:rPr>
              <w:t>1.规格：约510*410*300mm；</w:t>
            </w:r>
          </w:p>
          <w:p w14:paraId="66035869">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2.PP水槽：水槽采用全新PP料及色母料，无碳酸钙成分；下水口与水槽一体注塑成型，水槽内壁无缩印，四边平整，水槽壁厚≤5mm；为防止水槽中间或四周有积液，槽体底部有导流线。</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3.三口水嘴：鹅颈式实验室专用优质化验水嘴：主体采用铜质，表面环氧树脂喷涂。阀芯采用陶瓷阀芯，配置一个高位水龙头，两个低位水龙头，便于多用途使用。</w:t>
            </w:r>
          </w:p>
          <w:p w14:paraId="2963B03A">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b/>
                <w:bCs/>
                <w:kern w:val="0"/>
                <w:szCs w:val="21"/>
                <w:lang w:bidi="ar"/>
              </w:rPr>
              <w:t>★投标文件中提供由国家确定的认证机构出具的、处于有效期之内的节能（节水）产品认证证书复印件加盖供应商公章。</w:t>
            </w:r>
          </w:p>
        </w:tc>
        <w:tc>
          <w:tcPr>
            <w:tcW w:w="500" w:type="dxa"/>
            <w:tcBorders>
              <w:top w:val="single" w:color="auto" w:sz="4" w:space="0"/>
              <w:left w:val="single" w:color="000000" w:sz="4" w:space="0"/>
              <w:bottom w:val="single" w:color="000000" w:sz="4" w:space="0"/>
              <w:right w:val="single" w:color="000000" w:sz="4" w:space="0"/>
            </w:tcBorders>
            <w:vAlign w:val="center"/>
          </w:tcPr>
          <w:p w14:paraId="706C731D">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auto" w:sz="4" w:space="0"/>
              <w:left w:val="single" w:color="000000" w:sz="4" w:space="0"/>
              <w:bottom w:val="single" w:color="000000" w:sz="4" w:space="0"/>
              <w:right w:val="single" w:color="000000" w:sz="4" w:space="0"/>
            </w:tcBorders>
            <w:vAlign w:val="center"/>
          </w:tcPr>
          <w:p w14:paraId="0B891BC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auto" w:sz="4" w:space="0"/>
              <w:left w:val="single" w:color="000000" w:sz="4" w:space="0"/>
              <w:bottom w:val="single" w:color="000000" w:sz="4" w:space="0"/>
              <w:right w:val="single" w:color="000000" w:sz="4" w:space="0"/>
            </w:tcBorders>
            <w:vAlign w:val="center"/>
          </w:tcPr>
          <w:p w14:paraId="25FB0E57">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82816" behindDoc="0" locked="0" layoutInCell="1" allowOverlap="1">
                  <wp:simplePos x="0" y="0"/>
                  <wp:positionH relativeFrom="column">
                    <wp:posOffset>179070</wp:posOffset>
                  </wp:positionH>
                  <wp:positionV relativeFrom="paragraph">
                    <wp:posOffset>174625</wp:posOffset>
                  </wp:positionV>
                  <wp:extent cx="438150" cy="681990"/>
                  <wp:effectExtent l="0" t="0" r="0" b="3810"/>
                  <wp:wrapNone/>
                  <wp:docPr id="23" name="图片_2"/>
                  <wp:cNvGraphicFramePr/>
                  <a:graphic xmlns:a="http://schemas.openxmlformats.org/drawingml/2006/main">
                    <a:graphicData uri="http://schemas.openxmlformats.org/drawingml/2006/picture">
                      <pic:pic xmlns:pic="http://schemas.openxmlformats.org/drawingml/2006/picture">
                        <pic:nvPicPr>
                          <pic:cNvPr id="23" name="图片_2"/>
                          <pic:cNvPicPr/>
                        </pic:nvPicPr>
                        <pic:blipFill>
                          <a:blip r:embed="rId21"/>
                          <a:stretch>
                            <a:fillRect/>
                          </a:stretch>
                        </pic:blipFill>
                        <pic:spPr>
                          <a:xfrm>
                            <a:off x="0" y="0"/>
                            <a:ext cx="438150" cy="681990"/>
                          </a:xfrm>
                          <a:prstGeom prst="rect">
                            <a:avLst/>
                          </a:prstGeom>
                          <a:noFill/>
                          <a:ln>
                            <a:noFill/>
                          </a:ln>
                        </pic:spPr>
                      </pic:pic>
                    </a:graphicData>
                  </a:graphic>
                </wp:anchor>
              </w:drawing>
            </w: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86912" behindDoc="0" locked="0" layoutInCell="1" allowOverlap="1">
                  <wp:simplePos x="0" y="0"/>
                  <wp:positionH relativeFrom="column">
                    <wp:posOffset>728980</wp:posOffset>
                  </wp:positionH>
                  <wp:positionV relativeFrom="paragraph">
                    <wp:posOffset>327025</wp:posOffset>
                  </wp:positionV>
                  <wp:extent cx="499745" cy="430530"/>
                  <wp:effectExtent l="0" t="0" r="14605" b="7620"/>
                  <wp:wrapNone/>
                  <wp:docPr id="32" name="图片_39"/>
                  <wp:cNvGraphicFramePr/>
                  <a:graphic xmlns:a="http://schemas.openxmlformats.org/drawingml/2006/main">
                    <a:graphicData uri="http://schemas.openxmlformats.org/drawingml/2006/picture">
                      <pic:pic xmlns:pic="http://schemas.openxmlformats.org/drawingml/2006/picture">
                        <pic:nvPicPr>
                          <pic:cNvPr id="32" name="图片_39"/>
                          <pic:cNvPicPr/>
                        </pic:nvPicPr>
                        <pic:blipFill>
                          <a:blip r:embed="rId22"/>
                          <a:stretch>
                            <a:fillRect/>
                          </a:stretch>
                        </pic:blipFill>
                        <pic:spPr>
                          <a:xfrm>
                            <a:off x="0" y="0"/>
                            <a:ext cx="499745" cy="430530"/>
                          </a:xfrm>
                          <a:prstGeom prst="rect">
                            <a:avLst/>
                          </a:prstGeom>
                          <a:noFill/>
                          <a:ln>
                            <a:noFill/>
                          </a:ln>
                        </pic:spPr>
                      </pic:pic>
                    </a:graphicData>
                  </a:graphic>
                </wp:anchor>
              </w:drawing>
            </w:r>
          </w:p>
        </w:tc>
        <w:tc>
          <w:tcPr>
            <w:tcW w:w="1150" w:type="dxa"/>
            <w:tcBorders>
              <w:top w:val="single" w:color="auto" w:sz="4" w:space="0"/>
              <w:left w:val="single" w:color="000000" w:sz="4" w:space="0"/>
              <w:bottom w:val="single" w:color="000000" w:sz="4" w:space="0"/>
              <w:right w:val="single" w:color="000000" w:sz="4" w:space="0"/>
            </w:tcBorders>
            <w:vAlign w:val="center"/>
          </w:tcPr>
          <w:p w14:paraId="2B61D4CE">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5B498CBF">
        <w:tblPrEx>
          <w:tblCellMar>
            <w:top w:w="0" w:type="dxa"/>
            <w:left w:w="108" w:type="dxa"/>
            <w:bottom w:w="0" w:type="dxa"/>
            <w:right w:w="108" w:type="dxa"/>
          </w:tblCellMar>
        </w:tblPrEx>
        <w:trPr>
          <w:trHeight w:val="92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6C784CD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4</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8F7A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生物学生专用实践设备（</w:t>
            </w:r>
            <w:r>
              <w:rPr>
                <w:rFonts w:hint="eastAsia" w:ascii="宋体" w:hAnsi="宋体" w:cs="宋体"/>
                <w:b/>
                <w:bCs/>
                <w:color w:val="000000" w:themeColor="text1"/>
                <w:kern w:val="0"/>
                <w:sz w:val="22"/>
                <w:szCs w:val="22"/>
                <w:lang w:bidi="ar"/>
                <w14:textFill>
                  <w14:solidFill>
                    <w14:schemeClr w14:val="tx1"/>
                  </w14:solidFill>
                </w14:textFill>
              </w:rPr>
              <w:t>样品</w:t>
            </w:r>
            <w:r>
              <w:rPr>
                <w:rFonts w:hint="eastAsia" w:ascii="宋体" w:hAnsi="宋体" w:cs="宋体"/>
                <w:color w:val="000000" w:themeColor="text1"/>
                <w:kern w:val="0"/>
                <w:sz w:val="22"/>
                <w:szCs w:val="22"/>
                <w:lang w:bidi="ar"/>
                <w14:textFill>
                  <w14:solidFill>
                    <w14:schemeClr w14:val="tx1"/>
                  </w14:solidFill>
                </w14:textFill>
              </w:rPr>
              <w:t>）</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B26F67">
            <w:pPr>
              <w:widowControl/>
              <w:numPr>
                <w:ilvl w:val="0"/>
                <w:numId w:val="14"/>
              </w:numPr>
              <w:jc w:val="left"/>
              <w:textAlignment w:val="center"/>
              <w:rPr>
                <w:rStyle w:val="194"/>
                <w:rFonts w:hint="default"/>
                <w:color w:val="000000" w:themeColor="text1"/>
                <w:lang w:bidi="ar"/>
                <w14:textFill>
                  <w14:solidFill>
                    <w14:schemeClr w14:val="tx1"/>
                  </w14:solidFill>
                </w14:textFill>
              </w:rPr>
            </w:pPr>
            <w:r>
              <w:rPr>
                <w:rStyle w:val="194"/>
                <w:rFonts w:hint="default"/>
                <w:color w:val="000000" w:themeColor="text1"/>
                <w:lang w:bidi="ar"/>
                <w14:textFill>
                  <w14:solidFill>
                    <w14:schemeClr w14:val="tx1"/>
                  </w14:solidFill>
                </w14:textFill>
              </w:rPr>
              <w:t>规格：约1200*600*780mm</w:t>
            </w:r>
            <w:r>
              <w:rPr>
                <w:rStyle w:val="194"/>
                <w:rFonts w:hint="default"/>
                <w:color w:val="000000" w:themeColor="text1"/>
                <w:lang w:bidi="ar"/>
                <w14:textFill>
                  <w14:solidFill>
                    <w14:schemeClr w14:val="tx1"/>
                  </w14:solidFill>
                </w14:textFill>
              </w:rPr>
              <w:br w:type="textWrapping"/>
            </w:r>
            <w:r>
              <w:rPr>
                <w:rStyle w:val="194"/>
                <w:rFonts w:hint="default"/>
                <w:color w:val="000000" w:themeColor="text1"/>
                <w:lang w:bidi="ar"/>
                <w14:textFill>
                  <w14:solidFill>
                    <w14:schemeClr w14:val="tx1"/>
                  </w14:solidFill>
                </w14:textFill>
              </w:rPr>
              <w:t>2.台面：采用≤16mm厚一体实芯灰坯灰釉实验室专用陶瓷板台面，整个台面一体高温烧制成型，台面表面为耐腐蚀专业釉面，釉面与坯体结合后不脱落、不脱层。台面后方卡入学生桌铝型槽内，前方用预埋件与桌体固定。耐酸、耐碱、耐高温，坚固耐用，防潮、无细孔、不膨胀、不龟裂、不变形、不导电、便于维护及具有良好的承重性能。</w:t>
            </w:r>
            <w:r>
              <w:rPr>
                <w:rStyle w:val="194"/>
                <w:rFonts w:hint="default"/>
                <w:color w:val="000000" w:themeColor="text1"/>
                <w:lang w:bidi="ar"/>
                <w14:textFill>
                  <w14:solidFill>
                    <w14:schemeClr w14:val="tx1"/>
                  </w14:solidFill>
                </w14:textFill>
              </w:rPr>
              <w:br w:type="textWrapping"/>
            </w:r>
            <w:r>
              <w:rPr>
                <w:rStyle w:val="194"/>
                <w:rFonts w:hint="default"/>
                <w:color w:val="000000" w:themeColor="text1"/>
                <w:lang w:bidi="ar"/>
                <w14:textFill>
                  <w14:solidFill>
                    <w14:schemeClr w14:val="tx1"/>
                  </w14:solidFill>
                </w14:textFill>
              </w:rPr>
              <w:t>▲2.1桌面性能：陶瓷台面吸水率要求：依据GB/T3810.3-2016检测标准，检测结果平均值0.031%,单个值0.027%~0.035%。</w:t>
            </w:r>
          </w:p>
          <w:p w14:paraId="2C68AE2B">
            <w:pPr>
              <w:widowControl/>
              <w:numPr>
                <w:ilvl w:val="255"/>
                <w:numId w:val="0"/>
              </w:numPr>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b/>
                <w:bCs/>
                <w:kern w:val="0"/>
                <w:szCs w:val="21"/>
                <w:lang w:bidi="ar"/>
              </w:rPr>
              <w:t>提供具备CMA或CNAS标识的第三方检测机构出具</w:t>
            </w:r>
            <w:r>
              <w:rPr>
                <w:rFonts w:hint="eastAsia" w:ascii="宋体" w:hAnsi="宋体" w:cs="宋体"/>
                <w:color w:val="000000" w:themeColor="text1"/>
                <w:kern w:val="0"/>
                <w:sz w:val="22"/>
                <w:szCs w:val="22"/>
                <w:lang w:bidi="ar"/>
                <w14:textFill>
                  <w14:solidFill>
                    <w14:schemeClr w14:val="tx1"/>
                  </w14:solidFill>
                </w14:textFill>
              </w:rPr>
              <w:t>的</w:t>
            </w:r>
            <w:r>
              <w:rPr>
                <w:rFonts w:hint="eastAsia" w:ascii="宋体" w:hAnsi="宋体"/>
                <w:b/>
                <w:bCs/>
                <w:kern w:val="0"/>
              </w:rPr>
              <w:t>检测报告复印件加盖供应商公章</w:t>
            </w:r>
            <w:r>
              <w:rPr>
                <w:rFonts w:hint="eastAsia" w:ascii="宋体" w:hAnsi="宋体" w:cs="宋体"/>
                <w:color w:val="000000" w:themeColor="text1"/>
                <w:kern w:val="0"/>
                <w:sz w:val="22"/>
                <w:szCs w:val="22"/>
                <w:lang w:bidi="ar"/>
                <w14:textFill>
                  <w14:solidFill>
                    <w14:schemeClr w14:val="tx1"/>
                  </w14:solidFill>
                </w14:textFill>
              </w:rPr>
              <w:t>。</w:t>
            </w:r>
            <w:r>
              <w:rPr>
                <w:rStyle w:val="194"/>
                <w:rFonts w:hint="default"/>
                <w:color w:val="000000" w:themeColor="text1"/>
                <w:lang w:bidi="ar"/>
                <w14:textFill>
                  <w14:solidFill>
                    <w14:schemeClr w14:val="tx1"/>
                  </w14:solidFill>
                </w14:textFill>
              </w:rPr>
              <w:br w:type="textWrapping"/>
            </w:r>
            <w:r>
              <w:rPr>
                <w:rFonts w:hint="eastAsia" w:ascii="Arial" w:hAnsi="Arial" w:cs="宋体"/>
                <w:kern w:val="0"/>
                <w:szCs w:val="21"/>
              </w:rPr>
              <w:t>★</w:t>
            </w:r>
            <w:r>
              <w:rPr>
                <w:rStyle w:val="194"/>
                <w:rFonts w:hint="default"/>
                <w:color w:val="000000" w:themeColor="text1"/>
                <w:lang w:bidi="ar"/>
                <w14:textFill>
                  <w14:solidFill>
                    <w14:schemeClr w14:val="tx1"/>
                  </w14:solidFill>
                </w14:textFill>
              </w:rPr>
              <w:t>2.2桌面性能：符合GB6566-2010《建筑材料放射性核素限量》标准要求。</w:t>
            </w:r>
            <w:r>
              <w:rPr>
                <w:rStyle w:val="194"/>
                <w:rFonts w:hint="default"/>
                <w:color w:val="000000" w:themeColor="text1"/>
                <w:highlight w:val="yellow"/>
                <w:lang w:bidi="ar"/>
                <w14:textFill>
                  <w14:solidFill>
                    <w14:schemeClr w14:val="tx1"/>
                  </w14:solidFill>
                </w14:textFill>
              </w:rPr>
              <w:br w:type="textWrapping"/>
            </w:r>
            <w:r>
              <w:rPr>
                <w:rStyle w:val="194"/>
                <w:rFonts w:hint="default"/>
                <w:color w:val="000000" w:themeColor="text1"/>
                <w:lang w:bidi="ar"/>
                <w14:textFill>
                  <w14:solidFill>
                    <w14:schemeClr w14:val="tx1"/>
                  </w14:solidFill>
                </w14:textFill>
              </w:rPr>
              <w:t>3.柜体：高端品质全钢学生实验台，采用厚≥1.0mm一级镀锌钢板模具一次性模压成型、左右侧板为长570mm×高787mm×宽100mm（±5mm），四脚防碰撞菱形处理；再经精密焊接机械手设备焊接定型后，采用打磨机修去废边毛刺;表面经磷化处理、表面邮轮特涂工艺、再经覆膜；通过精密分析技术确保颜色稳定，保证10年不褪色（涂装厚度≥0.75</w:t>
            </w:r>
            <w:r>
              <w:rPr>
                <w:rStyle w:val="195"/>
                <w:color w:val="000000" w:themeColor="text1"/>
                <w:lang w:bidi="ar"/>
                <w14:textFill>
                  <w14:solidFill>
                    <w14:schemeClr w14:val="tx1"/>
                  </w14:solidFill>
                </w14:textFill>
              </w:rPr>
              <w:t>μ</w:t>
            </w:r>
            <w:r>
              <w:rPr>
                <w:rStyle w:val="194"/>
                <w:rFonts w:hint="default"/>
                <w:color w:val="000000" w:themeColor="text1"/>
                <w:lang w:bidi="ar"/>
                <w14:textFill>
                  <w14:solidFill>
                    <w14:schemeClr w14:val="tx1"/>
                  </w14:solidFill>
                </w14:textFill>
              </w:rPr>
              <w:t>m）。</w:t>
            </w:r>
            <w:r>
              <w:rPr>
                <w:rStyle w:val="194"/>
                <w:rFonts w:hint="default"/>
                <w:color w:val="000000" w:themeColor="text1"/>
                <w:lang w:bidi="ar"/>
                <w14:textFill>
                  <w14:solidFill>
                    <w14:schemeClr w14:val="tx1"/>
                  </w14:solidFill>
                </w14:textFill>
              </w:rPr>
              <w:br w:type="textWrapping"/>
            </w:r>
            <w:r>
              <w:rPr>
                <w:rStyle w:val="194"/>
                <w:rFonts w:hint="default"/>
                <w:color w:val="000000" w:themeColor="text1"/>
                <w:lang w:bidi="ar"/>
                <w14:textFill>
                  <w14:solidFill>
                    <w14:schemeClr w14:val="tx1"/>
                  </w14:solidFill>
                </w14:textFill>
              </w:rPr>
              <w:t>4.防撞胶垫：装于抽屉及门板内侧，减缓碰撞，保护柜体。</w:t>
            </w:r>
            <w:r>
              <w:rPr>
                <w:rStyle w:val="194"/>
                <w:rFonts w:hint="default"/>
                <w:color w:val="000000" w:themeColor="text1"/>
                <w:lang w:bidi="ar"/>
                <w14:textFill>
                  <w14:solidFill>
                    <w14:schemeClr w14:val="tx1"/>
                  </w14:solidFill>
                </w14:textFill>
              </w:rPr>
              <w:br w:type="textWrapping"/>
            </w:r>
            <w:r>
              <w:rPr>
                <w:rStyle w:val="194"/>
                <w:rFonts w:hint="default"/>
                <w:color w:val="000000" w:themeColor="text1"/>
                <w:lang w:bidi="ar"/>
                <w14:textFill>
                  <w14:solidFill>
                    <w14:schemeClr w14:val="tx1"/>
                  </w14:solidFill>
                </w14:textFill>
              </w:rPr>
              <w:t>5.可调脚：采用PP+GF一级新料注塑一次成型可调地脚，金属螺杆，高度可调节，防滑减震。</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EE62BD">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24</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4ED29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张</w:t>
            </w:r>
          </w:p>
        </w:tc>
        <w:tc>
          <w:tcPr>
            <w:tcW w:w="3345" w:type="dxa"/>
            <w:tcBorders>
              <w:top w:val="single" w:color="000000" w:sz="4" w:space="0"/>
              <w:left w:val="single" w:color="000000" w:sz="4" w:space="0"/>
              <w:bottom w:val="single" w:color="000000" w:sz="4" w:space="0"/>
              <w:right w:val="single" w:color="000000" w:sz="4" w:space="0"/>
            </w:tcBorders>
            <w:vAlign w:val="center"/>
          </w:tcPr>
          <w:p w14:paraId="64F0B95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73600" behindDoc="0" locked="0" layoutInCell="1" allowOverlap="1">
                  <wp:simplePos x="0" y="0"/>
                  <wp:positionH relativeFrom="column">
                    <wp:posOffset>416560</wp:posOffset>
                  </wp:positionH>
                  <wp:positionV relativeFrom="paragraph">
                    <wp:posOffset>148590</wp:posOffset>
                  </wp:positionV>
                  <wp:extent cx="1279525" cy="927100"/>
                  <wp:effectExtent l="0" t="0" r="15875" b="6350"/>
                  <wp:wrapNone/>
                  <wp:docPr id="15" name="图片_44"/>
                  <wp:cNvGraphicFramePr/>
                  <a:graphic xmlns:a="http://schemas.openxmlformats.org/drawingml/2006/main">
                    <a:graphicData uri="http://schemas.openxmlformats.org/drawingml/2006/picture">
                      <pic:pic xmlns:pic="http://schemas.openxmlformats.org/drawingml/2006/picture">
                        <pic:nvPicPr>
                          <pic:cNvPr id="15" name="图片_44"/>
                          <pic:cNvPicPr/>
                        </pic:nvPicPr>
                        <pic:blipFill>
                          <a:blip r:embed="rId23"/>
                          <a:stretch>
                            <a:fillRect/>
                          </a:stretch>
                        </pic:blipFill>
                        <pic:spPr>
                          <a:xfrm>
                            <a:off x="0" y="0"/>
                            <a:ext cx="1279525" cy="927100"/>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vAlign w:val="center"/>
          </w:tcPr>
          <w:p w14:paraId="02037FC6">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4F315A75">
        <w:tblPrEx>
          <w:tblCellMar>
            <w:top w:w="0" w:type="dxa"/>
            <w:left w:w="108" w:type="dxa"/>
            <w:bottom w:w="0" w:type="dxa"/>
            <w:right w:w="108" w:type="dxa"/>
          </w:tblCellMar>
        </w:tblPrEx>
        <w:trPr>
          <w:trHeight w:val="1133"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2FA94F9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5</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5FE47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学生三联高低位龙头</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BBBE9">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鹅颈式实验室专用优质化验水嘴：要求防酸碱、防锈、防虹吸、防阻塞，表面环氧树脂喷涂。出水嘴为铜质瓷芯，高头，便于多用途使用，可拆卸清洗阻塞。出水嘴可拆卸，内有成型螺纹。</w:t>
            </w:r>
          </w:p>
          <w:p w14:paraId="4CF4B2F5">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b/>
                <w:bCs/>
                <w:kern w:val="0"/>
                <w:szCs w:val="21"/>
                <w:lang w:bidi="ar"/>
              </w:rPr>
              <w:t>★投标文件中提供由国家确定的认证机构出具的、处于有效期之内的节能（节水）产品认证证书复印件加盖供应商公章。</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824E9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F200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000000" w:sz="4" w:space="0"/>
              <w:left w:val="single" w:color="000000" w:sz="4" w:space="0"/>
              <w:bottom w:val="single" w:color="000000" w:sz="4" w:space="0"/>
              <w:right w:val="single" w:color="000000" w:sz="4" w:space="0"/>
            </w:tcBorders>
            <w:vAlign w:val="center"/>
          </w:tcPr>
          <w:p w14:paraId="2B4B6B9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80768" behindDoc="0" locked="0" layoutInCell="1" allowOverlap="1">
                  <wp:simplePos x="0" y="0"/>
                  <wp:positionH relativeFrom="column">
                    <wp:posOffset>431165</wp:posOffset>
                  </wp:positionH>
                  <wp:positionV relativeFrom="paragraph">
                    <wp:posOffset>-40640</wp:posOffset>
                  </wp:positionV>
                  <wp:extent cx="607695" cy="616585"/>
                  <wp:effectExtent l="0" t="0" r="1905" b="12065"/>
                  <wp:wrapNone/>
                  <wp:docPr id="30" name="ID_AEA9A30432E64C259D54848F226DAB2C"/>
                  <wp:cNvGraphicFramePr/>
                  <a:graphic xmlns:a="http://schemas.openxmlformats.org/drawingml/2006/main">
                    <a:graphicData uri="http://schemas.openxmlformats.org/drawingml/2006/picture">
                      <pic:pic xmlns:pic="http://schemas.openxmlformats.org/drawingml/2006/picture">
                        <pic:nvPicPr>
                          <pic:cNvPr id="30" name="ID_AEA9A30432E64C259D54848F226DAB2C"/>
                          <pic:cNvPicPr/>
                        </pic:nvPicPr>
                        <pic:blipFill>
                          <a:blip r:embed="rId24"/>
                          <a:stretch>
                            <a:fillRect/>
                          </a:stretch>
                        </pic:blipFill>
                        <pic:spPr>
                          <a:xfrm>
                            <a:off x="0" y="0"/>
                            <a:ext cx="607695" cy="616585"/>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vAlign w:val="center"/>
          </w:tcPr>
          <w:p w14:paraId="076BD75A">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35831611">
        <w:tblPrEx>
          <w:tblCellMar>
            <w:top w:w="0" w:type="dxa"/>
            <w:left w:w="108" w:type="dxa"/>
            <w:bottom w:w="0" w:type="dxa"/>
            <w:right w:w="108" w:type="dxa"/>
          </w:tblCellMar>
        </w:tblPrEx>
        <w:trPr>
          <w:trHeight w:val="573"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33680E4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6</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F8701E">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实验室专用水槽柜</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F1FCD4">
            <w:pPr>
              <w:widowControl/>
              <w:jc w:val="left"/>
              <w:textAlignment w:val="center"/>
              <w:rPr>
                <w:rFonts w:hint="eastAsia" w:ascii="宋体" w:hAnsi="宋体" w:cs="宋体"/>
                <w:color w:val="000000" w:themeColor="text1"/>
                <w:sz w:val="22"/>
                <w:szCs w:val="22"/>
                <w14:textFill>
                  <w14:solidFill>
                    <w14:schemeClr w14:val="tx1"/>
                  </w14:solidFill>
                </w14:textFill>
              </w:rPr>
            </w:pPr>
            <w:r>
              <w:rPr>
                <w:rStyle w:val="158"/>
                <w:rFonts w:hint="default"/>
                <w:b w:val="0"/>
                <w:bCs w:val="0"/>
                <w:color w:val="000000" w:themeColor="text1"/>
                <w:sz w:val="22"/>
                <w:szCs w:val="22"/>
                <w:lang w:bidi="ar"/>
                <w14:textFill>
                  <w14:solidFill>
                    <w14:schemeClr w14:val="tx1"/>
                  </w14:solidFill>
                </w14:textFill>
              </w:rPr>
              <w:t>1.尺寸：约450mm*600mm*850mm.</w:t>
            </w:r>
            <w:r>
              <w:rPr>
                <w:rStyle w:val="158"/>
                <w:rFonts w:hint="default"/>
                <w:b w:val="0"/>
                <w:bCs w:val="0"/>
                <w:color w:val="000000" w:themeColor="text1"/>
                <w:sz w:val="22"/>
                <w:szCs w:val="22"/>
                <w:lang w:bidi="ar"/>
                <w14:textFill>
                  <w14:solidFill>
                    <w14:schemeClr w14:val="tx1"/>
                  </w14:solidFill>
                </w14:textFill>
              </w:rPr>
              <w:br w:type="textWrapping"/>
            </w:r>
            <w:r>
              <w:rPr>
                <w:rStyle w:val="158"/>
                <w:rFonts w:hint="default"/>
                <w:b w:val="0"/>
                <w:bCs w:val="0"/>
                <w:color w:val="000000" w:themeColor="text1"/>
                <w:sz w:val="22"/>
                <w:szCs w:val="22"/>
                <w:lang w:bidi="ar"/>
                <w14:textFill>
                  <w14:solidFill>
                    <w14:schemeClr w14:val="tx1"/>
                  </w14:solidFill>
                </w14:textFill>
              </w:rPr>
              <w:t>2.外观:水槽柜整体外观呈现长方体形式；采用三段式设计。</w:t>
            </w:r>
            <w:r>
              <w:rPr>
                <w:rStyle w:val="158"/>
                <w:rFonts w:hint="default"/>
                <w:b w:val="0"/>
                <w:bCs w:val="0"/>
                <w:color w:val="000000" w:themeColor="text1"/>
                <w:sz w:val="22"/>
                <w:szCs w:val="22"/>
                <w:lang w:bidi="ar"/>
                <w14:textFill>
                  <w14:solidFill>
                    <w14:schemeClr w14:val="tx1"/>
                  </w14:solidFill>
                </w14:textFill>
              </w:rPr>
              <w:br w:type="textWrapping"/>
            </w:r>
            <w:r>
              <w:rPr>
                <w:rStyle w:val="158"/>
                <w:rFonts w:hint="default"/>
                <w:b w:val="0"/>
                <w:bCs w:val="0"/>
                <w:color w:val="000000" w:themeColor="text1"/>
                <w:sz w:val="22"/>
                <w:szCs w:val="22"/>
                <w:lang w:bidi="ar"/>
                <w14:textFill>
                  <w14:solidFill>
                    <w14:schemeClr w14:val="tx1"/>
                  </w14:solidFill>
                </w14:textFill>
              </w:rPr>
              <w:t>3.材质：采用专用一次成型的绿色环保ABS材料制成。</w:t>
            </w:r>
            <w:r>
              <w:rPr>
                <w:rStyle w:val="158"/>
                <w:rFonts w:hint="default"/>
                <w:b w:val="0"/>
                <w:bCs w:val="0"/>
                <w:color w:val="000000" w:themeColor="text1"/>
                <w:sz w:val="22"/>
                <w:szCs w:val="22"/>
                <w:lang w:bidi="ar"/>
                <w14:textFill>
                  <w14:solidFill>
                    <w14:schemeClr w14:val="tx1"/>
                  </w14:solidFill>
                </w14:textFill>
              </w:rPr>
              <w:br w:type="textWrapping"/>
            </w:r>
            <w:r>
              <w:rPr>
                <w:rStyle w:val="158"/>
                <w:rFonts w:hint="default"/>
                <w:b w:val="0"/>
                <w:bCs w:val="0"/>
                <w:color w:val="000000" w:themeColor="text1"/>
                <w:sz w:val="22"/>
                <w:szCs w:val="22"/>
                <w:lang w:bidi="ar"/>
                <w14:textFill>
                  <w14:solidFill>
                    <w14:schemeClr w14:val="tx1"/>
                  </w14:solidFill>
                </w14:textFill>
              </w:rPr>
              <w:t>4.水槽：大小约450mm*600mm*380mm，内径约420mm*390mm*300mm.采用PP塑料柜体采用一体注塑成型，耐强酸碱及有机溶剂，壁厚3mm，具有防溢出功能。台面设有预留实验室专用三联鹅颈水龙头、可选配加装洗眼器余位口。水槽用螺丝与柜体固定。</w:t>
            </w:r>
            <w:r>
              <w:rPr>
                <w:rStyle w:val="158"/>
                <w:rFonts w:hint="default"/>
                <w:b w:val="0"/>
                <w:bCs w:val="0"/>
                <w:color w:val="000000" w:themeColor="text1"/>
                <w:sz w:val="22"/>
                <w:szCs w:val="22"/>
                <w:lang w:bidi="ar"/>
                <w14:textFill>
                  <w14:solidFill>
                    <w14:schemeClr w14:val="tx1"/>
                  </w14:solidFill>
                </w14:textFill>
              </w:rPr>
              <w:br w:type="textWrapping"/>
            </w:r>
            <w:r>
              <w:rPr>
                <w:rStyle w:val="158"/>
                <w:rFonts w:hint="default"/>
                <w:b w:val="0"/>
                <w:bCs w:val="0"/>
                <w:color w:val="000000" w:themeColor="text1"/>
                <w:sz w:val="22"/>
                <w:szCs w:val="22"/>
                <w:lang w:bidi="ar"/>
                <w14:textFill>
                  <w14:solidFill>
                    <w14:schemeClr w14:val="tx1"/>
                  </w14:solidFill>
                </w14:textFill>
              </w:rPr>
              <w:t>5.内部支撑：采用高强度挤出铝合金模具型材约620mm*20mm*20mm。</w:t>
            </w:r>
            <w:r>
              <w:rPr>
                <w:rStyle w:val="158"/>
                <w:rFonts w:hint="default"/>
                <w:b w:val="0"/>
                <w:bCs w:val="0"/>
                <w:color w:val="000000" w:themeColor="text1"/>
                <w:sz w:val="22"/>
                <w:szCs w:val="22"/>
                <w:lang w:bidi="ar"/>
                <w14:textFill>
                  <w14:solidFill>
                    <w14:schemeClr w14:val="tx1"/>
                  </w14:solidFill>
                </w14:textFill>
              </w:rPr>
              <w:br w:type="textWrapping"/>
            </w:r>
            <w:r>
              <w:rPr>
                <w:rStyle w:val="158"/>
                <w:rFonts w:hint="default"/>
                <w:b w:val="0"/>
                <w:bCs w:val="0"/>
                <w:color w:val="000000" w:themeColor="text1"/>
                <w:sz w:val="22"/>
                <w:szCs w:val="22"/>
                <w:lang w:bidi="ar"/>
                <w14:textFill>
                  <w14:solidFill>
                    <w14:schemeClr w14:val="tx1"/>
                  </w14:solidFill>
                </w14:textFill>
              </w:rPr>
              <w:t>6.柜体采用围合式，前后开门约605mm*450mm*50mm结构。</w:t>
            </w:r>
            <w:r>
              <w:rPr>
                <w:rStyle w:val="158"/>
                <w:rFonts w:hint="default"/>
                <w:b w:val="0"/>
                <w:bCs w:val="0"/>
                <w:color w:val="000000" w:themeColor="text1"/>
                <w:sz w:val="22"/>
                <w:szCs w:val="22"/>
                <w:lang w:bidi="ar"/>
                <w14:textFill>
                  <w14:solidFill>
                    <w14:schemeClr w14:val="tx1"/>
                  </w14:solidFill>
                </w14:textFill>
              </w:rPr>
              <w:br w:type="textWrapping"/>
            </w:r>
            <w:r>
              <w:rPr>
                <w:rStyle w:val="158"/>
                <w:rFonts w:hint="default"/>
                <w:b w:val="0"/>
                <w:bCs w:val="0"/>
                <w:color w:val="000000" w:themeColor="text1"/>
                <w:sz w:val="22"/>
                <w:szCs w:val="22"/>
                <w:lang w:bidi="ar"/>
                <w14:textFill>
                  <w14:solidFill>
                    <w14:schemeClr w14:val="tx1"/>
                  </w14:solidFill>
                </w14:textFill>
              </w:rPr>
              <w:t>7.底座：上下底座约590mm*440mm*75mm与侧板均采用abs一体注塑成型，将侧板嵌入上下底座并用螺丝拉紧固定。底座加装直径50MM橡胶底脚，采用8mm螺纹连接，牢固，防滑。</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7D00E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982DA7">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000000" w:sz="4" w:space="0"/>
              <w:left w:val="single" w:color="000000" w:sz="4" w:space="0"/>
              <w:bottom w:val="single" w:color="000000" w:sz="4" w:space="0"/>
              <w:right w:val="single" w:color="000000" w:sz="4" w:space="0"/>
            </w:tcBorders>
            <w:vAlign w:val="center"/>
          </w:tcPr>
          <w:p w14:paraId="271C3F0E">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75648" behindDoc="0" locked="0" layoutInCell="1" allowOverlap="1">
                  <wp:simplePos x="0" y="0"/>
                  <wp:positionH relativeFrom="column">
                    <wp:posOffset>532130</wp:posOffset>
                  </wp:positionH>
                  <wp:positionV relativeFrom="paragraph">
                    <wp:posOffset>33655</wp:posOffset>
                  </wp:positionV>
                  <wp:extent cx="710565" cy="1210945"/>
                  <wp:effectExtent l="0" t="0" r="13335" b="8255"/>
                  <wp:wrapNone/>
                  <wp:docPr id="14" name="ID_841496A013BA4B14B2E948DA0973DEDC"/>
                  <wp:cNvGraphicFramePr/>
                  <a:graphic xmlns:a="http://schemas.openxmlformats.org/drawingml/2006/main">
                    <a:graphicData uri="http://schemas.openxmlformats.org/drawingml/2006/picture">
                      <pic:pic xmlns:pic="http://schemas.openxmlformats.org/drawingml/2006/picture">
                        <pic:nvPicPr>
                          <pic:cNvPr id="14" name="ID_841496A013BA4B14B2E948DA0973DEDC"/>
                          <pic:cNvPicPr/>
                        </pic:nvPicPr>
                        <pic:blipFill>
                          <a:blip r:embed="rId25"/>
                          <a:stretch>
                            <a:fillRect/>
                          </a:stretch>
                        </pic:blipFill>
                        <pic:spPr>
                          <a:xfrm>
                            <a:off x="0" y="0"/>
                            <a:ext cx="710565" cy="1210945"/>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vAlign w:val="center"/>
          </w:tcPr>
          <w:p w14:paraId="01ABC3CC">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1ED63498">
        <w:tblPrEx>
          <w:tblCellMar>
            <w:top w:w="0" w:type="dxa"/>
            <w:left w:w="108" w:type="dxa"/>
            <w:bottom w:w="0" w:type="dxa"/>
            <w:right w:w="108" w:type="dxa"/>
          </w:tblCellMar>
        </w:tblPrEx>
        <w:trPr>
          <w:trHeight w:val="84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00F2636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7</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DCD72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多功能实验下水装置</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373130">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水槽专配型排水管，不锈钢卡扣连接，安装方便不渗漏</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66D60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2DB15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000000" w:sz="4" w:space="0"/>
              <w:left w:val="single" w:color="000000" w:sz="4" w:space="0"/>
              <w:bottom w:val="single" w:color="000000" w:sz="4" w:space="0"/>
              <w:right w:val="single" w:color="000000" w:sz="4" w:space="0"/>
            </w:tcBorders>
            <w:vAlign w:val="center"/>
          </w:tcPr>
          <w:p w14:paraId="43F95EE6">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vAlign w:val="center"/>
          </w:tcPr>
          <w:p w14:paraId="50BA86E7">
            <w:pPr>
              <w:jc w:val="center"/>
              <w:rPr>
                <w:rFonts w:hint="eastAsia" w:ascii="宋体" w:hAnsi="宋体" w:cs="宋体"/>
                <w:color w:val="000000" w:themeColor="text1"/>
                <w:sz w:val="22"/>
                <w:szCs w:val="22"/>
                <w14:textFill>
                  <w14:solidFill>
                    <w14:schemeClr w14:val="tx1"/>
                  </w14:solidFill>
                </w14:textFill>
              </w:rPr>
            </w:pPr>
          </w:p>
        </w:tc>
      </w:tr>
      <w:tr w14:paraId="3750EBD6">
        <w:tblPrEx>
          <w:tblCellMar>
            <w:top w:w="0" w:type="dxa"/>
            <w:left w:w="108" w:type="dxa"/>
            <w:bottom w:w="0" w:type="dxa"/>
            <w:right w:w="108" w:type="dxa"/>
          </w:tblCellMar>
        </w:tblPrEx>
        <w:trPr>
          <w:trHeight w:val="208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1AAC7B8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8</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0C528B">
            <w:pPr>
              <w:widowControl/>
              <w:jc w:val="center"/>
              <w:textAlignment w:val="center"/>
              <w:rPr>
                <w:rFonts w:hint="eastAsia" w:ascii="宋体" w:hAnsi="宋体" w:cs="宋体"/>
                <w:color w:val="auto"/>
                <w:sz w:val="22"/>
                <w:szCs w:val="22"/>
              </w:rPr>
            </w:pPr>
            <w:r>
              <w:rPr>
                <w:rFonts w:hint="eastAsia" w:ascii="宋体" w:hAnsi="宋体" w:cs="宋体"/>
                <w:color w:val="auto"/>
                <w:kern w:val="0"/>
                <w:sz w:val="22"/>
                <w:szCs w:val="22"/>
                <w:lang w:bidi="ar"/>
              </w:rPr>
              <w:t>多功能柜（柱）</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A368E1">
            <w:pPr>
              <w:widowControl/>
              <w:jc w:val="left"/>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1.规格：约340mm*470mm*700mm</w:t>
            </w:r>
            <w:r>
              <w:rPr>
                <w:rFonts w:hint="eastAsia" w:ascii="宋体" w:hAnsi="宋体" w:cs="宋体"/>
                <w:color w:val="auto"/>
                <w:kern w:val="0"/>
                <w:sz w:val="22"/>
                <w:szCs w:val="22"/>
                <w:lang w:bidi="ar"/>
              </w:rPr>
              <w:br w:type="textWrapping"/>
            </w:r>
            <w:r>
              <w:rPr>
                <w:rFonts w:hint="eastAsia" w:ascii="宋体" w:hAnsi="宋体" w:cs="宋体"/>
                <w:color w:val="auto"/>
                <w:kern w:val="0"/>
                <w:sz w:val="22"/>
                <w:szCs w:val="22"/>
                <w:lang w:bidi="ar"/>
              </w:rPr>
              <w:t>2.整体采用厚度大于1.0mm厚优质一级冷轧镀锌钢板（SPCCT）经CNC机压成形、焊接制作，四脚圆弧处理，地脚线缩进3mm，前后二块黑白相间喷涂镀锌钢板,用内六角螺丝拼接而成，可拆装，内部隐藏实验线管及通风管道，方便检修。</w:t>
            </w:r>
          </w:p>
          <w:p w14:paraId="01C7908B">
            <w:pPr>
              <w:widowControl/>
              <w:jc w:val="left"/>
              <w:textAlignment w:val="center"/>
              <w:rPr>
                <w:rFonts w:hint="eastAsia" w:ascii="宋体" w:hAnsi="宋体" w:cs="宋体"/>
                <w:color w:val="auto"/>
                <w:sz w:val="22"/>
                <w:szCs w:val="22"/>
              </w:rPr>
            </w:pPr>
            <w:r>
              <w:rPr>
                <w:rFonts w:hint="eastAsia" w:ascii="宋体" w:hAnsi="宋体" w:cs="宋体"/>
                <w:color w:val="auto"/>
                <w:kern w:val="0"/>
                <w:sz w:val="22"/>
                <w:szCs w:val="22"/>
                <w:lang w:bidi="ar"/>
              </w:rPr>
              <w:t>3.拆装连接结构，组装方便，不用胶水黏结不易变形、不易扭曲，达到可重复拆装使用。合理布局加强筋使用平行加强筋，既结实又易于清理卫生。顶板和底板厚度要求不小于30mm，四周保证全与地面接触。</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00C324">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24</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4B211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000000" w:sz="4" w:space="0"/>
              <w:left w:val="single" w:color="000000" w:sz="4" w:space="0"/>
              <w:bottom w:val="single" w:color="000000" w:sz="4" w:space="0"/>
              <w:right w:val="single" w:color="000000" w:sz="4" w:space="0"/>
            </w:tcBorders>
            <w:vAlign w:val="center"/>
          </w:tcPr>
          <w:p w14:paraId="15410DC7">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ascii="楷体_GB2312" w:hAnsi="宋体" w:eastAsia="楷体_GB2312" w:cs="楷体_GB2312"/>
                <w:color w:val="000000"/>
                <w:kern w:val="0"/>
                <w:sz w:val="24"/>
                <w:bdr w:val="single" w:color="000000" w:sz="4" w:space="0"/>
                <w:lang w:bidi="ar"/>
              </w:rPr>
              <w:drawing>
                <wp:anchor distT="0" distB="0" distL="114300" distR="114300" simplePos="0" relativeHeight="251708416" behindDoc="0" locked="0" layoutInCell="1" allowOverlap="1">
                  <wp:simplePos x="0" y="0"/>
                  <wp:positionH relativeFrom="column">
                    <wp:posOffset>614045</wp:posOffset>
                  </wp:positionH>
                  <wp:positionV relativeFrom="paragraph">
                    <wp:posOffset>-74295</wp:posOffset>
                  </wp:positionV>
                  <wp:extent cx="685800" cy="762635"/>
                  <wp:effectExtent l="0" t="0" r="0" b="12065"/>
                  <wp:wrapNone/>
                  <wp:docPr id="92" name="图片_83"/>
                  <wp:cNvGraphicFramePr/>
                  <a:graphic xmlns:a="http://schemas.openxmlformats.org/drawingml/2006/main">
                    <a:graphicData uri="http://schemas.openxmlformats.org/drawingml/2006/picture">
                      <pic:pic xmlns:pic="http://schemas.openxmlformats.org/drawingml/2006/picture">
                        <pic:nvPicPr>
                          <pic:cNvPr id="92" name="图片_83"/>
                          <pic:cNvPicPr/>
                        </pic:nvPicPr>
                        <pic:blipFill>
                          <a:blip r:embed="rId26"/>
                          <a:stretch>
                            <a:fillRect/>
                          </a:stretch>
                        </pic:blipFill>
                        <pic:spPr>
                          <a:xfrm>
                            <a:off x="0" y="0"/>
                            <a:ext cx="685800" cy="762635"/>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vAlign w:val="center"/>
          </w:tcPr>
          <w:p w14:paraId="7BBA5B63">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33C8F8F4">
        <w:tblPrEx>
          <w:tblCellMar>
            <w:top w:w="0" w:type="dxa"/>
            <w:left w:w="108" w:type="dxa"/>
            <w:bottom w:w="0" w:type="dxa"/>
            <w:right w:w="108" w:type="dxa"/>
          </w:tblCellMar>
        </w:tblPrEx>
        <w:trPr>
          <w:trHeight w:val="154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367448C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9</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190AE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学生电源</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C42F7D">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1.规格：约153mm*102mm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2.ABS翻转式电源盒，可放置在书包盒中间。</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 xml:space="preserve">3.学生机电源采用0.56英寸数码显示界面，轻触开关操作，贴片元件生产技术，微电脑控制，3位1体数码显示电源电压。 </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学生机开机时面板电源指示灯点亮，电压显示0，需220V电源输出时，轻按ON/OFF按键，当电压显示上方的数字从0跳变到220且工作指示灯点亮时，在220V输出插座端有220V输出（电压高低视市电高低而定，可添加倒计时功能），220V插座均为带安全门的国标五孔插座，带过载保护。</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学生电源：</w:t>
            </w:r>
          </w:p>
          <w:p w14:paraId="665E93A4">
            <w:pPr>
              <w:widowControl/>
              <w:jc w:val="left"/>
              <w:textAlignment w:val="center"/>
              <w:rPr>
                <w:rFonts w:hint="eastAsia" w:ascii="宋体" w:hAnsi="宋体" w:cs="宋体"/>
                <w:strike/>
                <w:color w:val="FF0000"/>
                <w:kern w:val="0"/>
                <w:sz w:val="22"/>
                <w:szCs w:val="22"/>
                <w:lang w:bidi="ar"/>
              </w:rPr>
            </w:pPr>
            <w:r>
              <w:rPr>
                <w:rFonts w:hint="eastAsia" w:ascii="Arial" w:hAnsi="Arial" w:cs="宋体"/>
                <w:kern w:val="0"/>
                <w:szCs w:val="21"/>
              </w:rPr>
              <w:t>★</w:t>
            </w:r>
            <w:r>
              <w:rPr>
                <w:rFonts w:hint="eastAsia" w:ascii="宋体" w:hAnsi="宋体" w:cs="宋体"/>
                <w:color w:val="000000" w:themeColor="text1"/>
                <w:kern w:val="0"/>
                <w:sz w:val="22"/>
                <w:szCs w:val="22"/>
                <w:lang w:bidi="ar"/>
                <w14:textFill>
                  <w14:solidFill>
                    <w14:schemeClr w14:val="tx1"/>
                  </w14:solidFill>
                </w14:textFill>
              </w:rPr>
              <w:t>5.符合GB4943.1-2022标准要求</w:t>
            </w:r>
          </w:p>
          <w:p w14:paraId="5552F47C">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Arial" w:hAnsi="Arial" w:cs="宋体"/>
                <w:kern w:val="0"/>
                <w:szCs w:val="21"/>
              </w:rPr>
              <w:t>★</w:t>
            </w:r>
            <w:r>
              <w:rPr>
                <w:rFonts w:hint="eastAsia" w:ascii="宋体" w:hAnsi="宋体" w:cs="宋体"/>
                <w:color w:val="000000" w:themeColor="text1"/>
                <w:kern w:val="0"/>
                <w:sz w:val="22"/>
                <w:szCs w:val="22"/>
                <w:lang w:bidi="ar"/>
                <w14:textFill>
                  <w14:solidFill>
                    <w14:schemeClr w14:val="tx1"/>
                  </w14:solidFill>
                </w14:textFill>
              </w:rPr>
              <w:t>6.符合GB17625.1-2012标准要求</w:t>
            </w:r>
          </w:p>
          <w:p w14:paraId="6A7A2730">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Arial" w:hAnsi="Arial" w:cs="宋体"/>
                <w:kern w:val="0"/>
                <w:szCs w:val="21"/>
              </w:rPr>
              <w:t>★</w:t>
            </w:r>
            <w:r>
              <w:rPr>
                <w:rFonts w:hint="eastAsia" w:ascii="宋体" w:hAnsi="宋体" w:cs="宋体"/>
                <w:color w:val="000000" w:themeColor="text1"/>
                <w:kern w:val="0"/>
                <w:sz w:val="22"/>
                <w:szCs w:val="22"/>
                <w:lang w:bidi="ar"/>
                <w14:textFill>
                  <w14:solidFill>
                    <w14:schemeClr w14:val="tx1"/>
                  </w14:solidFill>
                </w14:textFill>
              </w:rPr>
              <w:t>7.符合GB/254.1-2021标准要求</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3E5D1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24</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6107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个</w:t>
            </w:r>
          </w:p>
        </w:tc>
        <w:tc>
          <w:tcPr>
            <w:tcW w:w="3345" w:type="dxa"/>
            <w:tcBorders>
              <w:top w:val="single" w:color="000000" w:sz="4" w:space="0"/>
              <w:left w:val="single" w:color="000000" w:sz="4" w:space="0"/>
              <w:bottom w:val="single" w:color="000000" w:sz="4" w:space="0"/>
              <w:right w:val="single" w:color="000000" w:sz="4" w:space="0"/>
            </w:tcBorders>
            <w:vAlign w:val="center"/>
          </w:tcPr>
          <w:p w14:paraId="7C32D8F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drawing>
                <wp:inline distT="0" distB="0" distL="0" distR="0">
                  <wp:extent cx="1631315" cy="1063625"/>
                  <wp:effectExtent l="0" t="0" r="6985" b="3175"/>
                  <wp:docPr id="8319994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99491" name="图片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7338" cy="1067407"/>
                          </a:xfrm>
                          <a:prstGeom prst="rect">
                            <a:avLst/>
                          </a:prstGeom>
                        </pic:spPr>
                      </pic:pic>
                    </a:graphicData>
                  </a:graphic>
                </wp:inline>
              </w:drawing>
            </w:r>
          </w:p>
        </w:tc>
        <w:tc>
          <w:tcPr>
            <w:tcW w:w="1150" w:type="dxa"/>
            <w:tcBorders>
              <w:top w:val="single" w:color="000000" w:sz="4" w:space="0"/>
              <w:left w:val="single" w:color="000000" w:sz="4" w:space="0"/>
              <w:bottom w:val="single" w:color="000000" w:sz="4" w:space="0"/>
              <w:right w:val="single" w:color="000000" w:sz="4" w:space="0"/>
            </w:tcBorders>
            <w:vAlign w:val="center"/>
          </w:tcPr>
          <w:p w14:paraId="45BB0C05">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7E15620D">
        <w:tblPrEx>
          <w:tblCellMar>
            <w:top w:w="0" w:type="dxa"/>
            <w:left w:w="108" w:type="dxa"/>
            <w:bottom w:w="0" w:type="dxa"/>
            <w:right w:w="108" w:type="dxa"/>
          </w:tblCellMar>
        </w:tblPrEx>
        <w:trPr>
          <w:trHeight w:val="9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40037A0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10</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6CA8F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安全电源总控</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9B10CE">
            <w:pPr>
              <w:widowControl/>
              <w:jc w:val="left"/>
              <w:textAlignment w:val="center"/>
              <w:rPr>
                <w:rFonts w:hint="eastAsia" w:ascii="宋体" w:hAnsi="宋体" w:cs="宋体"/>
                <w:color w:val="000000" w:themeColor="text1"/>
                <w:sz w:val="22"/>
                <w:szCs w:val="22"/>
                <w14:textFill>
                  <w14:solidFill>
                    <w14:schemeClr w14:val="tx1"/>
                  </w14:solidFill>
                </w14:textFill>
              </w:rPr>
            </w:pPr>
            <w:r>
              <w:rPr>
                <w:rStyle w:val="194"/>
                <w:rFonts w:hint="default"/>
                <w:color w:val="000000" w:themeColor="text1"/>
                <w:lang w:bidi="ar"/>
                <w14:textFill>
                  <w14:solidFill>
                    <w14:schemeClr w14:val="tx1"/>
                  </w14:solidFill>
                </w14:textFill>
              </w:rPr>
              <w:t>1.规格：约500mm*257mm</w:t>
            </w:r>
            <w:r>
              <w:rPr>
                <w:rStyle w:val="194"/>
                <w:rFonts w:hint="default"/>
                <w:color w:val="000000" w:themeColor="text1"/>
                <w:lang w:bidi="ar"/>
                <w14:textFill>
                  <w14:solidFill>
                    <w14:schemeClr w14:val="tx1"/>
                  </w14:solidFill>
                </w14:textFill>
              </w:rPr>
              <w:br w:type="textWrapping"/>
            </w:r>
            <w:r>
              <w:rPr>
                <w:rStyle w:val="194"/>
                <w:rFonts w:hint="default"/>
                <w:color w:val="000000" w:themeColor="text1"/>
                <w:lang w:bidi="ar"/>
                <w14:textFill>
                  <w14:solidFill>
                    <w14:schemeClr w14:val="tx1"/>
                  </w14:solidFill>
                </w14:textFill>
              </w:rPr>
              <w:t xml:space="preserve">2.安全电源总控台配备总漏电保护器和分组短路保护器，可分组控制学生的高压电源，每组最大负载电流25A，总负载电流为63A，在线路中有漏电或过流的时候，会自动启动保护并切断电路，确保教师及学生实验的安全进行                                   </w:t>
            </w:r>
            <w:r>
              <w:rPr>
                <w:rStyle w:val="194"/>
                <w:rFonts w:hint="default"/>
                <w:color w:val="000000" w:themeColor="text1"/>
                <w:lang w:bidi="ar"/>
                <w14:textFill>
                  <w14:solidFill>
                    <w14:schemeClr w14:val="tx1"/>
                  </w14:solidFill>
                </w14:textFill>
              </w:rPr>
              <w:br w:type="textWrapping"/>
            </w:r>
            <w:r>
              <w:rPr>
                <w:rStyle w:val="194"/>
                <w:rFonts w:hint="default"/>
                <w:color w:val="000000" w:themeColor="text1"/>
                <w:lang w:bidi="ar"/>
                <w14:textFill>
                  <w14:solidFill>
                    <w14:schemeClr w14:val="tx1"/>
                  </w14:solidFill>
                </w14:textFill>
              </w:rPr>
              <w:t xml:space="preserve">3.安全电源总控台采用耐磨、耐腐蚀、耐高温（≤140℃）的PC薄膜面板，指针表显示总电源220V输入电压和各组工作电流，面板清晰简洁，操作简单方便；在正常开启后有总电源和分组电源指示，交流电压指示处有总电源220V输入电压指示，当学生电源端有负载时，每组对应的电流表会有指示，无负载时电流表不动作。                                                                                                             </w:t>
            </w:r>
            <w:r>
              <w:rPr>
                <w:rStyle w:val="194"/>
                <w:rFonts w:hint="default"/>
                <w:color w:val="000000" w:themeColor="text1"/>
                <w:lang w:bidi="ar"/>
                <w14:textFill>
                  <w14:solidFill>
                    <w14:schemeClr w14:val="tx1"/>
                  </w14:solidFill>
                </w14:textFill>
              </w:rPr>
              <w:br w:type="textWrapping"/>
            </w:r>
            <w:r>
              <w:rPr>
                <w:rStyle w:val="194"/>
                <w:rFonts w:hint="default"/>
                <w:color w:val="000000" w:themeColor="text1"/>
                <w:lang w:bidi="ar"/>
                <w14:textFill>
                  <w14:solidFill>
                    <w14:schemeClr w14:val="tx1"/>
                  </w14:solidFill>
                </w14:textFill>
              </w:rPr>
              <w:t xml:space="preserve">4.220V交流输出为两位带安全门的国标五孔插座，为教师做实验提供220V电源。   </w:t>
            </w:r>
          </w:p>
        </w:tc>
        <w:tc>
          <w:tcPr>
            <w:tcW w:w="500" w:type="dxa"/>
            <w:tcBorders>
              <w:top w:val="single" w:color="000000" w:sz="4" w:space="0"/>
              <w:left w:val="single" w:color="000000" w:sz="4" w:space="0"/>
              <w:bottom w:val="single" w:color="auto" w:sz="4" w:space="0"/>
              <w:right w:val="single" w:color="000000" w:sz="4" w:space="0"/>
            </w:tcBorders>
            <w:shd w:val="clear" w:color="auto" w:fill="FFFFFF"/>
            <w:vAlign w:val="center"/>
          </w:tcPr>
          <w:p w14:paraId="2EE07917">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auto" w:sz="4" w:space="0"/>
              <w:right w:val="single" w:color="000000" w:sz="4" w:space="0"/>
            </w:tcBorders>
            <w:shd w:val="clear" w:color="auto" w:fill="FFFFFF"/>
            <w:vAlign w:val="center"/>
          </w:tcPr>
          <w:p w14:paraId="7492416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台</w:t>
            </w:r>
          </w:p>
        </w:tc>
        <w:tc>
          <w:tcPr>
            <w:tcW w:w="3345" w:type="dxa"/>
            <w:tcBorders>
              <w:top w:val="single" w:color="000000" w:sz="4" w:space="0"/>
              <w:left w:val="single" w:color="000000" w:sz="4" w:space="0"/>
              <w:bottom w:val="single" w:color="auto" w:sz="4" w:space="0"/>
              <w:right w:val="single" w:color="000000" w:sz="4" w:space="0"/>
            </w:tcBorders>
            <w:vAlign w:val="center"/>
          </w:tcPr>
          <w:p w14:paraId="29E48C7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drawing>
                <wp:inline distT="0" distB="0" distL="0" distR="0">
                  <wp:extent cx="1822450" cy="947420"/>
                  <wp:effectExtent l="0" t="0" r="6350" b="5080"/>
                  <wp:docPr id="104134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443" name="图片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2450" cy="947420"/>
                          </a:xfrm>
                          <a:prstGeom prst="rect">
                            <a:avLst/>
                          </a:prstGeom>
                        </pic:spPr>
                      </pic:pic>
                    </a:graphicData>
                  </a:graphic>
                </wp:inline>
              </w:drawing>
            </w:r>
          </w:p>
        </w:tc>
        <w:tc>
          <w:tcPr>
            <w:tcW w:w="1150" w:type="dxa"/>
            <w:tcBorders>
              <w:top w:val="single" w:color="000000" w:sz="4" w:space="0"/>
              <w:left w:val="single" w:color="000000" w:sz="4" w:space="0"/>
              <w:bottom w:val="single" w:color="000000" w:sz="4" w:space="0"/>
              <w:right w:val="single" w:color="000000" w:sz="4" w:space="0"/>
            </w:tcBorders>
            <w:vAlign w:val="center"/>
          </w:tcPr>
          <w:p w14:paraId="3FECE4E1">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05AF162A">
        <w:tblPrEx>
          <w:tblCellMar>
            <w:top w:w="0" w:type="dxa"/>
            <w:left w:w="108" w:type="dxa"/>
            <w:bottom w:w="0" w:type="dxa"/>
            <w:right w:w="108" w:type="dxa"/>
          </w:tblCellMar>
        </w:tblPrEx>
        <w:trPr>
          <w:trHeight w:val="154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155F968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11</w:t>
            </w:r>
          </w:p>
        </w:tc>
        <w:tc>
          <w:tcPr>
            <w:tcW w:w="2757" w:type="dxa"/>
            <w:tcBorders>
              <w:top w:val="single" w:color="000000" w:sz="4" w:space="0"/>
              <w:left w:val="single" w:color="000000" w:sz="4" w:space="0"/>
              <w:bottom w:val="single" w:color="000000" w:sz="4" w:space="0"/>
              <w:right w:val="single" w:color="000000" w:sz="4" w:space="0"/>
            </w:tcBorders>
            <w:vAlign w:val="center"/>
          </w:tcPr>
          <w:p w14:paraId="0F1E214B">
            <w:pPr>
              <w:widowControl/>
              <w:jc w:val="center"/>
              <w:textAlignment w:val="center"/>
              <w:rPr>
                <w:rFonts w:hint="eastAsia" w:ascii="宋体" w:hAnsi="宋体" w:cs="宋体"/>
                <w:color w:val="auto"/>
                <w:sz w:val="22"/>
                <w:szCs w:val="22"/>
              </w:rPr>
            </w:pPr>
            <w:r>
              <w:rPr>
                <w:rFonts w:hint="eastAsia" w:ascii="宋体" w:hAnsi="宋体" w:cs="宋体"/>
                <w:color w:val="auto"/>
                <w:kern w:val="0"/>
                <w:sz w:val="22"/>
                <w:szCs w:val="22"/>
                <w:lang w:bidi="ar"/>
              </w:rPr>
              <w:t>安全光源</w:t>
            </w:r>
          </w:p>
        </w:tc>
        <w:tc>
          <w:tcPr>
            <w:tcW w:w="5770" w:type="dxa"/>
            <w:tcBorders>
              <w:top w:val="single" w:color="000000" w:sz="4" w:space="0"/>
              <w:left w:val="single" w:color="000000" w:sz="4" w:space="0"/>
              <w:bottom w:val="single" w:color="000000" w:sz="4" w:space="0"/>
              <w:right w:val="single" w:color="auto" w:sz="4" w:space="0"/>
            </w:tcBorders>
            <w:vAlign w:val="center"/>
          </w:tcPr>
          <w:p w14:paraId="11EFFDD6">
            <w:pPr>
              <w:widowControl/>
              <w:jc w:val="left"/>
              <w:textAlignment w:val="center"/>
              <w:rPr>
                <w:rFonts w:hint="eastAsia" w:ascii="宋体" w:hAnsi="宋体" w:cs="宋体"/>
                <w:color w:val="auto"/>
                <w:sz w:val="22"/>
                <w:szCs w:val="22"/>
              </w:rPr>
            </w:pPr>
            <w:r>
              <w:rPr>
                <w:rFonts w:hint="eastAsia" w:ascii="宋体" w:hAnsi="宋体" w:cs="宋体"/>
                <w:color w:val="auto"/>
                <w:kern w:val="0"/>
                <w:sz w:val="22"/>
                <w:szCs w:val="22"/>
                <w:lang w:bidi="ar"/>
              </w:rPr>
              <w:t>铝合金LED灯外喷磨砂漆，支架采用铝合金材质，外喷磨砂漆；灯管角度可以自由调节，灯管采用LED灯，</w:t>
            </w:r>
            <w:r>
              <w:rPr>
                <w:rFonts w:hint="eastAsia"/>
                <w:color w:val="auto"/>
              </w:rPr>
              <w:t>采用前向投光设计，光照覆盖范围更广，能均匀照亮整张书桌，减少桌面阴影；工作温度：0℃ ～ 40℃，工作湿度：0% ～ 85% RH（无冷凝），工作温度</w:t>
            </w:r>
            <w:r>
              <w:rPr>
                <w:rFonts w:hint="eastAsia" w:ascii="宋体" w:hAnsi="宋体" w:cs="宋体"/>
                <w:color w:val="auto"/>
                <w:kern w:val="0"/>
                <w:sz w:val="22"/>
                <w:szCs w:val="22"/>
                <w:lang w:bidi="ar"/>
              </w:rPr>
              <w:t>光照亮度温和，使用寿命长。外形美观。</w:t>
            </w:r>
          </w:p>
        </w:tc>
        <w:tc>
          <w:tcPr>
            <w:tcW w:w="500" w:type="dxa"/>
            <w:tcBorders>
              <w:top w:val="single" w:color="auto" w:sz="4" w:space="0"/>
              <w:left w:val="single" w:color="auto" w:sz="4" w:space="0"/>
              <w:bottom w:val="single" w:color="auto" w:sz="4" w:space="0"/>
              <w:right w:val="single" w:color="auto" w:sz="4" w:space="0"/>
            </w:tcBorders>
            <w:vAlign w:val="center"/>
          </w:tcPr>
          <w:p w14:paraId="3EE9A81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24</w:t>
            </w:r>
          </w:p>
        </w:tc>
        <w:tc>
          <w:tcPr>
            <w:tcW w:w="500" w:type="dxa"/>
            <w:tcBorders>
              <w:top w:val="single" w:color="auto" w:sz="4" w:space="0"/>
              <w:left w:val="single" w:color="auto" w:sz="4" w:space="0"/>
              <w:bottom w:val="single" w:color="auto" w:sz="4" w:space="0"/>
              <w:right w:val="single" w:color="auto" w:sz="4" w:space="0"/>
            </w:tcBorders>
            <w:vAlign w:val="center"/>
          </w:tcPr>
          <w:p w14:paraId="24E1B69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只</w:t>
            </w:r>
          </w:p>
        </w:tc>
        <w:tc>
          <w:tcPr>
            <w:tcW w:w="3345" w:type="dxa"/>
            <w:tcBorders>
              <w:top w:val="single" w:color="auto" w:sz="4" w:space="0"/>
              <w:left w:val="single" w:color="auto" w:sz="4" w:space="0"/>
              <w:bottom w:val="single" w:color="auto" w:sz="4" w:space="0"/>
              <w:right w:val="single" w:color="auto" w:sz="4" w:space="0"/>
            </w:tcBorders>
            <w:vAlign w:val="center"/>
          </w:tcPr>
          <w:p w14:paraId="0227C3D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drawing>
                <wp:inline distT="0" distB="0" distL="0" distR="0">
                  <wp:extent cx="695325" cy="698500"/>
                  <wp:effectExtent l="0" t="0" r="9525" b="6350"/>
                  <wp:docPr id="1066572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7242" name="图片 1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7913" cy="711080"/>
                          </a:xfrm>
                          <a:prstGeom prst="rect">
                            <a:avLst/>
                          </a:prstGeom>
                        </pic:spPr>
                      </pic:pic>
                    </a:graphicData>
                  </a:graphic>
                </wp:inline>
              </w:drawing>
            </w:r>
          </w:p>
        </w:tc>
        <w:tc>
          <w:tcPr>
            <w:tcW w:w="1150" w:type="dxa"/>
            <w:tcBorders>
              <w:top w:val="single" w:color="000000" w:sz="4" w:space="0"/>
              <w:left w:val="single" w:color="auto" w:sz="4" w:space="0"/>
              <w:bottom w:val="nil"/>
              <w:right w:val="single" w:color="000000" w:sz="4" w:space="0"/>
            </w:tcBorders>
            <w:vAlign w:val="center"/>
          </w:tcPr>
          <w:p w14:paraId="4A8FB211">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3116998C">
        <w:tblPrEx>
          <w:tblCellMar>
            <w:top w:w="0" w:type="dxa"/>
            <w:left w:w="108" w:type="dxa"/>
            <w:bottom w:w="0" w:type="dxa"/>
            <w:right w:w="108" w:type="dxa"/>
          </w:tblCellMar>
        </w:tblPrEx>
        <w:trPr>
          <w:trHeight w:val="154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28F2078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2757" w:type="dxa"/>
            <w:tcBorders>
              <w:top w:val="single" w:color="000000" w:sz="4" w:space="0"/>
              <w:left w:val="single" w:color="000000" w:sz="4" w:space="0"/>
              <w:bottom w:val="single" w:color="000000" w:sz="4" w:space="0"/>
              <w:right w:val="single" w:color="000000" w:sz="4" w:space="0"/>
            </w:tcBorders>
            <w:vAlign w:val="center"/>
          </w:tcPr>
          <w:p w14:paraId="68177758">
            <w:pPr>
              <w:widowControl/>
              <w:jc w:val="center"/>
              <w:textAlignment w:val="center"/>
              <w:rPr>
                <w:rFonts w:hint="eastAsia" w:ascii="宋体" w:hAnsi="宋体" w:cs="宋体"/>
                <w:color w:val="auto"/>
                <w:sz w:val="22"/>
                <w:szCs w:val="22"/>
              </w:rPr>
            </w:pPr>
            <w:r>
              <w:rPr>
                <w:rFonts w:hint="eastAsia" w:ascii="宋体" w:hAnsi="宋体" w:cs="宋体"/>
                <w:color w:val="auto"/>
                <w:kern w:val="0"/>
                <w:sz w:val="22"/>
                <w:szCs w:val="22"/>
                <w:lang w:bidi="ar"/>
              </w:rPr>
              <w:t>实验凳（</w:t>
            </w:r>
            <w:r>
              <w:rPr>
                <w:rFonts w:hint="eastAsia" w:ascii="宋体" w:hAnsi="宋体" w:cs="宋体"/>
                <w:b/>
                <w:bCs/>
                <w:color w:val="auto"/>
                <w:kern w:val="0"/>
                <w:sz w:val="22"/>
                <w:szCs w:val="22"/>
                <w:lang w:bidi="ar"/>
              </w:rPr>
              <w:t>样品</w:t>
            </w:r>
            <w:r>
              <w:rPr>
                <w:rFonts w:hint="eastAsia" w:ascii="宋体" w:hAnsi="宋体" w:cs="宋体"/>
                <w:color w:val="auto"/>
                <w:kern w:val="0"/>
                <w:sz w:val="22"/>
                <w:szCs w:val="22"/>
                <w:lang w:bidi="ar"/>
              </w:rPr>
              <w:t>）</w:t>
            </w:r>
          </w:p>
        </w:tc>
        <w:tc>
          <w:tcPr>
            <w:tcW w:w="5770" w:type="dxa"/>
            <w:tcBorders>
              <w:top w:val="single" w:color="000000" w:sz="4" w:space="0"/>
              <w:left w:val="single" w:color="000000" w:sz="4" w:space="0"/>
              <w:bottom w:val="single" w:color="000000" w:sz="4" w:space="0"/>
              <w:right w:val="single" w:color="000000" w:sz="4" w:space="0"/>
            </w:tcBorders>
            <w:vAlign w:val="center"/>
          </w:tcPr>
          <w:p w14:paraId="674A58BD">
            <w:pPr>
              <w:widowControl/>
              <w:numPr>
                <w:ilvl w:val="0"/>
                <w:numId w:val="15"/>
              </w:numPr>
              <w:textAlignment w:val="center"/>
              <w:rPr>
                <w:rFonts w:hint="eastAsia" w:ascii="宋体" w:hAnsi="宋体" w:cs="宋体"/>
                <w:color w:val="auto"/>
                <w:kern w:val="0"/>
                <w:szCs w:val="21"/>
                <w:lang w:bidi="ar"/>
              </w:rPr>
            </w:pPr>
            <w:r>
              <w:rPr>
                <w:rStyle w:val="194"/>
                <w:rFonts w:hint="default"/>
                <w:color w:val="auto"/>
                <w:sz w:val="21"/>
                <w:szCs w:val="21"/>
                <w:lang w:bidi="ar"/>
              </w:rPr>
              <w:t>规格：</w:t>
            </w:r>
            <w:r>
              <w:rPr>
                <w:rFonts w:hint="eastAsia" w:ascii="宋体" w:hAnsi="宋体" w:cs="宋体"/>
                <w:color w:val="auto"/>
                <w:kern w:val="0"/>
                <w:szCs w:val="21"/>
                <w:lang w:bidi="ar"/>
              </w:rPr>
              <w:t>约420(直径）mm*450（高)mm</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2.凳面采用环保PP塑料一次性注塑成型，表面菱形凹凸纹路，</w:t>
            </w:r>
            <w:r>
              <w:rPr>
                <w:rFonts w:hint="eastAsia" w:ascii="宋体" w:hAnsi="宋体"/>
                <w:color w:val="auto"/>
                <w:szCs w:val="21"/>
              </w:rPr>
              <w:t>水滴放射型防滑纹路设计</w:t>
            </w:r>
            <w:r>
              <w:rPr>
                <w:rFonts w:hint="eastAsia" w:ascii="宋体" w:hAnsi="宋体" w:cs="宋体"/>
                <w:color w:val="auto"/>
                <w:kern w:val="0"/>
                <w:szCs w:val="21"/>
                <w:lang w:bidi="ar"/>
              </w:rPr>
              <w:t>.</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3.支撑柱采用直径50mm圆钢管，顶端为直径200钢板，采用全周满焊焊接，用四颗螺丝连接凳面，结构牢固，长期使用也不会出现摇晃松散现象。</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4.下端</w:t>
            </w:r>
            <w:r>
              <w:rPr>
                <w:rFonts w:hint="eastAsia" w:ascii="宋体" w:hAnsi="宋体"/>
                <w:color w:val="auto"/>
                <w:szCs w:val="21"/>
              </w:rPr>
              <w:t>五星</w:t>
            </w:r>
            <w:r>
              <w:rPr>
                <w:rFonts w:hint="eastAsia" w:ascii="宋体" w:hAnsi="宋体" w:cs="宋体"/>
                <w:color w:val="auto"/>
                <w:kern w:val="0"/>
                <w:szCs w:val="21"/>
                <w:lang w:bidi="ar"/>
              </w:rPr>
              <w:t xml:space="preserve">脚采用铝合金一体压铸成型，爪端预留螺丝眼，配工程塑料脚盘，所有金属材料表面经过防腐氧化处理和纯环氧树脂塑粉高温固化处理，具有较强的耐蚀性及承重性； </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5.依据GB/T3325-2024金属家具通用技术条件，对形状和位置公差、金属件外观、塑料件外观、配件和活动件外观、可触及区域外观、产品表面理化性能-金属喷漆（塑）涂层、椅凳类稳定性、椅凳类强度进行检测，结果判定符合。</w:t>
            </w:r>
          </w:p>
          <w:p w14:paraId="2A3B2879">
            <w:pPr>
              <w:widowControl/>
              <w:numPr>
                <w:ilvl w:val="255"/>
                <w:numId w:val="0"/>
              </w:numPr>
              <w:jc w:val="left"/>
              <w:textAlignment w:val="center"/>
              <w:rPr>
                <w:rFonts w:hint="eastAsia" w:ascii="宋体" w:hAnsi="宋体" w:cs="宋体"/>
                <w:color w:val="auto"/>
                <w:sz w:val="22"/>
                <w:szCs w:val="22"/>
              </w:rPr>
            </w:pPr>
            <w:r>
              <w:rPr>
                <w:rFonts w:hint="eastAsia" w:ascii="宋体" w:hAnsi="宋体" w:cs="宋体"/>
                <w:b/>
                <w:bCs/>
                <w:color w:val="auto"/>
                <w:kern w:val="0"/>
                <w:szCs w:val="21"/>
                <w:lang w:bidi="ar"/>
              </w:rPr>
              <w:t>提供具备CMA或CNAS标识的第三方检测机构出具</w:t>
            </w:r>
            <w:r>
              <w:rPr>
                <w:rFonts w:hint="eastAsia" w:ascii="宋体" w:hAnsi="宋体" w:cs="宋体"/>
                <w:color w:val="auto"/>
                <w:kern w:val="0"/>
                <w:szCs w:val="21"/>
                <w:lang w:bidi="ar"/>
              </w:rPr>
              <w:t>的</w:t>
            </w:r>
            <w:r>
              <w:rPr>
                <w:rFonts w:hint="eastAsia" w:ascii="宋体" w:hAnsi="宋体"/>
                <w:b/>
                <w:bCs/>
                <w:color w:val="auto"/>
                <w:kern w:val="0"/>
                <w:szCs w:val="21"/>
              </w:rPr>
              <w:t>检测报告复印件加盖供应商公章</w:t>
            </w:r>
            <w:r>
              <w:rPr>
                <w:rFonts w:hint="eastAsia" w:ascii="宋体" w:hAnsi="宋体" w:cs="宋体"/>
                <w:color w:val="auto"/>
                <w:kern w:val="0"/>
                <w:szCs w:val="21"/>
                <w:lang w:bidi="ar"/>
              </w:rPr>
              <w:t xml:space="preserve">。      </w:t>
            </w:r>
            <w:r>
              <w:rPr>
                <w:rFonts w:hint="eastAsia" w:ascii="宋体" w:hAnsi="宋体" w:cs="宋体"/>
                <w:color w:val="auto"/>
                <w:kern w:val="0"/>
                <w:sz w:val="22"/>
                <w:szCs w:val="22"/>
                <w:lang w:bidi="ar"/>
              </w:rPr>
              <w:t xml:space="preserve">          </w:t>
            </w:r>
          </w:p>
        </w:tc>
        <w:tc>
          <w:tcPr>
            <w:tcW w:w="500" w:type="dxa"/>
            <w:tcBorders>
              <w:top w:val="single" w:color="auto" w:sz="4" w:space="0"/>
              <w:left w:val="single" w:color="000000" w:sz="4" w:space="0"/>
              <w:bottom w:val="single" w:color="000000" w:sz="4" w:space="0"/>
              <w:right w:val="single" w:color="000000" w:sz="4" w:space="0"/>
            </w:tcBorders>
            <w:noWrap/>
            <w:vAlign w:val="center"/>
          </w:tcPr>
          <w:p w14:paraId="3A8C6D5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48</w:t>
            </w:r>
          </w:p>
        </w:tc>
        <w:tc>
          <w:tcPr>
            <w:tcW w:w="500" w:type="dxa"/>
            <w:tcBorders>
              <w:top w:val="single" w:color="auto" w:sz="4" w:space="0"/>
              <w:left w:val="single" w:color="000000" w:sz="4" w:space="0"/>
              <w:bottom w:val="single" w:color="000000" w:sz="4" w:space="0"/>
              <w:right w:val="single" w:color="000000" w:sz="4" w:space="0"/>
            </w:tcBorders>
            <w:noWrap/>
            <w:vAlign w:val="center"/>
          </w:tcPr>
          <w:p w14:paraId="384AA194">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个</w:t>
            </w:r>
          </w:p>
        </w:tc>
        <w:tc>
          <w:tcPr>
            <w:tcW w:w="3345" w:type="dxa"/>
            <w:tcBorders>
              <w:top w:val="single" w:color="auto" w:sz="4" w:space="0"/>
              <w:left w:val="single" w:color="000000" w:sz="4" w:space="0"/>
              <w:bottom w:val="single" w:color="000000" w:sz="4" w:space="0"/>
              <w:right w:val="single" w:color="000000" w:sz="4" w:space="0"/>
            </w:tcBorders>
            <w:noWrap/>
            <w:vAlign w:val="center"/>
          </w:tcPr>
          <w:p w14:paraId="22258CD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drawing>
                <wp:inline distT="0" distB="0" distL="0" distR="0">
                  <wp:extent cx="1543685" cy="1930400"/>
                  <wp:effectExtent l="0" t="0" r="18415" b="12700"/>
                  <wp:docPr id="3638252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25295" name="图片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48108" cy="1935405"/>
                          </a:xfrm>
                          <a:prstGeom prst="rect">
                            <a:avLst/>
                          </a:prstGeom>
                        </pic:spPr>
                      </pic:pic>
                    </a:graphicData>
                  </a:graphic>
                </wp:inline>
              </w:drawing>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159931C2">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5BFE0E16">
        <w:tblPrEx>
          <w:tblCellMar>
            <w:top w:w="0" w:type="dxa"/>
            <w:left w:w="108" w:type="dxa"/>
            <w:bottom w:w="0" w:type="dxa"/>
            <w:right w:w="108" w:type="dxa"/>
          </w:tblCellMar>
        </w:tblPrEx>
        <w:trPr>
          <w:trHeight w:val="741"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4B0D60EE">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13</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4C78D4">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安全终端装置</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C44C36">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实验室专用防漏电(防触电)智能安全电源</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1.规格：约尺寸：430mm × 347mm × 150mm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2.输入参数：</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额定输入电压：220Vac（单相）</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额定输入电流：23.9A</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输入电压范围：220Vac ± 25%</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3.输出参数：</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额定输出功率：5KW</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额定输出电压：220Vac</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额定输出频率：50Hz/60Hz</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额定输出电流：22.8A</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电压输出精度：220V ± 2%</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输出频率精度：50/60Hz ± 1Hz（出厂可设）</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波形失真率：≤2% THD（线性负载）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动态响应时间：5%（0到100%）</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4.过载能力：</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120%，2分钟</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150%，20秒</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对地漏电流：&lt;0.7mA</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输出效率：≥95%（85%阻性负载）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功率因子（PF）：0.9</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5.工作环境：</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绝缘强度：F（2000Vac，1分钟）</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噪音（1米）：≤40dB</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使用环境温度：0°C 到 +55°C</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防护等级：IP22</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湿度：0到90%，不结露</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使用海拔：≤4000米</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6.保护功能：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输入欠压保护</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输入过压保护</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输出过载保护</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输出短路保护</w:t>
            </w:r>
          </w:p>
        </w:tc>
        <w:tc>
          <w:tcPr>
            <w:tcW w:w="500" w:type="dxa"/>
            <w:tcBorders>
              <w:top w:val="single" w:color="000000" w:sz="4" w:space="0"/>
              <w:left w:val="single" w:color="000000" w:sz="4" w:space="0"/>
              <w:bottom w:val="single" w:color="000000" w:sz="4" w:space="0"/>
              <w:right w:val="single" w:color="000000" w:sz="4" w:space="0"/>
            </w:tcBorders>
            <w:vAlign w:val="center"/>
          </w:tcPr>
          <w:p w14:paraId="48AC7C5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vAlign w:val="center"/>
          </w:tcPr>
          <w:p w14:paraId="1C2C30AA">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000000" w:sz="4" w:space="0"/>
              <w:left w:val="single" w:color="000000" w:sz="4" w:space="0"/>
              <w:bottom w:val="single" w:color="000000" w:sz="4" w:space="0"/>
              <w:right w:val="single" w:color="000000" w:sz="4" w:space="0"/>
            </w:tcBorders>
            <w:vAlign w:val="center"/>
          </w:tcPr>
          <w:p w14:paraId="6653AFAA">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vAlign w:val="center"/>
          </w:tcPr>
          <w:p w14:paraId="3386F8A8">
            <w:pPr>
              <w:rPr>
                <w:rFonts w:hint="eastAsia" w:ascii="宋体" w:hAnsi="宋体" w:cs="宋体"/>
                <w:color w:val="000000" w:themeColor="text1"/>
                <w:sz w:val="22"/>
                <w:szCs w:val="22"/>
                <w14:textFill>
                  <w14:solidFill>
                    <w14:schemeClr w14:val="tx1"/>
                  </w14:solidFill>
                </w14:textFill>
              </w:rPr>
            </w:pPr>
          </w:p>
        </w:tc>
      </w:tr>
      <w:tr w14:paraId="1E2643F6">
        <w:tblPrEx>
          <w:tblCellMar>
            <w:top w:w="0" w:type="dxa"/>
            <w:left w:w="108" w:type="dxa"/>
            <w:bottom w:w="0" w:type="dxa"/>
            <w:right w:w="108" w:type="dxa"/>
          </w:tblCellMar>
        </w:tblPrEx>
        <w:trPr>
          <w:trHeight w:val="28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3C6F3FA7">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14</w:t>
            </w:r>
          </w:p>
        </w:tc>
        <w:tc>
          <w:tcPr>
            <w:tcW w:w="2757" w:type="dxa"/>
            <w:tcBorders>
              <w:top w:val="single" w:color="000000" w:sz="4" w:space="0"/>
              <w:left w:val="single" w:color="000000" w:sz="4" w:space="0"/>
              <w:bottom w:val="single" w:color="000000" w:sz="4" w:space="0"/>
              <w:right w:val="single" w:color="000000" w:sz="4" w:space="0"/>
            </w:tcBorders>
            <w:vAlign w:val="center"/>
          </w:tcPr>
          <w:p w14:paraId="12E9C57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系统安装辅件1</w:t>
            </w:r>
          </w:p>
        </w:tc>
        <w:tc>
          <w:tcPr>
            <w:tcW w:w="5770" w:type="dxa"/>
            <w:tcBorders>
              <w:top w:val="single" w:color="000000" w:sz="4" w:space="0"/>
              <w:left w:val="single" w:color="000000" w:sz="4" w:space="0"/>
              <w:bottom w:val="single" w:color="000000" w:sz="4" w:space="0"/>
              <w:right w:val="single" w:color="000000" w:sz="4" w:space="0"/>
            </w:tcBorders>
            <w:vAlign w:val="center"/>
          </w:tcPr>
          <w:p w14:paraId="2D48E08A">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地面以上部分，铜芯24芯，优质PVC国标管，耐压500V。</w:t>
            </w:r>
          </w:p>
        </w:tc>
        <w:tc>
          <w:tcPr>
            <w:tcW w:w="500" w:type="dxa"/>
            <w:tcBorders>
              <w:top w:val="single" w:color="000000" w:sz="4" w:space="0"/>
              <w:left w:val="single" w:color="000000" w:sz="4" w:space="0"/>
              <w:bottom w:val="single" w:color="000000" w:sz="4" w:space="0"/>
              <w:right w:val="single" w:color="000000" w:sz="4" w:space="0"/>
            </w:tcBorders>
            <w:vAlign w:val="center"/>
          </w:tcPr>
          <w:p w14:paraId="5FDAC91A">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vAlign w:val="center"/>
          </w:tcPr>
          <w:p w14:paraId="6761C26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000000" w:sz="4" w:space="0"/>
              <w:left w:val="single" w:color="000000" w:sz="4" w:space="0"/>
              <w:bottom w:val="single" w:color="000000" w:sz="4" w:space="0"/>
              <w:right w:val="single" w:color="000000" w:sz="4" w:space="0"/>
            </w:tcBorders>
            <w:vAlign w:val="center"/>
          </w:tcPr>
          <w:p w14:paraId="2C6C196D">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vAlign w:val="center"/>
          </w:tcPr>
          <w:p w14:paraId="4A1837EC">
            <w:pPr>
              <w:rPr>
                <w:rFonts w:hint="eastAsia" w:ascii="宋体" w:hAnsi="宋体" w:cs="宋体"/>
                <w:color w:val="000000" w:themeColor="text1"/>
                <w:sz w:val="22"/>
                <w:szCs w:val="22"/>
                <w14:textFill>
                  <w14:solidFill>
                    <w14:schemeClr w14:val="tx1"/>
                  </w14:solidFill>
                </w14:textFill>
              </w:rPr>
            </w:pPr>
          </w:p>
        </w:tc>
      </w:tr>
      <w:tr w14:paraId="16C1181F">
        <w:tblPrEx>
          <w:tblCellMar>
            <w:top w:w="0" w:type="dxa"/>
            <w:left w:w="108" w:type="dxa"/>
            <w:bottom w:w="0" w:type="dxa"/>
            <w:right w:w="108" w:type="dxa"/>
          </w:tblCellMar>
        </w:tblPrEx>
        <w:trPr>
          <w:trHeight w:val="28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3D09E512">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15</w:t>
            </w:r>
          </w:p>
        </w:tc>
        <w:tc>
          <w:tcPr>
            <w:tcW w:w="2757" w:type="dxa"/>
            <w:tcBorders>
              <w:top w:val="single" w:color="000000" w:sz="4" w:space="0"/>
              <w:left w:val="single" w:color="000000" w:sz="4" w:space="0"/>
              <w:bottom w:val="single" w:color="000000" w:sz="4" w:space="0"/>
              <w:right w:val="single" w:color="000000" w:sz="4" w:space="0"/>
            </w:tcBorders>
            <w:vAlign w:val="center"/>
          </w:tcPr>
          <w:p w14:paraId="3FA5BFED">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排水布管</w:t>
            </w:r>
          </w:p>
        </w:tc>
        <w:tc>
          <w:tcPr>
            <w:tcW w:w="5770" w:type="dxa"/>
            <w:tcBorders>
              <w:top w:val="single" w:color="000000" w:sz="4" w:space="0"/>
              <w:left w:val="single" w:color="000000" w:sz="4" w:space="0"/>
              <w:bottom w:val="single" w:color="000000" w:sz="4" w:space="0"/>
              <w:right w:val="single" w:color="000000" w:sz="4" w:space="0"/>
            </w:tcBorders>
            <w:vAlign w:val="center"/>
          </w:tcPr>
          <w:p w14:paraId="54C0BF83">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地面以上部分，排水使用φ50mm国标优质UPVC专用排水管。</w:t>
            </w:r>
          </w:p>
        </w:tc>
        <w:tc>
          <w:tcPr>
            <w:tcW w:w="500" w:type="dxa"/>
            <w:tcBorders>
              <w:top w:val="single" w:color="000000" w:sz="4" w:space="0"/>
              <w:left w:val="single" w:color="000000" w:sz="4" w:space="0"/>
              <w:bottom w:val="single" w:color="000000" w:sz="4" w:space="0"/>
              <w:right w:val="single" w:color="000000" w:sz="4" w:space="0"/>
            </w:tcBorders>
            <w:vAlign w:val="center"/>
          </w:tcPr>
          <w:p w14:paraId="017FEB52">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vAlign w:val="center"/>
          </w:tcPr>
          <w:p w14:paraId="23735D64">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000000" w:sz="4" w:space="0"/>
              <w:left w:val="single" w:color="000000" w:sz="4" w:space="0"/>
              <w:bottom w:val="single" w:color="000000" w:sz="4" w:space="0"/>
              <w:right w:val="single" w:color="000000" w:sz="4" w:space="0"/>
            </w:tcBorders>
            <w:vAlign w:val="center"/>
          </w:tcPr>
          <w:p w14:paraId="1BD28C70">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vAlign w:val="center"/>
          </w:tcPr>
          <w:p w14:paraId="7762721F">
            <w:pPr>
              <w:rPr>
                <w:rFonts w:hint="eastAsia" w:ascii="宋体" w:hAnsi="宋体" w:cs="宋体"/>
                <w:color w:val="000000" w:themeColor="text1"/>
                <w:sz w:val="22"/>
                <w:szCs w:val="22"/>
                <w14:textFill>
                  <w14:solidFill>
                    <w14:schemeClr w14:val="tx1"/>
                  </w14:solidFill>
                </w14:textFill>
              </w:rPr>
            </w:pPr>
          </w:p>
        </w:tc>
      </w:tr>
      <w:tr w14:paraId="08A88131">
        <w:tblPrEx>
          <w:tblCellMar>
            <w:top w:w="0" w:type="dxa"/>
            <w:left w:w="108" w:type="dxa"/>
            <w:bottom w:w="0" w:type="dxa"/>
            <w:right w:w="108" w:type="dxa"/>
          </w:tblCellMar>
        </w:tblPrEx>
        <w:trPr>
          <w:trHeight w:val="28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08C71B1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16</w:t>
            </w:r>
          </w:p>
        </w:tc>
        <w:tc>
          <w:tcPr>
            <w:tcW w:w="2757" w:type="dxa"/>
            <w:tcBorders>
              <w:top w:val="single" w:color="000000" w:sz="4" w:space="0"/>
              <w:left w:val="single" w:color="000000" w:sz="4" w:space="0"/>
              <w:bottom w:val="single" w:color="000000" w:sz="4" w:space="0"/>
              <w:right w:val="single" w:color="000000" w:sz="4" w:space="0"/>
            </w:tcBorders>
            <w:vAlign w:val="center"/>
          </w:tcPr>
          <w:p w14:paraId="5966A27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给水布管</w:t>
            </w:r>
          </w:p>
        </w:tc>
        <w:tc>
          <w:tcPr>
            <w:tcW w:w="5770" w:type="dxa"/>
            <w:tcBorders>
              <w:top w:val="single" w:color="000000" w:sz="4" w:space="0"/>
              <w:left w:val="single" w:color="000000" w:sz="4" w:space="0"/>
              <w:bottom w:val="single" w:color="000000" w:sz="4" w:space="0"/>
              <w:right w:val="single" w:color="000000" w:sz="4" w:space="0"/>
            </w:tcBorders>
            <w:vAlign w:val="center"/>
          </w:tcPr>
          <w:p w14:paraId="51744F2E">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地面以上部分，给水φ25mm用优质PPR热熔管,采用优质上水软管连接。</w:t>
            </w:r>
          </w:p>
        </w:tc>
        <w:tc>
          <w:tcPr>
            <w:tcW w:w="500" w:type="dxa"/>
            <w:tcBorders>
              <w:top w:val="single" w:color="000000" w:sz="4" w:space="0"/>
              <w:left w:val="single" w:color="000000" w:sz="4" w:space="0"/>
              <w:bottom w:val="single" w:color="000000" w:sz="4" w:space="0"/>
              <w:right w:val="single" w:color="000000" w:sz="4" w:space="0"/>
            </w:tcBorders>
            <w:vAlign w:val="center"/>
          </w:tcPr>
          <w:p w14:paraId="760E734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vAlign w:val="center"/>
          </w:tcPr>
          <w:p w14:paraId="23691CE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000000" w:sz="4" w:space="0"/>
              <w:left w:val="single" w:color="000000" w:sz="4" w:space="0"/>
              <w:bottom w:val="single" w:color="000000" w:sz="4" w:space="0"/>
              <w:right w:val="single" w:color="000000" w:sz="4" w:space="0"/>
            </w:tcBorders>
            <w:vAlign w:val="center"/>
          </w:tcPr>
          <w:p w14:paraId="12875125">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vAlign w:val="center"/>
          </w:tcPr>
          <w:p w14:paraId="6C40AFE3">
            <w:pPr>
              <w:rPr>
                <w:rFonts w:hint="eastAsia" w:ascii="宋体" w:hAnsi="宋体" w:cs="宋体"/>
                <w:color w:val="000000" w:themeColor="text1"/>
                <w:sz w:val="22"/>
                <w:szCs w:val="22"/>
                <w14:textFill>
                  <w14:solidFill>
                    <w14:schemeClr w14:val="tx1"/>
                  </w14:solidFill>
                </w14:textFill>
              </w:rPr>
            </w:pPr>
          </w:p>
        </w:tc>
      </w:tr>
      <w:tr w14:paraId="6FF84F9B">
        <w:tblPrEx>
          <w:tblCellMar>
            <w:top w:w="0" w:type="dxa"/>
            <w:left w:w="108" w:type="dxa"/>
            <w:bottom w:w="0" w:type="dxa"/>
            <w:right w:w="108" w:type="dxa"/>
          </w:tblCellMar>
        </w:tblPrEx>
        <w:trPr>
          <w:trHeight w:val="9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4370F3AA">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17</w:t>
            </w:r>
          </w:p>
        </w:tc>
        <w:tc>
          <w:tcPr>
            <w:tcW w:w="2757" w:type="dxa"/>
            <w:tcBorders>
              <w:top w:val="single" w:color="000000" w:sz="4" w:space="0"/>
              <w:left w:val="single" w:color="000000" w:sz="4" w:space="0"/>
              <w:bottom w:val="single" w:color="000000" w:sz="4" w:space="0"/>
              <w:right w:val="single" w:color="000000" w:sz="4" w:space="0"/>
            </w:tcBorders>
            <w:vAlign w:val="center"/>
          </w:tcPr>
          <w:p w14:paraId="5F40A9CE">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仪器柜</w:t>
            </w:r>
          </w:p>
        </w:tc>
        <w:tc>
          <w:tcPr>
            <w:tcW w:w="5770" w:type="dxa"/>
            <w:tcBorders>
              <w:top w:val="single" w:color="000000" w:sz="4" w:space="0"/>
              <w:left w:val="single" w:color="000000" w:sz="4" w:space="0"/>
              <w:bottom w:val="single" w:color="000000" w:sz="4" w:space="0"/>
              <w:right w:val="single" w:color="000000" w:sz="4" w:space="0"/>
            </w:tcBorders>
            <w:vAlign w:val="center"/>
          </w:tcPr>
          <w:p w14:paraId="4EBF3700">
            <w:pPr>
              <w:widowControl/>
              <w:numPr>
                <w:ilvl w:val="0"/>
                <w:numId w:val="16"/>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规格:约1000×500×2000mm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2.柜体材质：为全钢结构，板材采用1.0mm厚优质钢板为基材，全自动压模成型；表面经磷化、酸洗、环氧树脂粉末烤漆处理，化学防锈处理，无突出漆块，光洁亮丽，抗强酸强碱性能突出。</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3.门板：采用上玻璃门下钢制门；</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4.玻璃门：采用优质冷轧钢板，表面经过去锈、磷化、喷砂、环氧树脂粉体烤漆处理，具有抗酸碱和耐高温特性，中间镶嵌玻璃。</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5.钢制门：采用优质冷轧钢板，表面经过去锈、磷化、喷砂、环氧树脂粉体烤漆处理，具有抗酸碱和耐高温特性，对开门。</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6.拉手：采用不锈钢拉手，外形美观大方，设计人性化。</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7.可调脚：采用橡胶模具一次成型地脚，可调节高度30-50mm。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带锁，带标签卡。</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▲金属涂层面测试依据检测方法GB/T10125-2021标准，盐雾试验后，被测区域无明显变化，结果判定符合。</w:t>
            </w:r>
          </w:p>
          <w:p w14:paraId="18ADDBCF">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▲金属涂层面测试依据检测方法GB/T1768-2006标准， 耐磨性试验后，结果判定符合。</w:t>
            </w:r>
          </w:p>
          <w:p w14:paraId="60D661C0">
            <w:pPr>
              <w:widowControl/>
              <w:numPr>
                <w:ilvl w:val="255"/>
                <w:numId w:val="0"/>
              </w:numPr>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b/>
                <w:bCs/>
                <w:kern w:val="0"/>
                <w:szCs w:val="21"/>
                <w:lang w:bidi="ar"/>
              </w:rPr>
              <w:t>提供具备CMA或CNAS标识的第三方检测机构出具</w:t>
            </w:r>
            <w:r>
              <w:rPr>
                <w:rFonts w:hint="eastAsia" w:ascii="宋体" w:hAnsi="宋体" w:cs="宋体"/>
                <w:color w:val="000000" w:themeColor="text1"/>
                <w:kern w:val="0"/>
                <w:sz w:val="22"/>
                <w:szCs w:val="22"/>
                <w:lang w:bidi="ar"/>
                <w14:textFill>
                  <w14:solidFill>
                    <w14:schemeClr w14:val="tx1"/>
                  </w14:solidFill>
                </w14:textFill>
              </w:rPr>
              <w:t>的检测报告</w:t>
            </w:r>
            <w:r>
              <w:rPr>
                <w:rFonts w:hint="eastAsia" w:ascii="宋体" w:hAnsi="宋体"/>
                <w:b/>
                <w:bCs/>
                <w:kern w:val="0"/>
              </w:rPr>
              <w:t>检测报告复印件加盖供应商公章</w:t>
            </w:r>
            <w:r>
              <w:rPr>
                <w:rFonts w:hint="eastAsia" w:ascii="宋体" w:hAnsi="宋体" w:cs="宋体"/>
                <w:color w:val="000000" w:themeColor="text1"/>
                <w:kern w:val="0"/>
                <w:sz w:val="22"/>
                <w:szCs w:val="22"/>
                <w:lang w:bidi="ar"/>
                <w14:textFill>
                  <w14:solidFill>
                    <w14:schemeClr w14:val="tx1"/>
                  </w14:solidFill>
                </w14:textFill>
              </w:rPr>
              <w:t>。</w:t>
            </w:r>
          </w:p>
        </w:tc>
        <w:tc>
          <w:tcPr>
            <w:tcW w:w="500" w:type="dxa"/>
            <w:tcBorders>
              <w:top w:val="single" w:color="000000" w:sz="4" w:space="0"/>
              <w:left w:val="single" w:color="000000" w:sz="4" w:space="0"/>
              <w:bottom w:val="single" w:color="000000" w:sz="4" w:space="0"/>
              <w:right w:val="single" w:color="000000" w:sz="4" w:space="0"/>
            </w:tcBorders>
            <w:vAlign w:val="center"/>
          </w:tcPr>
          <w:p w14:paraId="1B70DC84">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6</w:t>
            </w:r>
          </w:p>
        </w:tc>
        <w:tc>
          <w:tcPr>
            <w:tcW w:w="500" w:type="dxa"/>
            <w:tcBorders>
              <w:top w:val="single" w:color="000000" w:sz="4" w:space="0"/>
              <w:left w:val="single" w:color="000000" w:sz="4" w:space="0"/>
              <w:bottom w:val="single" w:color="000000" w:sz="4" w:space="0"/>
              <w:right w:val="single" w:color="000000" w:sz="4" w:space="0"/>
            </w:tcBorders>
            <w:vAlign w:val="center"/>
          </w:tcPr>
          <w:p w14:paraId="53C87EA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组</w:t>
            </w:r>
          </w:p>
        </w:tc>
        <w:tc>
          <w:tcPr>
            <w:tcW w:w="3345" w:type="dxa"/>
            <w:tcBorders>
              <w:top w:val="single" w:color="000000" w:sz="4" w:space="0"/>
              <w:left w:val="single" w:color="000000" w:sz="4" w:space="0"/>
              <w:bottom w:val="single" w:color="000000" w:sz="4" w:space="0"/>
              <w:right w:val="single" w:color="000000" w:sz="4" w:space="0"/>
            </w:tcBorders>
            <w:vAlign w:val="center"/>
          </w:tcPr>
          <w:p w14:paraId="4DAFD08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77696" behindDoc="0" locked="0" layoutInCell="1" allowOverlap="1">
                  <wp:simplePos x="0" y="0"/>
                  <wp:positionH relativeFrom="column">
                    <wp:posOffset>348615</wp:posOffset>
                  </wp:positionH>
                  <wp:positionV relativeFrom="paragraph">
                    <wp:posOffset>8255</wp:posOffset>
                  </wp:positionV>
                  <wp:extent cx="647700" cy="1099185"/>
                  <wp:effectExtent l="0" t="0" r="0" b="0"/>
                  <wp:wrapNone/>
                  <wp:docPr id="24" name="图片_25"/>
                  <wp:cNvGraphicFramePr/>
                  <a:graphic xmlns:a="http://schemas.openxmlformats.org/drawingml/2006/main">
                    <a:graphicData uri="http://schemas.openxmlformats.org/drawingml/2006/picture">
                      <pic:pic xmlns:pic="http://schemas.openxmlformats.org/drawingml/2006/picture">
                        <pic:nvPicPr>
                          <pic:cNvPr id="24" name="图片_25"/>
                          <pic:cNvPicPr/>
                        </pic:nvPicPr>
                        <pic:blipFill>
                          <a:blip r:embed="rId31"/>
                          <a:stretch>
                            <a:fillRect/>
                          </a:stretch>
                        </pic:blipFill>
                        <pic:spPr>
                          <a:xfrm>
                            <a:off x="0" y="0"/>
                            <a:ext cx="647700" cy="1099185"/>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vAlign w:val="center"/>
          </w:tcPr>
          <w:p w14:paraId="6CE03258">
            <w:pPr>
              <w:widowControl/>
              <w:jc w:val="left"/>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007742A8">
        <w:tblPrEx>
          <w:tblCellMar>
            <w:top w:w="0" w:type="dxa"/>
            <w:left w:w="108" w:type="dxa"/>
            <w:bottom w:w="0" w:type="dxa"/>
            <w:right w:w="108" w:type="dxa"/>
          </w:tblCellMar>
        </w:tblPrEx>
        <w:trPr>
          <w:trHeight w:val="497" w:hRule="atLeast"/>
        </w:trPr>
        <w:tc>
          <w:tcPr>
            <w:tcW w:w="14522" w:type="dxa"/>
            <w:gridSpan w:val="7"/>
            <w:tcBorders>
              <w:top w:val="single" w:color="000000" w:sz="4" w:space="0"/>
              <w:left w:val="single" w:color="000000" w:sz="4" w:space="0"/>
              <w:bottom w:val="single" w:color="000000" w:sz="4" w:space="0"/>
              <w:right w:val="single" w:color="000000" w:sz="4" w:space="0"/>
            </w:tcBorders>
            <w:vAlign w:val="center"/>
          </w:tcPr>
          <w:p w14:paraId="2412CE0B">
            <w:pPr>
              <w:widowControl/>
              <w:jc w:val="center"/>
              <w:textAlignment w:val="center"/>
              <w:rPr>
                <w:rFonts w:hint="eastAsia" w:ascii="新宋体" w:hAnsi="新宋体" w:eastAsia="新宋体" w:cs="新宋体"/>
                <w:b/>
                <w:bCs/>
                <w:color w:val="000000" w:themeColor="text1"/>
                <w:kern w:val="0"/>
                <w:sz w:val="24"/>
                <w:lang w:bidi="ar"/>
                <w14:textFill>
                  <w14:solidFill>
                    <w14:schemeClr w14:val="tx1"/>
                  </w14:solidFill>
                </w14:textFill>
              </w:rPr>
            </w:pPr>
            <w:r>
              <w:rPr>
                <w:rFonts w:hint="eastAsia" w:asciiTheme="minorEastAsia" w:hAnsiTheme="minorEastAsia" w:eastAsiaTheme="minorEastAsia" w:cstheme="minorEastAsia"/>
                <w:b/>
                <w:bCs/>
                <w:color w:val="000000" w:themeColor="text1"/>
                <w:kern w:val="0"/>
                <w:sz w:val="22"/>
                <w:szCs w:val="22"/>
                <w:lang w:bidi="ar"/>
                <w14:textFill>
                  <w14:solidFill>
                    <w14:schemeClr w14:val="tx1"/>
                  </w14:solidFill>
                </w14:textFill>
              </w:rPr>
              <w:t>（2）小学科学、初中化学共用实验室</w:t>
            </w:r>
          </w:p>
        </w:tc>
      </w:tr>
      <w:tr w14:paraId="23EF0644">
        <w:tblPrEx>
          <w:tblCellMar>
            <w:top w:w="0" w:type="dxa"/>
            <w:left w:w="108" w:type="dxa"/>
            <w:bottom w:w="0" w:type="dxa"/>
            <w:right w:w="108" w:type="dxa"/>
          </w:tblCellMar>
        </w:tblPrEx>
        <w:trPr>
          <w:trHeight w:val="58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7A44E585">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序号</w:t>
            </w:r>
          </w:p>
        </w:tc>
        <w:tc>
          <w:tcPr>
            <w:tcW w:w="2757" w:type="dxa"/>
            <w:tcBorders>
              <w:top w:val="single" w:color="000000" w:sz="4" w:space="0"/>
              <w:left w:val="single" w:color="000000" w:sz="4" w:space="0"/>
              <w:bottom w:val="single" w:color="000000" w:sz="4" w:space="0"/>
              <w:right w:val="single" w:color="000000" w:sz="4" w:space="0"/>
            </w:tcBorders>
            <w:vAlign w:val="center"/>
          </w:tcPr>
          <w:p w14:paraId="40260BE4">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设备名称</w:t>
            </w:r>
          </w:p>
        </w:tc>
        <w:tc>
          <w:tcPr>
            <w:tcW w:w="5770" w:type="dxa"/>
            <w:tcBorders>
              <w:top w:val="single" w:color="000000" w:sz="4" w:space="0"/>
              <w:left w:val="single" w:color="000000" w:sz="4" w:space="0"/>
              <w:bottom w:val="single" w:color="000000" w:sz="4" w:space="0"/>
              <w:right w:val="single" w:color="000000" w:sz="4" w:space="0"/>
            </w:tcBorders>
            <w:vAlign w:val="center"/>
          </w:tcPr>
          <w:p w14:paraId="0EA2F07D">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规格参数</w:t>
            </w:r>
          </w:p>
        </w:tc>
        <w:tc>
          <w:tcPr>
            <w:tcW w:w="500" w:type="dxa"/>
            <w:tcBorders>
              <w:top w:val="single" w:color="000000" w:sz="4" w:space="0"/>
              <w:left w:val="single" w:color="000000" w:sz="4" w:space="0"/>
              <w:bottom w:val="single" w:color="000000" w:sz="4" w:space="0"/>
              <w:right w:val="single" w:color="000000" w:sz="4" w:space="0"/>
            </w:tcBorders>
            <w:vAlign w:val="center"/>
          </w:tcPr>
          <w:p w14:paraId="1BF0A9E7">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数量</w:t>
            </w:r>
          </w:p>
        </w:tc>
        <w:tc>
          <w:tcPr>
            <w:tcW w:w="500" w:type="dxa"/>
            <w:tcBorders>
              <w:top w:val="single" w:color="000000" w:sz="4" w:space="0"/>
              <w:left w:val="single" w:color="000000" w:sz="4" w:space="0"/>
              <w:bottom w:val="single" w:color="000000" w:sz="4" w:space="0"/>
              <w:right w:val="single" w:color="000000" w:sz="4" w:space="0"/>
            </w:tcBorders>
            <w:vAlign w:val="center"/>
          </w:tcPr>
          <w:p w14:paraId="7AB2C91F">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单位</w:t>
            </w:r>
          </w:p>
        </w:tc>
        <w:tc>
          <w:tcPr>
            <w:tcW w:w="3345" w:type="dxa"/>
            <w:tcBorders>
              <w:top w:val="single" w:color="000000" w:sz="4" w:space="0"/>
              <w:left w:val="single" w:color="000000" w:sz="4" w:space="0"/>
              <w:bottom w:val="single" w:color="000000" w:sz="4" w:space="0"/>
              <w:right w:val="single" w:color="000000" w:sz="4" w:space="0"/>
            </w:tcBorders>
            <w:vAlign w:val="center"/>
          </w:tcPr>
          <w:p w14:paraId="37DAB208">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参考图</w:t>
            </w:r>
          </w:p>
        </w:tc>
        <w:tc>
          <w:tcPr>
            <w:tcW w:w="1150" w:type="dxa"/>
            <w:tcBorders>
              <w:top w:val="single" w:color="000000" w:sz="4" w:space="0"/>
              <w:left w:val="single" w:color="000000" w:sz="4" w:space="0"/>
              <w:bottom w:val="single" w:color="000000" w:sz="4" w:space="0"/>
              <w:right w:val="single" w:color="000000" w:sz="4" w:space="0"/>
            </w:tcBorders>
            <w:vAlign w:val="center"/>
          </w:tcPr>
          <w:p w14:paraId="5BECBBD7">
            <w:pPr>
              <w:widowControl/>
              <w:jc w:val="center"/>
              <w:textAlignment w:val="center"/>
              <w:rPr>
                <w:rFonts w:hint="eastAsia" w:ascii="新宋体" w:hAnsi="新宋体" w:eastAsia="新宋体" w:cs="新宋体"/>
                <w:b/>
                <w:bCs/>
                <w:color w:val="000000" w:themeColor="text1"/>
                <w:kern w:val="0"/>
                <w:sz w:val="22"/>
                <w:szCs w:val="22"/>
                <w:lang w:bidi="ar"/>
                <w14:textFill>
                  <w14:solidFill>
                    <w14:schemeClr w14:val="tx1"/>
                  </w14:solidFill>
                </w14:textFill>
              </w:rPr>
            </w:pPr>
          </w:p>
        </w:tc>
      </w:tr>
      <w:tr w14:paraId="140C4845">
        <w:tblPrEx>
          <w:tblCellMar>
            <w:top w:w="0" w:type="dxa"/>
            <w:left w:w="108" w:type="dxa"/>
            <w:bottom w:w="0" w:type="dxa"/>
            <w:right w:w="108" w:type="dxa"/>
          </w:tblCellMar>
        </w:tblPrEx>
        <w:trPr>
          <w:trHeight w:val="433" w:hRule="atLeast"/>
        </w:trPr>
        <w:tc>
          <w:tcPr>
            <w:tcW w:w="500" w:type="dxa"/>
            <w:tcBorders>
              <w:top w:val="single" w:color="000000" w:sz="4" w:space="0"/>
              <w:left w:val="single" w:color="000000" w:sz="4" w:space="0"/>
              <w:bottom w:val="single" w:color="auto" w:sz="4" w:space="0"/>
              <w:right w:val="single" w:color="000000" w:sz="4" w:space="0"/>
            </w:tcBorders>
            <w:vAlign w:val="center"/>
          </w:tcPr>
          <w:p w14:paraId="23D02C6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2757" w:type="dxa"/>
            <w:tcBorders>
              <w:top w:val="single" w:color="000000" w:sz="4" w:space="0"/>
              <w:left w:val="single" w:color="000000" w:sz="4" w:space="0"/>
              <w:bottom w:val="single" w:color="auto" w:sz="4" w:space="0"/>
              <w:right w:val="single" w:color="000000" w:sz="4" w:space="0"/>
            </w:tcBorders>
            <w:vAlign w:val="center"/>
          </w:tcPr>
          <w:p w14:paraId="0444531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教室专用演示设备</w:t>
            </w:r>
          </w:p>
        </w:tc>
        <w:tc>
          <w:tcPr>
            <w:tcW w:w="5770" w:type="dxa"/>
            <w:tcBorders>
              <w:top w:val="single" w:color="000000" w:sz="4" w:space="0"/>
              <w:left w:val="single" w:color="000000" w:sz="4" w:space="0"/>
              <w:bottom w:val="single" w:color="auto" w:sz="4" w:space="0"/>
              <w:right w:val="single" w:color="000000" w:sz="4" w:space="0"/>
            </w:tcBorders>
            <w:vAlign w:val="center"/>
          </w:tcPr>
          <w:p w14:paraId="4C358EB9">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1.规格：约3000mm*700mm*900mm.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2.结构：全钢结构，柜体为落地式结构，可以单独或组合</w:t>
            </w:r>
            <w:r>
              <w:rPr>
                <w:rFonts w:hint="eastAsia" w:ascii="微软雅黑" w:hAnsi="微软雅黑" w:eastAsia="微软雅黑" w:cs="微软雅黑"/>
                <w:color w:val="000000" w:themeColor="text1"/>
                <w:kern w:val="0"/>
                <w:sz w:val="22"/>
                <w:szCs w:val="22"/>
                <w:bdr w:val="single" w:color="000000" w:sz="4" w:space="0"/>
                <w:shd w:val="clear" w:color="auto" w:fill="FFFFFF"/>
                <w:lang w:bidi="ar"/>
                <w14:textFill>
                  <w14:solidFill>
                    <w14:schemeClr w14:val="tx1"/>
                  </w14:solidFill>
                </w14:textFill>
              </w:rPr>
              <w:drawing>
                <wp:anchor distT="0" distB="0" distL="114300" distR="114300" simplePos="0" relativeHeight="251681792" behindDoc="0" locked="0" layoutInCell="1" allowOverlap="1">
                  <wp:simplePos x="0" y="0"/>
                  <wp:positionH relativeFrom="column">
                    <wp:posOffset>4870450</wp:posOffset>
                  </wp:positionH>
                  <wp:positionV relativeFrom="paragraph">
                    <wp:posOffset>822325</wp:posOffset>
                  </wp:positionV>
                  <wp:extent cx="1034415" cy="1071245"/>
                  <wp:effectExtent l="0" t="0" r="13335" b="14605"/>
                  <wp:wrapNone/>
                  <wp:docPr id="17" name="图片_43_SpCnt_1"/>
                  <wp:cNvGraphicFramePr/>
                  <a:graphic xmlns:a="http://schemas.openxmlformats.org/drawingml/2006/main">
                    <a:graphicData uri="http://schemas.openxmlformats.org/drawingml/2006/picture">
                      <pic:pic xmlns:pic="http://schemas.openxmlformats.org/drawingml/2006/picture">
                        <pic:nvPicPr>
                          <pic:cNvPr id="17" name="图片_43_SpCnt_1"/>
                          <pic:cNvPicPr/>
                        </pic:nvPicPr>
                        <pic:blipFill>
                          <a:blip r:embed="rId32"/>
                          <a:stretch>
                            <a:fillRect/>
                          </a:stretch>
                        </pic:blipFill>
                        <pic:spPr>
                          <a:xfrm>
                            <a:off x="0" y="0"/>
                            <a:ext cx="1034415" cy="1071245"/>
                          </a:xfrm>
                          <a:prstGeom prst="rect">
                            <a:avLst/>
                          </a:prstGeom>
                          <a:noFill/>
                          <a:ln>
                            <a:noFill/>
                          </a:ln>
                        </pic:spPr>
                      </pic:pic>
                    </a:graphicData>
                  </a:graphic>
                </wp:anchor>
              </w:drawing>
            </w:r>
            <w:r>
              <w:rPr>
                <w:rFonts w:hint="eastAsia" w:ascii="宋体" w:hAnsi="宋体" w:cs="宋体"/>
                <w:color w:val="000000" w:themeColor="text1"/>
                <w:kern w:val="0"/>
                <w:sz w:val="22"/>
                <w:szCs w:val="22"/>
                <w:lang w:bidi="ar"/>
                <w14:textFill>
                  <w14:solidFill>
                    <w14:schemeClr w14:val="tx1"/>
                  </w14:solidFill>
                </w14:textFill>
              </w:rPr>
              <w:t>使用。所有底柜正面应为平装嵌入式结构设计；所有钣金的表面接缝均应满焊，焊接处均应打磨平整。</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面板：台面：采用≤16mm厚一体实心的实验室专用陶瓷板台面，整个台面一体高温烧制成型，台面表面为耐腐蚀专业釉面，釉面与坯体结合后不脱落、不脱层。台面后方卡入学生桌铝型槽内，前方用预埋件与桌体固定。耐酸、耐碱、耐高温，坚固耐用，防潮、无细孔、不膨胀、不龟裂、不变形、不导电、便于维护及具有良好的承重性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4.桌体：采用≥1mm镀锌钢板，保护焊焊接，打磨处理，表面经耐酸碱粉末烤漆处理，表面硬度附着力。</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5.滑轨：三节重型滚珠滑轨，承重性强，滑动流畅；无噪音，开合十万次不变形。</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6.拉手：采用C型不锈钢拉手。</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7.脚垫：采用柜体内置可调ABS脚垫。</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8.固定桌脚：ABS注塑专用桌垫。</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9.其他:预留多媒体设备（电脑；实物展台、DVD）等设备位置。</w:t>
            </w:r>
          </w:p>
        </w:tc>
        <w:tc>
          <w:tcPr>
            <w:tcW w:w="500" w:type="dxa"/>
            <w:tcBorders>
              <w:top w:val="single" w:color="000000" w:sz="4" w:space="0"/>
              <w:left w:val="single" w:color="000000" w:sz="4" w:space="0"/>
              <w:bottom w:val="single" w:color="auto" w:sz="4" w:space="0"/>
              <w:right w:val="single" w:color="000000" w:sz="4" w:space="0"/>
            </w:tcBorders>
            <w:shd w:val="clear" w:color="auto" w:fill="FFFFFF"/>
            <w:vAlign w:val="center"/>
          </w:tcPr>
          <w:p w14:paraId="3DB12D7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auto" w:sz="4" w:space="0"/>
              <w:right w:val="single" w:color="000000" w:sz="4" w:space="0"/>
            </w:tcBorders>
            <w:shd w:val="clear" w:color="auto" w:fill="FFFFFF"/>
            <w:vAlign w:val="center"/>
          </w:tcPr>
          <w:p w14:paraId="512A1B6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个</w:t>
            </w:r>
          </w:p>
        </w:tc>
        <w:tc>
          <w:tcPr>
            <w:tcW w:w="33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6A0AD8">
            <w:pPr>
              <w:widowControl/>
              <w:jc w:val="center"/>
              <w:textAlignment w:val="center"/>
              <w:rPr>
                <w:rFonts w:hint="eastAsia" w:ascii="微软雅黑" w:hAnsi="微软雅黑" w:eastAsia="微软雅黑" w:cs="微软雅黑"/>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2EE4CD">
            <w:pPr>
              <w:widowControl/>
              <w:jc w:val="left"/>
              <w:textAlignment w:val="center"/>
              <w:rPr>
                <w:rFonts w:hint="eastAsia" w:ascii="微软雅黑" w:hAnsi="微软雅黑" w:eastAsia="微软雅黑" w:cs="微软雅黑"/>
                <w:color w:val="000000" w:themeColor="text1"/>
                <w:kern w:val="0"/>
                <w:sz w:val="22"/>
                <w:szCs w:val="22"/>
                <w:bdr w:val="single" w:color="000000" w:sz="4" w:space="0"/>
                <w:shd w:val="clear" w:color="auto" w:fill="FFFFFF"/>
                <w:lang w:bidi="ar"/>
                <w14:textFill>
                  <w14:solidFill>
                    <w14:schemeClr w14:val="tx1"/>
                  </w14:solidFill>
                </w14:textFill>
              </w:rPr>
            </w:pPr>
          </w:p>
        </w:tc>
      </w:tr>
      <w:tr w14:paraId="62E8C62F">
        <w:tblPrEx>
          <w:tblCellMar>
            <w:top w:w="0" w:type="dxa"/>
            <w:left w:w="108" w:type="dxa"/>
            <w:bottom w:w="0" w:type="dxa"/>
            <w:right w:w="108" w:type="dxa"/>
          </w:tblCellMar>
        </w:tblPrEx>
        <w:trPr>
          <w:trHeight w:val="841" w:hRule="atLeast"/>
        </w:trPr>
        <w:tc>
          <w:tcPr>
            <w:tcW w:w="500" w:type="dxa"/>
            <w:tcBorders>
              <w:top w:val="single" w:color="auto" w:sz="4" w:space="0"/>
              <w:left w:val="single" w:color="auto" w:sz="4" w:space="0"/>
              <w:bottom w:val="single" w:color="auto" w:sz="4" w:space="0"/>
              <w:right w:val="single" w:color="auto" w:sz="4" w:space="0"/>
            </w:tcBorders>
            <w:vAlign w:val="center"/>
          </w:tcPr>
          <w:p w14:paraId="363D309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w:t>
            </w:r>
          </w:p>
        </w:tc>
        <w:tc>
          <w:tcPr>
            <w:tcW w:w="2757" w:type="dxa"/>
            <w:tcBorders>
              <w:top w:val="single" w:color="auto" w:sz="4" w:space="0"/>
              <w:left w:val="single" w:color="auto" w:sz="4" w:space="0"/>
              <w:bottom w:val="single" w:color="auto" w:sz="4" w:space="0"/>
              <w:right w:val="single" w:color="auto" w:sz="4" w:space="0"/>
            </w:tcBorders>
            <w:noWrap/>
            <w:vAlign w:val="center"/>
          </w:tcPr>
          <w:p w14:paraId="647E1387">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教师实验课椅</w:t>
            </w:r>
          </w:p>
        </w:tc>
        <w:tc>
          <w:tcPr>
            <w:tcW w:w="5770" w:type="dxa"/>
            <w:tcBorders>
              <w:top w:val="single" w:color="auto" w:sz="4" w:space="0"/>
              <w:left w:val="single" w:color="auto" w:sz="4" w:space="0"/>
              <w:bottom w:val="single" w:color="auto" w:sz="4" w:space="0"/>
              <w:right w:val="single" w:color="auto" w:sz="4" w:space="0"/>
            </w:tcBorders>
            <w:vAlign w:val="center"/>
          </w:tcPr>
          <w:p w14:paraId="53C019DA">
            <w:pPr>
              <w:widowControl/>
              <w:numPr>
                <w:ilvl w:val="0"/>
                <w:numId w:val="17"/>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规格:约380*400*800mm；</w:t>
            </w:r>
          </w:p>
          <w:p w14:paraId="0BACAB0C">
            <w:pPr>
              <w:widowControl/>
              <w:numPr>
                <w:ilvl w:val="0"/>
                <w:numId w:val="17"/>
              </w:numPr>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坐面为一体成型亚克力材质，靠面为一体成型树脂材质，四脚连接为一体成型表面抛光合金材质，整体美观，耐用。具有良好的防腐蚀功能。</w:t>
            </w:r>
          </w:p>
          <w:p w14:paraId="7A2A9F95">
            <w:pPr>
              <w:widowControl/>
              <w:numPr>
                <w:ilvl w:val="255"/>
                <w:numId w:val="0"/>
              </w:numPr>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Arial" w:hAnsi="Arial" w:cs="宋体"/>
                <w:kern w:val="0"/>
                <w:szCs w:val="21"/>
              </w:rPr>
              <w:t>★3</w:t>
            </w:r>
            <w:r>
              <w:rPr>
                <w:rFonts w:hint="eastAsia" w:ascii="宋体" w:hAnsi="宋体" w:cs="宋体"/>
                <w:kern w:val="0"/>
                <w:sz w:val="22"/>
                <w:szCs w:val="22"/>
                <w:lang w:bidi="ar"/>
              </w:rPr>
              <w:t>.课椅靠背座垫符合GB 28481-2012《塑料家具中有害物质限量》要求。</w:t>
            </w:r>
          </w:p>
        </w:tc>
        <w:tc>
          <w:tcPr>
            <w:tcW w:w="500" w:type="dxa"/>
            <w:tcBorders>
              <w:top w:val="single" w:color="auto" w:sz="4" w:space="0"/>
              <w:left w:val="single" w:color="auto" w:sz="4" w:space="0"/>
              <w:bottom w:val="single" w:color="auto" w:sz="4" w:space="0"/>
              <w:right w:val="single" w:color="auto" w:sz="4" w:space="0"/>
            </w:tcBorders>
            <w:vAlign w:val="center"/>
          </w:tcPr>
          <w:p w14:paraId="5039081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auto" w:sz="4" w:space="0"/>
              <w:left w:val="single" w:color="auto" w:sz="4" w:space="0"/>
              <w:bottom w:val="single" w:color="auto" w:sz="4" w:space="0"/>
              <w:right w:val="single" w:color="auto" w:sz="4" w:space="0"/>
            </w:tcBorders>
            <w:vAlign w:val="center"/>
          </w:tcPr>
          <w:p w14:paraId="36F963CE">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张</w:t>
            </w:r>
          </w:p>
        </w:tc>
        <w:tc>
          <w:tcPr>
            <w:tcW w:w="3345" w:type="dxa"/>
            <w:tcBorders>
              <w:top w:val="single" w:color="000000" w:sz="4" w:space="0"/>
              <w:left w:val="single" w:color="auto" w:sz="4" w:space="0"/>
              <w:bottom w:val="single" w:color="000000" w:sz="4" w:space="0"/>
              <w:right w:val="single" w:color="000000" w:sz="4" w:space="0"/>
            </w:tcBorders>
            <w:vAlign w:val="center"/>
          </w:tcPr>
          <w:p w14:paraId="1876A7CF">
            <w:pPr>
              <w:widowControl/>
              <w:jc w:val="center"/>
              <w:textAlignment w:val="center"/>
              <w:rPr>
                <w:rFonts w:hint="eastAsia" w:ascii="宋体" w:hAnsi="宋体" w:cs="宋体"/>
                <w:b/>
                <w:bCs/>
                <w:color w:val="000000" w:themeColor="text1"/>
                <w:sz w:val="22"/>
                <w:szCs w:val="22"/>
                <w14:textFill>
                  <w14:solidFill>
                    <w14:schemeClr w14:val="tx1"/>
                  </w14:solidFill>
                </w14:textFill>
              </w:rPr>
            </w:pPr>
            <w:r>
              <w:rPr>
                <w:rFonts w:hint="eastAsia" w:ascii="宋体" w:hAnsi="宋体" w:cs="宋体"/>
                <w:b/>
                <w:bCs/>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89984" behindDoc="0" locked="0" layoutInCell="1" allowOverlap="1">
                  <wp:simplePos x="0" y="0"/>
                  <wp:positionH relativeFrom="column">
                    <wp:posOffset>859790</wp:posOffset>
                  </wp:positionH>
                  <wp:positionV relativeFrom="paragraph">
                    <wp:posOffset>-206375</wp:posOffset>
                  </wp:positionV>
                  <wp:extent cx="548640" cy="569595"/>
                  <wp:effectExtent l="0" t="0" r="3810" b="1905"/>
                  <wp:wrapNone/>
                  <wp:docPr id="26" name="图片_38_SpCnt_1"/>
                  <wp:cNvGraphicFramePr/>
                  <a:graphic xmlns:a="http://schemas.openxmlformats.org/drawingml/2006/main">
                    <a:graphicData uri="http://schemas.openxmlformats.org/drawingml/2006/picture">
                      <pic:pic xmlns:pic="http://schemas.openxmlformats.org/drawingml/2006/picture">
                        <pic:nvPicPr>
                          <pic:cNvPr id="26" name="图片_38_SpCnt_1"/>
                          <pic:cNvPicPr/>
                        </pic:nvPicPr>
                        <pic:blipFill>
                          <a:blip r:embed="rId33"/>
                          <a:stretch>
                            <a:fillRect/>
                          </a:stretch>
                        </pic:blipFill>
                        <pic:spPr>
                          <a:xfrm>
                            <a:off x="0" y="0"/>
                            <a:ext cx="548640" cy="569595"/>
                          </a:xfrm>
                          <a:prstGeom prst="rect">
                            <a:avLst/>
                          </a:prstGeom>
                          <a:noFill/>
                          <a:ln>
                            <a:noFill/>
                          </a:ln>
                        </pic:spPr>
                      </pic:pic>
                    </a:graphicData>
                  </a:graphic>
                </wp:anchor>
              </w:drawing>
            </w:r>
          </w:p>
        </w:tc>
        <w:tc>
          <w:tcPr>
            <w:tcW w:w="1150" w:type="dxa"/>
            <w:tcBorders>
              <w:top w:val="single" w:color="000000" w:sz="4" w:space="0"/>
              <w:left w:val="single" w:color="auto" w:sz="4" w:space="0"/>
              <w:bottom w:val="single" w:color="000000" w:sz="4" w:space="0"/>
              <w:right w:val="single" w:color="000000" w:sz="4" w:space="0"/>
            </w:tcBorders>
            <w:vAlign w:val="center"/>
          </w:tcPr>
          <w:p w14:paraId="1B107F1A">
            <w:pPr>
              <w:widowControl/>
              <w:jc w:val="center"/>
              <w:textAlignment w:val="center"/>
              <w:rPr>
                <w:rFonts w:hint="eastAsia" w:ascii="宋体" w:hAnsi="宋体" w:cs="宋体"/>
                <w:b/>
                <w:bCs/>
                <w:color w:val="000000" w:themeColor="text1"/>
                <w:kern w:val="0"/>
                <w:sz w:val="22"/>
                <w:szCs w:val="22"/>
                <w:bdr w:val="single" w:color="000000" w:sz="4" w:space="0"/>
                <w:lang w:bidi="ar"/>
                <w14:textFill>
                  <w14:solidFill>
                    <w14:schemeClr w14:val="tx1"/>
                  </w14:solidFill>
                </w14:textFill>
              </w:rPr>
            </w:pPr>
          </w:p>
        </w:tc>
      </w:tr>
      <w:tr w14:paraId="6A1D83E9">
        <w:tblPrEx>
          <w:tblCellMar>
            <w:top w:w="0" w:type="dxa"/>
            <w:left w:w="108" w:type="dxa"/>
            <w:bottom w:w="0" w:type="dxa"/>
            <w:right w:w="108" w:type="dxa"/>
          </w:tblCellMar>
        </w:tblPrEx>
        <w:trPr>
          <w:trHeight w:val="416" w:hRule="atLeast"/>
        </w:trPr>
        <w:tc>
          <w:tcPr>
            <w:tcW w:w="500" w:type="dxa"/>
            <w:tcBorders>
              <w:top w:val="single" w:color="auto" w:sz="4" w:space="0"/>
              <w:left w:val="single" w:color="000000" w:sz="4" w:space="0"/>
              <w:bottom w:val="single" w:color="000000" w:sz="4" w:space="0"/>
              <w:right w:val="single" w:color="000000" w:sz="4" w:space="0"/>
            </w:tcBorders>
            <w:vAlign w:val="center"/>
          </w:tcPr>
          <w:p w14:paraId="1707ECB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3</w:t>
            </w:r>
          </w:p>
        </w:tc>
        <w:tc>
          <w:tcPr>
            <w:tcW w:w="2757" w:type="dxa"/>
            <w:tcBorders>
              <w:top w:val="single" w:color="auto" w:sz="4" w:space="0"/>
              <w:left w:val="single" w:color="000000" w:sz="4" w:space="0"/>
              <w:bottom w:val="single" w:color="000000" w:sz="4" w:space="0"/>
              <w:right w:val="single" w:color="000000" w:sz="4" w:space="0"/>
            </w:tcBorders>
            <w:vAlign w:val="center"/>
          </w:tcPr>
          <w:p w14:paraId="26100032">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科学、化学学生专用实践设备</w:t>
            </w:r>
          </w:p>
        </w:tc>
        <w:tc>
          <w:tcPr>
            <w:tcW w:w="5770" w:type="dxa"/>
            <w:tcBorders>
              <w:top w:val="single" w:color="auto" w:sz="4" w:space="0"/>
              <w:left w:val="single" w:color="000000" w:sz="4" w:space="0"/>
              <w:bottom w:val="single" w:color="000000" w:sz="4" w:space="0"/>
              <w:right w:val="single" w:color="000000" w:sz="4" w:space="0"/>
            </w:tcBorders>
            <w:vAlign w:val="center"/>
          </w:tcPr>
          <w:p w14:paraId="4EE432FD">
            <w:pPr>
              <w:widowControl/>
              <w:numPr>
                <w:ilvl w:val="255"/>
                <w:numId w:val="0"/>
              </w:numPr>
              <w:jc w:val="left"/>
              <w:textAlignment w:val="center"/>
              <w:rPr>
                <w:rStyle w:val="194"/>
                <w:rFonts w:hint="default"/>
                <w:color w:val="000000" w:themeColor="text1"/>
                <w:lang w:bidi="ar"/>
                <w14:textFill>
                  <w14:solidFill>
                    <w14:schemeClr w14:val="tx1"/>
                  </w14:solidFill>
                </w14:textFill>
              </w:rPr>
            </w:pPr>
            <w:r>
              <w:rPr>
                <w:rStyle w:val="194"/>
                <w:rFonts w:hint="default"/>
                <w:color w:val="000000" w:themeColor="text1"/>
                <w:lang w:bidi="ar"/>
                <w14:textFill>
                  <w14:solidFill>
                    <w14:schemeClr w14:val="tx1"/>
                  </w14:solidFill>
                </w14:textFill>
              </w:rPr>
              <w:t>1.规格：约1200*600*780mm</w:t>
            </w:r>
            <w:r>
              <w:rPr>
                <w:rStyle w:val="194"/>
                <w:rFonts w:hint="default"/>
                <w:color w:val="000000" w:themeColor="text1"/>
                <w:lang w:bidi="ar"/>
                <w14:textFill>
                  <w14:solidFill>
                    <w14:schemeClr w14:val="tx1"/>
                  </w14:solidFill>
                </w14:textFill>
              </w:rPr>
              <w:br w:type="textWrapping"/>
            </w:r>
            <w:r>
              <w:rPr>
                <w:rStyle w:val="194"/>
                <w:rFonts w:hint="default"/>
                <w:color w:val="000000" w:themeColor="text1"/>
                <w:lang w:bidi="ar"/>
                <w14:textFill>
                  <w14:solidFill>
                    <w14:schemeClr w14:val="tx1"/>
                  </w14:solidFill>
                </w14:textFill>
              </w:rPr>
              <w:t>2.台面：采用≤16mm厚一体实芯灰坯灰釉实验室专用陶瓷板台面，整个台面一体高温烧制成型，台面表面为耐腐蚀专业釉面，釉面与坯体结合后不脱落、不脱层。台面后方卡入学生桌铝型槽内，前方用预埋件与桌体固定。耐酸、耐碱、耐高温，坚固耐用，防潮、无细孔、不膨胀、不龟裂、不变形、不导电、便于维护及具有良好的承重性能。</w:t>
            </w:r>
            <w:r>
              <w:rPr>
                <w:rStyle w:val="194"/>
                <w:rFonts w:hint="default"/>
                <w:color w:val="000000" w:themeColor="text1"/>
                <w:lang w:bidi="ar"/>
                <w14:textFill>
                  <w14:solidFill>
                    <w14:schemeClr w14:val="tx1"/>
                  </w14:solidFill>
                </w14:textFill>
              </w:rPr>
              <w:br w:type="textWrapping"/>
            </w:r>
            <w:r>
              <w:rPr>
                <w:rFonts w:hint="eastAsia" w:ascii="Arial" w:hAnsi="Arial" w:cs="宋体"/>
                <w:kern w:val="0"/>
                <w:szCs w:val="21"/>
              </w:rPr>
              <w:t>★</w:t>
            </w:r>
            <w:r>
              <w:rPr>
                <w:rStyle w:val="194"/>
                <w:rFonts w:hint="default"/>
                <w:color w:val="000000" w:themeColor="text1"/>
                <w:lang w:bidi="ar"/>
                <w14:textFill>
                  <w14:solidFill>
                    <w14:schemeClr w14:val="tx1"/>
                  </w14:solidFill>
                </w14:textFill>
              </w:rPr>
              <w:t>2.1桌面性能：陶瓷台面放射性核素限量,外照射指数要求：符合GB6566-2010《建筑材料放射性核素限量》标准要求。</w:t>
            </w:r>
          </w:p>
          <w:p w14:paraId="2384EFED">
            <w:pPr>
              <w:widowControl/>
              <w:numPr>
                <w:ilvl w:val="255"/>
                <w:numId w:val="0"/>
              </w:numPr>
              <w:jc w:val="left"/>
              <w:textAlignment w:val="center"/>
              <w:rPr>
                <w:rFonts w:hint="eastAsia" w:ascii="宋体" w:hAnsi="宋体" w:cs="宋体"/>
                <w:color w:val="000000" w:themeColor="text1"/>
                <w:sz w:val="22"/>
                <w:szCs w:val="22"/>
                <w14:textFill>
                  <w14:solidFill>
                    <w14:schemeClr w14:val="tx1"/>
                  </w14:solidFill>
                </w14:textFill>
              </w:rPr>
            </w:pPr>
            <w:r>
              <w:rPr>
                <w:rStyle w:val="194"/>
                <w:rFonts w:hint="default"/>
                <w:color w:val="000000" w:themeColor="text1"/>
                <w:lang w:bidi="ar"/>
                <w14:textFill>
                  <w14:solidFill>
                    <w14:schemeClr w14:val="tx1"/>
                  </w14:solidFill>
                </w14:textFill>
              </w:rPr>
              <w:t>3.柜体：高端品质全钢学生实验台，采用厚≥1.0mm一级镀锌钢板模具一次性模压成型、左右侧板为长570mm×高787mm×宽100mm（±5mm），四脚放碰撞菱形处理；再经精密焊接机械手设备焊接定型后，采用打磨机修去废边毛刺;表面经磷化处理、表面邮轮特涂工艺、再经覆膜；通过精密分析技术确保颜色稳定，保证10年不褪色（涂装厚度≥0.75</w:t>
            </w:r>
            <w:r>
              <w:rPr>
                <w:rStyle w:val="195"/>
                <w:color w:val="000000" w:themeColor="text1"/>
                <w:lang w:bidi="ar"/>
                <w14:textFill>
                  <w14:solidFill>
                    <w14:schemeClr w14:val="tx1"/>
                  </w14:solidFill>
                </w14:textFill>
              </w:rPr>
              <w:t>μ</w:t>
            </w:r>
            <w:r>
              <w:rPr>
                <w:rStyle w:val="194"/>
                <w:rFonts w:hint="default"/>
                <w:color w:val="000000" w:themeColor="text1"/>
                <w:lang w:bidi="ar"/>
                <w14:textFill>
                  <w14:solidFill>
                    <w14:schemeClr w14:val="tx1"/>
                  </w14:solidFill>
                </w14:textFill>
              </w:rPr>
              <w:t>m）。</w:t>
            </w:r>
            <w:r>
              <w:rPr>
                <w:rStyle w:val="194"/>
                <w:rFonts w:hint="default"/>
                <w:color w:val="000000" w:themeColor="text1"/>
                <w:lang w:bidi="ar"/>
                <w14:textFill>
                  <w14:solidFill>
                    <w14:schemeClr w14:val="tx1"/>
                  </w14:solidFill>
                </w14:textFill>
              </w:rPr>
              <w:br w:type="textWrapping"/>
            </w:r>
            <w:r>
              <w:rPr>
                <w:rStyle w:val="194"/>
                <w:rFonts w:hint="default"/>
                <w:color w:val="000000" w:themeColor="text1"/>
                <w:lang w:bidi="ar"/>
                <w14:textFill>
                  <w14:solidFill>
                    <w14:schemeClr w14:val="tx1"/>
                  </w14:solidFill>
                </w14:textFill>
              </w:rPr>
              <w:t>4.防撞胶垫：装于抽屉及门板内侧，减缓碰撞，保护柜体。</w:t>
            </w:r>
            <w:r>
              <w:rPr>
                <w:rStyle w:val="194"/>
                <w:rFonts w:hint="default"/>
                <w:color w:val="000000" w:themeColor="text1"/>
                <w:lang w:bidi="ar"/>
                <w14:textFill>
                  <w14:solidFill>
                    <w14:schemeClr w14:val="tx1"/>
                  </w14:solidFill>
                </w14:textFill>
              </w:rPr>
              <w:br w:type="textWrapping"/>
            </w:r>
            <w:r>
              <w:rPr>
                <w:rStyle w:val="194"/>
                <w:rFonts w:hint="default"/>
                <w:color w:val="000000" w:themeColor="text1"/>
                <w:lang w:bidi="ar"/>
                <w14:textFill>
                  <w14:solidFill>
                    <w14:schemeClr w14:val="tx1"/>
                  </w14:solidFill>
                </w14:textFill>
              </w:rPr>
              <w:t>5.可调脚：采用PP+GF一级新料注塑一次成型可调地脚，金属螺杆，高度可调节，防滑减震。</w:t>
            </w:r>
          </w:p>
        </w:tc>
        <w:tc>
          <w:tcPr>
            <w:tcW w:w="50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3DF50CA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24</w:t>
            </w:r>
          </w:p>
        </w:tc>
        <w:tc>
          <w:tcPr>
            <w:tcW w:w="50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7CF3F77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张</w:t>
            </w:r>
          </w:p>
        </w:tc>
        <w:tc>
          <w:tcPr>
            <w:tcW w:w="33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68F63B">
            <w:pPr>
              <w:widowControl/>
              <w:jc w:val="center"/>
              <w:textAlignment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kern w:val="0"/>
                <w:sz w:val="22"/>
                <w:szCs w:val="22"/>
                <w:bdr w:val="single" w:color="000000" w:sz="4" w:space="0"/>
                <w:shd w:val="clear" w:color="auto" w:fill="FFFFFF"/>
                <w:lang w:bidi="ar"/>
                <w14:textFill>
                  <w14:solidFill>
                    <w14:schemeClr w14:val="tx1"/>
                  </w14:solidFill>
                </w14:textFill>
              </w:rPr>
              <w:drawing>
                <wp:anchor distT="0" distB="0" distL="114300" distR="114300" simplePos="0" relativeHeight="251684864" behindDoc="0" locked="0" layoutInCell="1" allowOverlap="1">
                  <wp:simplePos x="0" y="0"/>
                  <wp:positionH relativeFrom="column">
                    <wp:posOffset>384175</wp:posOffset>
                  </wp:positionH>
                  <wp:positionV relativeFrom="paragraph">
                    <wp:posOffset>24130</wp:posOffset>
                  </wp:positionV>
                  <wp:extent cx="1279525" cy="927100"/>
                  <wp:effectExtent l="0" t="0" r="15875" b="6350"/>
                  <wp:wrapNone/>
                  <wp:docPr id="27" name="图片_44_SpCnt_1"/>
                  <wp:cNvGraphicFramePr/>
                  <a:graphic xmlns:a="http://schemas.openxmlformats.org/drawingml/2006/main">
                    <a:graphicData uri="http://schemas.openxmlformats.org/drawingml/2006/picture">
                      <pic:pic xmlns:pic="http://schemas.openxmlformats.org/drawingml/2006/picture">
                        <pic:nvPicPr>
                          <pic:cNvPr id="27" name="图片_44_SpCnt_1"/>
                          <pic:cNvPicPr/>
                        </pic:nvPicPr>
                        <pic:blipFill>
                          <a:blip r:embed="rId23"/>
                          <a:stretch>
                            <a:fillRect/>
                          </a:stretch>
                        </pic:blipFill>
                        <pic:spPr>
                          <a:xfrm>
                            <a:off x="0" y="0"/>
                            <a:ext cx="1279525" cy="927100"/>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BB0E39">
            <w:pPr>
              <w:widowControl/>
              <w:jc w:val="left"/>
              <w:textAlignment w:val="center"/>
              <w:rPr>
                <w:rFonts w:hint="eastAsia" w:ascii="微软雅黑" w:hAnsi="微软雅黑" w:eastAsia="微软雅黑" w:cs="微软雅黑"/>
                <w:color w:val="000000" w:themeColor="text1"/>
                <w:kern w:val="0"/>
                <w:sz w:val="22"/>
                <w:szCs w:val="22"/>
                <w:bdr w:val="single" w:color="000000" w:sz="4" w:space="0"/>
                <w:shd w:val="clear" w:color="auto" w:fill="FFFFFF"/>
                <w:lang w:bidi="ar"/>
                <w14:textFill>
                  <w14:solidFill>
                    <w14:schemeClr w14:val="tx1"/>
                  </w14:solidFill>
                </w14:textFill>
              </w:rPr>
            </w:pPr>
          </w:p>
        </w:tc>
      </w:tr>
      <w:tr w14:paraId="04A6E272">
        <w:tblPrEx>
          <w:tblCellMar>
            <w:top w:w="0" w:type="dxa"/>
            <w:left w:w="108" w:type="dxa"/>
            <w:bottom w:w="0" w:type="dxa"/>
            <w:right w:w="108" w:type="dxa"/>
          </w:tblCellMar>
        </w:tblPrEx>
        <w:trPr>
          <w:trHeight w:val="130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095A6E5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4</w:t>
            </w:r>
          </w:p>
        </w:tc>
        <w:tc>
          <w:tcPr>
            <w:tcW w:w="2757" w:type="dxa"/>
            <w:tcBorders>
              <w:top w:val="single" w:color="000000" w:sz="4" w:space="0"/>
              <w:left w:val="single" w:color="000000" w:sz="4" w:space="0"/>
              <w:bottom w:val="single" w:color="000000" w:sz="4" w:space="0"/>
              <w:right w:val="single" w:color="000000" w:sz="4" w:space="0"/>
            </w:tcBorders>
            <w:vAlign w:val="center"/>
          </w:tcPr>
          <w:p w14:paraId="6D48D52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实验室专用水槽</w:t>
            </w:r>
          </w:p>
        </w:tc>
        <w:tc>
          <w:tcPr>
            <w:tcW w:w="5770" w:type="dxa"/>
            <w:tcBorders>
              <w:top w:val="single" w:color="000000" w:sz="4" w:space="0"/>
              <w:left w:val="single" w:color="000000" w:sz="4" w:space="0"/>
              <w:bottom w:val="single" w:color="000000" w:sz="4" w:space="0"/>
              <w:right w:val="single" w:color="000000" w:sz="4" w:space="0"/>
            </w:tcBorders>
            <w:vAlign w:val="center"/>
          </w:tcPr>
          <w:p w14:paraId="1E2529AF">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1.规格:约500*400*250mm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约5mm厚高密度PP一体成型，具有弹性,耐酸碱、耐热、耐有机溶剂，设置旋转防臭防封堵式底部设计，可根据需要旋转下部储水装置，决定是否储水和漏水。</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BCD832">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EC3C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69FD1E">
            <w:pPr>
              <w:widowControl/>
              <w:jc w:val="center"/>
              <w:textAlignment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kern w:val="0"/>
                <w:sz w:val="22"/>
                <w:szCs w:val="22"/>
                <w:lang w:bidi="ar"/>
                <w14:textFill>
                  <w14:solidFill>
                    <w14:schemeClr w14:val="tx1"/>
                  </w14:solidFill>
                </w14:textFill>
              </w:rPr>
              <w:drawing>
                <wp:inline distT="0" distB="0" distL="114300" distR="114300">
                  <wp:extent cx="1200150" cy="666750"/>
                  <wp:effectExtent l="0" t="0" r="0" b="0"/>
                  <wp:docPr id="1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IMG_256"/>
                          <pic:cNvPicPr>
                            <a:picLocks noChangeAspect="1"/>
                          </pic:cNvPicPr>
                        </pic:nvPicPr>
                        <pic:blipFill>
                          <a:blip r:embed="rId34"/>
                          <a:stretch>
                            <a:fillRect/>
                          </a:stretch>
                        </pic:blipFill>
                        <pic:spPr>
                          <a:xfrm>
                            <a:off x="0" y="0"/>
                            <a:ext cx="1200150" cy="666750"/>
                          </a:xfrm>
                          <a:prstGeom prst="rect">
                            <a:avLst/>
                          </a:prstGeom>
                          <a:noFill/>
                          <a:ln w="9525">
                            <a:noFill/>
                          </a:ln>
                        </pic:spPr>
                      </pic:pic>
                    </a:graphicData>
                  </a:graphic>
                </wp:inline>
              </w:drawing>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202E8F">
            <w:pPr>
              <w:widowControl/>
              <w:jc w:val="left"/>
              <w:textAlignment w:val="center"/>
              <w:rPr>
                <w:rFonts w:hint="eastAsia" w:ascii="微软雅黑" w:hAnsi="微软雅黑" w:eastAsia="微软雅黑" w:cs="微软雅黑"/>
                <w:color w:val="000000" w:themeColor="text1"/>
                <w:kern w:val="0"/>
                <w:sz w:val="22"/>
                <w:szCs w:val="22"/>
                <w:lang w:bidi="ar"/>
                <w14:textFill>
                  <w14:solidFill>
                    <w14:schemeClr w14:val="tx1"/>
                  </w14:solidFill>
                </w14:textFill>
              </w:rPr>
            </w:pPr>
          </w:p>
        </w:tc>
      </w:tr>
      <w:tr w14:paraId="3123CA09">
        <w:trPr>
          <w:trHeight w:val="130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1149CF44">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5</w:t>
            </w:r>
          </w:p>
        </w:tc>
        <w:tc>
          <w:tcPr>
            <w:tcW w:w="2757" w:type="dxa"/>
            <w:tcBorders>
              <w:top w:val="single" w:color="000000" w:sz="4" w:space="0"/>
              <w:left w:val="single" w:color="000000" w:sz="4" w:space="0"/>
              <w:bottom w:val="single" w:color="000000" w:sz="4" w:space="0"/>
              <w:right w:val="single" w:color="000000" w:sz="4" w:space="0"/>
            </w:tcBorders>
            <w:vAlign w:val="center"/>
          </w:tcPr>
          <w:p w14:paraId="57A10F6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三联高低位龙头</w:t>
            </w:r>
          </w:p>
        </w:tc>
        <w:tc>
          <w:tcPr>
            <w:tcW w:w="5770" w:type="dxa"/>
            <w:tcBorders>
              <w:top w:val="single" w:color="000000" w:sz="4" w:space="0"/>
              <w:left w:val="single" w:color="000000" w:sz="4" w:space="0"/>
              <w:bottom w:val="single" w:color="000000" w:sz="4" w:space="0"/>
              <w:right w:val="single" w:color="000000" w:sz="4" w:space="0"/>
            </w:tcBorders>
            <w:vAlign w:val="center"/>
          </w:tcPr>
          <w:p w14:paraId="58D7C2DB">
            <w:pPr>
              <w:widowControl/>
              <w:numPr>
                <w:ilvl w:val="0"/>
                <w:numId w:val="18"/>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鹅颈式实验室专用优质化验水嘴：要求防酸碱、防锈、防虹吸、防阻塞，表面环氧树脂喷涂。出水嘴为铜质瓷芯，高头，便于多用途使用，可拆卸清洗阻塞。出水嘴可拆卸，内有成型螺纹。</w:t>
            </w:r>
          </w:p>
          <w:p w14:paraId="685B4025">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b/>
                <w:bCs/>
                <w:kern w:val="0"/>
                <w:szCs w:val="21"/>
                <w:lang w:bidi="ar"/>
              </w:rPr>
              <w:t>★投标文件中提供由国家确定的认证机构出具的、处于有效期之内的节能（节水）产品认证证书复印件加盖供应商公章。</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B8BD8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13</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4CE2ED">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AA7EF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drawing>
                <wp:inline distT="0" distB="0" distL="114300" distR="114300">
                  <wp:extent cx="600075" cy="666750"/>
                  <wp:effectExtent l="0" t="0" r="9525" b="0"/>
                  <wp:docPr id="2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IMG_257"/>
                          <pic:cNvPicPr>
                            <a:picLocks noChangeAspect="1"/>
                          </pic:cNvPicPr>
                        </pic:nvPicPr>
                        <pic:blipFill>
                          <a:blip r:embed="rId35"/>
                          <a:stretch>
                            <a:fillRect/>
                          </a:stretch>
                        </pic:blipFill>
                        <pic:spPr>
                          <a:xfrm>
                            <a:off x="0" y="0"/>
                            <a:ext cx="600075" cy="666750"/>
                          </a:xfrm>
                          <a:prstGeom prst="rect">
                            <a:avLst/>
                          </a:prstGeom>
                          <a:noFill/>
                          <a:ln w="9525">
                            <a:noFill/>
                          </a:ln>
                        </pic:spPr>
                      </pic:pic>
                    </a:graphicData>
                  </a:graphic>
                </wp:inline>
              </w:drawing>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D637B4">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r>
      <w:tr w14:paraId="0EC4DABA">
        <w:tblPrEx>
          <w:tblCellMar>
            <w:top w:w="0" w:type="dxa"/>
            <w:left w:w="108" w:type="dxa"/>
            <w:bottom w:w="0" w:type="dxa"/>
            <w:right w:w="108" w:type="dxa"/>
          </w:tblCellMar>
        </w:tblPrEx>
        <w:trPr>
          <w:trHeight w:val="33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450A865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6</w:t>
            </w:r>
          </w:p>
        </w:tc>
        <w:tc>
          <w:tcPr>
            <w:tcW w:w="2757" w:type="dxa"/>
            <w:tcBorders>
              <w:top w:val="single" w:color="000000" w:sz="4" w:space="0"/>
              <w:left w:val="single" w:color="000000" w:sz="4" w:space="0"/>
              <w:bottom w:val="single" w:color="000000" w:sz="4" w:space="0"/>
              <w:right w:val="single" w:color="000000" w:sz="4" w:space="0"/>
            </w:tcBorders>
            <w:vAlign w:val="center"/>
          </w:tcPr>
          <w:p w14:paraId="3FD0DE52">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实验室专用排水设备模块</w:t>
            </w:r>
          </w:p>
        </w:tc>
        <w:tc>
          <w:tcPr>
            <w:tcW w:w="5770" w:type="dxa"/>
            <w:tcBorders>
              <w:top w:val="single" w:color="000000" w:sz="4" w:space="0"/>
              <w:left w:val="single" w:color="000000" w:sz="4" w:space="0"/>
              <w:bottom w:val="single" w:color="000000" w:sz="4" w:space="0"/>
              <w:right w:val="single" w:color="000000" w:sz="4" w:space="0"/>
            </w:tcBorders>
            <w:vAlign w:val="center"/>
          </w:tcPr>
          <w:p w14:paraId="4AEDCF66">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1.尺寸：约450mm*600mm*1050mm.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2.外观:水槽柜整体外观呈现长方体形式；采用三段式设计。</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3.材质：采用专用一次成型的绿色环保ABS材料制成。</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水槽：大小约450mm*600mm*380mm，内径约420mm*390mm*300mm.采用PP塑料柜体采用一体注塑成型，耐强酸碱及有机溶剂，壁厚3mm，具有防溢出功能。台面设有预留实验室专用三联鹅颈水龙头、可选配加装洗眼器余位口。水槽用螺丝与柜体固定。</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5.内部支撑：采用高强度挤出铝合金模具型材约620mm*20mm*20mm。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6.柜体采用围合式，前后开门约605mm*450mm*50mm结构。</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7.底座：上下底座约590mm*440mm*75mm与侧板均采用abs一体注塑成型，将侧板嵌入上下底座并用螺丝拉紧固定。底座加装直径约50MM橡胶底脚，采用约8mm螺纹连接，牢固，防滑。</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3A4D34">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B092DD">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FF135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drawing>
                <wp:inline distT="0" distB="0" distL="114300" distR="114300">
                  <wp:extent cx="1457325" cy="1085850"/>
                  <wp:effectExtent l="0" t="0" r="9525" b="0"/>
                  <wp:docPr id="2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IMG_258"/>
                          <pic:cNvPicPr>
                            <a:picLocks noChangeAspect="1"/>
                          </pic:cNvPicPr>
                        </pic:nvPicPr>
                        <pic:blipFill>
                          <a:blip r:embed="rId36"/>
                          <a:stretch>
                            <a:fillRect/>
                          </a:stretch>
                        </pic:blipFill>
                        <pic:spPr>
                          <a:xfrm>
                            <a:off x="0" y="0"/>
                            <a:ext cx="1457325" cy="1085850"/>
                          </a:xfrm>
                          <a:prstGeom prst="rect">
                            <a:avLst/>
                          </a:prstGeom>
                          <a:noFill/>
                          <a:ln w="9525">
                            <a:noFill/>
                          </a:ln>
                        </pic:spPr>
                      </pic:pic>
                    </a:graphicData>
                  </a:graphic>
                </wp:inline>
              </w:drawing>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9679A1">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r>
      <w:tr w14:paraId="163D4DDA">
        <w:tblPrEx>
          <w:tblCellMar>
            <w:top w:w="0" w:type="dxa"/>
            <w:left w:w="108" w:type="dxa"/>
            <w:bottom w:w="0" w:type="dxa"/>
            <w:right w:w="108" w:type="dxa"/>
          </w:tblCellMar>
        </w:tblPrEx>
        <w:trPr>
          <w:trHeight w:val="84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3107BEC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7</w:t>
            </w:r>
          </w:p>
        </w:tc>
        <w:tc>
          <w:tcPr>
            <w:tcW w:w="2757" w:type="dxa"/>
            <w:tcBorders>
              <w:top w:val="single" w:color="000000" w:sz="4" w:space="0"/>
              <w:left w:val="single" w:color="000000" w:sz="4" w:space="0"/>
              <w:bottom w:val="single" w:color="000000" w:sz="4" w:space="0"/>
              <w:right w:val="single" w:color="000000" w:sz="4" w:space="0"/>
            </w:tcBorders>
            <w:vAlign w:val="center"/>
          </w:tcPr>
          <w:p w14:paraId="112DB9E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多功能实验下水装置</w:t>
            </w:r>
          </w:p>
        </w:tc>
        <w:tc>
          <w:tcPr>
            <w:tcW w:w="5770" w:type="dxa"/>
            <w:tcBorders>
              <w:top w:val="single" w:color="000000" w:sz="4" w:space="0"/>
              <w:left w:val="single" w:color="000000" w:sz="4" w:space="0"/>
              <w:bottom w:val="single" w:color="000000" w:sz="4" w:space="0"/>
              <w:right w:val="single" w:color="000000" w:sz="4" w:space="0"/>
            </w:tcBorders>
            <w:vAlign w:val="center"/>
          </w:tcPr>
          <w:p w14:paraId="2241607B">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水槽专配型排水管，不锈钢卡扣连接，安装方便不渗漏。</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1F23CD">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D567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C3CF9">
            <w:pPr>
              <w:widowControl/>
              <w:jc w:val="center"/>
              <w:textAlignment w:val="center"/>
              <w:rPr>
                <w:rFonts w:hint="eastAsia" w:ascii="宋体" w:hAnsi="宋体" w:cs="宋体"/>
                <w:b/>
                <w:bCs/>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1BF971">
            <w:pPr>
              <w:widowControl/>
              <w:jc w:val="center"/>
              <w:textAlignment w:val="center"/>
              <w:rPr>
                <w:rFonts w:hint="eastAsia" w:ascii="宋体" w:hAnsi="宋体" w:cs="宋体"/>
                <w:b/>
                <w:bCs/>
                <w:color w:val="000000" w:themeColor="text1"/>
                <w:sz w:val="22"/>
                <w:szCs w:val="22"/>
                <w14:textFill>
                  <w14:solidFill>
                    <w14:schemeClr w14:val="tx1"/>
                  </w14:solidFill>
                </w14:textFill>
              </w:rPr>
            </w:pPr>
          </w:p>
        </w:tc>
      </w:tr>
      <w:tr w14:paraId="17BE5E8C">
        <w:tblPrEx>
          <w:tblCellMar>
            <w:top w:w="0" w:type="dxa"/>
            <w:left w:w="108" w:type="dxa"/>
            <w:bottom w:w="0" w:type="dxa"/>
            <w:right w:w="108" w:type="dxa"/>
          </w:tblCellMar>
        </w:tblPrEx>
        <w:trPr>
          <w:trHeight w:val="558"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48E069F4">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8</w:t>
            </w:r>
          </w:p>
        </w:tc>
        <w:tc>
          <w:tcPr>
            <w:tcW w:w="2757" w:type="dxa"/>
            <w:tcBorders>
              <w:top w:val="single" w:color="000000" w:sz="4" w:space="0"/>
              <w:left w:val="single" w:color="000000" w:sz="4" w:space="0"/>
              <w:bottom w:val="single" w:color="000000" w:sz="4" w:space="0"/>
              <w:right w:val="single" w:color="000000" w:sz="4" w:space="0"/>
            </w:tcBorders>
            <w:vAlign w:val="center"/>
          </w:tcPr>
          <w:p w14:paraId="644D9399">
            <w:pPr>
              <w:widowControl/>
              <w:jc w:val="center"/>
              <w:textAlignment w:val="center"/>
              <w:rPr>
                <w:rFonts w:hint="eastAsia" w:ascii="宋体" w:hAnsi="宋体" w:cs="宋体"/>
                <w:color w:val="auto"/>
                <w:sz w:val="22"/>
                <w:szCs w:val="22"/>
              </w:rPr>
            </w:pPr>
            <w:r>
              <w:rPr>
                <w:rFonts w:hint="eastAsia" w:ascii="宋体" w:hAnsi="宋体" w:cs="宋体"/>
                <w:color w:val="auto"/>
                <w:kern w:val="0"/>
                <w:sz w:val="22"/>
                <w:szCs w:val="22"/>
                <w:lang w:bidi="ar"/>
              </w:rPr>
              <w:t>实验凳</w:t>
            </w:r>
          </w:p>
        </w:tc>
        <w:tc>
          <w:tcPr>
            <w:tcW w:w="5770" w:type="dxa"/>
            <w:tcBorders>
              <w:top w:val="single" w:color="000000" w:sz="4" w:space="0"/>
              <w:left w:val="single" w:color="000000" w:sz="4" w:space="0"/>
              <w:bottom w:val="single" w:color="000000" w:sz="4" w:space="0"/>
              <w:right w:val="single" w:color="000000" w:sz="4" w:space="0"/>
            </w:tcBorders>
            <w:vAlign w:val="center"/>
          </w:tcPr>
          <w:p w14:paraId="0F244C3F">
            <w:pPr>
              <w:widowControl/>
              <w:textAlignment w:val="center"/>
              <w:rPr>
                <w:rFonts w:hint="eastAsia" w:ascii="宋体" w:hAnsi="宋体" w:cs="宋体"/>
                <w:color w:val="auto"/>
                <w:kern w:val="0"/>
                <w:szCs w:val="21"/>
                <w:lang w:bidi="ar"/>
              </w:rPr>
            </w:pPr>
            <w:r>
              <w:rPr>
                <w:rStyle w:val="194"/>
                <w:rFonts w:hint="default"/>
                <w:color w:val="auto"/>
                <w:sz w:val="21"/>
                <w:szCs w:val="21"/>
                <w:lang w:bidi="ar"/>
              </w:rPr>
              <w:t>1．规格：</w:t>
            </w:r>
            <w:r>
              <w:rPr>
                <w:rFonts w:hint="eastAsia" w:ascii="宋体" w:hAnsi="宋体" w:cs="宋体"/>
                <w:color w:val="auto"/>
                <w:kern w:val="0"/>
                <w:szCs w:val="21"/>
                <w:lang w:bidi="ar"/>
              </w:rPr>
              <w:t>约420(直径）*450（高)</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2.凳面采用环保PP塑料一次性注塑成型，表面菱形凹凸纹路，</w:t>
            </w:r>
            <w:r>
              <w:rPr>
                <w:rFonts w:hint="eastAsia" w:ascii="宋体" w:hAnsi="宋体"/>
                <w:color w:val="auto"/>
                <w:szCs w:val="21"/>
              </w:rPr>
              <w:t>水滴放射型防滑纹路设计</w:t>
            </w:r>
            <w:r>
              <w:rPr>
                <w:rFonts w:hint="eastAsia" w:ascii="宋体" w:hAnsi="宋体" w:cs="宋体"/>
                <w:color w:val="auto"/>
                <w:kern w:val="0"/>
                <w:szCs w:val="21"/>
                <w:lang w:bidi="ar"/>
              </w:rPr>
              <w:t>.</w:t>
            </w:r>
          </w:p>
          <w:p w14:paraId="7E8DC36E">
            <w:pPr>
              <w:widowControl/>
              <w:jc w:val="left"/>
              <w:textAlignment w:val="center"/>
              <w:rPr>
                <w:rFonts w:hint="eastAsia" w:ascii="宋体" w:hAnsi="宋体" w:cs="宋体"/>
                <w:color w:val="auto"/>
                <w:sz w:val="22"/>
                <w:szCs w:val="22"/>
              </w:rPr>
            </w:pPr>
            <w:r>
              <w:rPr>
                <w:rFonts w:hint="eastAsia" w:ascii="宋体" w:hAnsi="宋体" w:cs="宋体"/>
                <w:color w:val="auto"/>
                <w:kern w:val="0"/>
                <w:szCs w:val="21"/>
                <w:lang w:bidi="ar"/>
              </w:rPr>
              <w:t>3.支撑柱采用直径50mm圆钢管，顶端为直径200钢板，采用全周满焊焊接，用四颗螺丝连接凳面，结构牢固，长期使用也不会出现摇晃松散现象。</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4.下端</w:t>
            </w:r>
            <w:r>
              <w:rPr>
                <w:rFonts w:hint="eastAsia" w:ascii="宋体" w:hAnsi="宋体"/>
                <w:color w:val="auto"/>
                <w:szCs w:val="21"/>
              </w:rPr>
              <w:t>五星</w:t>
            </w:r>
            <w:r>
              <w:rPr>
                <w:rFonts w:hint="eastAsia" w:ascii="宋体" w:hAnsi="宋体" w:cs="宋体"/>
                <w:color w:val="auto"/>
                <w:kern w:val="0"/>
                <w:szCs w:val="21"/>
                <w:lang w:bidi="ar"/>
              </w:rPr>
              <w:t>脚采用铝合金一体压铸成型，爪端预留螺丝眼，配工程塑料脚盘，所有金属材料表面经过防腐氧化处理和纯环氧树脂塑粉高温固化处理，具有较强的耐蚀性及承重性。</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8F5C2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48</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CF347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张</w:t>
            </w:r>
          </w:p>
        </w:tc>
        <w:tc>
          <w:tcPr>
            <w:tcW w:w="33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1D5D99">
            <w:pPr>
              <w:jc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drawing>
                <wp:inline distT="0" distB="0" distL="0" distR="0">
                  <wp:extent cx="1602740" cy="2004060"/>
                  <wp:effectExtent l="0" t="0" r="16510" b="15240"/>
                  <wp:docPr id="995670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70821" name="图片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10525" cy="2013436"/>
                          </a:xfrm>
                          <a:prstGeom prst="rect">
                            <a:avLst/>
                          </a:prstGeom>
                        </pic:spPr>
                      </pic:pic>
                    </a:graphicData>
                  </a:graphic>
                </wp:inline>
              </w:drawing>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9CADA4">
            <w:pPr>
              <w:rPr>
                <w:rFonts w:hint="eastAsia" w:ascii="宋体" w:hAnsi="宋体" w:cs="宋体"/>
                <w:b/>
                <w:bCs/>
                <w:color w:val="000000" w:themeColor="text1"/>
                <w:kern w:val="0"/>
                <w:sz w:val="22"/>
                <w:szCs w:val="22"/>
                <w:bdr w:val="single" w:color="000000" w:sz="4" w:space="0"/>
                <w:shd w:val="clear" w:color="auto" w:fill="FFFFFF"/>
                <w:lang w:bidi="ar"/>
                <w14:textFill>
                  <w14:solidFill>
                    <w14:schemeClr w14:val="tx1"/>
                  </w14:solidFill>
                </w14:textFill>
              </w:rPr>
            </w:pPr>
          </w:p>
        </w:tc>
      </w:tr>
      <w:tr w14:paraId="33D80D6B">
        <w:tblPrEx>
          <w:tblCellMar>
            <w:top w:w="0" w:type="dxa"/>
            <w:left w:w="108" w:type="dxa"/>
            <w:bottom w:w="0" w:type="dxa"/>
            <w:right w:w="108" w:type="dxa"/>
          </w:tblCellMar>
        </w:tblPrEx>
        <w:trPr>
          <w:trHeight w:val="699"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7D3DDEE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9</w:t>
            </w:r>
          </w:p>
        </w:tc>
        <w:tc>
          <w:tcPr>
            <w:tcW w:w="2757" w:type="dxa"/>
            <w:tcBorders>
              <w:top w:val="single" w:color="000000" w:sz="4" w:space="0"/>
              <w:left w:val="single" w:color="000000" w:sz="4" w:space="0"/>
              <w:bottom w:val="single" w:color="000000" w:sz="4" w:space="0"/>
              <w:right w:val="single" w:color="000000" w:sz="4" w:space="0"/>
            </w:tcBorders>
            <w:vAlign w:val="center"/>
          </w:tcPr>
          <w:p w14:paraId="499D06AE">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万向罩</w:t>
            </w:r>
          </w:p>
        </w:tc>
        <w:tc>
          <w:tcPr>
            <w:tcW w:w="5770" w:type="dxa"/>
            <w:tcBorders>
              <w:top w:val="single" w:color="000000" w:sz="4" w:space="0"/>
              <w:left w:val="single" w:color="000000" w:sz="4" w:space="0"/>
              <w:bottom w:val="single" w:color="000000" w:sz="4" w:space="0"/>
              <w:right w:val="single" w:color="000000" w:sz="4" w:space="0"/>
            </w:tcBorders>
            <w:vAlign w:val="center"/>
          </w:tcPr>
          <w:p w14:paraId="2816150F">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1.关节：采用高密度PP材质，表面磨砂，可360°旋转调节方向。</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2.关节密封圈：采用高密度橡胶。在关节之间随着旋钮压力加大而产生阻尼效果。</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3.关节连接杆：采用304不锈钢双头锁杆。</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4.关节盖：采用高密度PP材质，表面磨砂，一面嵌入铜质滚花螺母，四周采用自锁式倒扣。</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5.关节松紧选钮：采用高密度PP材质，内置微形平面推力不锈钢轴承，与关节连接杆锁合。</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6.拱形集气罩：直径约253mm，高密度铝合金制成。防止做实验时着火出现危险。</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7.伸缩导管：4节直径60mm的6系抗氧化抗腐蚀的镁硅铝合金，表面做特氟龙表面处理，耐酸、耐碱、耐划痕。</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8.旋转关节：6系抗氧化抗腐蚀的镁硅铝合金，在下部设计增加旋转功能，内部设计PVC离合结构。</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9.扭簧：使用90度的4mm专用弹簧钢抗氧化处理，防止吸风罩整体滑下。</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10.安装后可根据使用需要达到三维360度任意转停，集气罩吸气角度360度任意转停。</w:t>
            </w:r>
          </w:p>
        </w:tc>
        <w:tc>
          <w:tcPr>
            <w:tcW w:w="500" w:type="dxa"/>
            <w:tcBorders>
              <w:top w:val="single" w:color="000000" w:sz="4" w:space="0"/>
              <w:left w:val="nil"/>
              <w:bottom w:val="single" w:color="000000" w:sz="4" w:space="0"/>
              <w:right w:val="single" w:color="000000" w:sz="4" w:space="0"/>
            </w:tcBorders>
            <w:vAlign w:val="center"/>
          </w:tcPr>
          <w:p w14:paraId="72329DBD">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vAlign w:val="center"/>
          </w:tcPr>
          <w:p w14:paraId="1ADA4BD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个</w:t>
            </w:r>
          </w:p>
        </w:tc>
        <w:tc>
          <w:tcPr>
            <w:tcW w:w="3345" w:type="dxa"/>
            <w:tcBorders>
              <w:top w:val="single" w:color="000000" w:sz="4" w:space="0"/>
              <w:left w:val="single" w:color="000000" w:sz="4" w:space="0"/>
              <w:bottom w:val="single" w:color="000000" w:sz="4" w:space="0"/>
              <w:right w:val="single" w:color="000000" w:sz="4" w:space="0"/>
            </w:tcBorders>
            <w:vAlign w:val="center"/>
          </w:tcPr>
          <w:p w14:paraId="439BDAB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drawing>
                <wp:inline distT="0" distB="0" distL="114300" distR="114300">
                  <wp:extent cx="647700" cy="1171575"/>
                  <wp:effectExtent l="0" t="0" r="0" b="9525"/>
                  <wp:docPr id="3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IMG_259"/>
                          <pic:cNvPicPr>
                            <a:picLocks noChangeAspect="1"/>
                          </pic:cNvPicPr>
                        </pic:nvPicPr>
                        <pic:blipFill>
                          <a:blip r:embed="rId38"/>
                          <a:stretch>
                            <a:fillRect/>
                          </a:stretch>
                        </pic:blipFill>
                        <pic:spPr>
                          <a:xfrm>
                            <a:off x="0" y="0"/>
                            <a:ext cx="647700" cy="1171575"/>
                          </a:xfrm>
                          <a:prstGeom prst="rect">
                            <a:avLst/>
                          </a:prstGeom>
                          <a:noFill/>
                          <a:ln w="9525">
                            <a:noFill/>
                          </a:ln>
                        </pic:spPr>
                      </pic:pic>
                    </a:graphicData>
                  </a:graphic>
                </wp:inline>
              </w:drawing>
            </w:r>
          </w:p>
        </w:tc>
        <w:tc>
          <w:tcPr>
            <w:tcW w:w="1150" w:type="dxa"/>
            <w:tcBorders>
              <w:top w:val="single" w:color="000000" w:sz="4" w:space="0"/>
              <w:left w:val="single" w:color="000000" w:sz="4" w:space="0"/>
              <w:bottom w:val="single" w:color="000000" w:sz="4" w:space="0"/>
              <w:right w:val="single" w:color="000000" w:sz="4" w:space="0"/>
            </w:tcBorders>
            <w:vAlign w:val="center"/>
          </w:tcPr>
          <w:p w14:paraId="4D2231A9">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r>
      <w:tr w14:paraId="43B7D8E5">
        <w:tblPrEx>
          <w:tblCellMar>
            <w:top w:w="0" w:type="dxa"/>
            <w:left w:w="108" w:type="dxa"/>
            <w:bottom w:w="0" w:type="dxa"/>
            <w:right w:w="108" w:type="dxa"/>
          </w:tblCellMar>
        </w:tblPrEx>
        <w:trPr>
          <w:trHeight w:val="699"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0287805E">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10</w:t>
            </w:r>
          </w:p>
        </w:tc>
        <w:tc>
          <w:tcPr>
            <w:tcW w:w="2757" w:type="dxa"/>
            <w:tcBorders>
              <w:top w:val="single" w:color="000000" w:sz="4" w:space="0"/>
              <w:left w:val="single" w:color="000000" w:sz="4" w:space="0"/>
              <w:bottom w:val="single" w:color="000000" w:sz="4" w:space="0"/>
              <w:right w:val="single" w:color="000000" w:sz="4" w:space="0"/>
            </w:tcBorders>
            <w:vAlign w:val="center"/>
          </w:tcPr>
          <w:p w14:paraId="235435F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洗眼器</w:t>
            </w:r>
          </w:p>
        </w:tc>
        <w:tc>
          <w:tcPr>
            <w:tcW w:w="5770" w:type="dxa"/>
            <w:tcBorders>
              <w:top w:val="single" w:color="000000" w:sz="4" w:space="0"/>
              <w:left w:val="single" w:color="000000" w:sz="4" w:space="0"/>
              <w:bottom w:val="single" w:color="000000" w:sz="4" w:space="0"/>
              <w:right w:val="single" w:color="000000" w:sz="4" w:space="0"/>
            </w:tcBorders>
            <w:vAlign w:val="center"/>
          </w:tcPr>
          <w:p w14:paraId="70A832AE">
            <w:pPr>
              <w:widowControl/>
              <w:numPr>
                <w:ilvl w:val="0"/>
                <w:numId w:val="19"/>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洗眼喷头：采用304不锈钢球结构，具有过滤泡棉及防尘功能，上面防尘盖平常可防尘，使用时可随时被水冲开，并降低突然打开时短暂的高水压，避免冲伤眼睛。</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▲2.依据GB/T 11170-2008标准，对管件进行不锈钢材质的元素含量检测，其中硅（Si）含量≥0.3%、镍（Ni）含量≥8%。</w:t>
            </w:r>
          </w:p>
          <w:p w14:paraId="7FAD3325">
            <w:pPr>
              <w:widowControl/>
              <w:numPr>
                <w:ilvl w:val="255"/>
                <w:numId w:val="0"/>
              </w:numPr>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b/>
                <w:bCs/>
                <w:kern w:val="0"/>
                <w:szCs w:val="21"/>
                <w:lang w:bidi="ar"/>
              </w:rPr>
              <w:t>提供具备CMA或CNAS标识的第三方检测机构出具</w:t>
            </w:r>
            <w:r>
              <w:rPr>
                <w:rFonts w:hint="eastAsia" w:ascii="宋体" w:hAnsi="宋体" w:cs="宋体"/>
                <w:color w:val="000000" w:themeColor="text1"/>
                <w:kern w:val="0"/>
                <w:sz w:val="22"/>
                <w:szCs w:val="22"/>
                <w:lang w:bidi="ar"/>
                <w14:textFill>
                  <w14:solidFill>
                    <w14:schemeClr w14:val="tx1"/>
                  </w14:solidFill>
                </w14:textFill>
              </w:rPr>
              <w:t>的</w:t>
            </w:r>
            <w:r>
              <w:rPr>
                <w:rFonts w:hint="eastAsia" w:ascii="宋体" w:hAnsi="宋体"/>
                <w:b/>
                <w:bCs/>
                <w:kern w:val="0"/>
              </w:rPr>
              <w:t>检测报告复印件加盖供应商公章</w:t>
            </w:r>
            <w:r>
              <w:rPr>
                <w:rFonts w:hint="eastAsia" w:ascii="宋体" w:hAnsi="宋体" w:cs="宋体"/>
                <w:color w:val="000000" w:themeColor="text1"/>
                <w:kern w:val="0"/>
                <w:sz w:val="22"/>
                <w:szCs w:val="22"/>
                <w:lang w:bidi="ar"/>
                <w14:textFill>
                  <w14:solidFill>
                    <w14:schemeClr w14:val="tx1"/>
                  </w14:solidFill>
                </w14:textFill>
              </w:rPr>
              <w:t>。</w:t>
            </w:r>
          </w:p>
        </w:tc>
        <w:tc>
          <w:tcPr>
            <w:tcW w:w="500" w:type="dxa"/>
            <w:tcBorders>
              <w:top w:val="single" w:color="000000" w:sz="4" w:space="0"/>
              <w:left w:val="single" w:color="000000" w:sz="4" w:space="0"/>
              <w:bottom w:val="single" w:color="000000" w:sz="4" w:space="0"/>
              <w:right w:val="single" w:color="000000" w:sz="4" w:space="0"/>
            </w:tcBorders>
            <w:vAlign w:val="center"/>
          </w:tcPr>
          <w:p w14:paraId="32900F0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vAlign w:val="center"/>
          </w:tcPr>
          <w:p w14:paraId="5B9E1BE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付</w:t>
            </w:r>
          </w:p>
        </w:tc>
        <w:tc>
          <w:tcPr>
            <w:tcW w:w="33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A1068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bdr w:val="single" w:color="000000" w:sz="4" w:space="0"/>
                <w:shd w:val="clear" w:color="auto" w:fill="FFFFFF"/>
                <w:lang w:bidi="ar"/>
                <w14:textFill>
                  <w14:solidFill>
                    <w14:schemeClr w14:val="tx1"/>
                  </w14:solidFill>
                </w14:textFill>
              </w:rPr>
              <w:drawing>
                <wp:anchor distT="0" distB="0" distL="114300" distR="114300" simplePos="0" relativeHeight="251679744" behindDoc="0" locked="0" layoutInCell="1" allowOverlap="1">
                  <wp:simplePos x="0" y="0"/>
                  <wp:positionH relativeFrom="column">
                    <wp:posOffset>505460</wp:posOffset>
                  </wp:positionH>
                  <wp:positionV relativeFrom="paragraph">
                    <wp:posOffset>130175</wp:posOffset>
                  </wp:positionV>
                  <wp:extent cx="404495" cy="437515"/>
                  <wp:effectExtent l="0" t="0" r="14605" b="635"/>
                  <wp:wrapNone/>
                  <wp:docPr id="35" name="ID_EC18DBABA919481693B813CC4821DDF4"/>
                  <wp:cNvGraphicFramePr/>
                  <a:graphic xmlns:a="http://schemas.openxmlformats.org/drawingml/2006/main">
                    <a:graphicData uri="http://schemas.openxmlformats.org/drawingml/2006/picture">
                      <pic:pic xmlns:pic="http://schemas.openxmlformats.org/drawingml/2006/picture">
                        <pic:nvPicPr>
                          <pic:cNvPr id="35" name="ID_EC18DBABA919481693B813CC4821DDF4"/>
                          <pic:cNvPicPr/>
                        </pic:nvPicPr>
                        <pic:blipFill>
                          <a:blip r:embed="rId39"/>
                          <a:stretch>
                            <a:fillRect/>
                          </a:stretch>
                        </pic:blipFill>
                        <pic:spPr>
                          <a:xfrm>
                            <a:off x="0" y="0"/>
                            <a:ext cx="404495" cy="437515"/>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84E0FB">
            <w:pPr>
              <w:widowControl/>
              <w:jc w:val="left"/>
              <w:textAlignment w:val="center"/>
              <w:rPr>
                <w:rFonts w:hint="eastAsia" w:ascii="宋体" w:hAnsi="宋体" w:cs="宋体"/>
                <w:color w:val="000000" w:themeColor="text1"/>
                <w:kern w:val="0"/>
                <w:sz w:val="22"/>
                <w:szCs w:val="22"/>
                <w:bdr w:val="single" w:color="000000" w:sz="4" w:space="0"/>
                <w:shd w:val="clear" w:color="auto" w:fill="FFFFFF"/>
                <w:lang w:bidi="ar"/>
                <w14:textFill>
                  <w14:solidFill>
                    <w14:schemeClr w14:val="tx1"/>
                  </w14:solidFill>
                </w14:textFill>
              </w:rPr>
            </w:pPr>
          </w:p>
        </w:tc>
      </w:tr>
      <w:tr w14:paraId="0B4625DB">
        <w:tblPrEx>
          <w:tblCellMar>
            <w:top w:w="0" w:type="dxa"/>
            <w:left w:w="108" w:type="dxa"/>
            <w:bottom w:w="0" w:type="dxa"/>
            <w:right w:w="108" w:type="dxa"/>
          </w:tblCellMar>
        </w:tblPrEx>
        <w:trPr>
          <w:trHeight w:val="699" w:hRule="atLeast"/>
        </w:trPr>
        <w:tc>
          <w:tcPr>
            <w:tcW w:w="14522" w:type="dxa"/>
            <w:gridSpan w:val="7"/>
            <w:tcBorders>
              <w:top w:val="single" w:color="000000" w:sz="4" w:space="0"/>
              <w:left w:val="single" w:color="000000" w:sz="4" w:space="0"/>
              <w:bottom w:val="single" w:color="000000" w:sz="4" w:space="0"/>
              <w:right w:val="single" w:color="000000" w:sz="4" w:space="0"/>
            </w:tcBorders>
            <w:vAlign w:val="center"/>
          </w:tcPr>
          <w:p w14:paraId="7F08AF9D">
            <w:pPr>
              <w:widowControl/>
              <w:jc w:val="center"/>
              <w:textAlignment w:val="center"/>
              <w:rPr>
                <w:rFonts w:hint="eastAsia" w:ascii="新宋体" w:hAnsi="新宋体" w:eastAsia="新宋体" w:cs="新宋体"/>
                <w:b/>
                <w:bCs/>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b/>
                <w:bCs/>
                <w:color w:val="000000" w:themeColor="text1"/>
                <w:kern w:val="0"/>
                <w:sz w:val="22"/>
                <w:szCs w:val="22"/>
                <w:lang w:bidi="ar"/>
                <w14:textFill>
                  <w14:solidFill>
                    <w14:schemeClr w14:val="tx1"/>
                  </w14:solidFill>
                </w14:textFill>
              </w:rPr>
              <w:t>（2）2.1、通风系统</w:t>
            </w:r>
          </w:p>
        </w:tc>
      </w:tr>
      <w:tr w14:paraId="0A7BF09E">
        <w:tblPrEx>
          <w:tblCellMar>
            <w:top w:w="0" w:type="dxa"/>
            <w:left w:w="108" w:type="dxa"/>
            <w:bottom w:w="0" w:type="dxa"/>
            <w:right w:w="108" w:type="dxa"/>
          </w:tblCellMar>
        </w:tblPrEx>
        <w:trPr>
          <w:trHeight w:val="275"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1D26F3F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11</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690C8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室内行程通风系统</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13CA01">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1.采用防腐蚀PP材质，整体焊接成型，具有整体结构性能好、严密性高等优点。同时具有耐酸碱性能。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2.规格：主风管约400mm，支风管直径约110mm。管卡采用碳钢制作，表面经镀铬处理，具有耐腐蚀、防火、防潮等功能。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Arial" w:hAnsi="Arial" w:cs="宋体"/>
                <w:kern w:val="0"/>
                <w:szCs w:val="21"/>
              </w:rPr>
              <w:t>★</w:t>
            </w:r>
            <w:r>
              <w:rPr>
                <w:rFonts w:hint="eastAsia" w:ascii="宋体" w:hAnsi="宋体" w:cs="宋体"/>
                <w:color w:val="000000" w:themeColor="text1"/>
                <w:kern w:val="0"/>
                <w:sz w:val="22"/>
                <w:szCs w:val="22"/>
                <w:lang w:bidi="ar"/>
                <w14:textFill>
                  <w14:solidFill>
                    <w14:schemeClr w14:val="tx1"/>
                  </w14:solidFill>
                </w14:textFill>
              </w:rPr>
              <w:t>3.风管所用板材需符合 GB 8624-2012B1(C)级要求。</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394C2D">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2C1C9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516FD8">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3CAB14">
            <w:pPr>
              <w:jc w:val="center"/>
              <w:rPr>
                <w:rFonts w:hint="eastAsia" w:ascii="宋体" w:hAnsi="宋体" w:cs="宋体"/>
                <w:color w:val="000000" w:themeColor="text1"/>
                <w:sz w:val="22"/>
                <w:szCs w:val="22"/>
                <w14:textFill>
                  <w14:solidFill>
                    <w14:schemeClr w14:val="tx1"/>
                  </w14:solidFill>
                </w14:textFill>
              </w:rPr>
            </w:pPr>
          </w:p>
        </w:tc>
      </w:tr>
      <w:tr w14:paraId="2171D1A0">
        <w:tblPrEx>
          <w:tblCellMar>
            <w:top w:w="0" w:type="dxa"/>
            <w:left w:w="108" w:type="dxa"/>
            <w:bottom w:w="0" w:type="dxa"/>
            <w:right w:w="108" w:type="dxa"/>
          </w:tblCellMar>
        </w:tblPrEx>
        <w:trPr>
          <w:trHeight w:val="225"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4FCA826A">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F9EC02">
            <w:pPr>
              <w:widowControl/>
              <w:jc w:val="center"/>
              <w:textAlignment w:val="center"/>
              <w:rPr>
                <w:rFonts w:hint="eastAsia" w:ascii="宋体" w:hAnsi="宋体" w:cs="宋体"/>
                <w:color w:val="auto"/>
                <w:sz w:val="22"/>
                <w:szCs w:val="22"/>
              </w:rPr>
            </w:pPr>
            <w:r>
              <w:rPr>
                <w:rFonts w:hint="eastAsia" w:ascii="宋体" w:hAnsi="宋体" w:cs="宋体"/>
                <w:color w:val="auto"/>
                <w:kern w:val="0"/>
                <w:sz w:val="22"/>
                <w:szCs w:val="22"/>
                <w:lang w:bidi="ar"/>
              </w:rPr>
              <w:t>室外行程通风系统</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DFD7D9">
            <w:pPr>
              <w:widowControl/>
              <w:numPr>
                <w:ilvl w:val="255"/>
                <w:numId w:val="0"/>
              </w:numPr>
              <w:jc w:val="left"/>
              <w:textAlignment w:val="center"/>
              <w:rPr>
                <w:rFonts w:hint="eastAsia" w:ascii="宋体" w:hAnsi="宋体" w:cs="宋体"/>
                <w:color w:val="auto"/>
                <w:sz w:val="22"/>
                <w:szCs w:val="22"/>
              </w:rPr>
            </w:pPr>
            <w:r>
              <w:rPr>
                <w:rFonts w:hint="eastAsia" w:ascii="宋体" w:hAnsi="宋体" w:cs="宋体"/>
                <w:color w:val="auto"/>
                <w:kern w:val="0"/>
                <w:sz w:val="22"/>
                <w:szCs w:val="22"/>
                <w:lang w:bidi="ar"/>
              </w:rPr>
              <w:t>1.采用防腐蚀PP材质，整体焊接成型，具有整体结构性能好、严密性高等优点。同时具有耐酸碱性能。</w:t>
            </w:r>
            <w:r>
              <w:rPr>
                <w:rFonts w:hint="eastAsia" w:ascii="宋体" w:hAnsi="宋体" w:cs="宋体"/>
                <w:color w:val="auto"/>
                <w:kern w:val="0"/>
                <w:sz w:val="22"/>
                <w:szCs w:val="22"/>
                <w:lang w:bidi="ar"/>
              </w:rPr>
              <w:br w:type="textWrapping"/>
            </w:r>
            <w:r>
              <w:rPr>
                <w:rFonts w:hint="eastAsia" w:ascii="宋体" w:hAnsi="宋体" w:cs="宋体"/>
                <w:color w:val="auto"/>
                <w:kern w:val="0"/>
                <w:sz w:val="22"/>
                <w:szCs w:val="22"/>
                <w:lang w:bidi="ar"/>
              </w:rPr>
              <w:t>2.规格：约400mm，管卡采用碳钢制作，表面经镀铬处理，具有耐腐蚀、防火、防潮等功能。</w:t>
            </w:r>
            <w:r>
              <w:rPr>
                <w:rFonts w:hint="eastAsia" w:ascii="宋体" w:hAnsi="宋体" w:cs="宋体"/>
                <w:b/>
                <w:bCs/>
                <w:color w:val="auto"/>
                <w:kern w:val="0"/>
                <w:sz w:val="22"/>
                <w:szCs w:val="22"/>
                <w:lang w:bidi="ar"/>
              </w:rPr>
              <w:t xml:space="preserve">带风帽、变径及消音器一套。 </w:t>
            </w:r>
            <w:r>
              <w:rPr>
                <w:rFonts w:hint="eastAsia" w:ascii="宋体" w:hAnsi="宋体" w:cs="宋体"/>
                <w:color w:val="auto"/>
                <w:kern w:val="0"/>
                <w:sz w:val="22"/>
                <w:szCs w:val="22"/>
                <w:lang w:bidi="ar"/>
              </w:rPr>
              <w:t xml:space="preserve">                                     </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6898D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BC575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02370">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0C5050">
            <w:pPr>
              <w:jc w:val="center"/>
              <w:rPr>
                <w:rFonts w:hint="eastAsia" w:ascii="宋体" w:hAnsi="宋体" w:cs="宋体"/>
                <w:color w:val="000000" w:themeColor="text1"/>
                <w:sz w:val="22"/>
                <w:szCs w:val="22"/>
                <w14:textFill>
                  <w14:solidFill>
                    <w14:schemeClr w14:val="tx1"/>
                  </w14:solidFill>
                </w14:textFill>
              </w:rPr>
            </w:pPr>
          </w:p>
        </w:tc>
      </w:tr>
      <w:tr w14:paraId="4D0C4565">
        <w:tblPrEx>
          <w:tblCellMar>
            <w:top w:w="0" w:type="dxa"/>
            <w:left w:w="108" w:type="dxa"/>
            <w:bottom w:w="0" w:type="dxa"/>
            <w:right w:w="108" w:type="dxa"/>
          </w:tblCellMar>
        </w:tblPrEx>
        <w:trPr>
          <w:trHeight w:val="108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2683A252">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13</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F6EA4C">
            <w:pPr>
              <w:widowControl/>
              <w:jc w:val="center"/>
              <w:textAlignment w:val="center"/>
              <w:rPr>
                <w:rFonts w:hint="eastAsia" w:ascii="宋体" w:hAnsi="宋体" w:cs="宋体"/>
                <w:color w:val="auto"/>
                <w:sz w:val="22"/>
                <w:szCs w:val="22"/>
              </w:rPr>
            </w:pPr>
            <w:r>
              <w:rPr>
                <w:rFonts w:hint="eastAsia" w:ascii="宋体" w:hAnsi="宋体" w:cs="宋体"/>
                <w:color w:val="auto"/>
                <w:kern w:val="0"/>
                <w:sz w:val="22"/>
                <w:szCs w:val="22"/>
                <w:lang w:bidi="ar"/>
              </w:rPr>
              <w:t>通风风机</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873C86">
            <w:pPr>
              <w:widowControl/>
              <w:jc w:val="left"/>
              <w:textAlignment w:val="center"/>
              <w:rPr>
                <w:rFonts w:hint="eastAsia" w:ascii="宋体" w:hAnsi="宋体" w:cs="宋体"/>
                <w:color w:val="auto"/>
                <w:sz w:val="22"/>
                <w:szCs w:val="22"/>
              </w:rPr>
            </w:pPr>
            <w:r>
              <w:rPr>
                <w:rFonts w:hint="eastAsia" w:ascii="宋体" w:hAnsi="宋体" w:cs="宋体"/>
                <w:color w:val="auto"/>
                <w:kern w:val="0"/>
                <w:sz w:val="22"/>
                <w:szCs w:val="22"/>
                <w:lang w:bidi="ar"/>
              </w:rPr>
              <w:t>1.结构：风机选用耐酸碱腐蚀PP增强制品外壳。外壳采用RTM工艺一体成型的内外均为光滑面的PP材质制作，且需要进行强度加强。外壳制造需为优质化学防腐的PP材质，内层表面有耐腐蚀气体腐蚀的保护层，风机外壳喷涂特殊防紫外线胶衣，机壳有人孔配置，叶轮清洁方便并有排水装置设计以减少故障。胶衣厚度不小于2mm，可有效地增加风机的抗老化性，从而延长风机寿命。外壳底部安装排水阀门，排水口口径为DN25的内丝接头，能有效排除风机内部的一些结晶物及水分，外壳侧体安装检测口，能方便检查叶轮及风机内部的异常问题。风机集流器采用喇叭形状，增进流场顺畅，降低噪音及损失，集流器叶轮之间隙小于5mm，减少性能损失，且为线接触，可减少结晶物附着于集流器。风机轴承由S45C材质制作，安装轴承的部分与叶轮配合孔径部位、与传动轮配合部位进行磨制，保证加工公差与型位公差。主轴位于风机内与介质接触的部位，全部采用耐酸碱玻璃钢包覆处理，形成轴套保护作用。叶轮材质：材质采用耐酸碱腐蚀玻璃钢材质制作，能承受紊流工况下所引起的各种附加作用力，并且能够长期、安全、可靠地运行；能够耐有机气体的腐蚀，叶轮采用后向型叶片流线型前盘，叶轮在出厂前必须进行平衡校正，玻璃钢叶轮动平衡；转子动平衡精度不低于G2.5级，且能24小时连续运行；满足抗振动要求，隔振效率≥80%；玻璃钢叶轮有足够的刚度，正常搬运和运转中不会变形。风机皮带传动并能连续运行，皮带应抗油、能导静电，皮带轮的中心距不小于最大皮带轮直径的1.5倍，风机传动保证在临界速度下运行，且叶轮和轴必须通过静态和动态平衡。风机进出口设置弹性接头（柔性连接），避免风机的正常震动影响风管及除臭装置。底座应用钢材焊接的单体整体结构，供安装风机或电机的接触面应进行机械加工，底座应有足够的强度和刚度，外露的棱角应全部倒钝，风机整机振动等级≤4.5mm/s。底座上部应该装有减震装置包括不限于：减震器、减震垫等。</w:t>
            </w:r>
            <w:r>
              <w:rPr>
                <w:rFonts w:hint="eastAsia" w:ascii="宋体" w:hAnsi="宋体" w:cs="宋体"/>
                <w:color w:val="auto"/>
                <w:kern w:val="0"/>
                <w:sz w:val="22"/>
                <w:szCs w:val="22"/>
                <w:lang w:bidi="ar"/>
              </w:rPr>
              <w:br w:type="textWrapping"/>
            </w:r>
            <w:r>
              <w:rPr>
                <w:rFonts w:hint="eastAsia" w:ascii="宋体" w:hAnsi="宋体" w:cs="宋体"/>
                <w:color w:val="auto"/>
                <w:kern w:val="0"/>
                <w:sz w:val="22"/>
                <w:szCs w:val="22"/>
                <w:lang w:bidi="ar"/>
              </w:rPr>
              <w:t>2.功率：≥5.5KW。风量：7100-13500m3/h。转速：1600rmp，风压：1600-880Pa。噪音：≤55dB(A)。室内换气次数：≥20次/h。终端流速：≥11.3米/秒。主管内风速约8-14米/秒（m/s），支管内风速约6-8米/秒（m/s）。</w:t>
            </w:r>
            <w:r>
              <w:rPr>
                <w:rFonts w:hint="eastAsia" w:ascii="宋体" w:hAnsi="宋体" w:cs="宋体"/>
                <w:color w:val="auto"/>
                <w:kern w:val="0"/>
                <w:sz w:val="22"/>
                <w:szCs w:val="22"/>
                <w:lang w:bidi="ar"/>
              </w:rPr>
              <w:br w:type="textWrapping"/>
            </w:r>
            <w:r>
              <w:rPr>
                <w:rFonts w:hint="eastAsia" w:ascii="宋体" w:hAnsi="宋体" w:cs="宋体"/>
                <w:color w:val="auto"/>
                <w:kern w:val="0"/>
                <w:sz w:val="22"/>
                <w:szCs w:val="22"/>
                <w:lang w:bidi="ar"/>
              </w:rPr>
              <w:t>3.每台通风设备都可以独立操作，相互之间不受影响。</w:t>
            </w:r>
            <w:r>
              <w:rPr>
                <w:rFonts w:hint="eastAsia" w:ascii="宋体" w:hAnsi="宋体" w:cs="宋体"/>
                <w:color w:val="auto"/>
                <w:kern w:val="0"/>
                <w:sz w:val="22"/>
                <w:szCs w:val="22"/>
                <w:lang w:bidi="ar"/>
              </w:rPr>
              <w:br w:type="textWrapping"/>
            </w:r>
            <w:r>
              <w:rPr>
                <w:rFonts w:hint="eastAsia" w:ascii="宋体" w:hAnsi="宋体" w:cs="宋体"/>
                <w:color w:val="auto"/>
                <w:kern w:val="0"/>
                <w:sz w:val="22"/>
                <w:szCs w:val="22"/>
                <w:lang w:bidi="ar"/>
              </w:rPr>
              <w:t>4.气流组织合理，排气顺畅，无气味溢出、气体排放符合国家规定排放标准。</w:t>
            </w:r>
            <w:r>
              <w:rPr>
                <w:rFonts w:hint="eastAsia" w:ascii="宋体" w:hAnsi="宋体" w:cs="宋体"/>
                <w:color w:val="auto"/>
                <w:kern w:val="0"/>
                <w:sz w:val="22"/>
                <w:szCs w:val="22"/>
                <w:lang w:bidi="ar"/>
              </w:rPr>
              <w:br w:type="textWrapping"/>
            </w:r>
            <w:r>
              <w:rPr>
                <w:rFonts w:hint="eastAsia" w:ascii="宋体" w:hAnsi="宋体" w:cs="宋体"/>
                <w:color w:val="auto"/>
                <w:kern w:val="0"/>
                <w:sz w:val="22"/>
                <w:szCs w:val="22"/>
                <w:lang w:bidi="ar"/>
              </w:rPr>
              <w:t>5.通风系统主管内壁光滑，以降低噪声向室内传播，同时管井外壁应同室内装修保持一致，美观耐用。</w:t>
            </w:r>
            <w:r>
              <w:rPr>
                <w:rFonts w:hint="eastAsia" w:ascii="宋体" w:hAnsi="宋体" w:cs="宋体"/>
                <w:color w:val="auto"/>
                <w:kern w:val="0"/>
                <w:sz w:val="22"/>
                <w:szCs w:val="22"/>
                <w:lang w:bidi="ar"/>
              </w:rPr>
              <w:br w:type="textWrapping"/>
            </w:r>
            <w:r>
              <w:rPr>
                <w:rFonts w:hint="eastAsia" w:ascii="宋体" w:hAnsi="宋体" w:cs="宋体"/>
                <w:color w:val="auto"/>
                <w:kern w:val="0"/>
                <w:sz w:val="22"/>
                <w:szCs w:val="22"/>
                <w:lang w:bidi="ar"/>
              </w:rPr>
              <w:t>6.风机依据GB19761《通风机能效限定值及能效等级》标准检测，效率达到87%以上。</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29D57E">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F02382">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台</w:t>
            </w:r>
          </w:p>
        </w:tc>
        <w:tc>
          <w:tcPr>
            <w:tcW w:w="33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8EF8CE">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kern w:val="0"/>
                <w:sz w:val="22"/>
                <w:szCs w:val="22"/>
                <w:bdr w:val="single" w:color="000000" w:sz="4" w:space="0"/>
              </w:rPr>
              <w:drawing>
                <wp:anchor distT="0" distB="0" distL="114300" distR="114300" simplePos="0" relativeHeight="251709440" behindDoc="0" locked="0" layoutInCell="1" allowOverlap="1">
                  <wp:simplePos x="0" y="0"/>
                  <wp:positionH relativeFrom="column">
                    <wp:posOffset>463550</wp:posOffset>
                  </wp:positionH>
                  <wp:positionV relativeFrom="paragraph">
                    <wp:posOffset>-459105</wp:posOffset>
                  </wp:positionV>
                  <wp:extent cx="1116965" cy="1122680"/>
                  <wp:effectExtent l="0" t="0" r="6985" b="1270"/>
                  <wp:wrapNone/>
                  <wp:docPr id="1048" name="图片_95"/>
                  <wp:cNvGraphicFramePr/>
                  <a:graphic xmlns:a="http://schemas.openxmlformats.org/drawingml/2006/main">
                    <a:graphicData uri="http://schemas.openxmlformats.org/drawingml/2006/picture">
                      <pic:pic xmlns:pic="http://schemas.openxmlformats.org/drawingml/2006/picture">
                        <pic:nvPicPr>
                          <pic:cNvPr id="1048" name="图片_95"/>
                          <pic:cNvPicPr/>
                        </pic:nvPicPr>
                        <pic:blipFill>
                          <a:blip r:embed="rId40"/>
                          <a:stretch>
                            <a:fillRect/>
                          </a:stretch>
                        </pic:blipFill>
                        <pic:spPr>
                          <a:xfrm>
                            <a:off x="0" y="0"/>
                            <a:ext cx="1116965" cy="1122680"/>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EBFB15">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r>
      <w:tr w14:paraId="41122F03">
        <w:tblPrEx>
          <w:tblCellMar>
            <w:top w:w="0" w:type="dxa"/>
            <w:left w:w="108" w:type="dxa"/>
            <w:bottom w:w="0" w:type="dxa"/>
            <w:right w:w="108" w:type="dxa"/>
          </w:tblCellMar>
        </w:tblPrEx>
        <w:trPr>
          <w:trHeight w:val="70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6ACF1BB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14</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6633A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风机控制配套设备</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D7C211">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1.采用交联聚乙烯绝缘﹑铝塑带绕包总屏蔽﹑低烟无卤聚烯烃内衬层﹑钢丝铠装﹑低烟无卤聚烯烃护套耐火计算机对绞控制电缆。</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2.电缆的额定电压300/500V</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3.电缆长期工作温度-30～90℃</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4.电缆敷设温度不低于0℃</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5.WDZCN-DJYJP3YP3VR-33电缆弯曲半径不小于电缆直径的12倍</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6.低烟无卤成束阻燃型电缆燃烧时析出气体中HCL含量≤100mg/g</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3CD574">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D57D5D">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37116D">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A48F17">
            <w:pPr>
              <w:jc w:val="center"/>
              <w:rPr>
                <w:rFonts w:hint="eastAsia" w:ascii="宋体" w:hAnsi="宋体" w:cs="宋体"/>
                <w:color w:val="000000" w:themeColor="text1"/>
                <w:sz w:val="22"/>
                <w:szCs w:val="22"/>
                <w14:textFill>
                  <w14:solidFill>
                    <w14:schemeClr w14:val="tx1"/>
                  </w14:solidFill>
                </w14:textFill>
              </w:rPr>
            </w:pPr>
          </w:p>
        </w:tc>
      </w:tr>
      <w:tr w14:paraId="7AB4BCBF">
        <w:tblPrEx>
          <w:tblCellMar>
            <w:top w:w="0" w:type="dxa"/>
            <w:left w:w="108" w:type="dxa"/>
            <w:bottom w:w="0" w:type="dxa"/>
            <w:right w:w="108" w:type="dxa"/>
          </w:tblCellMar>
        </w:tblPrEx>
        <w:trPr>
          <w:trHeight w:val="700" w:hRule="atLeast"/>
        </w:trPr>
        <w:tc>
          <w:tcPr>
            <w:tcW w:w="14522" w:type="dxa"/>
            <w:gridSpan w:val="7"/>
            <w:tcBorders>
              <w:top w:val="single" w:color="000000" w:sz="4" w:space="0"/>
              <w:left w:val="single" w:color="000000" w:sz="4" w:space="0"/>
              <w:bottom w:val="single" w:color="000000" w:sz="4" w:space="0"/>
              <w:right w:val="single" w:color="000000" w:sz="4" w:space="0"/>
            </w:tcBorders>
            <w:vAlign w:val="center"/>
          </w:tcPr>
          <w:p w14:paraId="71A24EC5">
            <w:pPr>
              <w:jc w:val="center"/>
              <w:rPr>
                <w:rFonts w:hint="eastAsia" w:ascii="新宋体" w:hAnsi="新宋体" w:eastAsia="新宋体" w:cs="新宋体"/>
                <w:b/>
                <w:bCs/>
                <w:color w:val="000000" w:themeColor="text1"/>
                <w:kern w:val="0"/>
                <w:sz w:val="22"/>
                <w:szCs w:val="22"/>
                <w:lang w:bidi="ar"/>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（2）2.2、集成主控制软件系统</w:t>
            </w:r>
          </w:p>
        </w:tc>
      </w:tr>
      <w:tr w14:paraId="62FD6CC8">
        <w:tblPrEx>
          <w:tblCellMar>
            <w:top w:w="0" w:type="dxa"/>
            <w:left w:w="108" w:type="dxa"/>
            <w:bottom w:w="0" w:type="dxa"/>
            <w:right w:w="108" w:type="dxa"/>
          </w:tblCellMar>
        </w:tblPrEx>
        <w:trPr>
          <w:trHeight w:val="699"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02B9DBDC">
            <w:pPr>
              <w:widowControl/>
              <w:jc w:val="center"/>
              <w:textAlignment w:val="center"/>
              <w:rPr>
                <w:rFonts w:hint="eastAsia" w:ascii="宋体" w:hAnsi="宋体" w:cs="宋体"/>
                <w:color w:val="000000" w:themeColor="text1"/>
                <w:sz w:val="22"/>
                <w:szCs w:val="22"/>
                <w14:textFill>
                  <w14:solidFill>
                    <w14:schemeClr w14:val="tx1"/>
                  </w14:solidFill>
                </w14:textFill>
              </w:rPr>
            </w:pPr>
            <w:bookmarkStart w:id="96" w:name="_Hlk220172649"/>
            <w:r>
              <w:rPr>
                <w:rFonts w:hint="eastAsia" w:ascii="宋体" w:hAnsi="宋体" w:cs="宋体"/>
                <w:color w:val="000000" w:themeColor="text1"/>
                <w:kern w:val="0"/>
                <w:sz w:val="22"/>
                <w:szCs w:val="22"/>
                <w:lang w:bidi="ar"/>
                <w14:textFill>
                  <w14:solidFill>
                    <w14:schemeClr w14:val="tx1"/>
                  </w14:solidFill>
                </w14:textFill>
              </w:rPr>
              <w:t>15</w:t>
            </w:r>
          </w:p>
        </w:tc>
        <w:tc>
          <w:tcPr>
            <w:tcW w:w="2757" w:type="dxa"/>
            <w:tcBorders>
              <w:top w:val="single" w:color="000000" w:sz="4" w:space="0"/>
              <w:left w:val="single" w:color="000000" w:sz="4" w:space="0"/>
              <w:bottom w:val="single" w:color="000000" w:sz="4" w:space="0"/>
              <w:right w:val="single" w:color="auto" w:sz="4" w:space="0"/>
            </w:tcBorders>
            <w:vAlign w:val="center"/>
          </w:tcPr>
          <w:p w14:paraId="2F342CC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顶装智能系统总控柜</w:t>
            </w:r>
          </w:p>
        </w:tc>
        <w:tc>
          <w:tcPr>
            <w:tcW w:w="5770" w:type="dxa"/>
            <w:tcBorders>
              <w:top w:val="single" w:color="auto" w:sz="4" w:space="0"/>
              <w:left w:val="single" w:color="auto" w:sz="4" w:space="0"/>
              <w:bottom w:val="single" w:color="auto" w:sz="4" w:space="0"/>
              <w:right w:val="single" w:color="auto" w:sz="4" w:space="0"/>
            </w:tcBorders>
            <w:shd w:val="clear" w:color="auto" w:fill="FFFFFF"/>
            <w:vAlign w:val="center"/>
          </w:tcPr>
          <w:p w14:paraId="7FA60443">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1.智能控制柜规格：≥1120mm*480mm*200mm.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2.材质：采用优质镀锌钢板，表面接缝均应满焊，焊接处均应打磨平整，经酸洗、磷化、除油、除锈并经过静电喷塑处理。</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总漏电保护器、每分路独立漏电保护器、总控制器一个、开关电源1个，10寸屏一个，启动开关一个，单片机控制器及功能扩展模块1套，单片机保护模块1个、急停控制系统1个，工作指示灯系统1套，分组控制系统5套（电源控制系统、照明控制系统、给排水控制系统,摇臂控制系统，通风控制系统)。</w:t>
            </w:r>
          </w:p>
          <w:p w14:paraId="1EFE83DD">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▲智能系统控制柜：</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（1）检测依据为GB/T 4208-2017《外壳防护等级(IP代码)》，检测内容:</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1、外壳防护等级(IP4X)</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外壳防护等级试验(IP4X)直径1.0mm的试验金属线，不得进入外壳，与带电部件保持足够间隙。测试结果为：合格</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2、外壳防护等级(IPX1)</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外壳防护等级试验(IPX1)试验用设备应能在外壳整个面上产生均匀水流。外壳置于转速为1r/min的转台上,偏心距(转台轴线与试样轴线的距离)大约为100mm。外壳在滴水箱下面置于正常工作位置,滴水箱底部应大于俯视图面。除安装在墙上或天花板上的设备外,被试外壳的支承物应比外壳底部小。水流量:1m/min试验进行 10 min。设备不应进水。如果进水,应不足以影响设备的正常操作或破坏安全性。测试结果为：合格</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（2）检测依据为GB/T 17626.2-2018《电磁兼容 试验和测量技术 静电放电抗扰度试验》检测内容：静电放电抗扰度。测试结果为：合格</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b/>
                <w:bCs/>
                <w:kern w:val="0"/>
                <w:szCs w:val="21"/>
                <w:lang w:bidi="ar"/>
              </w:rPr>
              <w:t>提供具备CMA或CNAS标识的第三方检测机构出具</w:t>
            </w:r>
            <w:r>
              <w:rPr>
                <w:rFonts w:hint="eastAsia" w:ascii="宋体" w:hAnsi="宋体" w:cs="宋体"/>
                <w:color w:val="000000" w:themeColor="text1"/>
                <w:kern w:val="0"/>
                <w:sz w:val="22"/>
                <w:szCs w:val="22"/>
                <w:lang w:bidi="ar"/>
                <w14:textFill>
                  <w14:solidFill>
                    <w14:schemeClr w14:val="tx1"/>
                  </w14:solidFill>
                </w14:textFill>
              </w:rPr>
              <w:t>的</w:t>
            </w:r>
            <w:r>
              <w:rPr>
                <w:rFonts w:hint="eastAsia" w:ascii="宋体" w:hAnsi="宋体"/>
                <w:b/>
                <w:bCs/>
                <w:kern w:val="0"/>
              </w:rPr>
              <w:t>检测报告复印件加盖供应商公章</w:t>
            </w:r>
            <w:r>
              <w:rPr>
                <w:rFonts w:hint="eastAsia" w:ascii="宋体" w:hAnsi="宋体" w:cs="宋体"/>
                <w:color w:val="000000" w:themeColor="text1"/>
                <w:kern w:val="0"/>
                <w:sz w:val="22"/>
                <w:szCs w:val="22"/>
                <w:lang w:bidi="ar"/>
                <w14:textFill>
                  <w14:solidFill>
                    <w14:schemeClr w14:val="tx1"/>
                  </w14:solidFill>
                </w14:textFill>
              </w:rPr>
              <w:t>。</w:t>
            </w:r>
          </w:p>
        </w:tc>
        <w:tc>
          <w:tcPr>
            <w:tcW w:w="500" w:type="dxa"/>
            <w:tcBorders>
              <w:top w:val="single" w:color="auto" w:sz="4" w:space="0"/>
              <w:left w:val="single" w:color="auto" w:sz="4" w:space="0"/>
              <w:bottom w:val="single" w:color="auto" w:sz="4" w:space="0"/>
              <w:right w:val="single" w:color="auto" w:sz="4" w:space="0"/>
            </w:tcBorders>
            <w:vAlign w:val="center"/>
          </w:tcPr>
          <w:p w14:paraId="2515832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auto" w:sz="4" w:space="0"/>
              <w:left w:val="single" w:color="auto" w:sz="4" w:space="0"/>
              <w:bottom w:val="single" w:color="auto" w:sz="4" w:space="0"/>
              <w:right w:val="single" w:color="auto" w:sz="4" w:space="0"/>
            </w:tcBorders>
            <w:vAlign w:val="center"/>
          </w:tcPr>
          <w:p w14:paraId="4554A4FD">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台</w:t>
            </w:r>
          </w:p>
        </w:tc>
        <w:tc>
          <w:tcPr>
            <w:tcW w:w="3345" w:type="dxa"/>
            <w:tcBorders>
              <w:top w:val="single" w:color="auto" w:sz="4" w:space="0"/>
              <w:left w:val="single" w:color="auto" w:sz="4" w:space="0"/>
              <w:bottom w:val="single" w:color="auto" w:sz="4" w:space="0"/>
              <w:right w:val="single" w:color="auto" w:sz="4" w:space="0"/>
            </w:tcBorders>
            <w:vAlign w:val="center"/>
          </w:tcPr>
          <w:p w14:paraId="5B4A5E7E">
            <w:pPr>
              <w:widowControl/>
              <w:jc w:val="center"/>
              <w:textAlignment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kern w:val="0"/>
                <w:sz w:val="22"/>
                <w:szCs w:val="22"/>
                <w:lang w:bidi="ar"/>
                <w14:textFill>
                  <w14:solidFill>
                    <w14:schemeClr w14:val="tx1"/>
                  </w14:solidFill>
                </w14:textFill>
              </w:rPr>
              <w:drawing>
                <wp:inline distT="0" distB="0" distL="114300" distR="114300">
                  <wp:extent cx="581025" cy="1104900"/>
                  <wp:effectExtent l="0" t="0" r="9525" b="0"/>
                  <wp:docPr id="3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descr="IMG_261"/>
                          <pic:cNvPicPr>
                            <a:picLocks noChangeAspect="1"/>
                          </pic:cNvPicPr>
                        </pic:nvPicPr>
                        <pic:blipFill>
                          <a:blip r:embed="rId41"/>
                          <a:stretch>
                            <a:fillRect/>
                          </a:stretch>
                        </pic:blipFill>
                        <pic:spPr>
                          <a:xfrm>
                            <a:off x="0" y="0"/>
                            <a:ext cx="581025" cy="1104900"/>
                          </a:xfrm>
                          <a:prstGeom prst="rect">
                            <a:avLst/>
                          </a:prstGeom>
                          <a:noFill/>
                          <a:ln w="9525">
                            <a:noFill/>
                          </a:ln>
                        </pic:spPr>
                      </pic:pic>
                    </a:graphicData>
                  </a:graphic>
                </wp:inline>
              </w:drawing>
            </w:r>
          </w:p>
        </w:tc>
        <w:tc>
          <w:tcPr>
            <w:tcW w:w="1150" w:type="dxa"/>
            <w:tcBorders>
              <w:top w:val="single" w:color="auto" w:sz="4" w:space="0"/>
              <w:left w:val="single" w:color="auto" w:sz="4" w:space="0"/>
              <w:bottom w:val="single" w:color="auto" w:sz="4" w:space="0"/>
              <w:right w:val="single" w:color="auto" w:sz="4" w:space="0"/>
            </w:tcBorders>
            <w:vAlign w:val="center"/>
          </w:tcPr>
          <w:p w14:paraId="4F17E6C8">
            <w:pPr>
              <w:widowControl/>
              <w:jc w:val="left"/>
              <w:textAlignment w:val="center"/>
              <w:rPr>
                <w:rFonts w:hint="eastAsia" w:ascii="微软雅黑" w:hAnsi="微软雅黑" w:eastAsia="微软雅黑" w:cs="微软雅黑"/>
                <w:color w:val="000000" w:themeColor="text1"/>
                <w:kern w:val="0"/>
                <w:sz w:val="22"/>
                <w:szCs w:val="22"/>
                <w:lang w:bidi="ar"/>
                <w14:textFill>
                  <w14:solidFill>
                    <w14:schemeClr w14:val="tx1"/>
                  </w14:solidFill>
                </w14:textFill>
              </w:rPr>
            </w:pPr>
          </w:p>
        </w:tc>
      </w:tr>
      <w:bookmarkEnd w:id="96"/>
      <w:tr w14:paraId="0179D325">
        <w:tblPrEx>
          <w:tblCellMar>
            <w:top w:w="0" w:type="dxa"/>
            <w:left w:w="108" w:type="dxa"/>
            <w:bottom w:w="0" w:type="dxa"/>
            <w:right w:w="108" w:type="dxa"/>
          </w:tblCellMar>
        </w:tblPrEx>
        <w:trPr>
          <w:trHeight w:val="416"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2F43249A">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16</w:t>
            </w:r>
          </w:p>
        </w:tc>
        <w:tc>
          <w:tcPr>
            <w:tcW w:w="2757" w:type="dxa"/>
            <w:tcBorders>
              <w:top w:val="single" w:color="000000" w:sz="4" w:space="0"/>
              <w:left w:val="single" w:color="000000" w:sz="4" w:space="0"/>
              <w:bottom w:val="single" w:color="000000" w:sz="4" w:space="0"/>
              <w:right w:val="single" w:color="auto" w:sz="4" w:space="0"/>
            </w:tcBorders>
            <w:vAlign w:val="center"/>
          </w:tcPr>
          <w:p w14:paraId="3DDFE9A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安全终端装置</w:t>
            </w:r>
          </w:p>
        </w:tc>
        <w:tc>
          <w:tcPr>
            <w:tcW w:w="5770" w:type="dxa"/>
            <w:tcBorders>
              <w:top w:val="single" w:color="auto" w:sz="4" w:space="0"/>
              <w:left w:val="single" w:color="auto" w:sz="4" w:space="0"/>
              <w:bottom w:val="single" w:color="auto" w:sz="4" w:space="0"/>
              <w:right w:val="single" w:color="auto" w:sz="4" w:space="0"/>
            </w:tcBorders>
            <w:shd w:val="clear" w:color="auto" w:fill="FFFFFF"/>
            <w:vAlign w:val="center"/>
          </w:tcPr>
          <w:p w14:paraId="5213B755">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实验室专用防漏电(防触电)智能安全电源</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1、规格：</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尺寸：约430mm × 347mm × 150mm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2、输入参数：</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额定输入电压：220Vac（单相）</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额定输入电流：23.9A</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输入电压范围：220Vac ± 25%</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3、输出参数：</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额定输出功率：5KW</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额定输出电压：220Vac</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额定输出频率：50Hz/60Hz</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额定输出电流：22.8A</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电压输出精度：220V ± 2%</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输出频率精度：50/60Hz ± 1Hz（出厂可设）</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波形失真率：≤2% THD（线性负载）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动态响应时间：5%（0到100%）</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4、过载能力：</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120%，2分钟</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150%，20秒</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对地漏电流：&lt;0.7mA</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输出效率：≥95%（85%阻性负载）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功率因子（PF）：0.9</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5、工作环境：</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绝缘强度：F（2000Vac，1分钟）</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噪音（1米）：≤40dB</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使用环境温度：0°C 到 +55°C</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防护等级：IP22</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湿度：0到90%，不结露</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使用海拔：≤4000米</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6、保护功能：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输入欠压保护</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输入过压保护</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输出过载保护</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输出短路保护</w:t>
            </w:r>
          </w:p>
        </w:tc>
        <w:tc>
          <w:tcPr>
            <w:tcW w:w="500" w:type="dxa"/>
            <w:tcBorders>
              <w:top w:val="single" w:color="auto" w:sz="4" w:space="0"/>
              <w:left w:val="single" w:color="auto" w:sz="4" w:space="0"/>
              <w:bottom w:val="single" w:color="auto" w:sz="4" w:space="0"/>
              <w:right w:val="single" w:color="auto" w:sz="4" w:space="0"/>
            </w:tcBorders>
            <w:vAlign w:val="center"/>
          </w:tcPr>
          <w:p w14:paraId="596D27E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auto" w:sz="4" w:space="0"/>
              <w:left w:val="single" w:color="auto" w:sz="4" w:space="0"/>
              <w:bottom w:val="single" w:color="auto" w:sz="4" w:space="0"/>
              <w:right w:val="single" w:color="auto" w:sz="4" w:space="0"/>
            </w:tcBorders>
            <w:vAlign w:val="center"/>
          </w:tcPr>
          <w:p w14:paraId="4BA06B3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auto" w:sz="4" w:space="0"/>
              <w:left w:val="single" w:color="auto" w:sz="4" w:space="0"/>
              <w:bottom w:val="single" w:color="auto" w:sz="4" w:space="0"/>
              <w:right w:val="single" w:color="auto" w:sz="4" w:space="0"/>
            </w:tcBorders>
            <w:shd w:val="clear" w:color="auto" w:fill="FFFFFF"/>
            <w:vAlign w:val="center"/>
          </w:tcPr>
          <w:p w14:paraId="643EBDFA">
            <w:pPr>
              <w:jc w:val="center"/>
              <w:rPr>
                <w:rFonts w:hint="eastAsia" w:ascii="宋体" w:hAnsi="宋体" w:cs="宋体"/>
                <w:b/>
                <w:bCs/>
                <w:color w:val="000000" w:themeColor="text1"/>
                <w:sz w:val="22"/>
                <w:szCs w:val="22"/>
                <w14:textFill>
                  <w14:solidFill>
                    <w14:schemeClr w14:val="tx1"/>
                  </w14:solidFill>
                </w14:textFill>
              </w:rPr>
            </w:pPr>
          </w:p>
        </w:tc>
        <w:tc>
          <w:tcPr>
            <w:tcW w:w="1150" w:type="dxa"/>
            <w:tcBorders>
              <w:top w:val="single" w:color="auto" w:sz="4" w:space="0"/>
              <w:left w:val="single" w:color="auto" w:sz="4" w:space="0"/>
              <w:bottom w:val="single" w:color="auto" w:sz="4" w:space="0"/>
              <w:right w:val="single" w:color="auto" w:sz="4" w:space="0"/>
            </w:tcBorders>
            <w:shd w:val="clear" w:color="auto" w:fill="FFFFFF"/>
            <w:vAlign w:val="center"/>
          </w:tcPr>
          <w:p w14:paraId="560B1036">
            <w:pPr>
              <w:jc w:val="center"/>
              <w:rPr>
                <w:rFonts w:hint="eastAsia" w:ascii="宋体" w:hAnsi="宋体" w:cs="宋体"/>
                <w:b/>
                <w:bCs/>
                <w:color w:val="000000" w:themeColor="text1"/>
                <w:sz w:val="22"/>
                <w:szCs w:val="22"/>
                <w14:textFill>
                  <w14:solidFill>
                    <w14:schemeClr w14:val="tx1"/>
                  </w14:solidFill>
                </w14:textFill>
              </w:rPr>
            </w:pPr>
          </w:p>
        </w:tc>
      </w:tr>
      <w:tr w14:paraId="3E4CBBCC">
        <w:tblPrEx>
          <w:tblCellMar>
            <w:top w:w="0" w:type="dxa"/>
            <w:left w:w="108" w:type="dxa"/>
            <w:bottom w:w="0" w:type="dxa"/>
            <w:right w:w="108" w:type="dxa"/>
          </w:tblCellMar>
        </w:tblPrEx>
        <w:trPr>
          <w:trHeight w:val="1161"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39A5D8A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17</w:t>
            </w:r>
          </w:p>
        </w:tc>
        <w:tc>
          <w:tcPr>
            <w:tcW w:w="2757" w:type="dxa"/>
            <w:tcBorders>
              <w:top w:val="single" w:color="000000" w:sz="4" w:space="0"/>
              <w:left w:val="single" w:color="000000" w:sz="4" w:space="0"/>
              <w:bottom w:val="single" w:color="000000" w:sz="4" w:space="0"/>
              <w:right w:val="single" w:color="000000" w:sz="4" w:space="0"/>
            </w:tcBorders>
            <w:vAlign w:val="center"/>
          </w:tcPr>
          <w:p w14:paraId="2A7570F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顶装智能控制模块</w:t>
            </w:r>
          </w:p>
        </w:tc>
        <w:tc>
          <w:tcPr>
            <w:tcW w:w="577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767A6633">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1.规格：10寸彩色液晶触摸屏，集成主控制系统;可执行各分项分页控制；</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通风控制：触摸数字无极变频控制，具有频率数字显示功能，可精确控制通风风量；采用风机矢量控制变频器：应用空间电压矢量控制原理，采用模块化设计、双CPU控制，具有精度高、噪音低、转矩大、性能可靠等特点。主要参数指标为：1.1频率指示、异常指示、转速指示、状态指示等均由LED显示；2.1输入额定电压：三相380V，±15%；3.1输入额定频率：50/60 HZ；4.1控制方式：空间电压矢量控制；5.1输出频率：1.00~400.0 HZ；6.1过载能力：150% 额定电流；7.1保护功能：输入缺相、输入欠压、直流过压、过载等。</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3.供水控制：集中控制整室给排水；设置总给水开关，可以对学生端和老师端单独给水：实验废水可以单独控制老师端，学生端排水，也可以一键排空所有老师端，学生端水槽内废水。</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4.照明控制：分组控制整室照明；照明控制系统可以对照明进行控制，可以单独进行控制，进行单选、全选、反选，分组进行控制；</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电源控制：控制每点的电压，可以控制学生，老师端高压220V，低压交直流输出。可以单独进行控制，进行单选、全选、反选，分组进行控制；保障220V电源具有漏电、短路、过载保护，保证安全可靠。低压输出学生电源交直流电压，具有智能保护系统，短路过载具有自动复位功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6.摇臂控制：升降控制单元，过载过流保护，上下限到位保护。对摇臂进行进行单选、全选、反选，分组进行控制升起，放下；控制系统带障碍物保护功能，具有防夹，防卡功能，当摇臂在运动的过程中遇到障碍物时会自动停止。</w:t>
            </w:r>
          </w:p>
        </w:tc>
        <w:tc>
          <w:tcPr>
            <w:tcW w:w="50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50AFA98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7E06F182">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vMerge w:val="restart"/>
            <w:tcBorders>
              <w:top w:val="single" w:color="auto" w:sz="4" w:space="0"/>
              <w:left w:val="single" w:color="000000" w:sz="4" w:space="0"/>
              <w:bottom w:val="single" w:color="000000" w:sz="4" w:space="0"/>
              <w:right w:val="single" w:color="000000" w:sz="4" w:space="0"/>
            </w:tcBorders>
            <w:shd w:val="clear" w:color="auto" w:fill="FFFFFF"/>
            <w:vAlign w:val="center"/>
          </w:tcPr>
          <w:p w14:paraId="6B6C102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drawing>
                <wp:inline distT="0" distB="0" distL="114300" distR="114300">
                  <wp:extent cx="1358900" cy="880745"/>
                  <wp:effectExtent l="0" t="0" r="12700" b="14605"/>
                  <wp:docPr id="3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IMG_262"/>
                          <pic:cNvPicPr>
                            <a:picLocks noChangeAspect="1"/>
                          </pic:cNvPicPr>
                        </pic:nvPicPr>
                        <pic:blipFill>
                          <a:blip r:embed="rId42"/>
                          <a:stretch>
                            <a:fillRect/>
                          </a:stretch>
                        </pic:blipFill>
                        <pic:spPr>
                          <a:xfrm>
                            <a:off x="0" y="0"/>
                            <a:ext cx="1361457" cy="882425"/>
                          </a:xfrm>
                          <a:prstGeom prst="rect">
                            <a:avLst/>
                          </a:prstGeom>
                          <a:noFill/>
                          <a:ln w="9525">
                            <a:noFill/>
                          </a:ln>
                        </pic:spPr>
                      </pic:pic>
                    </a:graphicData>
                  </a:graphic>
                </wp:inline>
              </w:drawing>
            </w:r>
          </w:p>
        </w:tc>
        <w:tc>
          <w:tcPr>
            <w:tcW w:w="115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2BB44877">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p>
        </w:tc>
      </w:tr>
      <w:tr w14:paraId="69125439">
        <w:tblPrEx>
          <w:tblCellMar>
            <w:top w:w="0" w:type="dxa"/>
            <w:left w:w="108" w:type="dxa"/>
            <w:bottom w:w="0" w:type="dxa"/>
            <w:right w:w="108" w:type="dxa"/>
          </w:tblCellMar>
        </w:tblPrEx>
        <w:trPr>
          <w:trHeight w:val="1161"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20CD4E4A">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18</w:t>
            </w:r>
          </w:p>
        </w:tc>
        <w:tc>
          <w:tcPr>
            <w:tcW w:w="2757" w:type="dxa"/>
            <w:tcBorders>
              <w:top w:val="single" w:color="000000" w:sz="4" w:space="0"/>
              <w:left w:val="single" w:color="000000" w:sz="4" w:space="0"/>
              <w:bottom w:val="single" w:color="000000" w:sz="4" w:space="0"/>
              <w:right w:val="single" w:color="000000" w:sz="4" w:space="0"/>
            </w:tcBorders>
            <w:vAlign w:val="center"/>
          </w:tcPr>
          <w:p w14:paraId="7F4123CD">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APP控制模块</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077526">
            <w:pPr>
              <w:widowControl/>
              <w:numPr>
                <w:ilvl w:val="0"/>
                <w:numId w:val="2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初次以超级管理员身份登陆APP，提供密码修改，多用户注册，多用户进行管理功能。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2.系统设置系统升级功能，系统时间修改，帮助等功能。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3.设置状态显示界面，实时了解教室内每个设备工作状态，可以一目了然的了解当前实验室各个设备运行情况。当设备出错时可以方便了解故障原因，可以对故障进行复位功能。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4.后台设置设备运行状态黑匣子功能，实时记录设备运行状态。故障时可以调取查看，方便管理。</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5.分组控制电源控制系统、照明控制系统、给排水控制系统,摇臂控制系统,通风控制系统。</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▲5.1内部导线连接：1.连接后无应力，检验结果合格。2.接地端子为黄绿双色线，检验结果合格。</w:t>
            </w:r>
          </w:p>
          <w:p w14:paraId="1625E815">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3.部件固定牢固，无松动，检验结果合格。                                                                                                                                                                                                                                                                                                                                                                                    ▲5.2 电压设置性能指示性：1.电压按设定值输入确认后，显示和输出应一致，检验结果合格。2.电压设定值与实际输出值的误差应≤10%，检验结果AC:0,DC:0,合格。</w:t>
            </w:r>
          </w:p>
          <w:p w14:paraId="474526BA">
            <w:pPr>
              <w:widowControl/>
              <w:numPr>
                <w:ilvl w:val="255"/>
                <w:numId w:val="0"/>
              </w:numPr>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 </w:t>
            </w:r>
            <w:r>
              <w:rPr>
                <w:rFonts w:hint="eastAsia" w:ascii="宋体" w:hAnsi="宋体" w:cs="宋体"/>
                <w:b/>
                <w:bCs/>
                <w:kern w:val="0"/>
                <w:szCs w:val="21"/>
                <w:lang w:bidi="ar"/>
              </w:rPr>
              <w:t>提供具备CMA或CNAS标识的第三方检测机构出具</w:t>
            </w:r>
            <w:r>
              <w:rPr>
                <w:rFonts w:hint="eastAsia" w:ascii="宋体" w:hAnsi="宋体" w:cs="宋体"/>
                <w:color w:val="000000" w:themeColor="text1"/>
                <w:kern w:val="0"/>
                <w:sz w:val="22"/>
                <w:szCs w:val="22"/>
                <w:lang w:bidi="ar"/>
                <w14:textFill>
                  <w14:solidFill>
                    <w14:schemeClr w14:val="tx1"/>
                  </w14:solidFill>
                </w14:textFill>
              </w:rPr>
              <w:t>的</w:t>
            </w:r>
            <w:r>
              <w:rPr>
                <w:rFonts w:hint="eastAsia" w:ascii="宋体" w:hAnsi="宋体"/>
                <w:b/>
                <w:bCs/>
                <w:kern w:val="0"/>
              </w:rPr>
              <w:t>检测报告复印件加盖供应商公章</w:t>
            </w:r>
            <w:r>
              <w:rPr>
                <w:rFonts w:hint="eastAsia" w:ascii="宋体" w:hAnsi="宋体" w:cs="宋体"/>
                <w:color w:val="000000" w:themeColor="text1"/>
                <w:kern w:val="0"/>
                <w:sz w:val="22"/>
                <w:szCs w:val="22"/>
                <w:lang w:bidi="ar"/>
                <w14:textFill>
                  <w14:solidFill>
                    <w14:schemeClr w14:val="tx1"/>
                  </w14:solidFill>
                </w14:textFill>
              </w:rPr>
              <w:t xml:space="preserve">。  </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EB7C4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0BBC0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vMerge w:val="continue"/>
            <w:tcBorders>
              <w:top w:val="single" w:color="000000" w:sz="4" w:space="0"/>
              <w:left w:val="single" w:color="000000" w:sz="4" w:space="0"/>
              <w:bottom w:val="single" w:color="auto" w:sz="4" w:space="0"/>
              <w:right w:val="single" w:color="000000" w:sz="4" w:space="0"/>
            </w:tcBorders>
            <w:shd w:val="clear" w:color="auto" w:fill="FFFFFF"/>
            <w:vAlign w:val="center"/>
          </w:tcPr>
          <w:p w14:paraId="603A667C">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7A977C">
            <w:pPr>
              <w:jc w:val="center"/>
              <w:rPr>
                <w:rFonts w:hint="eastAsia" w:ascii="宋体" w:hAnsi="宋体" w:cs="宋体"/>
                <w:color w:val="000000" w:themeColor="text1"/>
                <w:sz w:val="22"/>
                <w:szCs w:val="22"/>
                <w14:textFill>
                  <w14:solidFill>
                    <w14:schemeClr w14:val="tx1"/>
                  </w14:solidFill>
                </w14:textFill>
              </w:rPr>
            </w:pPr>
          </w:p>
        </w:tc>
      </w:tr>
      <w:tr w14:paraId="0EE087AD">
        <w:tblPrEx>
          <w:tblCellMar>
            <w:top w:w="0" w:type="dxa"/>
            <w:left w:w="108" w:type="dxa"/>
            <w:bottom w:w="0" w:type="dxa"/>
            <w:right w:w="108" w:type="dxa"/>
          </w:tblCellMar>
        </w:tblPrEx>
        <w:trPr>
          <w:trHeight w:val="1161"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7F36094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19</w:t>
            </w:r>
          </w:p>
        </w:tc>
        <w:tc>
          <w:tcPr>
            <w:tcW w:w="2757" w:type="dxa"/>
            <w:tcBorders>
              <w:top w:val="single" w:color="000000" w:sz="4" w:space="0"/>
              <w:left w:val="single" w:color="000000" w:sz="4" w:space="0"/>
              <w:bottom w:val="single" w:color="000000" w:sz="4" w:space="0"/>
              <w:right w:val="single" w:color="000000" w:sz="4" w:space="0"/>
            </w:tcBorders>
            <w:vAlign w:val="center"/>
          </w:tcPr>
          <w:p w14:paraId="570F3C04">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温湿度监视模块</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7E4116">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内置温湿度传感装置，在中控10寸屏中实时显示当前环境的温度和湿度，实时了解房间内的温度和湿度，保障室内舒适的环境舒适性。</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93EED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3D8B4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项</w:t>
            </w:r>
          </w:p>
        </w:tc>
        <w:tc>
          <w:tcPr>
            <w:tcW w:w="334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6E1554AC">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5E2C91">
            <w:pPr>
              <w:jc w:val="center"/>
              <w:rPr>
                <w:rFonts w:hint="eastAsia" w:ascii="宋体" w:hAnsi="宋体" w:cs="宋体"/>
                <w:color w:val="000000" w:themeColor="text1"/>
                <w:sz w:val="22"/>
                <w:szCs w:val="22"/>
                <w14:textFill>
                  <w14:solidFill>
                    <w14:schemeClr w14:val="tx1"/>
                  </w14:solidFill>
                </w14:textFill>
              </w:rPr>
            </w:pPr>
          </w:p>
        </w:tc>
      </w:tr>
      <w:tr w14:paraId="60DEA96A">
        <w:tblPrEx>
          <w:tblCellMar>
            <w:top w:w="0" w:type="dxa"/>
            <w:left w:w="108" w:type="dxa"/>
            <w:bottom w:w="0" w:type="dxa"/>
            <w:right w:w="108" w:type="dxa"/>
          </w:tblCellMar>
        </w:tblPrEx>
        <w:trPr>
          <w:trHeight w:val="517" w:hRule="atLeast"/>
        </w:trPr>
        <w:tc>
          <w:tcPr>
            <w:tcW w:w="14522" w:type="dxa"/>
            <w:gridSpan w:val="7"/>
            <w:tcBorders>
              <w:top w:val="single" w:color="000000" w:sz="4" w:space="0"/>
              <w:left w:val="single" w:color="000000" w:sz="4" w:space="0"/>
              <w:bottom w:val="single" w:color="000000" w:sz="4" w:space="0"/>
              <w:right w:val="single" w:color="000000" w:sz="4" w:space="0"/>
            </w:tcBorders>
            <w:vAlign w:val="center"/>
          </w:tcPr>
          <w:p w14:paraId="56C1B8E2">
            <w:pPr>
              <w:jc w:val="center"/>
              <w:rPr>
                <w:rFonts w:hint="eastAsia" w:ascii="新宋体" w:hAnsi="新宋体" w:eastAsia="新宋体" w:cs="新宋体"/>
                <w:b/>
                <w:bCs/>
                <w:color w:val="000000" w:themeColor="text1"/>
                <w:kern w:val="0"/>
                <w:sz w:val="22"/>
                <w:szCs w:val="22"/>
                <w:lang w:bidi="ar"/>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（2）2.3、顶装综合系统</w:t>
            </w:r>
          </w:p>
        </w:tc>
      </w:tr>
      <w:tr w14:paraId="13E91E5D">
        <w:tblPrEx>
          <w:tblCellMar>
            <w:top w:w="0" w:type="dxa"/>
            <w:left w:w="108" w:type="dxa"/>
            <w:bottom w:w="0" w:type="dxa"/>
            <w:right w:w="108" w:type="dxa"/>
          </w:tblCellMar>
        </w:tblPrEx>
        <w:trPr>
          <w:trHeight w:val="106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59163640">
            <w:pPr>
              <w:widowControl/>
              <w:jc w:val="center"/>
              <w:textAlignment w:val="center"/>
              <w:rPr>
                <w:rFonts w:hint="eastAsia" w:ascii="宋体" w:hAnsi="宋体" w:cs="宋体"/>
                <w:color w:val="000000" w:themeColor="text1"/>
                <w:sz w:val="22"/>
                <w:szCs w:val="22"/>
                <w14:textFill>
                  <w14:solidFill>
                    <w14:schemeClr w14:val="tx1"/>
                  </w14:solidFill>
                </w14:textFill>
              </w:rPr>
            </w:pPr>
            <w:bookmarkStart w:id="97" w:name="_Hlk220172578"/>
            <w:r>
              <w:rPr>
                <w:rFonts w:hint="eastAsia" w:ascii="宋体" w:hAnsi="宋体" w:cs="宋体"/>
                <w:color w:val="000000" w:themeColor="text1"/>
                <w:kern w:val="0"/>
                <w:sz w:val="22"/>
                <w:szCs w:val="22"/>
                <w:lang w:bidi="ar"/>
                <w14:textFill>
                  <w14:solidFill>
                    <w14:schemeClr w14:val="tx1"/>
                  </w14:solidFill>
                </w14:textFill>
              </w:rPr>
              <w:t>20</w:t>
            </w:r>
          </w:p>
        </w:tc>
        <w:tc>
          <w:tcPr>
            <w:tcW w:w="2757" w:type="dxa"/>
            <w:tcBorders>
              <w:top w:val="single" w:color="000000" w:sz="4" w:space="0"/>
              <w:left w:val="single" w:color="000000" w:sz="4" w:space="0"/>
              <w:bottom w:val="single" w:color="000000" w:sz="4" w:space="0"/>
              <w:right w:val="single" w:color="000000" w:sz="4" w:space="0"/>
            </w:tcBorders>
            <w:vAlign w:val="center"/>
          </w:tcPr>
          <w:p w14:paraId="442C20E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顶装内主体结构</w:t>
            </w:r>
          </w:p>
        </w:tc>
        <w:tc>
          <w:tcPr>
            <w:tcW w:w="5770" w:type="dxa"/>
            <w:tcBorders>
              <w:top w:val="single" w:color="000000" w:sz="4" w:space="0"/>
              <w:left w:val="single" w:color="000000" w:sz="4" w:space="0"/>
              <w:bottom w:val="single" w:color="000000" w:sz="4" w:space="0"/>
              <w:right w:val="single" w:color="000000" w:sz="4" w:space="0"/>
            </w:tcBorders>
            <w:vAlign w:val="center"/>
          </w:tcPr>
          <w:p w14:paraId="6BF7D83F">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1.规格：≥1470mm*365mm*180mm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2.承重骨架采用优质工业级高强度钢材经加工成型，强度高、耐腐蚀、结构稳定。</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3.动力底座采用厚度15mm高强度铝铜合金板经CNC精加工成型，动力轴采用优质SUS304不锈钢棒材经CNC及数控车床加工成型。承重性能强和耐酸碱、耐腐蚀。</w:t>
            </w:r>
          </w:p>
          <w:p w14:paraId="1E2FD2EA">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▲吊装主舱体</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（1）检测依据GB/T 10125-2021《人造气氛腐蚀试验盐雾试验》和GB/T 6461-2002《金属基体上金属和其它无机覆盖层经腐蚀试验后的试样和试件的评级》，检测要求乙酸盐雾试验(105h),经过105h乙酸盐雾试验，外观评级达到10级，检测合格。</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（2）检测依据GB/T 40971-2021《家具产品及其材料中禁限用物质测定方法多环芳烃》，检测要求：多环芳烃,苯并[a]芘≤1.0mg/kg,18种多环芳烃 (PAH)总量≤10mg/kg，检测合格。</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b/>
                <w:bCs/>
                <w:kern w:val="0"/>
                <w:szCs w:val="21"/>
                <w:lang w:bidi="ar"/>
              </w:rPr>
              <w:t>提供具备CMA或CNAS标识的第三方检测机构出具</w:t>
            </w:r>
            <w:r>
              <w:rPr>
                <w:rFonts w:hint="eastAsia" w:ascii="宋体" w:hAnsi="宋体" w:cs="宋体"/>
                <w:color w:val="000000" w:themeColor="text1"/>
                <w:kern w:val="0"/>
                <w:sz w:val="22"/>
                <w:szCs w:val="22"/>
                <w:lang w:bidi="ar"/>
                <w14:textFill>
                  <w14:solidFill>
                    <w14:schemeClr w14:val="tx1"/>
                  </w14:solidFill>
                </w14:textFill>
              </w:rPr>
              <w:t>的</w:t>
            </w:r>
            <w:r>
              <w:rPr>
                <w:rFonts w:hint="eastAsia" w:ascii="宋体" w:hAnsi="宋体"/>
                <w:b/>
                <w:bCs/>
                <w:kern w:val="0"/>
              </w:rPr>
              <w:t>检测报告复印件加盖供应商公章</w:t>
            </w:r>
            <w:r>
              <w:rPr>
                <w:rFonts w:hint="eastAsia" w:ascii="宋体" w:hAnsi="宋体" w:cs="宋体"/>
                <w:color w:val="000000" w:themeColor="text1"/>
                <w:kern w:val="0"/>
                <w:sz w:val="22"/>
                <w:szCs w:val="22"/>
                <w:lang w:bidi="ar"/>
                <w14:textFill>
                  <w14:solidFill>
                    <w14:schemeClr w14:val="tx1"/>
                  </w14:solidFill>
                </w14:textFill>
              </w:rPr>
              <w:t>。</w:t>
            </w:r>
          </w:p>
        </w:tc>
        <w:tc>
          <w:tcPr>
            <w:tcW w:w="500" w:type="dxa"/>
            <w:tcBorders>
              <w:top w:val="single" w:color="000000" w:sz="4" w:space="0"/>
              <w:left w:val="single" w:color="000000" w:sz="4" w:space="0"/>
              <w:bottom w:val="single" w:color="auto" w:sz="4" w:space="0"/>
              <w:right w:val="single" w:color="000000" w:sz="4" w:space="0"/>
            </w:tcBorders>
            <w:shd w:val="clear" w:color="auto" w:fill="FFFFFF"/>
            <w:vAlign w:val="center"/>
          </w:tcPr>
          <w:p w14:paraId="2BBB0F62">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6</w:t>
            </w:r>
          </w:p>
        </w:tc>
        <w:tc>
          <w:tcPr>
            <w:tcW w:w="500" w:type="dxa"/>
            <w:tcBorders>
              <w:top w:val="single" w:color="000000" w:sz="4" w:space="0"/>
              <w:left w:val="single" w:color="000000" w:sz="4" w:space="0"/>
              <w:bottom w:val="single" w:color="auto" w:sz="4" w:space="0"/>
              <w:right w:val="single" w:color="000000" w:sz="4" w:space="0"/>
            </w:tcBorders>
            <w:shd w:val="clear" w:color="auto" w:fill="FFFFFF"/>
            <w:vAlign w:val="center"/>
          </w:tcPr>
          <w:p w14:paraId="4249FB2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000000" w:sz="4" w:space="0"/>
              <w:left w:val="single" w:color="000000" w:sz="4" w:space="0"/>
              <w:bottom w:val="single" w:color="auto" w:sz="4" w:space="0"/>
              <w:right w:val="single" w:color="000000" w:sz="4" w:space="0"/>
            </w:tcBorders>
            <w:shd w:val="clear" w:color="auto" w:fill="FFFFFF"/>
            <w:vAlign w:val="center"/>
          </w:tcPr>
          <w:p w14:paraId="2B356EE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drawing>
                <wp:inline distT="0" distB="0" distL="114300" distR="114300">
                  <wp:extent cx="1443355" cy="773430"/>
                  <wp:effectExtent l="0" t="0" r="4445" b="7620"/>
                  <wp:docPr id="4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descr="IMG_263"/>
                          <pic:cNvPicPr>
                            <a:picLocks noChangeAspect="1"/>
                          </pic:cNvPicPr>
                        </pic:nvPicPr>
                        <pic:blipFill>
                          <a:blip r:embed="rId43"/>
                          <a:stretch>
                            <a:fillRect/>
                          </a:stretch>
                        </pic:blipFill>
                        <pic:spPr>
                          <a:xfrm>
                            <a:off x="0" y="0"/>
                            <a:ext cx="1454166" cy="779266"/>
                          </a:xfrm>
                          <a:prstGeom prst="rect">
                            <a:avLst/>
                          </a:prstGeom>
                          <a:noFill/>
                          <a:ln w="9525">
                            <a:noFill/>
                          </a:ln>
                        </pic:spPr>
                      </pic:pic>
                    </a:graphicData>
                  </a:graphic>
                </wp:inline>
              </w:drawing>
            </w:r>
          </w:p>
        </w:tc>
        <w:tc>
          <w:tcPr>
            <w:tcW w:w="1150" w:type="dxa"/>
            <w:tcBorders>
              <w:top w:val="single" w:color="000000" w:sz="4" w:space="0"/>
              <w:left w:val="single" w:color="000000" w:sz="4" w:space="0"/>
              <w:bottom w:val="single" w:color="auto" w:sz="4" w:space="0"/>
              <w:right w:val="single" w:color="000000" w:sz="4" w:space="0"/>
            </w:tcBorders>
            <w:shd w:val="clear" w:color="auto" w:fill="FFFFFF"/>
            <w:vAlign w:val="center"/>
          </w:tcPr>
          <w:p w14:paraId="3BED2675">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p>
        </w:tc>
      </w:tr>
      <w:bookmarkEnd w:id="97"/>
      <w:tr w14:paraId="0AA9A93D">
        <w:tblPrEx>
          <w:tblCellMar>
            <w:top w:w="0" w:type="dxa"/>
            <w:left w:w="108" w:type="dxa"/>
            <w:bottom w:w="0" w:type="dxa"/>
            <w:right w:w="108" w:type="dxa"/>
          </w:tblCellMar>
        </w:tblPrEx>
        <w:trPr>
          <w:trHeight w:val="106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713E90AD">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21</w:t>
            </w:r>
          </w:p>
        </w:tc>
        <w:tc>
          <w:tcPr>
            <w:tcW w:w="2757" w:type="dxa"/>
            <w:tcBorders>
              <w:top w:val="single" w:color="000000" w:sz="4" w:space="0"/>
              <w:left w:val="single" w:color="000000" w:sz="4" w:space="0"/>
              <w:bottom w:val="single" w:color="000000" w:sz="4" w:space="0"/>
              <w:right w:val="single" w:color="000000" w:sz="4" w:space="0"/>
            </w:tcBorders>
            <w:vAlign w:val="center"/>
          </w:tcPr>
          <w:p w14:paraId="0841343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智能吊装集成箱</w:t>
            </w:r>
          </w:p>
        </w:tc>
        <w:tc>
          <w:tcPr>
            <w:tcW w:w="5770" w:type="dxa"/>
            <w:tcBorders>
              <w:top w:val="single" w:color="000000" w:sz="4" w:space="0"/>
              <w:left w:val="single" w:color="000000" w:sz="4" w:space="0"/>
              <w:bottom w:val="single" w:color="000000" w:sz="4" w:space="0"/>
              <w:right w:val="single" w:color="auto" w:sz="4" w:space="0"/>
            </w:tcBorders>
            <w:shd w:val="clear" w:color="auto" w:fill="FFFFFF"/>
            <w:vAlign w:val="center"/>
          </w:tcPr>
          <w:p w14:paraId="487CBCBB">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1.规格：≥1600mm*620mm*265mm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2.整体智能吊装集成箱体采用复合材料，经高温模压工艺成型；生产工业采取模块化组合，模块化安装、安装简单、维修更换便捷，能有效保护主体内结构部件供应系统的安全。</w:t>
            </w:r>
          </w:p>
        </w:tc>
        <w:tc>
          <w:tcPr>
            <w:tcW w:w="500" w:type="dxa"/>
            <w:tcBorders>
              <w:top w:val="single" w:color="auto" w:sz="4" w:space="0"/>
              <w:left w:val="single" w:color="auto" w:sz="4" w:space="0"/>
              <w:bottom w:val="single" w:color="auto" w:sz="4" w:space="0"/>
              <w:right w:val="single" w:color="auto" w:sz="4" w:space="0"/>
            </w:tcBorders>
            <w:shd w:val="clear" w:color="auto" w:fill="FFFFFF"/>
            <w:vAlign w:val="center"/>
          </w:tcPr>
          <w:p w14:paraId="746125DA">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6</w:t>
            </w:r>
          </w:p>
        </w:tc>
        <w:tc>
          <w:tcPr>
            <w:tcW w:w="500" w:type="dxa"/>
            <w:tcBorders>
              <w:top w:val="single" w:color="auto" w:sz="4" w:space="0"/>
              <w:left w:val="single" w:color="auto" w:sz="4" w:space="0"/>
              <w:bottom w:val="single" w:color="auto" w:sz="4" w:space="0"/>
              <w:right w:val="single" w:color="auto" w:sz="4" w:space="0"/>
            </w:tcBorders>
            <w:shd w:val="clear" w:color="auto" w:fill="FFFFFF"/>
            <w:vAlign w:val="center"/>
          </w:tcPr>
          <w:p w14:paraId="4DF606D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72706C0B">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auto" w:sz="4" w:space="0"/>
              <w:left w:val="single" w:color="auto" w:sz="4" w:space="0"/>
              <w:bottom w:val="single" w:color="auto" w:sz="4" w:space="0"/>
              <w:right w:val="single" w:color="auto" w:sz="4" w:space="0"/>
            </w:tcBorders>
            <w:shd w:val="clear" w:color="auto" w:fill="FFFFFF"/>
            <w:vAlign w:val="center"/>
          </w:tcPr>
          <w:p w14:paraId="5DEDE651">
            <w:pPr>
              <w:jc w:val="center"/>
              <w:rPr>
                <w:rFonts w:hint="eastAsia" w:ascii="宋体" w:hAnsi="宋体" w:cs="宋体"/>
                <w:color w:val="000000" w:themeColor="text1"/>
                <w:sz w:val="22"/>
                <w:szCs w:val="22"/>
                <w14:textFill>
                  <w14:solidFill>
                    <w14:schemeClr w14:val="tx1"/>
                  </w14:solidFill>
                </w14:textFill>
              </w:rPr>
            </w:pPr>
          </w:p>
        </w:tc>
      </w:tr>
      <w:tr w14:paraId="27F3330B">
        <w:tblPrEx>
          <w:tblCellMar>
            <w:top w:w="0" w:type="dxa"/>
            <w:left w:w="108" w:type="dxa"/>
            <w:bottom w:w="0" w:type="dxa"/>
            <w:right w:w="108" w:type="dxa"/>
          </w:tblCellMar>
        </w:tblPrEx>
        <w:trPr>
          <w:trHeight w:val="5239"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29CE4DA5">
            <w:pPr>
              <w:widowControl/>
              <w:jc w:val="center"/>
              <w:textAlignment w:val="center"/>
              <w:rPr>
                <w:rFonts w:hint="eastAsia" w:ascii="宋体" w:hAnsi="宋体" w:cs="宋体"/>
                <w:color w:val="000000" w:themeColor="text1"/>
                <w:sz w:val="22"/>
                <w:szCs w:val="22"/>
                <w14:textFill>
                  <w14:solidFill>
                    <w14:schemeClr w14:val="tx1"/>
                  </w14:solidFill>
                </w14:textFill>
              </w:rPr>
            </w:pPr>
            <w:bookmarkStart w:id="98" w:name="_Hlk220172599"/>
            <w:r>
              <w:rPr>
                <w:rFonts w:hint="eastAsia" w:ascii="宋体" w:hAnsi="宋体" w:cs="宋体"/>
                <w:color w:val="000000" w:themeColor="text1"/>
                <w:kern w:val="0"/>
                <w:sz w:val="22"/>
                <w:szCs w:val="22"/>
                <w:lang w:bidi="ar"/>
                <w14:textFill>
                  <w14:solidFill>
                    <w14:schemeClr w14:val="tx1"/>
                  </w14:solidFill>
                </w14:textFill>
              </w:rPr>
              <w:t>22</w:t>
            </w:r>
          </w:p>
        </w:tc>
        <w:tc>
          <w:tcPr>
            <w:tcW w:w="2757" w:type="dxa"/>
            <w:tcBorders>
              <w:top w:val="single" w:color="000000" w:sz="4" w:space="0"/>
              <w:left w:val="single" w:color="000000" w:sz="4" w:space="0"/>
              <w:bottom w:val="single" w:color="000000" w:sz="4" w:space="0"/>
              <w:right w:val="single" w:color="000000" w:sz="4" w:space="0"/>
            </w:tcBorders>
            <w:vAlign w:val="center"/>
          </w:tcPr>
          <w:p w14:paraId="6A858D87">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顶装固定支架</w:t>
            </w:r>
          </w:p>
        </w:tc>
        <w:tc>
          <w:tcPr>
            <w:tcW w:w="5770" w:type="dxa"/>
            <w:tcBorders>
              <w:top w:val="single" w:color="000000" w:sz="4" w:space="0"/>
              <w:left w:val="single" w:color="000000" w:sz="4" w:space="0"/>
              <w:bottom w:val="single" w:color="auto" w:sz="4" w:space="0"/>
              <w:right w:val="single" w:color="000000" w:sz="4" w:space="0"/>
            </w:tcBorders>
            <w:vAlign w:val="center"/>
          </w:tcPr>
          <w:p w14:paraId="20936509">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1.吊装吊架采用优质镀锌钢板经激光切割、数控冲压、数控折弯成型，生产工业采取模块组合，便于安装，外观流线形设计,表面经环氧树脂粉末静电喷涂、高温固化处理，耐腐蚀。</w:t>
            </w:r>
          </w:p>
          <w:p w14:paraId="5197E0D0">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▲吊装吊架</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（1）检测依据为GB/T 6739-2022《色漆和清漆铅笔法测定漆膜硬度》检测要求：包含理化性能,金属喷漆 (塑)涂层 ,硬度,铅笔硬度H,应无塑性变形和/或内聚破坏，检测合格。</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（2）检测依据为GB/T 10125-2021《人造气氛腐蚀试验盐雾试验》 和GB/T 6461-2002《金属基体上金属和其它无机覆盖层经腐蚀试验后的试样和试件的评级》检测要求：乙酸盐雾试验(105h)经过105h乙酸盐雾试验，外观评级达到10级，检测合格。</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b/>
                <w:bCs/>
                <w:kern w:val="0"/>
                <w:szCs w:val="21"/>
                <w:lang w:bidi="ar"/>
              </w:rPr>
              <w:t>提供具备CMA或CNAS标识的第三方检测机构出具</w:t>
            </w:r>
            <w:r>
              <w:rPr>
                <w:rFonts w:hint="eastAsia" w:ascii="宋体" w:hAnsi="宋体" w:cs="宋体"/>
                <w:color w:val="000000" w:themeColor="text1"/>
                <w:kern w:val="0"/>
                <w:sz w:val="22"/>
                <w:szCs w:val="22"/>
                <w:lang w:bidi="ar"/>
                <w14:textFill>
                  <w14:solidFill>
                    <w14:schemeClr w14:val="tx1"/>
                  </w14:solidFill>
                </w14:textFill>
              </w:rPr>
              <w:t>的</w:t>
            </w:r>
            <w:r>
              <w:rPr>
                <w:rFonts w:hint="eastAsia" w:ascii="宋体" w:hAnsi="宋体"/>
                <w:b/>
                <w:bCs/>
                <w:kern w:val="0"/>
              </w:rPr>
              <w:t>检测报告复印件加盖供应商公章</w:t>
            </w:r>
            <w:r>
              <w:rPr>
                <w:rFonts w:hint="eastAsia" w:ascii="宋体" w:hAnsi="宋体" w:cs="宋体"/>
                <w:color w:val="000000" w:themeColor="text1"/>
                <w:kern w:val="0"/>
                <w:sz w:val="22"/>
                <w:szCs w:val="22"/>
                <w:lang w:bidi="ar"/>
                <w14:textFill>
                  <w14:solidFill>
                    <w14:schemeClr w14:val="tx1"/>
                  </w14:solidFill>
                </w14:textFill>
              </w:rPr>
              <w:t>。</w:t>
            </w:r>
          </w:p>
        </w:tc>
        <w:tc>
          <w:tcPr>
            <w:tcW w:w="500" w:type="dxa"/>
            <w:tcBorders>
              <w:top w:val="single" w:color="auto" w:sz="4" w:space="0"/>
              <w:left w:val="single" w:color="000000" w:sz="4" w:space="0"/>
              <w:bottom w:val="single" w:color="auto" w:sz="4" w:space="0"/>
              <w:right w:val="single" w:color="000000" w:sz="4" w:space="0"/>
            </w:tcBorders>
            <w:shd w:val="clear" w:color="auto" w:fill="FFFFFF"/>
            <w:vAlign w:val="center"/>
          </w:tcPr>
          <w:p w14:paraId="4A985D8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auto" w:sz="4" w:space="0"/>
              <w:left w:val="single" w:color="000000" w:sz="4" w:space="0"/>
              <w:bottom w:val="single" w:color="auto" w:sz="4" w:space="0"/>
              <w:right w:val="single" w:color="000000" w:sz="4" w:space="0"/>
            </w:tcBorders>
            <w:shd w:val="clear" w:color="auto" w:fill="FFFFFF"/>
            <w:vAlign w:val="center"/>
          </w:tcPr>
          <w:p w14:paraId="52491FA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vMerge w:val="continue"/>
            <w:tcBorders>
              <w:top w:val="single" w:color="auto" w:sz="4" w:space="0"/>
              <w:left w:val="single" w:color="000000" w:sz="4" w:space="0"/>
              <w:bottom w:val="single" w:color="auto" w:sz="4" w:space="0"/>
              <w:right w:val="single" w:color="000000" w:sz="4" w:space="0"/>
            </w:tcBorders>
            <w:shd w:val="clear" w:color="auto" w:fill="FFFFFF"/>
            <w:vAlign w:val="center"/>
          </w:tcPr>
          <w:p w14:paraId="5A50C739">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auto" w:sz="4" w:space="0"/>
              <w:left w:val="single" w:color="000000" w:sz="4" w:space="0"/>
              <w:bottom w:val="single" w:color="auto" w:sz="4" w:space="0"/>
              <w:right w:val="single" w:color="000000" w:sz="4" w:space="0"/>
            </w:tcBorders>
            <w:shd w:val="clear" w:color="auto" w:fill="FFFFFF"/>
            <w:vAlign w:val="center"/>
          </w:tcPr>
          <w:p w14:paraId="67F7C952">
            <w:pPr>
              <w:jc w:val="center"/>
              <w:rPr>
                <w:rFonts w:hint="eastAsia" w:ascii="宋体" w:hAnsi="宋体" w:cs="宋体"/>
                <w:color w:val="000000" w:themeColor="text1"/>
                <w:sz w:val="22"/>
                <w:szCs w:val="22"/>
                <w14:textFill>
                  <w14:solidFill>
                    <w14:schemeClr w14:val="tx1"/>
                  </w14:solidFill>
                </w14:textFill>
              </w:rPr>
            </w:pPr>
          </w:p>
        </w:tc>
      </w:tr>
      <w:bookmarkEnd w:id="98"/>
      <w:tr w14:paraId="11A8EF94">
        <w:tblPrEx>
          <w:tblCellMar>
            <w:top w:w="0" w:type="dxa"/>
            <w:left w:w="108" w:type="dxa"/>
            <w:bottom w:w="0" w:type="dxa"/>
            <w:right w:w="108" w:type="dxa"/>
          </w:tblCellMar>
        </w:tblPrEx>
        <w:trPr>
          <w:trHeight w:val="106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37FA082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23</w:t>
            </w:r>
          </w:p>
        </w:tc>
        <w:tc>
          <w:tcPr>
            <w:tcW w:w="2757" w:type="dxa"/>
            <w:tcBorders>
              <w:top w:val="single" w:color="000000" w:sz="4" w:space="0"/>
              <w:left w:val="single" w:color="000000" w:sz="4" w:space="0"/>
              <w:bottom w:val="single" w:color="000000" w:sz="4" w:space="0"/>
              <w:right w:val="single" w:color="auto" w:sz="4" w:space="0"/>
            </w:tcBorders>
            <w:vAlign w:val="center"/>
          </w:tcPr>
          <w:p w14:paraId="0E18CF17">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顶装固定支架护罩</w:t>
            </w:r>
          </w:p>
        </w:tc>
        <w:tc>
          <w:tcPr>
            <w:tcW w:w="5770" w:type="dxa"/>
            <w:tcBorders>
              <w:top w:val="single" w:color="auto" w:sz="4" w:space="0"/>
              <w:left w:val="single" w:color="auto" w:sz="4" w:space="0"/>
              <w:bottom w:val="single" w:color="auto" w:sz="4" w:space="0"/>
              <w:right w:val="single" w:color="auto" w:sz="4" w:space="0"/>
            </w:tcBorders>
            <w:shd w:val="clear" w:color="auto" w:fill="FFFFFF"/>
            <w:vAlign w:val="center"/>
          </w:tcPr>
          <w:p w14:paraId="68CD5AED">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采用高分子改性材料，精密挤出工艺成型，采取模块组合，便于安装及维护，外观流线形设计,表面经镜面抛光技术处理、美观且易于清洁。</w:t>
            </w:r>
          </w:p>
        </w:tc>
        <w:tc>
          <w:tcPr>
            <w:tcW w:w="500" w:type="dxa"/>
            <w:tcBorders>
              <w:top w:val="single" w:color="auto" w:sz="4" w:space="0"/>
              <w:left w:val="single" w:color="auto" w:sz="4" w:space="0"/>
              <w:bottom w:val="single" w:color="auto" w:sz="4" w:space="0"/>
              <w:right w:val="single" w:color="auto" w:sz="4" w:space="0"/>
            </w:tcBorders>
            <w:shd w:val="clear" w:color="auto" w:fill="FFFFFF"/>
            <w:vAlign w:val="center"/>
          </w:tcPr>
          <w:p w14:paraId="2926316E">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auto" w:sz="4" w:space="0"/>
              <w:left w:val="single" w:color="auto" w:sz="4" w:space="0"/>
              <w:bottom w:val="single" w:color="auto" w:sz="4" w:space="0"/>
              <w:right w:val="single" w:color="auto" w:sz="4" w:space="0"/>
            </w:tcBorders>
            <w:shd w:val="clear" w:color="auto" w:fill="FFFFFF"/>
            <w:vAlign w:val="center"/>
          </w:tcPr>
          <w:p w14:paraId="3943220D">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5F7E257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drawing>
                <wp:inline distT="0" distB="0" distL="114300" distR="114300">
                  <wp:extent cx="1151890" cy="964565"/>
                  <wp:effectExtent l="0" t="0" r="10160" b="6985"/>
                  <wp:docPr id="4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descr="IMG_264"/>
                          <pic:cNvPicPr>
                            <a:picLocks noChangeAspect="1"/>
                          </pic:cNvPicPr>
                        </pic:nvPicPr>
                        <pic:blipFill>
                          <a:blip r:embed="rId44"/>
                          <a:stretch>
                            <a:fillRect/>
                          </a:stretch>
                        </pic:blipFill>
                        <pic:spPr>
                          <a:xfrm>
                            <a:off x="0" y="0"/>
                            <a:ext cx="1151890" cy="964565"/>
                          </a:xfrm>
                          <a:prstGeom prst="rect">
                            <a:avLst/>
                          </a:prstGeom>
                          <a:noFill/>
                          <a:ln w="9525">
                            <a:noFill/>
                          </a:ln>
                        </pic:spPr>
                      </pic:pic>
                    </a:graphicData>
                  </a:graphic>
                </wp:inline>
              </w:drawing>
            </w:r>
          </w:p>
        </w:tc>
        <w:tc>
          <w:tcPr>
            <w:tcW w:w="1150" w:type="dxa"/>
            <w:tcBorders>
              <w:top w:val="single" w:color="auto" w:sz="4" w:space="0"/>
              <w:left w:val="single" w:color="auto" w:sz="4" w:space="0"/>
              <w:bottom w:val="single" w:color="auto" w:sz="4" w:space="0"/>
              <w:right w:val="single" w:color="auto" w:sz="4" w:space="0"/>
            </w:tcBorders>
            <w:shd w:val="clear" w:color="auto" w:fill="FFFFFF"/>
            <w:vAlign w:val="center"/>
          </w:tcPr>
          <w:p w14:paraId="056F15EE">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p>
        </w:tc>
      </w:tr>
      <w:tr w14:paraId="56123536">
        <w:tblPrEx>
          <w:tblCellMar>
            <w:top w:w="0" w:type="dxa"/>
            <w:left w:w="108" w:type="dxa"/>
            <w:bottom w:w="0" w:type="dxa"/>
            <w:right w:w="108" w:type="dxa"/>
          </w:tblCellMar>
        </w:tblPrEx>
        <w:trPr>
          <w:trHeight w:val="106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18FBC96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24</w:t>
            </w:r>
          </w:p>
        </w:tc>
        <w:tc>
          <w:tcPr>
            <w:tcW w:w="2757" w:type="dxa"/>
            <w:tcBorders>
              <w:top w:val="single" w:color="000000" w:sz="4" w:space="0"/>
              <w:left w:val="single" w:color="000000" w:sz="4" w:space="0"/>
              <w:bottom w:val="single" w:color="000000" w:sz="4" w:space="0"/>
              <w:right w:val="single" w:color="auto" w:sz="4" w:space="0"/>
            </w:tcBorders>
            <w:vAlign w:val="center"/>
          </w:tcPr>
          <w:p w14:paraId="0E691BB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顶装摇臂动力装置</w:t>
            </w:r>
          </w:p>
        </w:tc>
        <w:tc>
          <w:tcPr>
            <w:tcW w:w="5770" w:type="dxa"/>
            <w:tcBorders>
              <w:top w:val="single" w:color="auto" w:sz="4" w:space="0"/>
              <w:left w:val="single" w:color="auto" w:sz="4" w:space="0"/>
              <w:bottom w:val="single" w:color="auto" w:sz="4" w:space="0"/>
              <w:right w:val="single" w:color="auto" w:sz="4" w:space="0"/>
            </w:tcBorders>
            <w:shd w:val="clear" w:color="auto" w:fill="FFFFFF"/>
            <w:vAlign w:val="center"/>
          </w:tcPr>
          <w:p w14:paraId="71597CB8">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动力选用智能吊装推杆装置，超静音安全低压直流24V低压电机动力，摇臂采用规格为直径65MM，厚度1.5MM优质铝合金挤压成型，摇臂连接座采用优质铝合金模具压铸经CNC加工成型，动力装置和主体结构模块化组合，安装维护便捷，运行无噪音。</w:t>
            </w:r>
          </w:p>
        </w:tc>
        <w:tc>
          <w:tcPr>
            <w:tcW w:w="500" w:type="dxa"/>
            <w:tcBorders>
              <w:top w:val="single" w:color="auto" w:sz="4" w:space="0"/>
              <w:left w:val="single" w:color="auto" w:sz="4" w:space="0"/>
              <w:bottom w:val="single" w:color="auto" w:sz="4" w:space="0"/>
              <w:right w:val="single" w:color="auto" w:sz="4" w:space="0"/>
            </w:tcBorders>
            <w:shd w:val="clear" w:color="auto" w:fill="FFFFFF"/>
            <w:vAlign w:val="center"/>
          </w:tcPr>
          <w:p w14:paraId="111289F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auto" w:sz="4" w:space="0"/>
              <w:left w:val="single" w:color="auto" w:sz="4" w:space="0"/>
              <w:bottom w:val="single" w:color="auto" w:sz="4" w:space="0"/>
              <w:right w:val="single" w:color="auto" w:sz="4" w:space="0"/>
            </w:tcBorders>
            <w:shd w:val="clear" w:color="auto" w:fill="FFFFFF"/>
            <w:vAlign w:val="center"/>
          </w:tcPr>
          <w:p w14:paraId="0F44A58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个</w:t>
            </w:r>
          </w:p>
        </w:tc>
        <w:tc>
          <w:tcPr>
            <w:tcW w:w="334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78ECDC2">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auto" w:sz="4" w:space="0"/>
              <w:left w:val="single" w:color="auto" w:sz="4" w:space="0"/>
              <w:bottom w:val="single" w:color="auto" w:sz="4" w:space="0"/>
              <w:right w:val="single" w:color="auto" w:sz="4" w:space="0"/>
            </w:tcBorders>
            <w:shd w:val="clear" w:color="auto" w:fill="FFFFFF"/>
            <w:vAlign w:val="center"/>
          </w:tcPr>
          <w:p w14:paraId="1C7881A4">
            <w:pPr>
              <w:jc w:val="center"/>
              <w:rPr>
                <w:rFonts w:hint="eastAsia" w:ascii="宋体" w:hAnsi="宋体" w:cs="宋体"/>
                <w:color w:val="000000" w:themeColor="text1"/>
                <w:sz w:val="22"/>
                <w:szCs w:val="22"/>
                <w14:textFill>
                  <w14:solidFill>
                    <w14:schemeClr w14:val="tx1"/>
                  </w14:solidFill>
                </w14:textFill>
              </w:rPr>
            </w:pPr>
          </w:p>
        </w:tc>
      </w:tr>
      <w:tr w14:paraId="521D3AD2">
        <w:tblPrEx>
          <w:tblCellMar>
            <w:top w:w="0" w:type="dxa"/>
            <w:left w:w="108" w:type="dxa"/>
            <w:bottom w:w="0" w:type="dxa"/>
            <w:right w:w="108" w:type="dxa"/>
          </w:tblCellMar>
        </w:tblPrEx>
        <w:trPr>
          <w:trHeight w:val="495"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1390412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25</w:t>
            </w:r>
          </w:p>
        </w:tc>
        <w:tc>
          <w:tcPr>
            <w:tcW w:w="2757" w:type="dxa"/>
            <w:tcBorders>
              <w:top w:val="single" w:color="000000" w:sz="4" w:space="0"/>
              <w:left w:val="single" w:color="000000" w:sz="4" w:space="0"/>
              <w:bottom w:val="single" w:color="000000" w:sz="4" w:space="0"/>
              <w:right w:val="single" w:color="auto" w:sz="4" w:space="0"/>
            </w:tcBorders>
            <w:vAlign w:val="center"/>
          </w:tcPr>
          <w:p w14:paraId="201FEAD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顶装摇臂智能软件控制器</w:t>
            </w:r>
          </w:p>
        </w:tc>
        <w:tc>
          <w:tcPr>
            <w:tcW w:w="5770" w:type="dxa"/>
            <w:tcBorders>
              <w:top w:val="single" w:color="auto" w:sz="4" w:space="0"/>
              <w:left w:val="single" w:color="auto" w:sz="4" w:space="0"/>
              <w:bottom w:val="single" w:color="auto" w:sz="4" w:space="0"/>
              <w:right w:val="single" w:color="auto" w:sz="4" w:space="0"/>
            </w:tcBorders>
            <w:shd w:val="clear" w:color="auto" w:fill="FFFFFF"/>
            <w:vAlign w:val="center"/>
          </w:tcPr>
          <w:p w14:paraId="03809E50">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控制模板能接收智能化主控制系统控制通信，控制摇臂升降、通风、供水、排水、电流、电压、灯光、供电状态、电流过载、摇臂升降状态、语音提示报警及系统故障提示等信号采集处理，反馈一切信息和主控系统进行自动化处理。</w:t>
            </w:r>
          </w:p>
        </w:tc>
        <w:tc>
          <w:tcPr>
            <w:tcW w:w="500" w:type="dxa"/>
            <w:tcBorders>
              <w:top w:val="single" w:color="auto" w:sz="4" w:space="0"/>
              <w:left w:val="single" w:color="auto" w:sz="4" w:space="0"/>
              <w:bottom w:val="single" w:color="auto" w:sz="4" w:space="0"/>
              <w:right w:val="single" w:color="auto" w:sz="4" w:space="0"/>
            </w:tcBorders>
            <w:shd w:val="clear" w:color="auto" w:fill="FFFFFF"/>
            <w:vAlign w:val="center"/>
          </w:tcPr>
          <w:p w14:paraId="784607A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auto" w:sz="4" w:space="0"/>
              <w:left w:val="single" w:color="auto" w:sz="4" w:space="0"/>
              <w:bottom w:val="single" w:color="auto" w:sz="4" w:space="0"/>
              <w:right w:val="single" w:color="auto" w:sz="4" w:space="0"/>
            </w:tcBorders>
            <w:shd w:val="clear" w:color="auto" w:fill="FFFFFF"/>
            <w:vAlign w:val="center"/>
          </w:tcPr>
          <w:p w14:paraId="319F778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4DB9D10F">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auto" w:sz="4" w:space="0"/>
              <w:left w:val="single" w:color="auto" w:sz="4" w:space="0"/>
              <w:bottom w:val="single" w:color="auto" w:sz="4" w:space="0"/>
              <w:right w:val="single" w:color="auto" w:sz="4" w:space="0"/>
            </w:tcBorders>
            <w:shd w:val="clear" w:color="auto" w:fill="FFFFFF"/>
            <w:vAlign w:val="center"/>
          </w:tcPr>
          <w:p w14:paraId="6C9603D0">
            <w:pPr>
              <w:jc w:val="center"/>
              <w:rPr>
                <w:rFonts w:hint="eastAsia" w:ascii="宋体" w:hAnsi="宋体" w:cs="宋体"/>
                <w:color w:val="000000" w:themeColor="text1"/>
                <w:sz w:val="22"/>
                <w:szCs w:val="22"/>
                <w14:textFill>
                  <w14:solidFill>
                    <w14:schemeClr w14:val="tx1"/>
                  </w14:solidFill>
                </w14:textFill>
              </w:rPr>
            </w:pPr>
          </w:p>
        </w:tc>
      </w:tr>
      <w:tr w14:paraId="6983A80A">
        <w:tblPrEx>
          <w:tblCellMar>
            <w:top w:w="0" w:type="dxa"/>
            <w:left w:w="108" w:type="dxa"/>
            <w:bottom w:w="0" w:type="dxa"/>
            <w:right w:w="108" w:type="dxa"/>
          </w:tblCellMar>
        </w:tblPrEx>
        <w:trPr>
          <w:trHeight w:val="106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466678A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26</w:t>
            </w:r>
          </w:p>
        </w:tc>
        <w:tc>
          <w:tcPr>
            <w:tcW w:w="2757" w:type="dxa"/>
            <w:tcBorders>
              <w:top w:val="single" w:color="000000" w:sz="4" w:space="0"/>
              <w:left w:val="single" w:color="000000" w:sz="4" w:space="0"/>
              <w:bottom w:val="single" w:color="000000" w:sz="4" w:space="0"/>
              <w:right w:val="single" w:color="auto" w:sz="4" w:space="0"/>
            </w:tcBorders>
            <w:vAlign w:val="center"/>
          </w:tcPr>
          <w:p w14:paraId="642FB43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智能电源腔体</w:t>
            </w:r>
          </w:p>
        </w:tc>
        <w:tc>
          <w:tcPr>
            <w:tcW w:w="5770" w:type="dxa"/>
            <w:tcBorders>
              <w:top w:val="single" w:color="auto" w:sz="4" w:space="0"/>
              <w:left w:val="single" w:color="auto" w:sz="4" w:space="0"/>
              <w:bottom w:val="single" w:color="auto" w:sz="4" w:space="0"/>
              <w:right w:val="single" w:color="auto" w:sz="4" w:space="0"/>
            </w:tcBorders>
            <w:shd w:val="clear" w:color="auto" w:fill="FFFFFF"/>
            <w:vAlign w:val="center"/>
          </w:tcPr>
          <w:p w14:paraId="1521DDD4">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腔体采用阻燃级ABS塑料原料经开发模具注塑一次性加工成型，生产工艺采用模块化组合，模块内部采用双舱体设计，水电隔离设计，防水功能，相互不干扰，保证设备安全可靠性预留多个供应系统安装位置可适应不同教学实验要求。</w:t>
            </w:r>
          </w:p>
        </w:tc>
        <w:tc>
          <w:tcPr>
            <w:tcW w:w="500" w:type="dxa"/>
            <w:tcBorders>
              <w:top w:val="single" w:color="auto" w:sz="4" w:space="0"/>
              <w:left w:val="single" w:color="auto" w:sz="4" w:space="0"/>
              <w:bottom w:val="single" w:color="auto" w:sz="4" w:space="0"/>
              <w:right w:val="single" w:color="auto" w:sz="4" w:space="0"/>
            </w:tcBorders>
            <w:shd w:val="clear" w:color="auto" w:fill="FFFFFF"/>
            <w:vAlign w:val="center"/>
          </w:tcPr>
          <w:p w14:paraId="4F47CFCD">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auto" w:sz="4" w:space="0"/>
              <w:left w:val="single" w:color="auto" w:sz="4" w:space="0"/>
              <w:bottom w:val="single" w:color="auto" w:sz="4" w:space="0"/>
              <w:right w:val="single" w:color="auto" w:sz="4" w:space="0"/>
            </w:tcBorders>
            <w:shd w:val="clear" w:color="auto" w:fill="FFFFFF"/>
            <w:vAlign w:val="center"/>
          </w:tcPr>
          <w:p w14:paraId="10FBD7B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个</w:t>
            </w:r>
          </w:p>
        </w:tc>
        <w:tc>
          <w:tcPr>
            <w:tcW w:w="334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8907FEC">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auto" w:sz="4" w:space="0"/>
              <w:left w:val="single" w:color="auto" w:sz="4" w:space="0"/>
              <w:bottom w:val="single" w:color="auto" w:sz="4" w:space="0"/>
              <w:right w:val="single" w:color="auto" w:sz="4" w:space="0"/>
            </w:tcBorders>
            <w:shd w:val="clear" w:color="auto" w:fill="FFFFFF"/>
            <w:vAlign w:val="center"/>
          </w:tcPr>
          <w:p w14:paraId="4A8849CA">
            <w:pPr>
              <w:jc w:val="center"/>
              <w:rPr>
                <w:rFonts w:hint="eastAsia" w:ascii="宋体" w:hAnsi="宋体" w:cs="宋体"/>
                <w:color w:val="000000" w:themeColor="text1"/>
                <w:sz w:val="22"/>
                <w:szCs w:val="22"/>
                <w14:textFill>
                  <w14:solidFill>
                    <w14:schemeClr w14:val="tx1"/>
                  </w14:solidFill>
                </w14:textFill>
              </w:rPr>
            </w:pPr>
          </w:p>
        </w:tc>
      </w:tr>
      <w:tr w14:paraId="3FA51389">
        <w:tblPrEx>
          <w:tblCellMar>
            <w:top w:w="0" w:type="dxa"/>
            <w:left w:w="108" w:type="dxa"/>
            <w:bottom w:w="0" w:type="dxa"/>
            <w:right w:w="108" w:type="dxa"/>
          </w:tblCellMar>
        </w:tblPrEx>
        <w:trPr>
          <w:trHeight w:val="106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7AD289C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27</w:t>
            </w:r>
          </w:p>
        </w:tc>
        <w:tc>
          <w:tcPr>
            <w:tcW w:w="2757" w:type="dxa"/>
            <w:tcBorders>
              <w:top w:val="single" w:color="000000" w:sz="4" w:space="0"/>
              <w:left w:val="single" w:color="000000" w:sz="4" w:space="0"/>
              <w:bottom w:val="single" w:color="000000" w:sz="4" w:space="0"/>
              <w:right w:val="single" w:color="000000" w:sz="4" w:space="0"/>
            </w:tcBorders>
            <w:vAlign w:val="center"/>
          </w:tcPr>
          <w:p w14:paraId="79FCAB0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摇臂显示器</w:t>
            </w:r>
          </w:p>
        </w:tc>
        <w:tc>
          <w:tcPr>
            <w:tcW w:w="577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6D3AF30D">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显示屏采用4.5寸TFT-LCD液晶显示屏，界面可显示通风、供水、排水、电流、电压、灯光、供电状态、电流过载提示、摇臂升降状态、语音提示报警及系统故障提示功能，显示设定及实际电压值；吊装工作状态，吸风罩有无回位，水槽水位状态，操作失误及系统故障实时警示提醒，便于老师及学生了解操作情况。</w:t>
            </w:r>
          </w:p>
        </w:tc>
        <w:tc>
          <w:tcPr>
            <w:tcW w:w="50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098B382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24</w:t>
            </w:r>
          </w:p>
        </w:tc>
        <w:tc>
          <w:tcPr>
            <w:tcW w:w="50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3CF50DF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个</w:t>
            </w:r>
          </w:p>
        </w:tc>
        <w:tc>
          <w:tcPr>
            <w:tcW w:w="334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2024F374">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drawing>
                <wp:inline distT="0" distB="0" distL="114300" distR="114300">
                  <wp:extent cx="838200" cy="600075"/>
                  <wp:effectExtent l="0" t="0" r="0" b="9525"/>
                  <wp:docPr id="1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65"/>
                          <pic:cNvPicPr>
                            <a:picLocks noChangeAspect="1"/>
                          </pic:cNvPicPr>
                        </pic:nvPicPr>
                        <pic:blipFill>
                          <a:blip r:embed="rId45"/>
                          <a:stretch>
                            <a:fillRect/>
                          </a:stretch>
                        </pic:blipFill>
                        <pic:spPr>
                          <a:xfrm>
                            <a:off x="0" y="0"/>
                            <a:ext cx="838200" cy="600075"/>
                          </a:xfrm>
                          <a:prstGeom prst="rect">
                            <a:avLst/>
                          </a:prstGeom>
                          <a:noFill/>
                          <a:ln w="9525">
                            <a:noFill/>
                          </a:ln>
                        </pic:spPr>
                      </pic:pic>
                    </a:graphicData>
                  </a:graphic>
                </wp:inline>
              </w:drawing>
            </w:r>
          </w:p>
        </w:tc>
        <w:tc>
          <w:tcPr>
            <w:tcW w:w="115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449C6A41">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r>
      <w:tr w14:paraId="2CEFE3EC">
        <w:tblPrEx>
          <w:tblCellMar>
            <w:top w:w="0" w:type="dxa"/>
            <w:left w:w="108" w:type="dxa"/>
            <w:bottom w:w="0" w:type="dxa"/>
            <w:right w:w="108" w:type="dxa"/>
          </w:tblCellMar>
        </w:tblPrEx>
        <w:trPr>
          <w:trHeight w:val="9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3AEB330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28</w:t>
            </w:r>
          </w:p>
        </w:tc>
        <w:tc>
          <w:tcPr>
            <w:tcW w:w="2757" w:type="dxa"/>
            <w:tcBorders>
              <w:top w:val="single" w:color="000000" w:sz="4" w:space="0"/>
              <w:left w:val="single" w:color="000000" w:sz="4" w:space="0"/>
              <w:bottom w:val="single" w:color="000000" w:sz="4" w:space="0"/>
              <w:right w:val="single" w:color="000000" w:sz="4" w:space="0"/>
            </w:tcBorders>
            <w:vAlign w:val="center"/>
          </w:tcPr>
          <w:p w14:paraId="6C117F9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多功能电源模块</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589AD8">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1.电路板采用贴片元件生产技术，微电脑控制。</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2.操作面板规格：≥164mm*168mm*20mm，采用耐磨、耐腐蚀、耐高温,耐冲击的1.0mm厚PC板材极光切割触摸面板工艺制造，内含新国标多功能5孔插座2个和USB接口2个。</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3.交直流电源具有过载保护智能检测功能，设置“过载”图标提示。采用按钮复位功能免除反复过载冲击负载。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4.学生高压电源可接收主控电源发送的锁定信号，学生接收老输送的设定电源电压，教师锁定时，学生自己无法操作，老师端可以分组或独立控制。</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394C5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24</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31EFB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个</w:t>
            </w:r>
          </w:p>
        </w:tc>
        <w:tc>
          <w:tcPr>
            <w:tcW w:w="33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3C6C22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drawing>
                <wp:inline distT="0" distB="0" distL="114300" distR="114300">
                  <wp:extent cx="934720" cy="800735"/>
                  <wp:effectExtent l="0" t="0" r="17780" b="18415"/>
                  <wp:docPr id="3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descr="IMG_266"/>
                          <pic:cNvPicPr>
                            <a:picLocks noChangeAspect="1"/>
                          </pic:cNvPicPr>
                        </pic:nvPicPr>
                        <pic:blipFill>
                          <a:blip r:embed="rId46"/>
                          <a:stretch>
                            <a:fillRect/>
                          </a:stretch>
                        </pic:blipFill>
                        <pic:spPr>
                          <a:xfrm>
                            <a:off x="0" y="0"/>
                            <a:ext cx="934720" cy="800735"/>
                          </a:xfrm>
                          <a:prstGeom prst="rect">
                            <a:avLst/>
                          </a:prstGeom>
                          <a:noFill/>
                          <a:ln w="9525">
                            <a:noFill/>
                          </a:ln>
                        </pic:spPr>
                      </pic:pic>
                    </a:graphicData>
                  </a:graphic>
                </wp:inline>
              </w:drawing>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26D18">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p>
        </w:tc>
      </w:tr>
      <w:tr w14:paraId="3882D64F">
        <w:tblPrEx>
          <w:tblCellMar>
            <w:top w:w="0" w:type="dxa"/>
            <w:left w:w="108" w:type="dxa"/>
            <w:bottom w:w="0" w:type="dxa"/>
            <w:right w:w="108" w:type="dxa"/>
          </w:tblCellMar>
        </w:tblPrEx>
        <w:trPr>
          <w:trHeight w:val="106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0A07A30A">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29</w:t>
            </w:r>
          </w:p>
        </w:tc>
        <w:tc>
          <w:tcPr>
            <w:tcW w:w="2757" w:type="dxa"/>
            <w:tcBorders>
              <w:top w:val="single" w:color="000000" w:sz="4" w:space="0"/>
              <w:left w:val="single" w:color="000000" w:sz="4" w:space="0"/>
              <w:bottom w:val="single" w:color="000000" w:sz="4" w:space="0"/>
              <w:right w:val="single" w:color="000000" w:sz="4" w:space="0"/>
            </w:tcBorders>
            <w:vAlign w:val="center"/>
          </w:tcPr>
          <w:p w14:paraId="620662FD">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急停控制装置</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107222">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采用独立控制软件控制，通过急停按钮给出信号源，由智能控制软件自动处理分析。防止在操作实验过程中水、电系统出现故障时紧急制动及摇臂升降过程紧急制动。</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F73D3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F56AE2">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个</w:t>
            </w:r>
          </w:p>
        </w:tc>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124781">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4DECD1">
            <w:pPr>
              <w:jc w:val="center"/>
              <w:rPr>
                <w:rFonts w:hint="eastAsia" w:ascii="宋体" w:hAnsi="宋体" w:cs="宋体"/>
                <w:color w:val="000000" w:themeColor="text1"/>
                <w:sz w:val="22"/>
                <w:szCs w:val="22"/>
                <w14:textFill>
                  <w14:solidFill>
                    <w14:schemeClr w14:val="tx1"/>
                  </w14:solidFill>
                </w14:textFill>
              </w:rPr>
            </w:pPr>
          </w:p>
        </w:tc>
      </w:tr>
      <w:tr w14:paraId="151B6034">
        <w:tblPrEx>
          <w:tblCellMar>
            <w:top w:w="0" w:type="dxa"/>
            <w:left w:w="108" w:type="dxa"/>
            <w:bottom w:w="0" w:type="dxa"/>
            <w:right w:w="108" w:type="dxa"/>
          </w:tblCellMar>
        </w:tblPrEx>
        <w:trPr>
          <w:trHeight w:val="106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0E645A0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30</w:t>
            </w:r>
          </w:p>
        </w:tc>
        <w:tc>
          <w:tcPr>
            <w:tcW w:w="2757" w:type="dxa"/>
            <w:tcBorders>
              <w:top w:val="single" w:color="000000" w:sz="4" w:space="0"/>
              <w:left w:val="single" w:color="000000" w:sz="4" w:space="0"/>
              <w:bottom w:val="single" w:color="000000" w:sz="4" w:space="0"/>
              <w:right w:val="single" w:color="000000" w:sz="4" w:space="0"/>
            </w:tcBorders>
            <w:vAlign w:val="center"/>
          </w:tcPr>
          <w:p w14:paraId="3ADDD93E">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模块化供电线路</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E3E32E">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信号屏蔽线及电源线采取集数化设计，电线进行系统布线（采购国标免检产品），每组模块间采用活接式连接。</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F5CBD">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5906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E1C624">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7B1D2F">
            <w:pPr>
              <w:jc w:val="center"/>
              <w:rPr>
                <w:rFonts w:hint="eastAsia" w:ascii="宋体" w:hAnsi="宋体" w:cs="宋体"/>
                <w:color w:val="000000" w:themeColor="text1"/>
                <w:sz w:val="22"/>
                <w:szCs w:val="22"/>
                <w14:textFill>
                  <w14:solidFill>
                    <w14:schemeClr w14:val="tx1"/>
                  </w14:solidFill>
                </w14:textFill>
              </w:rPr>
            </w:pPr>
          </w:p>
        </w:tc>
      </w:tr>
      <w:tr w14:paraId="7AFA0F95">
        <w:tblPrEx>
          <w:tblCellMar>
            <w:top w:w="0" w:type="dxa"/>
            <w:left w:w="108" w:type="dxa"/>
            <w:bottom w:w="0" w:type="dxa"/>
            <w:right w:w="108" w:type="dxa"/>
          </w:tblCellMar>
        </w:tblPrEx>
        <w:trPr>
          <w:trHeight w:val="106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5646735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31</w:t>
            </w:r>
          </w:p>
        </w:tc>
        <w:tc>
          <w:tcPr>
            <w:tcW w:w="2757" w:type="dxa"/>
            <w:tcBorders>
              <w:top w:val="single" w:color="000000" w:sz="4" w:space="0"/>
              <w:left w:val="single" w:color="000000" w:sz="4" w:space="0"/>
              <w:bottom w:val="single" w:color="000000" w:sz="4" w:space="0"/>
              <w:right w:val="single" w:color="000000" w:sz="4" w:space="0"/>
            </w:tcBorders>
            <w:vAlign w:val="center"/>
          </w:tcPr>
          <w:p w14:paraId="67C3E99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智能照明控制装置</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E5DC10">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灯光采用2个≥1200mm*72mm标准LED吸顶模组，每个模组功率24W，灯板采用2.0mm厚pc光扩散板；模块化安装，所有灯光模组由独立控制软件系统控制，可以根据实际照明需求进行2个模组单个关闭及开启功能。</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383C3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6ABAC2">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8B87D6">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E6CAAC">
            <w:pPr>
              <w:jc w:val="center"/>
              <w:rPr>
                <w:rFonts w:hint="eastAsia" w:ascii="宋体" w:hAnsi="宋体" w:cs="宋体"/>
                <w:color w:val="000000" w:themeColor="text1"/>
                <w:sz w:val="22"/>
                <w:szCs w:val="22"/>
                <w14:textFill>
                  <w14:solidFill>
                    <w14:schemeClr w14:val="tx1"/>
                  </w14:solidFill>
                </w14:textFill>
              </w:rPr>
            </w:pPr>
          </w:p>
        </w:tc>
      </w:tr>
      <w:tr w14:paraId="146BCC47">
        <w:tblPrEx>
          <w:tblCellMar>
            <w:top w:w="0" w:type="dxa"/>
            <w:left w:w="108" w:type="dxa"/>
            <w:bottom w:w="0" w:type="dxa"/>
            <w:right w:w="108" w:type="dxa"/>
          </w:tblCellMar>
        </w:tblPrEx>
        <w:trPr>
          <w:trHeight w:val="9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6634C4EE">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32</w:t>
            </w:r>
          </w:p>
        </w:tc>
        <w:tc>
          <w:tcPr>
            <w:tcW w:w="2757" w:type="dxa"/>
            <w:tcBorders>
              <w:top w:val="single" w:color="000000" w:sz="4" w:space="0"/>
              <w:left w:val="single" w:color="000000" w:sz="4" w:space="0"/>
              <w:bottom w:val="single" w:color="000000" w:sz="4" w:space="0"/>
              <w:right w:val="single" w:color="000000" w:sz="4" w:space="0"/>
            </w:tcBorders>
            <w:vAlign w:val="center"/>
          </w:tcPr>
          <w:p w14:paraId="1173DDC4">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万向吸风罩一体式集成</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0F72FC">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万向吊装吸风帽，吸风罩集成于吊装一体内，随摇臂面板一起运动，不使用时一起收于吊装内，老师授课时不挡学生视线。</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1. 关节：与吊装主体连接处关节采用铝合金压铸成型工艺，后期CNC定位加工，使摇臂实现90°旋转。</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 关节密封圈：采用高密度橡胶。</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 伸缩管：前两段风管采用铝合金精密管伸缩结构，内壁连接处采用高密度PP材质密封，伸出顺畅。</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 尾端风管：尾端风管采用定向风管，随意弯曲定向。管壁硬质pvc料 壁厚3.5mm 使用温度-10度至100度。</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 风罩固定柄：采用PP料一体成型，两段设计有双卡口，使用完毕后双卡口扣与伸缩管尾端，整体机构紧凑，可以与摇臂一起收藏与整体吊装内。</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6. 拱形集气罩：直径160mm高75mm，采用高密度高弹性橡胶吸风罩。</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▲7.依据GB/T11547-2008,耐腐蚀性能：在（30%硫酸）、耐腐蚀（30%氢氧化钠）、耐腐蚀（甲苯）、耐腐蚀（乙醚）在常温下浸泡≥48小时表面无变化；依据GB/T2433.2-2008试验Bb,耐高温：110度1小时表面无变化；</w:t>
            </w:r>
          </w:p>
          <w:p w14:paraId="5CBAEBA9">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b/>
                <w:bCs/>
                <w:kern w:val="0"/>
                <w:szCs w:val="21"/>
                <w:lang w:bidi="ar"/>
              </w:rPr>
              <w:t>提供具备CMA或CNAS标识的第三方检测机构出具</w:t>
            </w:r>
            <w:r>
              <w:rPr>
                <w:rFonts w:hint="eastAsia" w:ascii="宋体" w:hAnsi="宋体" w:cs="宋体"/>
                <w:color w:val="000000" w:themeColor="text1"/>
                <w:kern w:val="0"/>
                <w:sz w:val="22"/>
                <w:szCs w:val="22"/>
                <w:lang w:bidi="ar"/>
                <w14:textFill>
                  <w14:solidFill>
                    <w14:schemeClr w14:val="tx1"/>
                  </w14:solidFill>
                </w14:textFill>
              </w:rPr>
              <w:t>的</w:t>
            </w:r>
            <w:r>
              <w:rPr>
                <w:rFonts w:hint="eastAsia" w:ascii="宋体" w:hAnsi="宋体"/>
                <w:b/>
                <w:bCs/>
                <w:kern w:val="0"/>
              </w:rPr>
              <w:t>检测报告复印件加盖供应商公章</w:t>
            </w:r>
            <w:r>
              <w:rPr>
                <w:rFonts w:hint="eastAsia" w:ascii="宋体" w:hAnsi="宋体" w:cs="宋体"/>
                <w:color w:val="000000" w:themeColor="text1"/>
                <w:kern w:val="0"/>
                <w:sz w:val="22"/>
                <w:szCs w:val="22"/>
                <w:lang w:bidi="ar"/>
                <w14:textFill>
                  <w14:solidFill>
                    <w14:schemeClr w14:val="tx1"/>
                  </w14:solidFill>
                </w14:textFill>
              </w:rPr>
              <w:t xml:space="preserve">。             </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EFA27E">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24</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39650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个</w:t>
            </w:r>
          </w:p>
        </w:tc>
        <w:tc>
          <w:tcPr>
            <w:tcW w:w="33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E6CD8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drawing>
                <wp:inline distT="0" distB="0" distL="114300" distR="114300">
                  <wp:extent cx="457200" cy="990600"/>
                  <wp:effectExtent l="0" t="0" r="0" b="0"/>
                  <wp:docPr id="4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descr="IMG_267"/>
                          <pic:cNvPicPr>
                            <a:picLocks noChangeAspect="1"/>
                          </pic:cNvPicPr>
                        </pic:nvPicPr>
                        <pic:blipFill>
                          <a:blip r:embed="rId47"/>
                          <a:stretch>
                            <a:fillRect/>
                          </a:stretch>
                        </pic:blipFill>
                        <pic:spPr>
                          <a:xfrm>
                            <a:off x="0" y="0"/>
                            <a:ext cx="457200" cy="990600"/>
                          </a:xfrm>
                          <a:prstGeom prst="rect">
                            <a:avLst/>
                          </a:prstGeom>
                          <a:noFill/>
                          <a:ln w="9525">
                            <a:noFill/>
                          </a:ln>
                        </pic:spPr>
                      </pic:pic>
                    </a:graphicData>
                  </a:graphic>
                </wp:inline>
              </w:drawing>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66E4FE">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r>
      <w:tr w14:paraId="45E63445">
        <w:tblPrEx>
          <w:tblCellMar>
            <w:top w:w="0" w:type="dxa"/>
            <w:left w:w="108" w:type="dxa"/>
            <w:bottom w:w="0" w:type="dxa"/>
            <w:right w:w="108" w:type="dxa"/>
          </w:tblCellMar>
        </w:tblPrEx>
        <w:trPr>
          <w:trHeight w:val="921"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068877C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33</w:t>
            </w:r>
          </w:p>
        </w:tc>
        <w:tc>
          <w:tcPr>
            <w:tcW w:w="2757" w:type="dxa"/>
            <w:tcBorders>
              <w:top w:val="single" w:color="000000" w:sz="4" w:space="0"/>
              <w:left w:val="single" w:color="000000" w:sz="4" w:space="0"/>
              <w:bottom w:val="single" w:color="000000" w:sz="4" w:space="0"/>
              <w:right w:val="single" w:color="000000" w:sz="4" w:space="0"/>
            </w:tcBorders>
            <w:vAlign w:val="center"/>
          </w:tcPr>
          <w:p w14:paraId="3C6767F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自动给排水模块套装</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0CD07D">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1.自动排水模块1组、水模拟量控制器1组、电源控制器1套、自动保护系统1组。</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所有排水由智能化控制系统集中控制，三联高低位龙头处设置排水接口，接口与学生水槽柜采用硅胶软管（具有防酸、防碱、耐腐蚀功能）连接，接口均采用自动锁紧插拔式连接方式（拔掉时没有污水流出），用时接上，不用时可收起。当学生水槽柜量达到一定值时系统自动排水、污水经过连接管排至顶部排水管总管后流出，当水槽柜污水排净后排水系统自动关闭。控制系统设置一键排空功能，可一键将管道内所有的污水排空。</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排水箱采用≥300mm*300mm*350mmPE吹塑工艺成型，具有耐酸碱，耐老化，耐脏污，韧性好、耐热、耐寒等优点，还具有良好的耐环境应力开裂、耐撕裂强度等性能，箱体集成多个接口，满足自动化给排水系统要求，箱体内设置模块化过滤装置，清理便捷</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3.接收智能化控制系统控制，功能面板采用钢制面板，每组功能板上预留不锈钢快速给排水接口1对。并配置配套给排水软管2根。快速给水接口3mm厚铜材质，带自动止水功能，快速排水接口采用PP材质专用接口。</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7301E">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EDA72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330644">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drawing>
                <wp:inline distT="0" distB="0" distL="114300" distR="114300">
                  <wp:extent cx="1689735" cy="812800"/>
                  <wp:effectExtent l="0" t="0" r="5715" b="6350"/>
                  <wp:docPr id="4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descr="IMG_268"/>
                          <pic:cNvPicPr>
                            <a:picLocks noChangeAspect="1"/>
                          </pic:cNvPicPr>
                        </pic:nvPicPr>
                        <pic:blipFill>
                          <a:blip r:embed="rId48"/>
                          <a:stretch>
                            <a:fillRect/>
                          </a:stretch>
                        </pic:blipFill>
                        <pic:spPr>
                          <a:xfrm>
                            <a:off x="0" y="0"/>
                            <a:ext cx="1689735" cy="812800"/>
                          </a:xfrm>
                          <a:prstGeom prst="rect">
                            <a:avLst/>
                          </a:prstGeom>
                          <a:noFill/>
                          <a:ln w="9525">
                            <a:noFill/>
                          </a:ln>
                        </pic:spPr>
                      </pic:pic>
                    </a:graphicData>
                  </a:graphic>
                </wp:inline>
              </w:drawing>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846366">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r>
      <w:tr w14:paraId="44F33E48">
        <w:tblPrEx>
          <w:tblCellMar>
            <w:top w:w="0" w:type="dxa"/>
            <w:left w:w="108" w:type="dxa"/>
            <w:bottom w:w="0" w:type="dxa"/>
            <w:right w:w="108" w:type="dxa"/>
          </w:tblCellMar>
        </w:tblPrEx>
        <w:trPr>
          <w:trHeight w:val="921"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2B700A5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34</w:t>
            </w:r>
          </w:p>
        </w:tc>
        <w:tc>
          <w:tcPr>
            <w:tcW w:w="2757" w:type="dxa"/>
            <w:tcBorders>
              <w:top w:val="single" w:color="000000" w:sz="4" w:space="0"/>
              <w:left w:val="single" w:color="000000" w:sz="4" w:space="0"/>
              <w:bottom w:val="single" w:color="000000" w:sz="4" w:space="0"/>
              <w:right w:val="single" w:color="000000" w:sz="4" w:space="0"/>
            </w:tcBorders>
            <w:vAlign w:val="center"/>
          </w:tcPr>
          <w:p w14:paraId="04498C3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给水布管</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93EC73">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给水主管选用φ20-32mmPP-R给水管，模块化设计，每组模块间采用活接式连接。</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E2B78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8191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项</w:t>
            </w:r>
          </w:p>
        </w:tc>
        <w:tc>
          <w:tcPr>
            <w:tcW w:w="33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D6D5FB">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DBBD1F">
            <w:pPr>
              <w:jc w:val="center"/>
              <w:rPr>
                <w:rFonts w:hint="eastAsia" w:ascii="宋体" w:hAnsi="宋体" w:cs="宋体"/>
                <w:color w:val="000000" w:themeColor="text1"/>
                <w:sz w:val="22"/>
                <w:szCs w:val="22"/>
                <w14:textFill>
                  <w14:solidFill>
                    <w14:schemeClr w14:val="tx1"/>
                  </w14:solidFill>
                </w14:textFill>
              </w:rPr>
            </w:pPr>
          </w:p>
        </w:tc>
      </w:tr>
      <w:tr w14:paraId="08F1253B">
        <w:tblPrEx>
          <w:tblCellMar>
            <w:top w:w="0" w:type="dxa"/>
            <w:left w:w="108" w:type="dxa"/>
            <w:bottom w:w="0" w:type="dxa"/>
            <w:right w:w="108" w:type="dxa"/>
          </w:tblCellMar>
        </w:tblPrEx>
        <w:trPr>
          <w:trHeight w:val="921"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42A918E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35</w:t>
            </w:r>
          </w:p>
        </w:tc>
        <w:tc>
          <w:tcPr>
            <w:tcW w:w="2757" w:type="dxa"/>
            <w:tcBorders>
              <w:top w:val="single" w:color="000000" w:sz="4" w:space="0"/>
              <w:left w:val="single" w:color="000000" w:sz="4" w:space="0"/>
              <w:bottom w:val="single" w:color="000000" w:sz="4" w:space="0"/>
              <w:right w:val="single" w:color="000000" w:sz="4" w:space="0"/>
            </w:tcBorders>
            <w:vAlign w:val="center"/>
          </w:tcPr>
          <w:p w14:paraId="6C2D8AC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排水布管</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327A05">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排水管选用加厚φ50-75mmPVC-U国标管（具有防酸、防碱、耐腐蚀功能），模块化设计，每组模块间采用活接式连接。</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7FD76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78409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项</w:t>
            </w:r>
          </w:p>
        </w:tc>
        <w:tc>
          <w:tcPr>
            <w:tcW w:w="33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53ED4E">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C37F23">
            <w:pPr>
              <w:jc w:val="center"/>
              <w:rPr>
                <w:rFonts w:hint="eastAsia" w:ascii="宋体" w:hAnsi="宋体" w:cs="宋体"/>
                <w:color w:val="000000" w:themeColor="text1"/>
                <w:sz w:val="22"/>
                <w:szCs w:val="22"/>
                <w14:textFill>
                  <w14:solidFill>
                    <w14:schemeClr w14:val="tx1"/>
                  </w14:solidFill>
                </w14:textFill>
              </w:rPr>
            </w:pPr>
          </w:p>
        </w:tc>
      </w:tr>
      <w:tr w14:paraId="223B88FA">
        <w:tblPrEx>
          <w:tblCellMar>
            <w:top w:w="0" w:type="dxa"/>
            <w:left w:w="108" w:type="dxa"/>
            <w:bottom w:w="0" w:type="dxa"/>
            <w:right w:w="108" w:type="dxa"/>
          </w:tblCellMar>
        </w:tblPrEx>
        <w:trPr>
          <w:trHeight w:val="921"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262DEEC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36</w:t>
            </w:r>
          </w:p>
        </w:tc>
        <w:tc>
          <w:tcPr>
            <w:tcW w:w="2757" w:type="dxa"/>
            <w:tcBorders>
              <w:top w:val="single" w:color="000000" w:sz="4" w:space="0"/>
              <w:left w:val="single" w:color="000000" w:sz="4" w:space="0"/>
              <w:bottom w:val="single" w:color="000000" w:sz="4" w:space="0"/>
              <w:right w:val="single" w:color="000000" w:sz="4" w:space="0"/>
            </w:tcBorders>
            <w:vAlign w:val="center"/>
          </w:tcPr>
          <w:p w14:paraId="4B2EE1F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系统安装辅件</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9EF8F3">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采用型材吊装方式，减少楼板承重，防止左右晃动，可进行上下、左右的平衡调节。主要辅件有：型材、龙骨架连接件、高度调节结构等。</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C15BA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E67D5A">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项</w:t>
            </w:r>
          </w:p>
        </w:tc>
        <w:tc>
          <w:tcPr>
            <w:tcW w:w="33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638B15">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B96F9">
            <w:pPr>
              <w:jc w:val="center"/>
              <w:rPr>
                <w:rFonts w:hint="eastAsia" w:ascii="宋体" w:hAnsi="宋体" w:cs="宋体"/>
                <w:color w:val="000000" w:themeColor="text1"/>
                <w:sz w:val="22"/>
                <w:szCs w:val="22"/>
                <w14:textFill>
                  <w14:solidFill>
                    <w14:schemeClr w14:val="tx1"/>
                  </w14:solidFill>
                </w14:textFill>
              </w:rPr>
            </w:pPr>
          </w:p>
        </w:tc>
      </w:tr>
      <w:tr w14:paraId="598672E1">
        <w:tblPrEx>
          <w:tblCellMar>
            <w:top w:w="0" w:type="dxa"/>
            <w:left w:w="108" w:type="dxa"/>
            <w:bottom w:w="0" w:type="dxa"/>
            <w:right w:w="108" w:type="dxa"/>
          </w:tblCellMar>
        </w:tblPrEx>
        <w:trPr>
          <w:trHeight w:val="746"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6102B35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37</w:t>
            </w:r>
          </w:p>
        </w:tc>
        <w:tc>
          <w:tcPr>
            <w:tcW w:w="2757" w:type="dxa"/>
            <w:tcBorders>
              <w:top w:val="single" w:color="000000" w:sz="4" w:space="0"/>
              <w:left w:val="single" w:color="000000" w:sz="4" w:space="0"/>
              <w:bottom w:val="single" w:color="000000" w:sz="4" w:space="0"/>
              <w:right w:val="single" w:color="000000" w:sz="4" w:space="0"/>
            </w:tcBorders>
            <w:vAlign w:val="center"/>
          </w:tcPr>
          <w:p w14:paraId="3FA6E64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仪器柜</w:t>
            </w:r>
          </w:p>
        </w:tc>
        <w:tc>
          <w:tcPr>
            <w:tcW w:w="5770" w:type="dxa"/>
            <w:tcBorders>
              <w:top w:val="single" w:color="000000" w:sz="4" w:space="0"/>
              <w:left w:val="single" w:color="000000" w:sz="4" w:space="0"/>
              <w:bottom w:val="single" w:color="000000" w:sz="4" w:space="0"/>
              <w:right w:val="single" w:color="000000" w:sz="4" w:space="0"/>
            </w:tcBorders>
            <w:vAlign w:val="center"/>
          </w:tcPr>
          <w:p w14:paraId="00DBF055">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kern w:val="0"/>
                <w:szCs w:val="21"/>
                <w:lang w:bidi="ar"/>
              </w:rPr>
              <w:t>1.规格：≥</w:t>
            </w:r>
            <w:r>
              <w:rPr>
                <w:rFonts w:hint="eastAsia" w:ascii="宋体" w:hAnsi="宋体" w:cs="宋体"/>
                <w:color w:val="000000" w:themeColor="text1"/>
                <w:kern w:val="0"/>
                <w:sz w:val="22"/>
                <w:szCs w:val="22"/>
                <w:lang w:bidi="ar"/>
                <w14:textFill>
                  <w14:solidFill>
                    <w14:schemeClr w14:val="tx1"/>
                  </w14:solidFill>
                </w14:textFill>
              </w:rPr>
              <w:t>1000×500×2000mm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2.柜体材质：为全钢结构，板材采用1.0mm厚优质钢板为基材，全自动压模成型；表面经磷化、酸洗、环氧树脂粉末烤漆处理，化学防锈处理，无突出漆块，光洁亮丽，抗强酸强碱性能突出。</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3.门板：采用上玻璃门下钢制门。</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4.玻璃门：采用优质冷轧钢板，表面经过去锈、磷化、喷砂、环氧树脂粉体烤漆处理，具有抗酸碱和耐高温特性，中间镶嵌玻璃。</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5.钢制门：采用优质冷轧钢板，表面经过去锈、磷化、喷砂、环氧树脂粉体烤漆处理，具有抗酸碱和耐高温特性，对开门。</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6.拉手：采用不锈钢拉手，外形美观大方，设计人性化。</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7.可调脚：采用橡胶模具一次成型地脚，可调节高度30-50mm。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带锁，带标签卡。</w:t>
            </w:r>
          </w:p>
        </w:tc>
        <w:tc>
          <w:tcPr>
            <w:tcW w:w="500" w:type="dxa"/>
            <w:tcBorders>
              <w:top w:val="single" w:color="000000" w:sz="4" w:space="0"/>
              <w:left w:val="single" w:color="000000" w:sz="4" w:space="0"/>
              <w:bottom w:val="single" w:color="000000" w:sz="4" w:space="0"/>
              <w:right w:val="single" w:color="000000" w:sz="4" w:space="0"/>
            </w:tcBorders>
            <w:vAlign w:val="center"/>
          </w:tcPr>
          <w:p w14:paraId="109FA082">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6</w:t>
            </w:r>
          </w:p>
        </w:tc>
        <w:tc>
          <w:tcPr>
            <w:tcW w:w="500" w:type="dxa"/>
            <w:tcBorders>
              <w:top w:val="single" w:color="000000" w:sz="4" w:space="0"/>
              <w:left w:val="single" w:color="000000" w:sz="4" w:space="0"/>
              <w:bottom w:val="single" w:color="000000" w:sz="4" w:space="0"/>
              <w:right w:val="single" w:color="000000" w:sz="4" w:space="0"/>
            </w:tcBorders>
            <w:vAlign w:val="center"/>
          </w:tcPr>
          <w:p w14:paraId="56DD547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组</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03FE829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70528" behindDoc="0" locked="0" layoutInCell="1" allowOverlap="1">
                  <wp:simplePos x="0" y="0"/>
                  <wp:positionH relativeFrom="column">
                    <wp:posOffset>322580</wp:posOffset>
                  </wp:positionH>
                  <wp:positionV relativeFrom="paragraph">
                    <wp:posOffset>41910</wp:posOffset>
                  </wp:positionV>
                  <wp:extent cx="647700" cy="1098550"/>
                  <wp:effectExtent l="0" t="0" r="0" b="0"/>
                  <wp:wrapNone/>
                  <wp:docPr id="8" name="图片_1"/>
                  <wp:cNvGraphicFramePr/>
                  <a:graphic xmlns:a="http://schemas.openxmlformats.org/drawingml/2006/main">
                    <a:graphicData uri="http://schemas.openxmlformats.org/drawingml/2006/picture">
                      <pic:pic xmlns:pic="http://schemas.openxmlformats.org/drawingml/2006/picture">
                        <pic:nvPicPr>
                          <pic:cNvPr id="8" name="图片_1"/>
                          <pic:cNvPicPr/>
                        </pic:nvPicPr>
                        <pic:blipFill>
                          <a:blip r:embed="rId49"/>
                          <a:stretch>
                            <a:fillRect/>
                          </a:stretch>
                        </pic:blipFill>
                        <pic:spPr>
                          <a:xfrm>
                            <a:off x="0" y="0"/>
                            <a:ext cx="647700" cy="1098550"/>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55E551F8">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023B6CB0">
        <w:tblPrEx>
          <w:tblCellMar>
            <w:top w:w="0" w:type="dxa"/>
            <w:left w:w="108" w:type="dxa"/>
            <w:bottom w:w="0" w:type="dxa"/>
            <w:right w:w="108" w:type="dxa"/>
          </w:tblCellMar>
        </w:tblPrEx>
        <w:trPr>
          <w:trHeight w:val="496" w:hRule="atLeast"/>
        </w:trPr>
        <w:tc>
          <w:tcPr>
            <w:tcW w:w="14522" w:type="dxa"/>
            <w:gridSpan w:val="7"/>
            <w:tcBorders>
              <w:top w:val="single" w:color="000000" w:sz="4" w:space="0"/>
              <w:left w:val="single" w:color="000000" w:sz="4" w:space="0"/>
              <w:bottom w:val="single" w:color="000000" w:sz="4" w:space="0"/>
              <w:right w:val="single" w:color="000000" w:sz="4" w:space="0"/>
            </w:tcBorders>
            <w:vAlign w:val="center"/>
          </w:tcPr>
          <w:p w14:paraId="15F20F23">
            <w:pPr>
              <w:widowControl/>
              <w:jc w:val="center"/>
              <w:textAlignment w:val="center"/>
              <w:rPr>
                <w:rFonts w:hint="eastAsia" w:ascii="新宋体" w:hAnsi="新宋体" w:eastAsia="新宋体" w:cs="新宋体"/>
                <w:b/>
                <w:bCs/>
                <w:color w:val="000000" w:themeColor="text1"/>
                <w:kern w:val="0"/>
                <w:sz w:val="24"/>
                <w:lang w:bidi="ar"/>
                <w14:textFill>
                  <w14:solidFill>
                    <w14:schemeClr w14:val="tx1"/>
                  </w14:solidFill>
                </w14:textFill>
              </w:rPr>
            </w:pPr>
            <w:r>
              <w:rPr>
                <w:rFonts w:hint="eastAsia" w:asciiTheme="minorEastAsia" w:hAnsiTheme="minorEastAsia" w:eastAsiaTheme="minorEastAsia" w:cstheme="minorEastAsia"/>
                <w:b/>
                <w:bCs/>
                <w:color w:val="000000" w:themeColor="text1"/>
                <w:kern w:val="0"/>
                <w:sz w:val="22"/>
                <w:szCs w:val="22"/>
                <w:lang w:bidi="ar"/>
                <w14:textFill>
                  <w14:solidFill>
                    <w14:schemeClr w14:val="tx1"/>
                  </w14:solidFill>
                </w14:textFill>
              </w:rPr>
              <w:t>（3）科学准备室</w:t>
            </w:r>
          </w:p>
        </w:tc>
      </w:tr>
      <w:tr w14:paraId="6D5C97AB">
        <w:tblPrEx>
          <w:tblCellMar>
            <w:top w:w="0" w:type="dxa"/>
            <w:left w:w="108" w:type="dxa"/>
            <w:bottom w:w="0" w:type="dxa"/>
            <w:right w:w="108" w:type="dxa"/>
          </w:tblCellMar>
        </w:tblPrEx>
        <w:trPr>
          <w:trHeight w:val="56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3CC54D8A">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序号</w:t>
            </w:r>
          </w:p>
        </w:tc>
        <w:tc>
          <w:tcPr>
            <w:tcW w:w="2757" w:type="dxa"/>
            <w:tcBorders>
              <w:top w:val="single" w:color="000000" w:sz="4" w:space="0"/>
              <w:left w:val="single" w:color="000000" w:sz="4" w:space="0"/>
              <w:bottom w:val="single" w:color="000000" w:sz="4" w:space="0"/>
              <w:right w:val="single" w:color="000000" w:sz="4" w:space="0"/>
            </w:tcBorders>
            <w:vAlign w:val="center"/>
          </w:tcPr>
          <w:p w14:paraId="783C8A69">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设备名称</w:t>
            </w:r>
          </w:p>
        </w:tc>
        <w:tc>
          <w:tcPr>
            <w:tcW w:w="5770" w:type="dxa"/>
            <w:tcBorders>
              <w:top w:val="single" w:color="000000" w:sz="4" w:space="0"/>
              <w:left w:val="single" w:color="000000" w:sz="4" w:space="0"/>
              <w:bottom w:val="single" w:color="000000" w:sz="4" w:space="0"/>
              <w:right w:val="single" w:color="000000" w:sz="4" w:space="0"/>
            </w:tcBorders>
            <w:vAlign w:val="center"/>
          </w:tcPr>
          <w:p w14:paraId="4596E8D6">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规格参数</w:t>
            </w:r>
          </w:p>
        </w:tc>
        <w:tc>
          <w:tcPr>
            <w:tcW w:w="500" w:type="dxa"/>
            <w:tcBorders>
              <w:top w:val="single" w:color="000000" w:sz="4" w:space="0"/>
              <w:left w:val="single" w:color="000000" w:sz="4" w:space="0"/>
              <w:bottom w:val="single" w:color="000000" w:sz="4" w:space="0"/>
              <w:right w:val="single" w:color="000000" w:sz="4" w:space="0"/>
            </w:tcBorders>
            <w:vAlign w:val="center"/>
          </w:tcPr>
          <w:p w14:paraId="496F3BF9">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数量</w:t>
            </w:r>
          </w:p>
        </w:tc>
        <w:tc>
          <w:tcPr>
            <w:tcW w:w="500" w:type="dxa"/>
            <w:tcBorders>
              <w:top w:val="single" w:color="000000" w:sz="4" w:space="0"/>
              <w:left w:val="single" w:color="000000" w:sz="4" w:space="0"/>
              <w:bottom w:val="single" w:color="000000" w:sz="4" w:space="0"/>
              <w:right w:val="single" w:color="000000" w:sz="4" w:space="0"/>
            </w:tcBorders>
            <w:vAlign w:val="center"/>
          </w:tcPr>
          <w:p w14:paraId="4B5C9E51">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单位</w:t>
            </w:r>
          </w:p>
        </w:tc>
        <w:tc>
          <w:tcPr>
            <w:tcW w:w="3345" w:type="dxa"/>
            <w:tcBorders>
              <w:top w:val="single" w:color="000000" w:sz="4" w:space="0"/>
              <w:left w:val="single" w:color="000000" w:sz="4" w:space="0"/>
              <w:bottom w:val="single" w:color="000000" w:sz="4" w:space="0"/>
              <w:right w:val="single" w:color="000000" w:sz="4" w:space="0"/>
            </w:tcBorders>
            <w:vAlign w:val="center"/>
          </w:tcPr>
          <w:p w14:paraId="3B32619E">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参考图</w:t>
            </w:r>
          </w:p>
        </w:tc>
        <w:tc>
          <w:tcPr>
            <w:tcW w:w="1150" w:type="dxa"/>
            <w:tcBorders>
              <w:top w:val="single" w:color="000000" w:sz="4" w:space="0"/>
              <w:left w:val="single" w:color="000000" w:sz="4" w:space="0"/>
              <w:bottom w:val="single" w:color="000000" w:sz="4" w:space="0"/>
              <w:right w:val="single" w:color="000000" w:sz="4" w:space="0"/>
            </w:tcBorders>
            <w:vAlign w:val="center"/>
          </w:tcPr>
          <w:p w14:paraId="16D7BC39">
            <w:pPr>
              <w:widowControl/>
              <w:jc w:val="center"/>
              <w:textAlignment w:val="center"/>
              <w:rPr>
                <w:rFonts w:hint="eastAsia" w:ascii="新宋体" w:hAnsi="新宋体" w:eastAsia="新宋体" w:cs="新宋体"/>
                <w:b/>
                <w:bCs/>
                <w:color w:val="000000" w:themeColor="text1"/>
                <w:kern w:val="0"/>
                <w:sz w:val="22"/>
                <w:szCs w:val="22"/>
                <w:lang w:bidi="ar"/>
                <w14:textFill>
                  <w14:solidFill>
                    <w14:schemeClr w14:val="tx1"/>
                  </w14:solidFill>
                </w14:textFill>
              </w:rPr>
            </w:pPr>
          </w:p>
        </w:tc>
      </w:tr>
      <w:tr w14:paraId="5D49D50B">
        <w:tblPrEx>
          <w:tblCellMar>
            <w:top w:w="0" w:type="dxa"/>
            <w:left w:w="108" w:type="dxa"/>
            <w:bottom w:w="0" w:type="dxa"/>
            <w:right w:w="108" w:type="dxa"/>
          </w:tblCellMar>
        </w:tblPrEx>
        <w:trPr>
          <w:trHeight w:val="1761"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1433677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2757" w:type="dxa"/>
            <w:tcBorders>
              <w:top w:val="single" w:color="000000" w:sz="4" w:space="0"/>
              <w:left w:val="single" w:color="000000" w:sz="4" w:space="0"/>
              <w:bottom w:val="single" w:color="000000" w:sz="4" w:space="0"/>
              <w:right w:val="single" w:color="000000" w:sz="4" w:space="0"/>
            </w:tcBorders>
            <w:vAlign w:val="center"/>
          </w:tcPr>
          <w:p w14:paraId="1315334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边台承载设备</w:t>
            </w:r>
          </w:p>
        </w:tc>
        <w:tc>
          <w:tcPr>
            <w:tcW w:w="5770" w:type="dxa"/>
            <w:tcBorders>
              <w:top w:val="single" w:color="000000" w:sz="4" w:space="0"/>
              <w:left w:val="single" w:color="000000" w:sz="4" w:space="0"/>
              <w:bottom w:val="single" w:color="000000" w:sz="4" w:space="0"/>
              <w:right w:val="single" w:color="000000" w:sz="4" w:space="0"/>
            </w:tcBorders>
            <w:vAlign w:val="center"/>
          </w:tcPr>
          <w:p w14:paraId="2F5BCAC2">
            <w:pPr>
              <w:widowControl/>
              <w:numPr>
                <w:ilvl w:val="0"/>
                <w:numId w:val="21"/>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kern w:val="0"/>
                <w:szCs w:val="21"/>
                <w:lang w:bidi="ar"/>
              </w:rPr>
              <w:t>规格：≥</w:t>
            </w:r>
            <w:r>
              <w:rPr>
                <w:rFonts w:hint="eastAsia" w:ascii="宋体" w:hAnsi="宋体" w:cs="宋体"/>
                <w:color w:val="000000" w:themeColor="text1"/>
                <w:kern w:val="0"/>
                <w:sz w:val="22"/>
                <w:szCs w:val="22"/>
                <w:lang w:bidi="ar"/>
                <w14:textFill>
                  <w14:solidFill>
                    <w14:schemeClr w14:val="tx1"/>
                  </w14:solidFill>
                </w14:textFill>
              </w:rPr>
              <w:t>2400×600×850mm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2.全钢材质边台。</w:t>
            </w:r>
          </w:p>
          <w:p w14:paraId="6F7E4A44">
            <w:pPr>
              <w:widowControl/>
              <w:numPr>
                <w:ilvl w:val="255"/>
                <w:numId w:val="0"/>
              </w:numPr>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3.台面采用</w:t>
            </w:r>
            <w:r>
              <w:rPr>
                <w:rStyle w:val="194"/>
                <w:rFonts w:hint="default"/>
                <w:color w:val="000000" w:themeColor="text1"/>
                <w:lang w:bidi="ar"/>
                <w14:textFill>
                  <w14:solidFill>
                    <w14:schemeClr w14:val="tx1"/>
                  </w14:solidFill>
                </w14:textFill>
              </w:rPr>
              <w:t>≤</w:t>
            </w:r>
            <w:r>
              <w:rPr>
                <w:rFonts w:hint="eastAsia" w:ascii="宋体" w:hAnsi="宋体" w:cs="宋体"/>
                <w:color w:val="000000" w:themeColor="text1"/>
                <w:kern w:val="0"/>
                <w:sz w:val="22"/>
                <w:szCs w:val="22"/>
                <w:lang w:bidi="ar"/>
                <w14:textFill>
                  <w14:solidFill>
                    <w14:schemeClr w14:val="tx1"/>
                  </w14:solidFill>
                </w14:textFill>
              </w:rPr>
              <w:t>16mm厚一体实芯灰坯灰釉实验室专用陶瓷止滑台面，止滑槽为一体成型非后期加工，有效防止试管滑落。台面耐强腐蚀，耐1350度以上高温。水槽台台面采用25mm厚带一体釉面烧制工艺的防滑沥水槽且四周带一体陶瓷阻水边碟型陶瓷台面，碟型及沥水槽工艺可以有效防止液体外溢及防止清洗烧杯烧瓶意外滑动；主框架采用一级冷轧钢板（SPCCT）经CNC机压成形、焊接制作，表面经环氧树脂粉体涂装处理（SEFA级别喷涂），外门板1.0 mm、内门板1.0 mm、门板加强梁1.0 mm、 抽屉1.0 mm、合页内固定板1.0 mm、层板 1.0 mm、活动维修背板0.9 mm、外围板1.0 mm、底板1.0 mm、上横梁 1.0 mm、 调整脚支撑板3.0 mm、滑轨支撑梁1.0 mm；柜门为双包结构，内附防噪填充；每个包层都是先喷涂再包合，不会因局部的破损而导致内部的损伤；抽屉：为四面抽墙一体成型式设计并，抽头为双层结构，内具隔音材质；层板：可以上下调节；维修背板：采用可拆装式设计，以方便管线安装维护；水槽台的挡水条：同台面材料，高100mm（±1.5%），台面外侧上缘采用圆弧或斜边不刮手处理；合页：采用厚2.0mm及以上编号304#不锈钢材质，开启角度≥180度，5节式，确保每个合页的同一性，承重可达到55kg，1200mm高度以下的柜子采用2个合页，超过1200mm高度柜子则采用3个合页，用6个不锈钢螺丝来固定每个合页；滑轨：抽屉采用厚2.0mm及以上钢制高承载导轨，为冷轧钢板模具冲压成型制作，通过焊接与抽屉连为一体，然后与抽屉本体一起使用环氧树酯粉末静电喷涂表面。自闭结构设计，当抽屉关到末端时有自闭功能，滑轨抽屉能抽出至少330mm；抽屉的滚轮采用尼龙包边的滚球轴承，不得使用二节或三节导轨；把手：采用304不锈钢 “C”型把手，把手须以不锈钢螺丝固定，抽屉宽度超过600mm及以上时应配置两只把手；地脚：镀锌钢地脚，可根据室内地坪适当调整柜体0-35mm的高度；门扣组：采用塑料材质的滚轮，不锈钢材质的滚轮支架，须以不锈钢螺丝与柜体及门板固定；层板支撑扣：采用厚1.2mm及以上的钢板镀锌或不锈钢材质；螺丝：除有特别说明者外，合页安装处为平头普通螺钉，304不锈钢材质，其它部位为钢质尖头镀锌自攻螺丝。活动轮：采用医用级高承重，高稳定性活动轮，带刹车。结构及性能要求：落地式结构，柜体深度≥520mm；高度(含调整脚及台面厚度) 除有特别说明外，为850mm (±2%)；实验台空位不大于650mm；所有底柜双开门间无中央垂直支柱阻挡。柜体内有层板上下调节孔，每个底柜设活动层板一只，层板宽度与底柜内宽度相当，不得于两侧有各超过3mm的间隙；服务通道：中央桌背对背框架中间空档及靠边桌框架与墙面中间空档有一个服务通道距离，用来布设电、水、气管路，隐藏设计；所有钣金的表面接缝均应满焊，焊接处均应打磨平整以保持为连续的平滑表面；所有部件不得于安装现场焊接加工，以避免破坏表面环氧树脂涂层；所有框架单元应配备4个镀锌钢螺杆调整脚，以支撑框架及调节水平，框架底部离地板距离应不少于5mm以隔离地面潮气；座位空间：依据图纸及相关说明所示，于操作台台框架间配置座位空间；装饰封板：依图纸说明所示，柜体内部后方，背对背柜体中间空档外侧及靠边桌柜体与墙面中间空档外侧，须使用钢制装饰封板遮盖，封板的颜色及表面处理应与柜体相同；所有装饰封板为可拆装式设计，其组装螺丝应以孔塞遮蔽不可外露。</w:t>
            </w:r>
          </w:p>
        </w:tc>
        <w:tc>
          <w:tcPr>
            <w:tcW w:w="500" w:type="dxa"/>
            <w:tcBorders>
              <w:top w:val="single" w:color="000000" w:sz="4" w:space="0"/>
              <w:left w:val="single" w:color="000000" w:sz="4" w:space="0"/>
              <w:bottom w:val="single" w:color="000000" w:sz="4" w:space="0"/>
              <w:right w:val="single" w:color="000000" w:sz="4" w:space="0"/>
            </w:tcBorders>
            <w:vAlign w:val="center"/>
          </w:tcPr>
          <w:p w14:paraId="5AF41214">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vAlign w:val="center"/>
          </w:tcPr>
          <w:p w14:paraId="6066816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台</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577E203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67456" behindDoc="0" locked="0" layoutInCell="1" allowOverlap="1">
                  <wp:simplePos x="0" y="0"/>
                  <wp:positionH relativeFrom="column">
                    <wp:posOffset>452120</wp:posOffset>
                  </wp:positionH>
                  <wp:positionV relativeFrom="paragraph">
                    <wp:posOffset>168275</wp:posOffset>
                  </wp:positionV>
                  <wp:extent cx="1069975" cy="783590"/>
                  <wp:effectExtent l="0" t="0" r="15875" b="16510"/>
                  <wp:wrapNone/>
                  <wp:docPr id="2" name="图片_115"/>
                  <wp:cNvGraphicFramePr/>
                  <a:graphic xmlns:a="http://schemas.openxmlformats.org/drawingml/2006/main">
                    <a:graphicData uri="http://schemas.openxmlformats.org/drawingml/2006/picture">
                      <pic:pic xmlns:pic="http://schemas.openxmlformats.org/drawingml/2006/picture">
                        <pic:nvPicPr>
                          <pic:cNvPr id="2" name="图片_115"/>
                          <pic:cNvPicPr/>
                        </pic:nvPicPr>
                        <pic:blipFill>
                          <a:blip r:embed="rId50"/>
                          <a:stretch>
                            <a:fillRect/>
                          </a:stretch>
                        </pic:blipFill>
                        <pic:spPr>
                          <a:xfrm>
                            <a:off x="0" y="0"/>
                            <a:ext cx="1069975" cy="783590"/>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1CA767E7">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041EE470">
        <w:tblPrEx>
          <w:tblCellMar>
            <w:top w:w="0" w:type="dxa"/>
            <w:left w:w="108" w:type="dxa"/>
            <w:bottom w:w="0" w:type="dxa"/>
            <w:right w:w="108" w:type="dxa"/>
          </w:tblCellMar>
        </w:tblPrEx>
        <w:trPr>
          <w:trHeight w:val="438" w:hRule="atLeast"/>
        </w:trPr>
        <w:tc>
          <w:tcPr>
            <w:tcW w:w="13372" w:type="dxa"/>
            <w:gridSpan w:val="6"/>
            <w:tcBorders>
              <w:top w:val="single" w:color="000000" w:sz="4" w:space="0"/>
              <w:left w:val="single" w:color="000000" w:sz="4" w:space="0"/>
              <w:bottom w:val="single" w:color="000000" w:sz="4" w:space="0"/>
              <w:right w:val="single" w:color="000000" w:sz="4" w:space="0"/>
            </w:tcBorders>
            <w:noWrap/>
            <w:vAlign w:val="center"/>
          </w:tcPr>
          <w:p w14:paraId="747EF5D0">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r>
              <w:rPr>
                <w:rFonts w:hint="eastAsia" w:asciiTheme="minorEastAsia" w:hAnsiTheme="minorEastAsia" w:eastAsiaTheme="minorEastAsia" w:cstheme="minorEastAsia"/>
                <w:b/>
                <w:bCs/>
                <w:color w:val="000000" w:themeColor="text1"/>
                <w:kern w:val="0"/>
                <w:sz w:val="22"/>
                <w:szCs w:val="22"/>
                <w:lang w:bidi="ar"/>
                <w14:textFill>
                  <w14:solidFill>
                    <w14:schemeClr w14:val="tx1"/>
                  </w14:solidFill>
                </w14:textFill>
              </w:rPr>
              <w:t>（4）科学仪器室</w:t>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45A91F34">
            <w:pPr>
              <w:widowControl/>
              <w:jc w:val="center"/>
              <w:textAlignment w:val="center"/>
              <w:rPr>
                <w:rFonts w:hint="eastAsia" w:ascii="新宋体" w:hAnsi="新宋体" w:eastAsia="新宋体" w:cs="新宋体"/>
                <w:b/>
                <w:bCs/>
                <w:color w:val="000000" w:themeColor="text1"/>
                <w:kern w:val="0"/>
                <w:sz w:val="24"/>
                <w:lang w:bidi="ar"/>
                <w14:textFill>
                  <w14:solidFill>
                    <w14:schemeClr w14:val="tx1"/>
                  </w14:solidFill>
                </w14:textFill>
              </w:rPr>
            </w:pPr>
          </w:p>
        </w:tc>
      </w:tr>
      <w:tr w14:paraId="1E0BC9ED">
        <w:tblPrEx>
          <w:tblCellMar>
            <w:top w:w="0" w:type="dxa"/>
            <w:left w:w="108" w:type="dxa"/>
            <w:bottom w:w="0" w:type="dxa"/>
            <w:right w:w="108" w:type="dxa"/>
          </w:tblCellMar>
        </w:tblPrEx>
        <w:trPr>
          <w:trHeight w:val="48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302E484C">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序号</w:t>
            </w:r>
          </w:p>
        </w:tc>
        <w:tc>
          <w:tcPr>
            <w:tcW w:w="2757" w:type="dxa"/>
            <w:tcBorders>
              <w:top w:val="single" w:color="000000" w:sz="4" w:space="0"/>
              <w:left w:val="single" w:color="000000" w:sz="4" w:space="0"/>
              <w:bottom w:val="single" w:color="000000" w:sz="4" w:space="0"/>
              <w:right w:val="single" w:color="000000" w:sz="4" w:space="0"/>
            </w:tcBorders>
            <w:vAlign w:val="center"/>
          </w:tcPr>
          <w:p w14:paraId="7A985A81">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设备名称</w:t>
            </w:r>
          </w:p>
        </w:tc>
        <w:tc>
          <w:tcPr>
            <w:tcW w:w="5770" w:type="dxa"/>
            <w:tcBorders>
              <w:top w:val="single" w:color="000000" w:sz="4" w:space="0"/>
              <w:left w:val="single" w:color="000000" w:sz="4" w:space="0"/>
              <w:bottom w:val="single" w:color="000000" w:sz="4" w:space="0"/>
              <w:right w:val="single" w:color="000000" w:sz="4" w:space="0"/>
            </w:tcBorders>
            <w:vAlign w:val="center"/>
          </w:tcPr>
          <w:p w14:paraId="41D51155">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规格参数</w:t>
            </w:r>
          </w:p>
        </w:tc>
        <w:tc>
          <w:tcPr>
            <w:tcW w:w="500" w:type="dxa"/>
            <w:tcBorders>
              <w:top w:val="single" w:color="000000" w:sz="4" w:space="0"/>
              <w:left w:val="single" w:color="000000" w:sz="4" w:space="0"/>
              <w:bottom w:val="single" w:color="000000" w:sz="4" w:space="0"/>
              <w:right w:val="single" w:color="000000" w:sz="4" w:space="0"/>
            </w:tcBorders>
            <w:vAlign w:val="center"/>
          </w:tcPr>
          <w:p w14:paraId="2606B722">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数量</w:t>
            </w:r>
          </w:p>
        </w:tc>
        <w:tc>
          <w:tcPr>
            <w:tcW w:w="500" w:type="dxa"/>
            <w:tcBorders>
              <w:top w:val="single" w:color="000000" w:sz="4" w:space="0"/>
              <w:left w:val="single" w:color="000000" w:sz="4" w:space="0"/>
              <w:bottom w:val="single" w:color="000000" w:sz="4" w:space="0"/>
              <w:right w:val="single" w:color="000000" w:sz="4" w:space="0"/>
            </w:tcBorders>
            <w:vAlign w:val="center"/>
          </w:tcPr>
          <w:p w14:paraId="6AAC513D">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单位</w:t>
            </w:r>
          </w:p>
        </w:tc>
        <w:tc>
          <w:tcPr>
            <w:tcW w:w="3345" w:type="dxa"/>
            <w:tcBorders>
              <w:top w:val="single" w:color="000000" w:sz="4" w:space="0"/>
              <w:left w:val="single" w:color="000000" w:sz="4" w:space="0"/>
              <w:bottom w:val="single" w:color="000000" w:sz="4" w:space="0"/>
              <w:right w:val="single" w:color="000000" w:sz="4" w:space="0"/>
            </w:tcBorders>
            <w:vAlign w:val="center"/>
          </w:tcPr>
          <w:p w14:paraId="6FB592B5">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参考图</w:t>
            </w:r>
          </w:p>
        </w:tc>
        <w:tc>
          <w:tcPr>
            <w:tcW w:w="1150" w:type="dxa"/>
            <w:tcBorders>
              <w:top w:val="single" w:color="000000" w:sz="4" w:space="0"/>
              <w:left w:val="single" w:color="000000" w:sz="4" w:space="0"/>
              <w:bottom w:val="single" w:color="000000" w:sz="4" w:space="0"/>
              <w:right w:val="single" w:color="000000" w:sz="4" w:space="0"/>
            </w:tcBorders>
            <w:vAlign w:val="center"/>
          </w:tcPr>
          <w:p w14:paraId="23CA2C22">
            <w:pPr>
              <w:widowControl/>
              <w:jc w:val="center"/>
              <w:textAlignment w:val="center"/>
              <w:rPr>
                <w:rFonts w:hint="eastAsia" w:ascii="新宋体" w:hAnsi="新宋体" w:eastAsia="新宋体" w:cs="新宋体"/>
                <w:b/>
                <w:bCs/>
                <w:color w:val="000000" w:themeColor="text1"/>
                <w:kern w:val="0"/>
                <w:sz w:val="22"/>
                <w:szCs w:val="22"/>
                <w:bdr w:val="single" w:color="000000" w:sz="4" w:space="0"/>
                <w:lang w:bidi="ar"/>
                <w14:textFill>
                  <w14:solidFill>
                    <w14:schemeClr w14:val="tx1"/>
                  </w14:solidFill>
                </w14:textFill>
              </w:rPr>
            </w:pPr>
          </w:p>
        </w:tc>
      </w:tr>
      <w:tr w14:paraId="12EB7318">
        <w:tblPrEx>
          <w:tblCellMar>
            <w:top w:w="0" w:type="dxa"/>
            <w:left w:w="108" w:type="dxa"/>
            <w:bottom w:w="0" w:type="dxa"/>
            <w:right w:w="108" w:type="dxa"/>
          </w:tblCellMar>
        </w:tblPrEx>
        <w:trPr>
          <w:trHeight w:val="1900"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454E5E1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2757" w:type="dxa"/>
            <w:tcBorders>
              <w:top w:val="single" w:color="000000" w:sz="4" w:space="0"/>
              <w:left w:val="single" w:color="000000" w:sz="4" w:space="0"/>
              <w:bottom w:val="single" w:color="000000" w:sz="4" w:space="0"/>
              <w:right w:val="single" w:color="000000" w:sz="4" w:space="0"/>
            </w:tcBorders>
            <w:vAlign w:val="center"/>
          </w:tcPr>
          <w:p w14:paraId="6A7B8B43">
            <w:pPr>
              <w:widowControl/>
              <w:jc w:val="center"/>
              <w:textAlignment w:val="center"/>
              <w:rPr>
                <w:rFonts w:hint="eastAsia" w:ascii="宋体" w:hAnsi="宋体" w:cs="宋体"/>
                <w:color w:val="auto"/>
                <w:sz w:val="22"/>
                <w:szCs w:val="22"/>
              </w:rPr>
            </w:pPr>
            <w:r>
              <w:rPr>
                <w:rFonts w:hint="eastAsia" w:ascii="宋体" w:hAnsi="宋体" w:cs="宋体"/>
                <w:color w:val="auto"/>
                <w:kern w:val="0"/>
                <w:sz w:val="22"/>
                <w:szCs w:val="22"/>
                <w:lang w:bidi="ar"/>
              </w:rPr>
              <w:t>仪器柜</w:t>
            </w:r>
          </w:p>
        </w:tc>
        <w:tc>
          <w:tcPr>
            <w:tcW w:w="5770" w:type="dxa"/>
            <w:tcBorders>
              <w:top w:val="single" w:color="000000" w:sz="4" w:space="0"/>
              <w:left w:val="single" w:color="000000" w:sz="4" w:space="0"/>
              <w:bottom w:val="single" w:color="000000" w:sz="4" w:space="0"/>
              <w:right w:val="single" w:color="000000" w:sz="4" w:space="0"/>
            </w:tcBorders>
            <w:vAlign w:val="center"/>
          </w:tcPr>
          <w:p w14:paraId="209A886C">
            <w:pPr>
              <w:widowControl/>
              <w:jc w:val="left"/>
              <w:textAlignment w:val="center"/>
              <w:rPr>
                <w:rFonts w:hint="eastAsia" w:ascii="宋体" w:hAnsi="宋体" w:cs="宋体"/>
                <w:color w:val="auto"/>
                <w:sz w:val="22"/>
                <w:szCs w:val="22"/>
              </w:rPr>
            </w:pPr>
            <w:r>
              <w:rPr>
                <w:rFonts w:hint="eastAsia" w:ascii="宋体" w:hAnsi="宋体" w:cs="宋体"/>
                <w:color w:val="auto"/>
                <w:kern w:val="0"/>
                <w:sz w:val="22"/>
                <w:szCs w:val="22"/>
                <w:lang w:bidi="ar"/>
              </w:rPr>
              <w:t>1.规格：</w:t>
            </w:r>
            <w:r>
              <w:rPr>
                <w:rFonts w:hint="eastAsia" w:ascii="宋体" w:hAnsi="宋体" w:cs="宋体"/>
                <w:color w:val="auto"/>
                <w:kern w:val="0"/>
                <w:szCs w:val="21"/>
                <w:lang w:bidi="ar"/>
              </w:rPr>
              <w:t>≥</w:t>
            </w:r>
            <w:r>
              <w:rPr>
                <w:rFonts w:hint="eastAsia" w:ascii="宋体" w:hAnsi="宋体" w:cs="宋体"/>
                <w:color w:val="auto"/>
                <w:kern w:val="0"/>
                <w:sz w:val="22"/>
                <w:szCs w:val="22"/>
                <w:lang w:bidi="ar"/>
              </w:rPr>
              <w:t>1000*500*2050mm</w:t>
            </w:r>
            <w:r>
              <w:rPr>
                <w:rFonts w:hint="eastAsia" w:ascii="宋体" w:hAnsi="宋体" w:cs="宋体"/>
                <w:color w:val="auto"/>
                <w:kern w:val="0"/>
                <w:sz w:val="22"/>
                <w:szCs w:val="22"/>
                <w:lang w:bidi="ar"/>
              </w:rPr>
              <w:br w:type="textWrapping"/>
            </w:r>
            <w:r>
              <w:rPr>
                <w:rFonts w:hint="eastAsia" w:ascii="宋体" w:hAnsi="宋体" w:cs="宋体"/>
                <w:color w:val="auto"/>
                <w:kern w:val="0"/>
                <w:sz w:val="22"/>
                <w:szCs w:val="22"/>
                <w:lang w:bidi="ar"/>
              </w:rPr>
              <w:t>2.柜体材质：为全钢结构，板材采用1.0mm厚优质钢板为基材，全自动压模成型；表面经磷化、酸洗、环氧树脂粉末烤漆处理，化学防锈处理，无突出漆块，光洁亮丽，抗强酸强碱性能突出。</w:t>
            </w:r>
            <w:r>
              <w:rPr>
                <w:rFonts w:hint="eastAsia" w:ascii="宋体" w:hAnsi="宋体" w:cs="宋体"/>
                <w:color w:val="auto"/>
                <w:kern w:val="0"/>
                <w:sz w:val="22"/>
                <w:szCs w:val="22"/>
                <w:lang w:bidi="ar"/>
              </w:rPr>
              <w:br w:type="textWrapping"/>
            </w:r>
            <w:r>
              <w:rPr>
                <w:rFonts w:hint="eastAsia" w:ascii="宋体" w:hAnsi="宋体" w:cs="宋体"/>
                <w:color w:val="auto"/>
                <w:kern w:val="0"/>
                <w:sz w:val="22"/>
                <w:szCs w:val="22"/>
                <w:lang w:bidi="ar"/>
              </w:rPr>
              <w:t>3.门板：采用上玻璃门下钢制门。</w:t>
            </w:r>
            <w:r>
              <w:rPr>
                <w:rFonts w:hint="eastAsia" w:ascii="宋体" w:hAnsi="宋体" w:cs="宋体"/>
                <w:color w:val="auto"/>
                <w:kern w:val="0"/>
                <w:sz w:val="22"/>
                <w:szCs w:val="22"/>
                <w:lang w:bidi="ar"/>
              </w:rPr>
              <w:br w:type="textWrapping"/>
            </w:r>
            <w:r>
              <w:rPr>
                <w:rFonts w:hint="eastAsia" w:ascii="宋体" w:hAnsi="宋体" w:cs="宋体"/>
                <w:color w:val="auto"/>
                <w:kern w:val="0"/>
                <w:sz w:val="22"/>
                <w:szCs w:val="22"/>
                <w:lang w:bidi="ar"/>
              </w:rPr>
              <w:t>4.玻璃门：采用优质冷轧钢板，表面经过去锈、磷化、喷砂、环氧树脂粉体烤漆处理，具有抗酸碱和耐高温特性，中间镶嵌玻璃。</w:t>
            </w:r>
            <w:r>
              <w:rPr>
                <w:rFonts w:hint="eastAsia" w:ascii="宋体" w:hAnsi="宋体" w:cs="宋体"/>
                <w:color w:val="auto"/>
                <w:kern w:val="0"/>
                <w:sz w:val="22"/>
                <w:szCs w:val="22"/>
                <w:lang w:bidi="ar"/>
              </w:rPr>
              <w:br w:type="textWrapping"/>
            </w:r>
            <w:r>
              <w:rPr>
                <w:rFonts w:hint="eastAsia" w:ascii="宋体" w:hAnsi="宋体" w:cs="宋体"/>
                <w:color w:val="auto"/>
                <w:kern w:val="0"/>
                <w:sz w:val="22"/>
                <w:szCs w:val="22"/>
                <w:lang w:bidi="ar"/>
              </w:rPr>
              <w:t>5.钢制门：采用优质冷轧钢板，表面经过去锈、磷化、喷砂、环氧树脂粉体烤漆处理，具有抗酸碱和耐高温特性，对开门。</w:t>
            </w:r>
            <w:r>
              <w:rPr>
                <w:rFonts w:hint="eastAsia" w:ascii="宋体" w:hAnsi="宋体" w:cs="宋体"/>
                <w:color w:val="auto"/>
                <w:kern w:val="0"/>
                <w:sz w:val="22"/>
                <w:szCs w:val="22"/>
                <w:lang w:bidi="ar"/>
              </w:rPr>
              <w:br w:type="textWrapping"/>
            </w:r>
            <w:r>
              <w:rPr>
                <w:rFonts w:hint="eastAsia" w:ascii="宋体" w:hAnsi="宋体" w:cs="宋体"/>
                <w:color w:val="auto"/>
                <w:kern w:val="0"/>
                <w:sz w:val="22"/>
                <w:szCs w:val="22"/>
                <w:lang w:bidi="ar"/>
              </w:rPr>
              <w:t>6.拉手：采用不锈钢拉手，外形美观大方，设计人性化。</w:t>
            </w:r>
            <w:r>
              <w:rPr>
                <w:rFonts w:hint="eastAsia" w:ascii="宋体" w:hAnsi="宋体" w:cs="宋体"/>
                <w:color w:val="auto"/>
                <w:kern w:val="0"/>
                <w:sz w:val="22"/>
                <w:szCs w:val="22"/>
                <w:lang w:bidi="ar"/>
              </w:rPr>
              <w:br w:type="textWrapping"/>
            </w:r>
            <w:r>
              <w:rPr>
                <w:rFonts w:hint="eastAsia" w:ascii="宋体" w:hAnsi="宋体" w:cs="宋体"/>
                <w:color w:val="auto"/>
                <w:kern w:val="0"/>
                <w:sz w:val="22"/>
                <w:szCs w:val="22"/>
                <w:lang w:bidi="ar"/>
              </w:rPr>
              <w:t>7.可调脚：采用橡胶模具一次成型地脚，可调节高度30-50mm。</w:t>
            </w:r>
            <w:r>
              <w:rPr>
                <w:rFonts w:hint="eastAsia" w:ascii="宋体" w:hAnsi="宋体" w:cs="宋体"/>
                <w:color w:val="auto"/>
                <w:kern w:val="0"/>
                <w:sz w:val="22"/>
                <w:szCs w:val="22"/>
                <w:lang w:bidi="ar"/>
              </w:rPr>
              <w:br w:type="textWrapping"/>
            </w:r>
            <w:r>
              <w:rPr>
                <w:rFonts w:hint="eastAsia" w:ascii="宋体" w:hAnsi="宋体" w:cs="宋体"/>
                <w:color w:val="auto"/>
                <w:kern w:val="0"/>
                <w:sz w:val="22"/>
                <w:szCs w:val="22"/>
                <w:lang w:bidi="ar"/>
              </w:rPr>
              <w:t>带锁，带标签卡。</w:t>
            </w:r>
          </w:p>
        </w:tc>
        <w:tc>
          <w:tcPr>
            <w:tcW w:w="500" w:type="dxa"/>
            <w:tcBorders>
              <w:top w:val="single" w:color="000000" w:sz="4" w:space="0"/>
              <w:left w:val="single" w:color="000000" w:sz="4" w:space="0"/>
              <w:bottom w:val="single" w:color="000000" w:sz="4" w:space="0"/>
              <w:right w:val="single" w:color="000000" w:sz="4" w:space="0"/>
            </w:tcBorders>
            <w:vAlign w:val="center"/>
          </w:tcPr>
          <w:p w14:paraId="63704D1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18</w:t>
            </w:r>
          </w:p>
        </w:tc>
        <w:tc>
          <w:tcPr>
            <w:tcW w:w="500" w:type="dxa"/>
            <w:tcBorders>
              <w:top w:val="single" w:color="000000" w:sz="4" w:space="0"/>
              <w:left w:val="single" w:color="000000" w:sz="4" w:space="0"/>
              <w:bottom w:val="single" w:color="000000" w:sz="4" w:space="0"/>
              <w:right w:val="single" w:color="000000" w:sz="4" w:space="0"/>
            </w:tcBorders>
            <w:vAlign w:val="center"/>
          </w:tcPr>
          <w:p w14:paraId="664AF5A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组</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64BED046">
            <w:pPr>
              <w:jc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707392" behindDoc="0" locked="0" layoutInCell="1" allowOverlap="1">
                  <wp:simplePos x="0" y="0"/>
                  <wp:positionH relativeFrom="column">
                    <wp:posOffset>638175</wp:posOffset>
                  </wp:positionH>
                  <wp:positionV relativeFrom="paragraph">
                    <wp:posOffset>53340</wp:posOffset>
                  </wp:positionV>
                  <wp:extent cx="647700" cy="1098550"/>
                  <wp:effectExtent l="0" t="0" r="0" b="0"/>
                  <wp:wrapNone/>
                  <wp:docPr id="229936424" name="图片_1"/>
                  <wp:cNvGraphicFramePr/>
                  <a:graphic xmlns:a="http://schemas.openxmlformats.org/drawingml/2006/main">
                    <a:graphicData uri="http://schemas.openxmlformats.org/drawingml/2006/picture">
                      <pic:pic xmlns:pic="http://schemas.openxmlformats.org/drawingml/2006/picture">
                        <pic:nvPicPr>
                          <pic:cNvPr id="229936424" name="图片_1"/>
                          <pic:cNvPicPr/>
                        </pic:nvPicPr>
                        <pic:blipFill>
                          <a:blip r:embed="rId49"/>
                          <a:stretch>
                            <a:fillRect/>
                          </a:stretch>
                        </pic:blipFill>
                        <pic:spPr>
                          <a:xfrm>
                            <a:off x="0" y="0"/>
                            <a:ext cx="647700" cy="1098550"/>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0748E7A6">
            <w:pPr>
              <w:jc w:val="center"/>
              <w:rPr>
                <w:rFonts w:hint="eastAsia" w:ascii="宋体" w:hAnsi="宋体" w:cs="宋体"/>
                <w:color w:val="000000" w:themeColor="text1"/>
                <w:sz w:val="22"/>
                <w:szCs w:val="22"/>
                <w14:textFill>
                  <w14:solidFill>
                    <w14:schemeClr w14:val="tx1"/>
                  </w14:solidFill>
                </w14:textFill>
              </w:rPr>
            </w:pPr>
          </w:p>
        </w:tc>
      </w:tr>
      <w:tr w14:paraId="59A438F6">
        <w:tblPrEx>
          <w:tblCellMar>
            <w:top w:w="0" w:type="dxa"/>
            <w:left w:w="108" w:type="dxa"/>
            <w:bottom w:w="0" w:type="dxa"/>
            <w:right w:w="108" w:type="dxa"/>
          </w:tblCellMar>
        </w:tblPrEx>
        <w:trPr>
          <w:trHeight w:val="381" w:hRule="atLeast"/>
        </w:trPr>
        <w:tc>
          <w:tcPr>
            <w:tcW w:w="14522" w:type="dxa"/>
            <w:gridSpan w:val="7"/>
            <w:tcBorders>
              <w:top w:val="single" w:color="000000" w:sz="4" w:space="0"/>
              <w:left w:val="single" w:color="000000" w:sz="4" w:space="0"/>
              <w:bottom w:val="single" w:color="000000" w:sz="4" w:space="0"/>
              <w:right w:val="single" w:color="000000" w:sz="4" w:space="0"/>
            </w:tcBorders>
            <w:noWrap/>
            <w:vAlign w:val="center"/>
          </w:tcPr>
          <w:p w14:paraId="6DAB2480">
            <w:pPr>
              <w:widowControl/>
              <w:jc w:val="center"/>
              <w:textAlignment w:val="center"/>
              <w:rPr>
                <w:rFonts w:hint="eastAsia" w:ascii="新宋体" w:hAnsi="新宋体" w:eastAsia="新宋体" w:cs="新宋体"/>
                <w:b/>
                <w:bCs/>
                <w:color w:val="000000" w:themeColor="text1"/>
                <w:kern w:val="0"/>
                <w:sz w:val="24"/>
                <w:lang w:bidi="ar"/>
                <w14:textFill>
                  <w14:solidFill>
                    <w14:schemeClr w14:val="tx1"/>
                  </w14:solidFill>
                </w14:textFill>
              </w:rPr>
            </w:pPr>
            <w:r>
              <w:rPr>
                <w:rFonts w:hint="eastAsia" w:asciiTheme="minorEastAsia" w:hAnsiTheme="minorEastAsia" w:eastAsiaTheme="minorEastAsia" w:cstheme="minorEastAsia"/>
                <w:b/>
                <w:bCs/>
                <w:color w:val="000000" w:themeColor="text1"/>
                <w:kern w:val="0"/>
                <w:sz w:val="22"/>
                <w:szCs w:val="22"/>
                <w:lang w:bidi="ar"/>
                <w14:textFill>
                  <w14:solidFill>
                    <w14:schemeClr w14:val="tx1"/>
                  </w14:solidFill>
                </w14:textFill>
              </w:rPr>
              <w:t>（5）化学仪器室、药品室、危化品室</w:t>
            </w:r>
          </w:p>
        </w:tc>
      </w:tr>
      <w:tr w14:paraId="4F1792D5">
        <w:tblPrEx>
          <w:tblCellMar>
            <w:top w:w="0" w:type="dxa"/>
            <w:left w:w="108" w:type="dxa"/>
            <w:bottom w:w="0" w:type="dxa"/>
            <w:right w:w="108" w:type="dxa"/>
          </w:tblCellMar>
        </w:tblPrEx>
        <w:trPr>
          <w:trHeight w:val="56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0C2A15F4">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序号</w:t>
            </w:r>
          </w:p>
        </w:tc>
        <w:tc>
          <w:tcPr>
            <w:tcW w:w="2757" w:type="dxa"/>
            <w:tcBorders>
              <w:top w:val="single" w:color="000000" w:sz="4" w:space="0"/>
              <w:left w:val="single" w:color="000000" w:sz="4" w:space="0"/>
              <w:bottom w:val="single" w:color="000000" w:sz="4" w:space="0"/>
              <w:right w:val="single" w:color="000000" w:sz="4" w:space="0"/>
            </w:tcBorders>
            <w:vAlign w:val="center"/>
          </w:tcPr>
          <w:p w14:paraId="4598EA49">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设备名称</w:t>
            </w:r>
          </w:p>
        </w:tc>
        <w:tc>
          <w:tcPr>
            <w:tcW w:w="5770" w:type="dxa"/>
            <w:tcBorders>
              <w:top w:val="single" w:color="000000" w:sz="4" w:space="0"/>
              <w:left w:val="single" w:color="000000" w:sz="4" w:space="0"/>
              <w:bottom w:val="single" w:color="000000" w:sz="4" w:space="0"/>
              <w:right w:val="single" w:color="000000" w:sz="4" w:space="0"/>
            </w:tcBorders>
            <w:vAlign w:val="center"/>
          </w:tcPr>
          <w:p w14:paraId="1660D8A6">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规格参数</w:t>
            </w:r>
          </w:p>
        </w:tc>
        <w:tc>
          <w:tcPr>
            <w:tcW w:w="500" w:type="dxa"/>
            <w:tcBorders>
              <w:top w:val="single" w:color="000000" w:sz="4" w:space="0"/>
              <w:left w:val="single" w:color="000000" w:sz="4" w:space="0"/>
              <w:bottom w:val="single" w:color="000000" w:sz="4" w:space="0"/>
              <w:right w:val="single" w:color="000000" w:sz="4" w:space="0"/>
            </w:tcBorders>
            <w:vAlign w:val="center"/>
          </w:tcPr>
          <w:p w14:paraId="1C6421E3">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数量</w:t>
            </w:r>
          </w:p>
        </w:tc>
        <w:tc>
          <w:tcPr>
            <w:tcW w:w="500" w:type="dxa"/>
            <w:tcBorders>
              <w:top w:val="single" w:color="000000" w:sz="4" w:space="0"/>
              <w:left w:val="single" w:color="000000" w:sz="4" w:space="0"/>
              <w:bottom w:val="single" w:color="000000" w:sz="4" w:space="0"/>
              <w:right w:val="single" w:color="000000" w:sz="4" w:space="0"/>
            </w:tcBorders>
            <w:vAlign w:val="center"/>
          </w:tcPr>
          <w:p w14:paraId="4874C32D">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单位</w:t>
            </w:r>
          </w:p>
        </w:tc>
        <w:tc>
          <w:tcPr>
            <w:tcW w:w="3345" w:type="dxa"/>
            <w:tcBorders>
              <w:top w:val="single" w:color="000000" w:sz="4" w:space="0"/>
              <w:left w:val="single" w:color="000000" w:sz="4" w:space="0"/>
              <w:bottom w:val="single" w:color="000000" w:sz="4" w:space="0"/>
              <w:right w:val="single" w:color="000000" w:sz="4" w:space="0"/>
            </w:tcBorders>
            <w:vAlign w:val="center"/>
          </w:tcPr>
          <w:p w14:paraId="42707AA7">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参考图</w:t>
            </w:r>
          </w:p>
        </w:tc>
        <w:tc>
          <w:tcPr>
            <w:tcW w:w="1150" w:type="dxa"/>
            <w:tcBorders>
              <w:top w:val="single" w:color="000000" w:sz="4" w:space="0"/>
              <w:left w:val="single" w:color="000000" w:sz="4" w:space="0"/>
              <w:bottom w:val="single" w:color="000000" w:sz="4" w:space="0"/>
              <w:right w:val="single" w:color="000000" w:sz="4" w:space="0"/>
            </w:tcBorders>
            <w:vAlign w:val="center"/>
          </w:tcPr>
          <w:p w14:paraId="701E2252">
            <w:pPr>
              <w:widowControl/>
              <w:jc w:val="center"/>
              <w:textAlignment w:val="center"/>
              <w:rPr>
                <w:rFonts w:hint="eastAsia" w:ascii="新宋体" w:hAnsi="新宋体" w:eastAsia="新宋体" w:cs="新宋体"/>
                <w:b/>
                <w:bCs/>
                <w:color w:val="000000" w:themeColor="text1"/>
                <w:kern w:val="0"/>
                <w:sz w:val="22"/>
                <w:szCs w:val="22"/>
                <w:lang w:bidi="ar"/>
                <w14:textFill>
                  <w14:solidFill>
                    <w14:schemeClr w14:val="tx1"/>
                  </w14:solidFill>
                </w14:textFill>
              </w:rPr>
            </w:pPr>
          </w:p>
        </w:tc>
      </w:tr>
      <w:tr w14:paraId="111095D5">
        <w:tblPrEx>
          <w:tblCellMar>
            <w:top w:w="0" w:type="dxa"/>
            <w:left w:w="108" w:type="dxa"/>
            <w:bottom w:w="0" w:type="dxa"/>
            <w:right w:w="108" w:type="dxa"/>
          </w:tblCellMar>
        </w:tblPrEx>
        <w:trPr>
          <w:trHeight w:val="1660"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5668D6B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2757" w:type="dxa"/>
            <w:tcBorders>
              <w:top w:val="single" w:color="000000" w:sz="4" w:space="0"/>
              <w:left w:val="single" w:color="000000" w:sz="4" w:space="0"/>
              <w:bottom w:val="single" w:color="000000" w:sz="4" w:space="0"/>
              <w:right w:val="single" w:color="000000" w:sz="4" w:space="0"/>
            </w:tcBorders>
            <w:vAlign w:val="center"/>
          </w:tcPr>
          <w:p w14:paraId="0F01DC1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边台承载设备</w:t>
            </w:r>
          </w:p>
        </w:tc>
        <w:tc>
          <w:tcPr>
            <w:tcW w:w="5770" w:type="dxa"/>
            <w:tcBorders>
              <w:top w:val="single" w:color="000000" w:sz="4" w:space="0"/>
              <w:left w:val="single" w:color="000000" w:sz="4" w:space="0"/>
              <w:bottom w:val="single" w:color="000000" w:sz="4" w:space="0"/>
              <w:right w:val="single" w:color="000000" w:sz="4" w:space="0"/>
            </w:tcBorders>
            <w:vAlign w:val="center"/>
          </w:tcPr>
          <w:p w14:paraId="5564F4E8">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1.规格：</w:t>
            </w:r>
            <w:r>
              <w:rPr>
                <w:rFonts w:hint="eastAsia" w:ascii="宋体" w:hAnsi="宋体" w:cs="宋体"/>
                <w:kern w:val="0"/>
                <w:szCs w:val="21"/>
                <w:lang w:bidi="ar"/>
              </w:rPr>
              <w:t>≥</w:t>
            </w:r>
            <w:r>
              <w:rPr>
                <w:rFonts w:hint="eastAsia" w:ascii="宋体" w:hAnsi="宋体" w:cs="宋体"/>
                <w:color w:val="000000" w:themeColor="text1"/>
                <w:kern w:val="0"/>
                <w:sz w:val="22"/>
                <w:szCs w:val="22"/>
                <w:lang w:bidi="ar"/>
                <w14:textFill>
                  <w14:solidFill>
                    <w14:schemeClr w14:val="tx1"/>
                  </w14:solidFill>
                </w14:textFill>
              </w:rPr>
              <w:t>2400×600×850mm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2.全钢材质边台；台面采用</w:t>
            </w:r>
            <w:r>
              <w:rPr>
                <w:rStyle w:val="194"/>
                <w:rFonts w:hint="default"/>
                <w:color w:val="000000" w:themeColor="text1"/>
                <w:lang w:bidi="ar"/>
                <w14:textFill>
                  <w14:solidFill>
                    <w14:schemeClr w14:val="tx1"/>
                  </w14:solidFill>
                </w14:textFill>
              </w:rPr>
              <w:t>≤</w:t>
            </w:r>
            <w:r>
              <w:rPr>
                <w:rFonts w:hint="eastAsia" w:ascii="宋体" w:hAnsi="宋体" w:cs="宋体"/>
                <w:color w:val="000000" w:themeColor="text1"/>
                <w:kern w:val="0"/>
                <w:sz w:val="22"/>
                <w:szCs w:val="22"/>
                <w:lang w:bidi="ar"/>
                <w14:textFill>
                  <w14:solidFill>
                    <w14:schemeClr w14:val="tx1"/>
                  </w14:solidFill>
                </w14:textFill>
              </w:rPr>
              <w:t>16mm厚一体实芯灰坯灰釉实验室专用陶瓷止滑台面，止滑槽为一体成型非后期加工，有效防止试管滑落。台面耐强腐蚀，耐1350度以上高温。水槽台台面采用25mm厚带一体釉面烧制工艺的防滑沥水槽且四周带一体陶瓷阻水边碟型陶瓷台面，碟型及沥水槽工艺可以有效防止液体外溢及防止清洗烧杯烧瓶意外滑动；</w:t>
            </w:r>
          </w:p>
          <w:p w14:paraId="1D145BF9">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▲3.主框架采用</w:t>
            </w:r>
            <w:r>
              <w:rPr>
                <w:rFonts w:hint="eastAsia" w:ascii="宋体" w:hAnsi="宋体" w:cs="宋体"/>
                <w:kern w:val="0"/>
                <w:szCs w:val="21"/>
                <w:lang w:bidi="ar"/>
              </w:rPr>
              <w:t>≥</w:t>
            </w:r>
            <w:r>
              <w:rPr>
                <w:rFonts w:hint="eastAsia" w:ascii="宋体" w:hAnsi="宋体" w:cs="宋体"/>
                <w:color w:val="000000" w:themeColor="text1"/>
                <w:kern w:val="0"/>
                <w:sz w:val="22"/>
                <w:szCs w:val="22"/>
                <w:lang w:bidi="ar"/>
                <w14:textFill>
                  <w14:solidFill>
                    <w14:schemeClr w14:val="tx1"/>
                  </w14:solidFill>
                </w14:textFill>
              </w:rPr>
              <w:t>60*4mm0厚度1.5mm</w:t>
            </w:r>
          </w:p>
          <w:p w14:paraId="31192451">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冷轧钢管; 冷轧钢管依据 QB/T 3832-1999(2009)《轻工产品金属镀层腐蚀试验结果的评价》，锈点数：0 ，等级：10级，结论皆符合。</w:t>
            </w:r>
          </w:p>
          <w:p w14:paraId="2C930E7E">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b/>
                <w:bCs/>
                <w:kern w:val="0"/>
                <w:szCs w:val="21"/>
                <w:lang w:bidi="ar"/>
              </w:rPr>
              <w:t>提供具备CMA或CNAS标识的第三方检测机构出具</w:t>
            </w:r>
            <w:r>
              <w:rPr>
                <w:rFonts w:hint="eastAsia" w:ascii="宋体" w:hAnsi="宋体" w:cs="宋体"/>
                <w:color w:val="000000" w:themeColor="text1"/>
                <w:kern w:val="0"/>
                <w:sz w:val="22"/>
                <w:szCs w:val="22"/>
                <w:lang w:bidi="ar"/>
                <w14:textFill>
                  <w14:solidFill>
                    <w14:schemeClr w14:val="tx1"/>
                  </w14:solidFill>
                </w14:textFill>
              </w:rPr>
              <w:t>的</w:t>
            </w:r>
            <w:r>
              <w:rPr>
                <w:rFonts w:hint="eastAsia" w:ascii="宋体" w:hAnsi="宋体"/>
                <w:b/>
                <w:bCs/>
                <w:kern w:val="0"/>
              </w:rPr>
              <w:t>检测报告复印件加盖供应商公章</w:t>
            </w:r>
            <w:r>
              <w:rPr>
                <w:rFonts w:hint="eastAsia" w:ascii="宋体" w:hAnsi="宋体" w:cs="宋体"/>
                <w:color w:val="000000" w:themeColor="text1"/>
                <w:kern w:val="0"/>
                <w:sz w:val="22"/>
                <w:szCs w:val="22"/>
                <w:lang w:bidi="ar"/>
                <w14:textFill>
                  <w14:solidFill>
                    <w14:schemeClr w14:val="tx1"/>
                  </w14:solidFill>
                </w14:textFill>
              </w:rPr>
              <w:t>。</w:t>
            </w:r>
          </w:p>
          <w:p w14:paraId="209FD42A">
            <w:pPr>
              <w:pStyle w:val="68"/>
              <w:widowControl/>
              <w:numPr>
                <w:ilvl w:val="0"/>
                <w:numId w:val="0"/>
              </w:numPr>
              <w:textAlignment w:val="center"/>
              <w:rPr>
                <w:rFonts w:hint="eastAsia"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4.柜体采用一级冷轧钢板（SPCCT）经CNC机压成形、焊接制作，表面经环氧树脂粉体涂装处理（SEFA级别喷涂），外门板1.0 mm、内门板1.0 mm、门板加强梁1.0 mm、抽屉1.0 mm、合页内固定板1.0 mm、层板 1.0 mm、活动维修背板0.9 mm、外围板1.0 mm、底板1.0 mm、上横梁 1.0 mm、调整脚支撑板3.0 mm、滑轨支撑梁1.0 mm；柜门为双包结构，内附防噪填充；每个包层都是先喷涂再包合，不会因局部的破损而导致内部的损伤；抽屉：为四面抽墙一体成型式设计并，抽头为双层结构，内具隔音材质；层板：可以上下调节；维修背板：采用可拆装式设计，以方便管线安装维护；水槽台的挡水条：同台面材料，高100mm（±1.5%），台面外侧上缘采用圆弧或斜边不刮手处理；合页：采用厚2.0mm及以上编号304#不锈钢材质，开启角度≥180度，5节式，确保每个合页的同一性，承重可达到55kg，1200mm高度以下的柜子采用2个合页，超过1200mm高度柜子则采用3个合页，用6个不锈钢螺丝来固定每个合页；滑轨：抽屉采用厚2.0mm及以上钢制高承载导轨，为冷轧钢板模具冲压成型制作，通过焊接与抽屉连为一体，然后与抽屉本体一起使用环氧树酯粉末静电喷涂表面。自闭结构设计，当抽屉关到末端时有自闭功能，滑轨抽屉能抽出至少330mm；抽屉的滚轮采用尼龙包边的滚球轴承，不得使用二节或三节导轨；把手：采用304不锈钢 “C”型把手，把手须以不锈钢螺丝固定，抽屉宽度超过600mm及以上时应配置两只把手；地脚：镀锌钢地脚，可根据室内地坪适当调整柜体0-35mm的高度；门扣组：采用塑料材质的滚轮，不锈钢材质的滚轮支架，须以不锈钢螺丝与柜体及门板固定；层板支撑扣：采用厚1.2mm及以上的钢板镀锌或不锈钢材质；螺丝：除有特别说明者外，合页安装处为平头普通螺钉，304不锈钢材质，其它部位为钢质尖头镀锌自攻螺丝。活动轮：采用医用级高承重，高稳定性活动轮，带刹车。结构及性能要求：落地式结构，柜体深度≥520mm；高度(含调整脚及台面厚度) 除有特别说明外，为850mm (±2%)；实验台空位不大于650mm；所有底柜双开门间无中央垂直支柱阻挡。柜体内有层板上下调节孔，每个底柜设活动层板一只，层板宽度与底柜内宽度相当，不得于两侧有各超过3mm的间隙；服务通道：中央桌背对背框架中间空档及靠边桌框架与墙面中间空档有一个服务通道距离，用来布设电、水、气管路，隐藏设计；所有钣金的表面接缝均应满焊，焊接处均应打磨平整以保持为连续的平滑表面；所有部件不得于安装现场焊接加工，以避免破坏表面环氧树脂涂层；所有框架单元应配备4个镀锌钢螺杆调整脚，以支撑框架及调节水平，框架底部离地板距离应不少于5mm以隔离地面潮气；座位空间：依据图纸及相关说明所示，于操作台台框架间配置座位空间；装饰封板：依图纸说明所示，柜体内部后方，背对背柜体中间空档外侧及靠边桌柜体与墙面中间空档外侧，须使用钢制装饰封板遮盖，封板的颜色及表面处理应与柜体相同；所有装饰封板为可拆装式设计，其组装螺丝应以孔塞遮蔽不可外露。</w:t>
            </w:r>
          </w:p>
          <w:p w14:paraId="2E9B0150">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5.</w:t>
            </w:r>
            <w:r>
              <w:rPr>
                <w:rFonts w:hint="eastAsia" w:ascii="宋体" w:hAnsi="宋体" w:cs="宋体"/>
                <w:color w:val="000000" w:themeColor="text1"/>
                <w:kern w:val="0"/>
                <w:sz w:val="22"/>
                <w:szCs w:val="22"/>
                <w:lang w:bidi="ar"/>
                <w14:textFill>
                  <w14:solidFill>
                    <w14:schemeClr w14:val="tx1"/>
                  </w14:solidFill>
                </w14:textFill>
              </w:rPr>
              <w:t xml:space="preserve"> 含4个插座及插座盒，规格：220V10A；5孔面，含2.5平方台面内电线及保护。需要220V16A的插座，提供220V16A的插座，插座总数量不变。86型五孔多功能座，220V/10A、220V/16A等；需通过拔出插头所需的力合格，温升符合要求， 绝缘材料的耐非正常热合格，耐燃和耐电痕化检测；钢制插座盒采用壁厚1.2mm冷轧钢管冲压而成，再表面表面经磷化、酸洗、环氧树脂粉末烤漆处理，化学防锈处理，无突出漆块，光洁亮丽，抗强酸强碱性能突出。</w:t>
            </w:r>
          </w:p>
        </w:tc>
        <w:tc>
          <w:tcPr>
            <w:tcW w:w="500" w:type="dxa"/>
            <w:tcBorders>
              <w:top w:val="single" w:color="000000" w:sz="4" w:space="0"/>
              <w:left w:val="single" w:color="000000" w:sz="4" w:space="0"/>
              <w:bottom w:val="single" w:color="000000" w:sz="4" w:space="0"/>
              <w:right w:val="single" w:color="000000" w:sz="4" w:space="0"/>
            </w:tcBorders>
            <w:vAlign w:val="center"/>
          </w:tcPr>
          <w:p w14:paraId="0B8E1A6E">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vAlign w:val="center"/>
          </w:tcPr>
          <w:p w14:paraId="6598A28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台</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2BA1356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71552" behindDoc="0" locked="0" layoutInCell="1" allowOverlap="1">
                  <wp:simplePos x="0" y="0"/>
                  <wp:positionH relativeFrom="column">
                    <wp:posOffset>461645</wp:posOffset>
                  </wp:positionH>
                  <wp:positionV relativeFrom="paragraph">
                    <wp:posOffset>158750</wp:posOffset>
                  </wp:positionV>
                  <wp:extent cx="1069975" cy="783590"/>
                  <wp:effectExtent l="0" t="0" r="15875" b="16510"/>
                  <wp:wrapNone/>
                  <wp:docPr id="11" name="图片_18"/>
                  <wp:cNvGraphicFramePr/>
                  <a:graphic xmlns:a="http://schemas.openxmlformats.org/drawingml/2006/main">
                    <a:graphicData uri="http://schemas.openxmlformats.org/drawingml/2006/picture">
                      <pic:pic xmlns:pic="http://schemas.openxmlformats.org/drawingml/2006/picture">
                        <pic:nvPicPr>
                          <pic:cNvPr id="11" name="图片_18"/>
                          <pic:cNvPicPr/>
                        </pic:nvPicPr>
                        <pic:blipFill>
                          <a:blip r:embed="rId50"/>
                          <a:stretch>
                            <a:fillRect/>
                          </a:stretch>
                        </pic:blipFill>
                        <pic:spPr>
                          <a:xfrm>
                            <a:off x="0" y="0"/>
                            <a:ext cx="1069975" cy="783590"/>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628B322B">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714559AF">
        <w:tblPrEx>
          <w:tblCellMar>
            <w:top w:w="0" w:type="dxa"/>
            <w:left w:w="108" w:type="dxa"/>
            <w:bottom w:w="0" w:type="dxa"/>
            <w:right w:w="108" w:type="dxa"/>
          </w:tblCellMar>
        </w:tblPrEx>
        <w:trPr>
          <w:trHeight w:val="1115"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4450C9A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w:t>
            </w:r>
          </w:p>
        </w:tc>
        <w:tc>
          <w:tcPr>
            <w:tcW w:w="2757" w:type="dxa"/>
            <w:tcBorders>
              <w:top w:val="single" w:color="000000" w:sz="4" w:space="0"/>
              <w:left w:val="single" w:color="000000" w:sz="4" w:space="0"/>
              <w:bottom w:val="single" w:color="000000" w:sz="4" w:space="0"/>
              <w:right w:val="single" w:color="000000" w:sz="4" w:space="0"/>
            </w:tcBorders>
            <w:vAlign w:val="center"/>
          </w:tcPr>
          <w:p w14:paraId="6A55954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水龙头＋水槽</w:t>
            </w:r>
          </w:p>
        </w:tc>
        <w:tc>
          <w:tcPr>
            <w:tcW w:w="5770" w:type="dxa"/>
            <w:tcBorders>
              <w:top w:val="single" w:color="000000" w:sz="4" w:space="0"/>
              <w:left w:val="single" w:color="000000" w:sz="4" w:space="0"/>
              <w:bottom w:val="single" w:color="000000" w:sz="4" w:space="0"/>
              <w:right w:val="single" w:color="000000" w:sz="4" w:space="0"/>
            </w:tcBorders>
            <w:vAlign w:val="center"/>
          </w:tcPr>
          <w:p w14:paraId="704D0E7F">
            <w:pPr>
              <w:widowControl/>
              <w:numPr>
                <w:ilvl w:val="0"/>
                <w:numId w:val="22"/>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水槽采用全新PP料及色母料，无碳酸钙成分。</w:t>
            </w:r>
          </w:p>
          <w:p w14:paraId="57321D70">
            <w:pPr>
              <w:widowControl/>
              <w:numPr>
                <w:ilvl w:val="0"/>
                <w:numId w:val="22"/>
              </w:numPr>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规格：约810*410*300mm；下水口与水槽一体注塑成型，水槽内壁无缩印，四边平整，水槽壁厚≤5mm；为防止水槽中间或四周有积液，槽体底部有导流线。</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鹅颈式实验室专用优质化验水嘴：要求防酸碱、防锈、防虹吸、防阻塞，表面环氧树脂喷涂。出水嘴为铜质瓷芯，高头，便于多用途使用，可拆卸清洗阻塞。出水嘴可拆卸，内有成型螺纹，可方便连接循环等特殊用水水管。</w:t>
            </w:r>
          </w:p>
          <w:p w14:paraId="38A042E8">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b/>
                <w:bCs/>
                <w:kern w:val="0"/>
                <w:szCs w:val="21"/>
                <w:lang w:bidi="ar"/>
              </w:rPr>
              <w:t>★投标文件中提供由国家确定的认证机构出具的、处于有效期之内的节能（节水）产品认证证书复印件加盖供应商公章。</w:t>
            </w:r>
          </w:p>
        </w:tc>
        <w:tc>
          <w:tcPr>
            <w:tcW w:w="500" w:type="dxa"/>
            <w:tcBorders>
              <w:top w:val="single" w:color="000000" w:sz="4" w:space="0"/>
              <w:left w:val="single" w:color="000000" w:sz="4" w:space="0"/>
              <w:bottom w:val="single" w:color="000000" w:sz="4" w:space="0"/>
              <w:right w:val="single" w:color="000000" w:sz="4" w:space="0"/>
            </w:tcBorders>
            <w:vAlign w:val="center"/>
          </w:tcPr>
          <w:p w14:paraId="7733835D">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vAlign w:val="center"/>
          </w:tcPr>
          <w:p w14:paraId="0E4372C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4C964C9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68480" behindDoc="0" locked="0" layoutInCell="1" allowOverlap="1">
                  <wp:simplePos x="0" y="0"/>
                  <wp:positionH relativeFrom="column">
                    <wp:posOffset>793115</wp:posOffset>
                  </wp:positionH>
                  <wp:positionV relativeFrom="paragraph">
                    <wp:posOffset>80645</wp:posOffset>
                  </wp:positionV>
                  <wp:extent cx="377190" cy="736600"/>
                  <wp:effectExtent l="0" t="0" r="3810" b="6350"/>
                  <wp:wrapNone/>
                  <wp:docPr id="6" name="图片_2_SpCnt_1"/>
                  <wp:cNvGraphicFramePr/>
                  <a:graphic xmlns:a="http://schemas.openxmlformats.org/drawingml/2006/main">
                    <a:graphicData uri="http://schemas.openxmlformats.org/drawingml/2006/picture">
                      <pic:pic xmlns:pic="http://schemas.openxmlformats.org/drawingml/2006/picture">
                        <pic:nvPicPr>
                          <pic:cNvPr id="6" name="图片_2_SpCnt_1"/>
                          <pic:cNvPicPr/>
                        </pic:nvPicPr>
                        <pic:blipFill>
                          <a:blip r:embed="rId51"/>
                          <a:stretch>
                            <a:fillRect/>
                          </a:stretch>
                        </pic:blipFill>
                        <pic:spPr>
                          <a:xfrm>
                            <a:off x="0" y="0"/>
                            <a:ext cx="377190" cy="736600"/>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3D0483E9">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2F69E2B9">
        <w:tblPrEx>
          <w:tblCellMar>
            <w:top w:w="0" w:type="dxa"/>
            <w:left w:w="108" w:type="dxa"/>
            <w:bottom w:w="0" w:type="dxa"/>
            <w:right w:w="108" w:type="dxa"/>
          </w:tblCellMar>
        </w:tblPrEx>
        <w:trPr>
          <w:trHeight w:val="1136"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0C8E78D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3</w:t>
            </w:r>
          </w:p>
        </w:tc>
        <w:tc>
          <w:tcPr>
            <w:tcW w:w="2757" w:type="dxa"/>
            <w:tcBorders>
              <w:top w:val="single" w:color="000000" w:sz="4" w:space="0"/>
              <w:left w:val="single" w:color="000000" w:sz="4" w:space="0"/>
              <w:bottom w:val="single" w:color="000000" w:sz="4" w:space="0"/>
              <w:right w:val="single" w:color="000000" w:sz="4" w:space="0"/>
            </w:tcBorders>
            <w:vAlign w:val="center"/>
          </w:tcPr>
          <w:p w14:paraId="50BE0002">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滴水架</w:t>
            </w:r>
          </w:p>
        </w:tc>
        <w:tc>
          <w:tcPr>
            <w:tcW w:w="5770" w:type="dxa"/>
            <w:tcBorders>
              <w:top w:val="single" w:color="000000" w:sz="4" w:space="0"/>
              <w:left w:val="single" w:color="000000" w:sz="4" w:space="0"/>
              <w:bottom w:val="single" w:color="000000" w:sz="4" w:space="0"/>
              <w:right w:val="single" w:color="000000" w:sz="4" w:space="0"/>
            </w:tcBorders>
            <w:vAlign w:val="center"/>
          </w:tcPr>
          <w:p w14:paraId="24131FE6">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高密度PP 类型：单面 底部托盘中间设有排水孔 可拆卸式滴水棒，具有锁扣功能，方便使用</w:t>
            </w:r>
          </w:p>
        </w:tc>
        <w:tc>
          <w:tcPr>
            <w:tcW w:w="500" w:type="dxa"/>
            <w:tcBorders>
              <w:top w:val="single" w:color="000000" w:sz="4" w:space="0"/>
              <w:left w:val="single" w:color="000000" w:sz="4" w:space="0"/>
              <w:bottom w:val="single" w:color="000000" w:sz="4" w:space="0"/>
              <w:right w:val="single" w:color="000000" w:sz="4" w:space="0"/>
            </w:tcBorders>
            <w:vAlign w:val="center"/>
          </w:tcPr>
          <w:p w14:paraId="0CBB85D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vAlign w:val="center"/>
          </w:tcPr>
          <w:p w14:paraId="110B117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70A96262">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72576" behindDoc="0" locked="0" layoutInCell="1" allowOverlap="1">
                  <wp:simplePos x="0" y="0"/>
                  <wp:positionH relativeFrom="column">
                    <wp:posOffset>774700</wp:posOffset>
                  </wp:positionH>
                  <wp:positionV relativeFrom="paragraph">
                    <wp:posOffset>34925</wp:posOffset>
                  </wp:positionV>
                  <wp:extent cx="399415" cy="676275"/>
                  <wp:effectExtent l="0" t="0" r="635" b="9525"/>
                  <wp:wrapNone/>
                  <wp:docPr id="12" name="图片_119"/>
                  <wp:cNvGraphicFramePr/>
                  <a:graphic xmlns:a="http://schemas.openxmlformats.org/drawingml/2006/main">
                    <a:graphicData uri="http://schemas.openxmlformats.org/drawingml/2006/picture">
                      <pic:pic xmlns:pic="http://schemas.openxmlformats.org/drawingml/2006/picture">
                        <pic:nvPicPr>
                          <pic:cNvPr id="12" name="图片_119"/>
                          <pic:cNvPicPr/>
                        </pic:nvPicPr>
                        <pic:blipFill>
                          <a:blip r:embed="rId52"/>
                          <a:stretch>
                            <a:fillRect/>
                          </a:stretch>
                        </pic:blipFill>
                        <pic:spPr>
                          <a:xfrm>
                            <a:off x="0" y="0"/>
                            <a:ext cx="399415" cy="676275"/>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2D30423D">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59E0CDD7">
        <w:tblPrEx>
          <w:tblCellMar>
            <w:top w:w="0" w:type="dxa"/>
            <w:left w:w="108" w:type="dxa"/>
            <w:bottom w:w="0" w:type="dxa"/>
            <w:right w:w="108" w:type="dxa"/>
          </w:tblCellMar>
        </w:tblPrEx>
        <w:trPr>
          <w:trHeight w:val="1883"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0C2B8E67">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4</w:t>
            </w:r>
          </w:p>
        </w:tc>
        <w:tc>
          <w:tcPr>
            <w:tcW w:w="2757" w:type="dxa"/>
            <w:tcBorders>
              <w:top w:val="single" w:color="000000" w:sz="4" w:space="0"/>
              <w:left w:val="single" w:color="000000" w:sz="4" w:space="0"/>
              <w:bottom w:val="single" w:color="000000" w:sz="4" w:space="0"/>
              <w:right w:val="single" w:color="000000" w:sz="4" w:space="0"/>
            </w:tcBorders>
            <w:vAlign w:val="center"/>
          </w:tcPr>
          <w:p w14:paraId="7E02CBE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操作台集成架</w:t>
            </w:r>
          </w:p>
        </w:tc>
        <w:tc>
          <w:tcPr>
            <w:tcW w:w="5770" w:type="dxa"/>
            <w:tcBorders>
              <w:top w:val="single" w:color="000000" w:sz="4" w:space="0"/>
              <w:left w:val="single" w:color="000000" w:sz="4" w:space="0"/>
              <w:bottom w:val="single" w:color="000000" w:sz="4" w:space="0"/>
              <w:right w:val="single" w:color="000000" w:sz="4" w:space="0"/>
            </w:tcBorders>
            <w:vAlign w:val="center"/>
          </w:tcPr>
          <w:p w14:paraId="4C561A04">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1.规格：</w:t>
            </w:r>
            <w:r>
              <w:rPr>
                <w:rFonts w:hint="eastAsia" w:ascii="宋体" w:hAnsi="宋体" w:cs="宋体"/>
                <w:kern w:val="0"/>
                <w:szCs w:val="21"/>
                <w:lang w:bidi="ar"/>
              </w:rPr>
              <w:t>≥</w:t>
            </w:r>
            <w:r>
              <w:rPr>
                <w:rFonts w:hint="eastAsia" w:ascii="宋体" w:hAnsi="宋体" w:cs="宋体"/>
                <w:color w:val="000000" w:themeColor="text1"/>
                <w:kern w:val="0"/>
                <w:sz w:val="22"/>
                <w:szCs w:val="22"/>
                <w:lang w:bidi="ar"/>
                <w14:textFill>
                  <w14:solidFill>
                    <w14:schemeClr w14:val="tx1"/>
                  </w14:solidFill>
                </w14:textFill>
              </w:rPr>
              <w:t>1700*250*750mm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2.全钢结构，表面喷涂高温固化匀乳白环氧树脂喷涂理处理，具有较强的耐蚀性能，上下带塑胶模具堵头。</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3.试剂架立柱采用优质高强度镀锌钢板制作，采用CO2保护焊焊接，打磨处理，表面经耐酸碱粉末烤漆处理。</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4.试剂架托架1.2mm镀锌钢板，一次性冲压成型。</w:t>
            </w:r>
          </w:p>
        </w:tc>
        <w:tc>
          <w:tcPr>
            <w:tcW w:w="500" w:type="dxa"/>
            <w:tcBorders>
              <w:top w:val="single" w:color="000000" w:sz="4" w:space="0"/>
              <w:left w:val="single" w:color="000000" w:sz="4" w:space="0"/>
              <w:bottom w:val="single" w:color="000000" w:sz="4" w:space="0"/>
              <w:right w:val="single" w:color="000000" w:sz="4" w:space="0"/>
            </w:tcBorders>
            <w:vAlign w:val="center"/>
          </w:tcPr>
          <w:p w14:paraId="1E30D9E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vAlign w:val="center"/>
          </w:tcPr>
          <w:p w14:paraId="5324539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组</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33A71461">
            <w:pPr>
              <w:widowControl/>
              <w:jc w:val="center"/>
              <w:textAlignment w:val="center"/>
              <w:rPr>
                <w:rFonts w:hint="eastAsia" w:ascii="新宋体" w:hAnsi="新宋体" w:eastAsia="新宋体" w:cs="新宋体"/>
                <w:color w:val="000000" w:themeColor="text1"/>
                <w:sz w:val="22"/>
                <w:szCs w:val="22"/>
                <w14:textFill>
                  <w14:solidFill>
                    <w14:schemeClr w14:val="tx1"/>
                  </w14:solidFill>
                </w14:textFill>
              </w:rPr>
            </w:pPr>
            <w:r>
              <w:rPr>
                <w:rFonts w:hint="eastAsia" w:ascii="新宋体" w:hAnsi="新宋体" w:eastAsia="新宋体" w:cs="新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69504" behindDoc="0" locked="0" layoutInCell="1" allowOverlap="1">
                  <wp:simplePos x="0" y="0"/>
                  <wp:positionH relativeFrom="column">
                    <wp:posOffset>519430</wp:posOffset>
                  </wp:positionH>
                  <wp:positionV relativeFrom="paragraph">
                    <wp:posOffset>177800</wp:posOffset>
                  </wp:positionV>
                  <wp:extent cx="855345" cy="448945"/>
                  <wp:effectExtent l="0" t="0" r="1905" b="8255"/>
                  <wp:wrapNone/>
                  <wp:docPr id="7" name="图片_121"/>
                  <wp:cNvGraphicFramePr/>
                  <a:graphic xmlns:a="http://schemas.openxmlformats.org/drawingml/2006/main">
                    <a:graphicData uri="http://schemas.openxmlformats.org/drawingml/2006/picture">
                      <pic:pic xmlns:pic="http://schemas.openxmlformats.org/drawingml/2006/picture">
                        <pic:nvPicPr>
                          <pic:cNvPr id="7" name="图片_121"/>
                          <pic:cNvPicPr/>
                        </pic:nvPicPr>
                        <pic:blipFill>
                          <a:blip r:embed="rId53"/>
                          <a:stretch>
                            <a:fillRect/>
                          </a:stretch>
                        </pic:blipFill>
                        <pic:spPr>
                          <a:xfrm>
                            <a:off x="0" y="0"/>
                            <a:ext cx="855345" cy="448945"/>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2BC5AF3F">
            <w:pPr>
              <w:widowControl/>
              <w:jc w:val="left"/>
              <w:textAlignment w:val="center"/>
              <w:rPr>
                <w:rFonts w:hint="eastAsia" w:ascii="新宋体" w:hAnsi="新宋体" w:eastAsia="新宋体" w:cs="新宋体"/>
                <w:color w:val="000000" w:themeColor="text1"/>
                <w:kern w:val="0"/>
                <w:sz w:val="22"/>
                <w:szCs w:val="22"/>
                <w:bdr w:val="single" w:color="000000" w:sz="4" w:space="0"/>
                <w:lang w:bidi="ar"/>
                <w14:textFill>
                  <w14:solidFill>
                    <w14:schemeClr w14:val="tx1"/>
                  </w14:solidFill>
                </w14:textFill>
              </w:rPr>
            </w:pPr>
          </w:p>
        </w:tc>
      </w:tr>
      <w:tr w14:paraId="5419A8F4">
        <w:tblPrEx>
          <w:tblCellMar>
            <w:top w:w="0" w:type="dxa"/>
            <w:left w:w="108" w:type="dxa"/>
            <w:bottom w:w="0" w:type="dxa"/>
            <w:right w:w="108" w:type="dxa"/>
          </w:tblCellMar>
        </w:tblPrEx>
        <w:trPr>
          <w:trHeight w:val="1106" w:hRule="atLeast"/>
        </w:trPr>
        <w:tc>
          <w:tcPr>
            <w:tcW w:w="500" w:type="dxa"/>
            <w:tcBorders>
              <w:top w:val="single" w:color="000000" w:sz="4" w:space="0"/>
              <w:left w:val="single" w:color="000000" w:sz="4" w:space="0"/>
              <w:bottom w:val="single" w:color="auto" w:sz="4" w:space="0"/>
              <w:right w:val="single" w:color="000000" w:sz="4" w:space="0"/>
            </w:tcBorders>
            <w:noWrap/>
            <w:vAlign w:val="center"/>
          </w:tcPr>
          <w:p w14:paraId="204595A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5</w:t>
            </w:r>
          </w:p>
        </w:tc>
        <w:tc>
          <w:tcPr>
            <w:tcW w:w="2757" w:type="dxa"/>
            <w:tcBorders>
              <w:top w:val="single" w:color="000000" w:sz="4" w:space="0"/>
              <w:left w:val="single" w:color="000000" w:sz="4" w:space="0"/>
              <w:bottom w:val="single" w:color="auto" w:sz="4" w:space="0"/>
              <w:right w:val="single" w:color="000000" w:sz="4" w:space="0"/>
            </w:tcBorders>
            <w:vAlign w:val="center"/>
          </w:tcPr>
          <w:p w14:paraId="288B451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仪器柜</w:t>
            </w:r>
          </w:p>
        </w:tc>
        <w:tc>
          <w:tcPr>
            <w:tcW w:w="5770" w:type="dxa"/>
            <w:tcBorders>
              <w:top w:val="single" w:color="000000" w:sz="4" w:space="0"/>
              <w:left w:val="single" w:color="000000" w:sz="4" w:space="0"/>
              <w:bottom w:val="single" w:color="auto" w:sz="4" w:space="0"/>
              <w:right w:val="single" w:color="000000" w:sz="4" w:space="0"/>
            </w:tcBorders>
            <w:vAlign w:val="center"/>
          </w:tcPr>
          <w:p w14:paraId="01E67540">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1.规格：</w:t>
            </w:r>
            <w:r>
              <w:rPr>
                <w:rFonts w:hint="eastAsia" w:ascii="宋体" w:hAnsi="宋体" w:cs="宋体"/>
                <w:kern w:val="0"/>
                <w:szCs w:val="21"/>
                <w:lang w:bidi="ar"/>
              </w:rPr>
              <w:t>≥</w:t>
            </w:r>
            <w:r>
              <w:rPr>
                <w:rFonts w:hint="eastAsia" w:ascii="宋体" w:hAnsi="宋体" w:cs="宋体"/>
                <w:color w:val="000000" w:themeColor="text1"/>
                <w:kern w:val="0"/>
                <w:sz w:val="22"/>
                <w:szCs w:val="22"/>
                <w:lang w:bidi="ar"/>
                <w14:textFill>
                  <w14:solidFill>
                    <w14:schemeClr w14:val="tx1"/>
                  </w14:solidFill>
                </w14:textFill>
              </w:rPr>
              <w:t>1000×500×2000mm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2.柜体材质：为全钢结构，板材采用1.0mm厚优质钢板为基材，全自动压模成型；表面经磷化、酸洗、环氧树脂粉末烤漆处理，化学防锈处理，无突出漆块，光洁亮丽，抗强酸强碱性能突出。</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3.门板：采用上玻璃门下钢制门；</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4.玻璃门：采用优质冷轧钢板，表面经过去锈、磷化、喷砂、环氧树脂粉体烤漆处理，具有抗酸碱和耐高温特性，中间镶嵌玻璃。</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5.钢制门：采用优质冷轧钢板，表面经过去锈、磷化、喷砂、环氧树脂粉体烤漆处理，具有抗酸碱和耐高温特性，对开门。</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6.拉手：采用不锈钢拉手，外形美观大方，设计人性化。</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7.可调脚：采用橡胶模具一次成型地脚，可调节高度30-50mm。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带锁，带标签卡。</w:t>
            </w:r>
          </w:p>
        </w:tc>
        <w:tc>
          <w:tcPr>
            <w:tcW w:w="500" w:type="dxa"/>
            <w:tcBorders>
              <w:top w:val="single" w:color="000000" w:sz="4" w:space="0"/>
              <w:left w:val="single" w:color="000000" w:sz="4" w:space="0"/>
              <w:bottom w:val="single" w:color="auto" w:sz="4" w:space="0"/>
              <w:right w:val="single" w:color="000000" w:sz="4" w:space="0"/>
            </w:tcBorders>
            <w:vAlign w:val="center"/>
          </w:tcPr>
          <w:p w14:paraId="012CCF54">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9</w:t>
            </w:r>
          </w:p>
        </w:tc>
        <w:tc>
          <w:tcPr>
            <w:tcW w:w="500" w:type="dxa"/>
            <w:tcBorders>
              <w:top w:val="single" w:color="000000" w:sz="4" w:space="0"/>
              <w:left w:val="single" w:color="000000" w:sz="4" w:space="0"/>
              <w:bottom w:val="single" w:color="auto" w:sz="4" w:space="0"/>
              <w:right w:val="single" w:color="000000" w:sz="4" w:space="0"/>
            </w:tcBorders>
            <w:vAlign w:val="center"/>
          </w:tcPr>
          <w:p w14:paraId="2F1A6A0A">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组</w:t>
            </w:r>
          </w:p>
        </w:tc>
        <w:tc>
          <w:tcPr>
            <w:tcW w:w="3345" w:type="dxa"/>
            <w:tcBorders>
              <w:top w:val="single" w:color="000000" w:sz="4" w:space="0"/>
              <w:left w:val="single" w:color="000000" w:sz="4" w:space="0"/>
              <w:bottom w:val="single" w:color="auto" w:sz="4" w:space="0"/>
              <w:right w:val="single" w:color="000000" w:sz="4" w:space="0"/>
            </w:tcBorders>
            <w:noWrap/>
            <w:vAlign w:val="center"/>
          </w:tcPr>
          <w:p w14:paraId="2362C5AA">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74624" behindDoc="0" locked="0" layoutInCell="1" allowOverlap="1">
                  <wp:simplePos x="0" y="0"/>
                  <wp:positionH relativeFrom="column">
                    <wp:posOffset>566420</wp:posOffset>
                  </wp:positionH>
                  <wp:positionV relativeFrom="paragraph">
                    <wp:posOffset>109855</wp:posOffset>
                  </wp:positionV>
                  <wp:extent cx="647700" cy="1098550"/>
                  <wp:effectExtent l="0" t="0" r="0" b="0"/>
                  <wp:wrapNone/>
                  <wp:docPr id="9" name="图片_116"/>
                  <wp:cNvGraphicFramePr/>
                  <a:graphic xmlns:a="http://schemas.openxmlformats.org/drawingml/2006/main">
                    <a:graphicData uri="http://schemas.openxmlformats.org/drawingml/2006/picture">
                      <pic:pic xmlns:pic="http://schemas.openxmlformats.org/drawingml/2006/picture">
                        <pic:nvPicPr>
                          <pic:cNvPr id="9" name="图片_116"/>
                          <pic:cNvPicPr/>
                        </pic:nvPicPr>
                        <pic:blipFill>
                          <a:blip r:embed="rId49"/>
                          <a:stretch>
                            <a:fillRect/>
                          </a:stretch>
                        </pic:blipFill>
                        <pic:spPr>
                          <a:xfrm>
                            <a:off x="0" y="0"/>
                            <a:ext cx="647700" cy="1098550"/>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auto" w:sz="4" w:space="0"/>
              <w:right w:val="single" w:color="000000" w:sz="4" w:space="0"/>
            </w:tcBorders>
            <w:noWrap/>
            <w:vAlign w:val="center"/>
          </w:tcPr>
          <w:p w14:paraId="1F45CEC2">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0E603CF2">
        <w:tblPrEx>
          <w:tblCellMar>
            <w:top w:w="0" w:type="dxa"/>
            <w:left w:w="108" w:type="dxa"/>
            <w:bottom w:w="0" w:type="dxa"/>
            <w:right w:w="108" w:type="dxa"/>
          </w:tblCellMar>
        </w:tblPrEx>
        <w:trPr>
          <w:trHeight w:val="596" w:hRule="atLeast"/>
        </w:trPr>
        <w:tc>
          <w:tcPr>
            <w:tcW w:w="500" w:type="dxa"/>
            <w:tcBorders>
              <w:top w:val="single" w:color="auto" w:sz="4" w:space="0"/>
              <w:left w:val="single" w:color="auto" w:sz="4" w:space="0"/>
              <w:bottom w:val="single" w:color="auto" w:sz="4" w:space="0"/>
              <w:right w:val="single" w:color="auto" w:sz="4" w:space="0"/>
            </w:tcBorders>
            <w:noWrap/>
            <w:vAlign w:val="center"/>
          </w:tcPr>
          <w:p w14:paraId="77736AD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6</w:t>
            </w:r>
          </w:p>
        </w:tc>
        <w:tc>
          <w:tcPr>
            <w:tcW w:w="2757" w:type="dxa"/>
            <w:tcBorders>
              <w:top w:val="single" w:color="auto" w:sz="4" w:space="0"/>
              <w:left w:val="single" w:color="auto" w:sz="4" w:space="0"/>
              <w:bottom w:val="single" w:color="auto" w:sz="4" w:space="0"/>
              <w:right w:val="single" w:color="auto" w:sz="4" w:space="0"/>
            </w:tcBorders>
            <w:vAlign w:val="center"/>
          </w:tcPr>
          <w:p w14:paraId="21D7E772">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PP试剂柜</w:t>
            </w:r>
          </w:p>
        </w:tc>
        <w:tc>
          <w:tcPr>
            <w:tcW w:w="5770" w:type="dxa"/>
            <w:tcBorders>
              <w:top w:val="single" w:color="auto" w:sz="4" w:space="0"/>
              <w:left w:val="single" w:color="auto" w:sz="4" w:space="0"/>
              <w:bottom w:val="single" w:color="auto" w:sz="4" w:space="0"/>
              <w:right w:val="single" w:color="auto" w:sz="4" w:space="0"/>
            </w:tcBorders>
            <w:vAlign w:val="center"/>
          </w:tcPr>
          <w:p w14:paraId="72D6D2C2">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1.规格：</w:t>
            </w:r>
            <w:r>
              <w:rPr>
                <w:rFonts w:hint="eastAsia" w:ascii="宋体" w:hAnsi="宋体" w:cs="宋体"/>
                <w:kern w:val="0"/>
                <w:szCs w:val="21"/>
                <w:lang w:bidi="ar"/>
              </w:rPr>
              <w:t>≥</w:t>
            </w:r>
            <w:r>
              <w:rPr>
                <w:rFonts w:hint="eastAsia" w:ascii="宋体" w:hAnsi="宋体" w:cs="宋体"/>
                <w:color w:val="000000" w:themeColor="text1"/>
                <w:kern w:val="0"/>
                <w:sz w:val="22"/>
                <w:szCs w:val="22"/>
                <w:lang w:bidi="ar"/>
                <w14:textFill>
                  <w14:solidFill>
                    <w14:schemeClr w14:val="tx1"/>
                  </w14:solidFill>
                </w14:textFill>
              </w:rPr>
              <w:t>1000*500*2000mm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2.PP通风试剂柜具有耐强酸、强碱与抗腐蚀的特性。</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3.柜体：采用抗强酸碱耐化学药品，耐冲击乳白色PP板承制；主体厚度≥8mm。双开门/四门设计，内部配备3块可</w:t>
            </w:r>
            <w:r>
              <w:rPr>
                <w:rFonts w:ascii="楷体_GB2312" w:hAnsi="宋体" w:eastAsia="楷体_GB2312" w:cs="楷体_GB2312"/>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83840" behindDoc="0" locked="0" layoutInCell="1" allowOverlap="1">
                  <wp:simplePos x="0" y="0"/>
                  <wp:positionH relativeFrom="column">
                    <wp:posOffset>5034915</wp:posOffset>
                  </wp:positionH>
                  <wp:positionV relativeFrom="paragraph">
                    <wp:posOffset>600710</wp:posOffset>
                  </wp:positionV>
                  <wp:extent cx="506095" cy="1074420"/>
                  <wp:effectExtent l="0" t="0" r="8255" b="11430"/>
                  <wp:wrapNone/>
                  <wp:docPr id="1" name="图片_24"/>
                  <wp:cNvGraphicFramePr/>
                  <a:graphic xmlns:a="http://schemas.openxmlformats.org/drawingml/2006/main">
                    <a:graphicData uri="http://schemas.openxmlformats.org/drawingml/2006/picture">
                      <pic:pic xmlns:pic="http://schemas.openxmlformats.org/drawingml/2006/picture">
                        <pic:nvPicPr>
                          <pic:cNvPr id="1" name="图片_24"/>
                          <pic:cNvPicPr/>
                        </pic:nvPicPr>
                        <pic:blipFill>
                          <a:blip r:embed="rId54"/>
                          <a:stretch>
                            <a:fillRect/>
                          </a:stretch>
                        </pic:blipFill>
                        <pic:spPr>
                          <a:xfrm>
                            <a:off x="0" y="0"/>
                            <a:ext cx="506095" cy="1074420"/>
                          </a:xfrm>
                          <a:prstGeom prst="rect">
                            <a:avLst/>
                          </a:prstGeom>
                          <a:noFill/>
                          <a:ln>
                            <a:noFill/>
                          </a:ln>
                        </pic:spPr>
                      </pic:pic>
                    </a:graphicData>
                  </a:graphic>
                </wp:anchor>
              </w:drawing>
            </w:r>
            <w:r>
              <w:rPr>
                <w:rFonts w:hint="eastAsia" w:ascii="宋体" w:hAnsi="宋体" w:cs="宋体"/>
                <w:color w:val="000000" w:themeColor="text1"/>
                <w:kern w:val="0"/>
                <w:sz w:val="22"/>
                <w:szCs w:val="22"/>
                <w:lang w:bidi="ar"/>
                <w14:textFill>
                  <w14:solidFill>
                    <w14:schemeClr w14:val="tx1"/>
                  </w14:solidFill>
                </w14:textFill>
              </w:rPr>
              <w:t>调节PP层板，采用8mm厚优质纯料PP(聚丙烯)板制作经过同色同质焊条一体焊接，四周立边，立边整体焊接成型，整体设计为活动式，可随意抽取放在合适的隔层，自由组合各层空间。层板正反均可放置，四周立边可获得一定程度防溢效果。抗强酸、化学药品，耐冲击，不腐蚀，不生锈。层间带支撑隔板。</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4.铰链/把手：采用耐强酸、强碱材质，拉门采用同质PP聚丙稀材料制作。</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5.柜门可选用5mm钢化玻璃视窗或PP板材制作，锁具为一次成型制作，配备双锁，实现双人双锁管理，柜门贴有警示标识。</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6.顶部开110mm通风孔，上下柜体隔板上均预留通风孔，与实验室内通风管相连接，有效排出毒害气体。</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Arial" w:hAnsi="Arial" w:cs="宋体"/>
                <w:kern w:val="0"/>
                <w:szCs w:val="21"/>
              </w:rPr>
              <w:t>★</w:t>
            </w:r>
            <w:r>
              <w:rPr>
                <w:rFonts w:hint="eastAsia" w:ascii="宋体" w:hAnsi="宋体" w:cs="宋体"/>
                <w:color w:val="000000" w:themeColor="text1"/>
                <w:kern w:val="0"/>
                <w:sz w:val="22"/>
                <w:szCs w:val="22"/>
                <w:lang w:bidi="ar"/>
                <w14:textFill>
                  <w14:solidFill>
                    <w14:schemeClr w14:val="tx1"/>
                  </w14:solidFill>
                </w14:textFill>
              </w:rPr>
              <w:t>7.符合GB24820-2009 实验室家具通用要求。</w:t>
            </w:r>
          </w:p>
        </w:tc>
        <w:tc>
          <w:tcPr>
            <w:tcW w:w="500" w:type="dxa"/>
            <w:tcBorders>
              <w:top w:val="single" w:color="auto" w:sz="4" w:space="0"/>
              <w:left w:val="single" w:color="auto" w:sz="4" w:space="0"/>
              <w:bottom w:val="single" w:color="auto" w:sz="4" w:space="0"/>
              <w:right w:val="single" w:color="auto" w:sz="4" w:space="0"/>
            </w:tcBorders>
            <w:vAlign w:val="center"/>
          </w:tcPr>
          <w:p w14:paraId="36604E3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auto" w:sz="4" w:space="0"/>
              <w:left w:val="single" w:color="auto" w:sz="4" w:space="0"/>
              <w:bottom w:val="single" w:color="auto" w:sz="4" w:space="0"/>
              <w:right w:val="single" w:color="auto" w:sz="4" w:space="0"/>
            </w:tcBorders>
            <w:vAlign w:val="center"/>
          </w:tcPr>
          <w:p w14:paraId="27A589F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台</w:t>
            </w:r>
          </w:p>
        </w:tc>
        <w:tc>
          <w:tcPr>
            <w:tcW w:w="3345" w:type="dxa"/>
            <w:tcBorders>
              <w:top w:val="single" w:color="auto" w:sz="4" w:space="0"/>
              <w:left w:val="single" w:color="auto" w:sz="4" w:space="0"/>
              <w:bottom w:val="single" w:color="auto" w:sz="4" w:space="0"/>
              <w:right w:val="single" w:color="auto" w:sz="4" w:space="0"/>
            </w:tcBorders>
            <w:noWrap/>
            <w:vAlign w:val="center"/>
          </w:tcPr>
          <w:p w14:paraId="14ABB256">
            <w:pPr>
              <w:widowControl/>
              <w:jc w:val="center"/>
              <w:textAlignment w:val="bottom"/>
              <w:rPr>
                <w:rFonts w:hint="eastAsia" w:ascii="楷体_GB2312" w:hAnsi="宋体" w:eastAsia="楷体_GB2312" w:cs="楷体_GB2312"/>
                <w:color w:val="000000" w:themeColor="text1"/>
                <w:sz w:val="22"/>
                <w:szCs w:val="22"/>
                <w14:textFill>
                  <w14:solidFill>
                    <w14:schemeClr w14:val="tx1"/>
                  </w14:solidFill>
                </w14:textFill>
              </w:rPr>
            </w:pPr>
          </w:p>
        </w:tc>
        <w:tc>
          <w:tcPr>
            <w:tcW w:w="1150" w:type="dxa"/>
            <w:tcBorders>
              <w:top w:val="single" w:color="auto" w:sz="4" w:space="0"/>
              <w:left w:val="single" w:color="auto" w:sz="4" w:space="0"/>
              <w:bottom w:val="single" w:color="auto" w:sz="4" w:space="0"/>
              <w:right w:val="single" w:color="auto" w:sz="4" w:space="0"/>
            </w:tcBorders>
            <w:noWrap/>
            <w:vAlign w:val="bottom"/>
          </w:tcPr>
          <w:p w14:paraId="19E557A6">
            <w:pPr>
              <w:widowControl/>
              <w:jc w:val="center"/>
              <w:textAlignment w:val="bottom"/>
              <w:rPr>
                <w:rFonts w:hint="eastAsia" w:ascii="楷体_GB2312" w:hAnsi="宋体" w:eastAsia="楷体_GB2312" w:cs="楷体_GB2312"/>
                <w:color w:val="000000" w:themeColor="text1"/>
                <w:kern w:val="0"/>
                <w:sz w:val="22"/>
                <w:szCs w:val="22"/>
                <w:bdr w:val="single" w:color="000000" w:sz="4" w:space="0"/>
                <w:lang w:bidi="ar"/>
                <w14:textFill>
                  <w14:solidFill>
                    <w14:schemeClr w14:val="tx1"/>
                  </w14:solidFill>
                </w14:textFill>
              </w:rPr>
            </w:pPr>
          </w:p>
        </w:tc>
      </w:tr>
      <w:tr w14:paraId="70977E19">
        <w:tblPrEx>
          <w:tblCellMar>
            <w:top w:w="0" w:type="dxa"/>
            <w:left w:w="108" w:type="dxa"/>
            <w:bottom w:w="0" w:type="dxa"/>
            <w:right w:w="108" w:type="dxa"/>
          </w:tblCellMar>
        </w:tblPrEx>
        <w:trPr>
          <w:trHeight w:val="558" w:hRule="atLeast"/>
        </w:trPr>
        <w:tc>
          <w:tcPr>
            <w:tcW w:w="500" w:type="dxa"/>
            <w:tcBorders>
              <w:top w:val="single" w:color="auto" w:sz="4" w:space="0"/>
              <w:left w:val="single" w:color="000000" w:sz="4" w:space="0"/>
              <w:bottom w:val="single" w:color="000000" w:sz="4" w:space="0"/>
              <w:right w:val="single" w:color="000000" w:sz="4" w:space="0"/>
            </w:tcBorders>
            <w:noWrap/>
            <w:vAlign w:val="center"/>
          </w:tcPr>
          <w:p w14:paraId="1D0EC7E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7</w:t>
            </w:r>
          </w:p>
        </w:tc>
        <w:tc>
          <w:tcPr>
            <w:tcW w:w="2757" w:type="dxa"/>
            <w:tcBorders>
              <w:top w:val="single" w:color="auto" w:sz="4" w:space="0"/>
              <w:left w:val="single" w:color="000000" w:sz="4" w:space="0"/>
              <w:bottom w:val="single" w:color="auto" w:sz="4" w:space="0"/>
              <w:right w:val="single" w:color="auto" w:sz="4" w:space="0"/>
            </w:tcBorders>
            <w:vAlign w:val="center"/>
          </w:tcPr>
          <w:p w14:paraId="5B171D3D">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净气型易燃品毒害品储存柜</w:t>
            </w:r>
            <w:r>
              <w:rPr>
                <w:rFonts w:hint="eastAsia" w:ascii="宋体" w:hAnsi="宋体" w:cs="宋体"/>
                <w:b/>
                <w:bCs/>
                <w:color w:val="000000" w:themeColor="text1"/>
                <w:kern w:val="0"/>
                <w:sz w:val="22"/>
                <w:szCs w:val="22"/>
                <w:lang w:bidi="ar"/>
                <w14:textFill>
                  <w14:solidFill>
                    <w14:schemeClr w14:val="tx1"/>
                  </w14:solidFill>
                </w14:textFill>
              </w:rPr>
              <w:t>（核心产品）</w:t>
            </w:r>
          </w:p>
        </w:tc>
        <w:tc>
          <w:tcPr>
            <w:tcW w:w="5770" w:type="dxa"/>
            <w:tcBorders>
              <w:top w:val="single" w:color="auto" w:sz="4" w:space="0"/>
              <w:left w:val="single" w:color="auto" w:sz="4" w:space="0"/>
              <w:bottom w:val="single" w:color="auto" w:sz="4" w:space="0"/>
              <w:right w:val="single" w:color="auto" w:sz="4" w:space="0"/>
            </w:tcBorders>
            <w:vAlign w:val="center"/>
          </w:tcPr>
          <w:p w14:paraId="20C99BD5">
            <w:pPr>
              <w:widowControl/>
              <w:jc w:val="left"/>
              <w:textAlignment w:val="center"/>
              <w:rPr>
                <w:rFonts w:hint="eastAsia" w:ascii="宋体" w:hAnsi="宋体" w:cs="宋体"/>
                <w:color w:val="000000" w:themeColor="text1"/>
                <w:kern w:val="0"/>
                <w:sz w:val="22"/>
                <w:lang w:bidi="ar"/>
                <w14:textFill>
                  <w14:solidFill>
                    <w14:schemeClr w14:val="tx1"/>
                  </w14:solidFill>
                </w14:textFill>
              </w:rPr>
            </w:pPr>
            <w:r>
              <w:rPr>
                <w:rFonts w:ascii="宋体" w:hAnsi="宋体" w:cs="宋体"/>
                <w:color w:val="000000" w:themeColor="text1"/>
                <w:kern w:val="0"/>
                <w:sz w:val="22"/>
                <w:lang w:bidi="ar"/>
                <w14:textFill>
                  <w14:solidFill>
                    <w14:schemeClr w14:val="tx1"/>
                  </w14:solidFill>
                </w14:textFill>
              </w:rPr>
              <w:t xml:space="preserve">1、产品依据《中华人民共和国行业标准JG/T 385-2012》设计并检测，完全遵循中国行业标准 JG/T385-2012。 </w:t>
            </w:r>
          </w:p>
          <w:p w14:paraId="716BF8B7">
            <w:pPr>
              <w:widowControl/>
              <w:jc w:val="left"/>
              <w:textAlignment w:val="center"/>
              <w:rPr>
                <w:rFonts w:hint="eastAsia" w:ascii="宋体" w:hAnsi="宋体" w:cs="宋体"/>
                <w:color w:val="000000" w:themeColor="text1"/>
                <w:kern w:val="0"/>
                <w:sz w:val="22"/>
                <w:lang w:bidi="ar"/>
                <w14:textFill>
                  <w14:solidFill>
                    <w14:schemeClr w14:val="tx1"/>
                  </w14:solidFill>
                </w14:textFill>
              </w:rPr>
            </w:pPr>
            <w:r>
              <w:rPr>
                <w:rFonts w:ascii="宋体" w:hAnsi="宋体" w:cs="宋体"/>
                <w:color w:val="000000" w:themeColor="text1"/>
                <w:kern w:val="0"/>
                <w:sz w:val="22"/>
                <w:lang w:bidi="ar"/>
                <w14:textFill>
                  <w14:solidFill>
                    <w14:schemeClr w14:val="tx1"/>
                  </w14:solidFill>
                </w14:textFill>
              </w:rPr>
              <w:t>2、壳体全部采用≥1.2mm 的一级冷轧钢板，柜体底座采用不小于 2.0mm 的一级冷轧钢板，内外表面经酸洗磷化环氧树脂粉末喷涂，烘热固化处理；柜体内胆（上、下、左、右内衬板）全部采用瓷白 pp（聚丙烯树脂）板；柜体内部最下层留有可以存放不少于 120mm 厚黄沙的填埋腔（漏液漕），用于埋放金属钠、黄磷（白磷）等的易燃物品，挡板应与柜体连为一体；柜底装有四个Φ50mm 的移动尼龙脚轮。</w:t>
            </w:r>
          </w:p>
          <w:p w14:paraId="5631897A">
            <w:pPr>
              <w:widowControl/>
              <w:jc w:val="left"/>
              <w:textAlignment w:val="center"/>
              <w:rPr>
                <w:rFonts w:hint="eastAsia" w:ascii="宋体" w:hAnsi="宋体" w:cs="宋体"/>
                <w:color w:val="000000" w:themeColor="text1"/>
                <w:kern w:val="0"/>
                <w:sz w:val="22"/>
                <w:lang w:bidi="ar"/>
                <w14:textFill>
                  <w14:solidFill>
                    <w14:schemeClr w14:val="tx1"/>
                  </w14:solidFill>
                </w14:textFill>
              </w:rPr>
            </w:pPr>
            <w:r>
              <w:rPr>
                <w:rFonts w:ascii="宋体" w:hAnsi="宋体" w:cs="宋体"/>
                <w:color w:val="000000" w:themeColor="text1"/>
                <w:kern w:val="0"/>
                <w:sz w:val="22"/>
                <w:lang w:bidi="ar"/>
                <w14:textFill>
                  <w14:solidFill>
                    <w14:schemeClr w14:val="tx1"/>
                  </w14:solidFill>
                </w14:textFill>
              </w:rPr>
              <w:t>3、特殊安全性要求:机械锁钥匙、电子密码锁密码应由两人分别保管，开启时两人应同时在场。机械锁:存储柜上安装的磁锁、机械密码锁等锁具。</w:t>
            </w:r>
          </w:p>
          <w:p w14:paraId="4573F70B">
            <w:pPr>
              <w:widowControl/>
              <w:jc w:val="left"/>
              <w:textAlignment w:val="center"/>
              <w:rPr>
                <w:rFonts w:hint="eastAsia" w:ascii="宋体" w:hAnsi="宋体" w:cs="宋体"/>
                <w:color w:val="000000" w:themeColor="text1"/>
                <w:kern w:val="0"/>
                <w:sz w:val="22"/>
                <w:lang w:bidi="ar"/>
                <w14:textFill>
                  <w14:solidFill>
                    <w14:schemeClr w14:val="tx1"/>
                  </w14:solidFill>
                </w14:textFill>
              </w:rPr>
            </w:pPr>
            <w:r>
              <w:rPr>
                <w:rFonts w:ascii="宋体" w:hAnsi="宋体" w:cs="宋体"/>
                <w:color w:val="000000" w:themeColor="text1"/>
                <w:kern w:val="0"/>
                <w:sz w:val="22"/>
                <w:lang w:bidi="ar"/>
                <w14:textFill>
                  <w14:solidFill>
                    <w14:schemeClr w14:val="tx1"/>
                  </w14:solidFill>
                </w14:textFill>
              </w:rPr>
              <w:t>4、实时温湿度环境监控系统，显示实时温湿度，设置报警参数，保障产品使用安全。</w:t>
            </w:r>
          </w:p>
          <w:p w14:paraId="0CD94627">
            <w:pPr>
              <w:widowControl/>
              <w:jc w:val="left"/>
              <w:textAlignment w:val="center"/>
              <w:rPr>
                <w:rFonts w:hint="eastAsia" w:ascii="宋体" w:hAnsi="宋体" w:cs="宋体"/>
                <w:color w:val="000000" w:themeColor="text1"/>
                <w:kern w:val="0"/>
                <w:sz w:val="22"/>
                <w:lang w:bidi="ar"/>
                <w14:textFill>
                  <w14:solidFill>
                    <w14:schemeClr w14:val="tx1"/>
                  </w14:solidFill>
                </w14:textFill>
              </w:rPr>
            </w:pPr>
            <w:r>
              <w:rPr>
                <w:rFonts w:ascii="宋体" w:hAnsi="宋体" w:cs="宋体"/>
                <w:color w:val="000000" w:themeColor="text1"/>
                <w:kern w:val="0"/>
                <w:sz w:val="22"/>
                <w:lang w:bidi="ar"/>
                <w14:textFill>
                  <w14:solidFill>
                    <w14:schemeClr w14:val="tx1"/>
                  </w14:solidFill>
                </w14:textFill>
              </w:rPr>
              <w:t>5、风机监控：风机失灵报警，在线可调风机转速，保证不同化学品量的储存需求。</w:t>
            </w:r>
          </w:p>
          <w:p w14:paraId="066501E4">
            <w:pPr>
              <w:widowControl/>
              <w:jc w:val="left"/>
              <w:textAlignment w:val="center"/>
              <w:rPr>
                <w:rFonts w:hint="eastAsia" w:ascii="宋体" w:hAnsi="宋体" w:cs="宋体"/>
                <w:color w:val="000000" w:themeColor="text1"/>
                <w:kern w:val="0"/>
                <w:sz w:val="22"/>
                <w:lang w:bidi="ar"/>
                <w14:textFill>
                  <w14:solidFill>
                    <w14:schemeClr w14:val="tx1"/>
                  </w14:solidFill>
                </w14:textFill>
              </w:rPr>
            </w:pPr>
            <w:r>
              <w:rPr>
                <w:rFonts w:ascii="宋体" w:hAnsi="宋体" w:cs="宋体"/>
                <w:color w:val="000000" w:themeColor="text1"/>
                <w:kern w:val="0"/>
                <w:sz w:val="22"/>
                <w:lang w:bidi="ar"/>
                <w14:textFill>
                  <w14:solidFill>
                    <w14:schemeClr w14:val="tx1"/>
                  </w14:solidFill>
                </w14:textFill>
              </w:rPr>
              <w:t>6、过滤器饱和报警系统：产品配有双层过滤器及VOC探头，监测过滤器饱和状况，过滤器设定饱和报警值，超出范围即报警，当浓度长时间超出设定值需更换过滤器。</w:t>
            </w:r>
          </w:p>
          <w:p w14:paraId="6C063263">
            <w:pPr>
              <w:widowControl/>
              <w:jc w:val="left"/>
              <w:textAlignment w:val="center"/>
              <w:rPr>
                <w:rFonts w:hint="eastAsia" w:ascii="宋体" w:hAnsi="宋体" w:cs="宋体"/>
                <w:color w:val="000000" w:themeColor="text1"/>
                <w:kern w:val="0"/>
                <w:sz w:val="22"/>
                <w:lang w:bidi="ar"/>
                <w14:textFill>
                  <w14:solidFill>
                    <w14:schemeClr w14:val="tx1"/>
                  </w14:solidFill>
                </w14:textFill>
              </w:rPr>
            </w:pPr>
            <w:r>
              <w:rPr>
                <w:rFonts w:ascii="宋体" w:hAnsi="宋体" w:cs="宋体"/>
                <w:color w:val="000000" w:themeColor="text1"/>
                <w:kern w:val="0"/>
                <w:sz w:val="22"/>
                <w:lang w:bidi="ar"/>
                <w14:textFill>
                  <w14:solidFill>
                    <w14:schemeClr w14:val="tx1"/>
                  </w14:solidFill>
                </w14:textFill>
              </w:rPr>
              <w:t>7、高品质风机，超静音，无火花静电。</w:t>
            </w:r>
          </w:p>
          <w:p w14:paraId="44C7E066">
            <w:pPr>
              <w:widowControl/>
              <w:jc w:val="left"/>
              <w:textAlignment w:val="center"/>
              <w:rPr>
                <w:rFonts w:hint="eastAsia" w:ascii="宋体" w:hAnsi="宋体" w:cs="宋体"/>
                <w:color w:val="000000" w:themeColor="text1"/>
                <w:kern w:val="0"/>
                <w:sz w:val="22"/>
                <w:lang w:bidi="ar"/>
                <w14:textFill>
                  <w14:solidFill>
                    <w14:schemeClr w14:val="tx1"/>
                  </w14:solidFill>
                </w14:textFill>
              </w:rPr>
            </w:pPr>
            <w:r>
              <w:rPr>
                <w:rFonts w:ascii="宋体" w:hAnsi="宋体" w:cs="宋体"/>
                <w:color w:val="000000" w:themeColor="text1"/>
                <w:kern w:val="0"/>
                <w:sz w:val="22"/>
                <w:lang w:bidi="ar"/>
                <w14:textFill>
                  <w14:solidFill>
                    <w14:schemeClr w14:val="tx1"/>
                  </w14:solidFill>
                </w14:textFill>
              </w:rPr>
              <w:t>8、高效过滤系统，按照颗粒大小选择排列分布，遵循ASTM标准，有效针对酸性气体、酸性气体和粒子粉末，吸附能力强。分子过滤器由分子筛和活性炭配比而成。</w:t>
            </w:r>
          </w:p>
          <w:p w14:paraId="42F87A34">
            <w:pPr>
              <w:widowControl/>
              <w:jc w:val="left"/>
              <w:textAlignment w:val="center"/>
              <w:rPr>
                <w:rFonts w:hint="eastAsia" w:ascii="宋体" w:hAnsi="宋体" w:cs="宋体"/>
                <w:color w:val="000000" w:themeColor="text1"/>
                <w:kern w:val="0"/>
                <w:sz w:val="22"/>
                <w:lang w:bidi="ar"/>
                <w14:textFill>
                  <w14:solidFill>
                    <w14:schemeClr w14:val="tx1"/>
                  </w14:solidFill>
                </w14:textFill>
              </w:rPr>
            </w:pPr>
            <w:r>
              <w:rPr>
                <w:rFonts w:ascii="宋体" w:hAnsi="宋体" w:cs="宋体"/>
                <w:color w:val="000000" w:themeColor="text1"/>
                <w:kern w:val="0"/>
                <w:sz w:val="22"/>
                <w:lang w:bidi="ar"/>
                <w14:textFill>
                  <w14:solidFill>
                    <w14:schemeClr w14:val="tx1"/>
                  </w14:solidFill>
                </w14:textFill>
              </w:rPr>
              <w:t>9、可提供接口，支持第三方平台对接功能。</w:t>
            </w:r>
          </w:p>
          <w:p w14:paraId="5174EBDD">
            <w:pPr>
              <w:widowControl/>
              <w:jc w:val="left"/>
              <w:textAlignment w:val="center"/>
              <w:rPr>
                <w:rFonts w:hint="eastAsia" w:ascii="宋体" w:hAnsi="宋体" w:cs="宋体"/>
                <w:color w:val="000000" w:themeColor="text1"/>
                <w:kern w:val="0"/>
                <w:sz w:val="22"/>
                <w:lang w:bidi="ar"/>
                <w14:textFill>
                  <w14:solidFill>
                    <w14:schemeClr w14:val="tx1"/>
                  </w14:solidFill>
                </w14:textFill>
              </w:rPr>
            </w:pPr>
            <w:r>
              <w:rPr>
                <w:rFonts w:ascii="宋体" w:hAnsi="宋体" w:cs="宋体"/>
                <w:color w:val="000000" w:themeColor="text1"/>
                <w:kern w:val="0"/>
                <w:sz w:val="22"/>
                <w:lang w:bidi="ar"/>
                <w14:textFill>
                  <w14:solidFill>
                    <w14:schemeClr w14:val="tx1"/>
                  </w14:solidFill>
                </w14:textFill>
              </w:rPr>
              <w:t>10、参数配置：外部尺寸不小于：H1960*W900*D510mm；门型：双开门；锁具：电子密码锁+机械锁；颜色：黄色（环氧树脂喷涂）；空气处理量不小于：230m³/h；音量：40dBA；电压：AC110-240V，频率：50-60Hz；风机功率：42W；最大电流：2A ；分子过滤器：4组，初效过滤器：1块；高品质风机：1个；层板：3块PP阶梯式活动层板；</w:t>
            </w:r>
          </w:p>
          <w:p w14:paraId="0D89685C">
            <w:pPr>
              <w:widowControl/>
              <w:jc w:val="left"/>
              <w:textAlignment w:val="center"/>
              <w:rPr>
                <w:rFonts w:hint="eastAsia"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w:t>
            </w:r>
            <w:r>
              <w:rPr>
                <w:rFonts w:ascii="宋体" w:hAnsi="宋体" w:cs="宋体"/>
                <w:color w:val="000000" w:themeColor="text1"/>
                <w:kern w:val="0"/>
                <w:sz w:val="22"/>
                <w:lang w:bidi="ar"/>
                <w14:textFill>
                  <w14:solidFill>
                    <w14:schemeClr w14:val="tx1"/>
                  </w14:solidFill>
                </w14:textFill>
              </w:rPr>
              <w:t>11、显示屏：大于或等于五英寸液晶触摸屏；</w:t>
            </w:r>
          </w:p>
          <w:p w14:paraId="6B755A8D">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ascii="宋体" w:hAnsi="宋体" w:cs="宋体"/>
                <w:color w:val="000000" w:themeColor="text1"/>
                <w:kern w:val="0"/>
                <w:sz w:val="22"/>
                <w:lang w:bidi="ar"/>
                <w14:textFill>
                  <w14:solidFill>
                    <w14:schemeClr w14:val="tx1"/>
                  </w14:solidFill>
                </w14:textFill>
              </w:rPr>
              <w:t>12、电源线：1根；控制系统：1套；VOC报警系统：1个；说明书：1本。</w:t>
            </w:r>
          </w:p>
        </w:tc>
        <w:tc>
          <w:tcPr>
            <w:tcW w:w="500" w:type="dxa"/>
            <w:tcBorders>
              <w:top w:val="single" w:color="auto" w:sz="4" w:space="0"/>
              <w:left w:val="single" w:color="auto" w:sz="4" w:space="0"/>
              <w:bottom w:val="single" w:color="auto" w:sz="4" w:space="0"/>
              <w:right w:val="single" w:color="auto" w:sz="4" w:space="0"/>
            </w:tcBorders>
            <w:vAlign w:val="center"/>
          </w:tcPr>
          <w:p w14:paraId="101FB7D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auto" w:sz="4" w:space="0"/>
              <w:left w:val="single" w:color="auto" w:sz="4" w:space="0"/>
              <w:bottom w:val="single" w:color="auto" w:sz="4" w:space="0"/>
              <w:right w:val="single" w:color="auto" w:sz="4" w:space="0"/>
            </w:tcBorders>
            <w:vAlign w:val="center"/>
          </w:tcPr>
          <w:p w14:paraId="2BDCFDF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台</w:t>
            </w:r>
          </w:p>
        </w:tc>
        <w:tc>
          <w:tcPr>
            <w:tcW w:w="3345" w:type="dxa"/>
            <w:tcBorders>
              <w:top w:val="single" w:color="auto" w:sz="4" w:space="0"/>
              <w:left w:val="single" w:color="auto" w:sz="4" w:space="0"/>
              <w:bottom w:val="single" w:color="auto" w:sz="4" w:space="0"/>
              <w:right w:val="single" w:color="auto" w:sz="4" w:space="0"/>
            </w:tcBorders>
            <w:noWrap/>
            <w:vAlign w:val="center"/>
          </w:tcPr>
          <w:p w14:paraId="5806AE90">
            <w:pPr>
              <w:widowControl/>
              <w:jc w:val="center"/>
              <w:textAlignment w:val="center"/>
              <w:rPr>
                <w:rFonts w:hint="eastAsia" w:ascii="宋体" w:hAnsi="宋体" w:cs="宋体"/>
                <w:color w:val="000000" w:themeColor="text1"/>
                <w:sz w:val="22"/>
                <w:szCs w:val="22"/>
                <w14:textFill>
                  <w14:solidFill>
                    <w14:schemeClr w14:val="tx1"/>
                  </w14:solidFill>
                </w14:textFill>
              </w:rPr>
            </w:pPr>
            <w:r>
              <w:rPr>
                <w:color w:val="000000" w:themeColor="text1"/>
                <w14:textFill>
                  <w14:solidFill>
                    <w14:schemeClr w14:val="tx1"/>
                  </w14:solidFill>
                </w14:textFill>
              </w:rPr>
              <w:drawing>
                <wp:inline distT="0" distB="0" distL="0" distR="0">
                  <wp:extent cx="713740" cy="1087120"/>
                  <wp:effectExtent l="0" t="0" r="10160" b="17780"/>
                  <wp:docPr id="2108015303" name="图片 86" descr="微信图片_2024110814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15303" name="图片 86" descr="微信图片_20241108143800"/>
                          <pic:cNvPicPr>
                            <a:picLocks noChangeAspect="1"/>
                          </pic:cNvPicPr>
                        </pic:nvPicPr>
                        <pic:blipFill>
                          <a:blip r:embed="rId55"/>
                          <a:stretch>
                            <a:fillRect/>
                          </a:stretch>
                        </pic:blipFill>
                        <pic:spPr>
                          <a:xfrm>
                            <a:off x="0" y="0"/>
                            <a:ext cx="713740" cy="1087120"/>
                          </a:xfrm>
                          <a:prstGeom prst="rect">
                            <a:avLst/>
                          </a:prstGeom>
                        </pic:spPr>
                      </pic:pic>
                    </a:graphicData>
                  </a:graphic>
                </wp:inline>
              </w:drawing>
            </w:r>
          </w:p>
        </w:tc>
        <w:tc>
          <w:tcPr>
            <w:tcW w:w="1150" w:type="dxa"/>
            <w:tcBorders>
              <w:top w:val="single" w:color="auto" w:sz="4" w:space="0"/>
              <w:left w:val="single" w:color="auto" w:sz="4" w:space="0"/>
              <w:bottom w:val="single" w:color="auto" w:sz="4" w:space="0"/>
              <w:right w:val="single" w:color="auto" w:sz="4" w:space="0"/>
            </w:tcBorders>
            <w:noWrap/>
            <w:vAlign w:val="center"/>
          </w:tcPr>
          <w:p w14:paraId="1363A401">
            <w:pPr>
              <w:widowControl/>
              <w:jc w:val="center"/>
              <w:textAlignment w:val="center"/>
              <w:rPr>
                <w:color w:val="000000" w:themeColor="text1"/>
                <w14:textFill>
                  <w14:solidFill>
                    <w14:schemeClr w14:val="tx1"/>
                  </w14:solidFill>
                </w14:textFill>
              </w:rPr>
            </w:pPr>
          </w:p>
        </w:tc>
      </w:tr>
      <w:tr w14:paraId="434A5BF1">
        <w:tblPrEx>
          <w:tblCellMar>
            <w:top w:w="0" w:type="dxa"/>
            <w:left w:w="108" w:type="dxa"/>
            <w:bottom w:w="0" w:type="dxa"/>
            <w:right w:w="108" w:type="dxa"/>
          </w:tblCellMar>
        </w:tblPrEx>
        <w:trPr>
          <w:trHeight w:val="557" w:hRule="atLeast"/>
        </w:trPr>
        <w:tc>
          <w:tcPr>
            <w:tcW w:w="500" w:type="dxa"/>
            <w:tcBorders>
              <w:top w:val="single" w:color="000000" w:sz="4" w:space="0"/>
              <w:left w:val="single" w:color="000000" w:sz="4" w:space="0"/>
              <w:bottom w:val="single" w:color="000000" w:sz="4" w:space="0"/>
              <w:right w:val="single" w:color="auto" w:sz="4" w:space="0"/>
            </w:tcBorders>
            <w:noWrap/>
            <w:vAlign w:val="center"/>
          </w:tcPr>
          <w:p w14:paraId="7ECD66B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8</w:t>
            </w:r>
          </w:p>
        </w:tc>
        <w:tc>
          <w:tcPr>
            <w:tcW w:w="2757" w:type="dxa"/>
            <w:tcBorders>
              <w:top w:val="single" w:color="auto" w:sz="4" w:space="0"/>
              <w:left w:val="single" w:color="auto" w:sz="4" w:space="0"/>
              <w:bottom w:val="single" w:color="auto" w:sz="4" w:space="0"/>
              <w:right w:val="single" w:color="auto" w:sz="4" w:space="0"/>
            </w:tcBorders>
            <w:vAlign w:val="center"/>
          </w:tcPr>
          <w:p w14:paraId="28EA480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净气型防火柜</w:t>
            </w:r>
          </w:p>
        </w:tc>
        <w:tc>
          <w:tcPr>
            <w:tcW w:w="5770" w:type="dxa"/>
            <w:tcBorders>
              <w:top w:val="single" w:color="auto" w:sz="4" w:space="0"/>
              <w:left w:val="single" w:color="auto" w:sz="4" w:space="0"/>
              <w:bottom w:val="single" w:color="auto" w:sz="4" w:space="0"/>
              <w:right w:val="single" w:color="auto" w:sz="4" w:space="0"/>
            </w:tcBorders>
            <w:vAlign w:val="center"/>
          </w:tcPr>
          <w:p w14:paraId="3EDA34BF">
            <w:pPr>
              <w:widowControl/>
              <w:jc w:val="left"/>
              <w:textAlignment w:val="center"/>
              <w:rPr>
                <w:rFonts w:hint="eastAsia"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1、尺寸：1090*460*1650mm（±5mm）；门类型：双开门</w:t>
            </w:r>
            <w:r>
              <w:rPr>
                <w:rFonts w:hint="eastAsia" w:ascii="宋体" w:hAnsi="宋体" w:cs="宋体"/>
                <w:color w:val="000000" w:themeColor="text1"/>
                <w:kern w:val="0"/>
                <w:sz w:val="22"/>
                <w:lang w:bidi="ar"/>
                <w14:textFill>
                  <w14:solidFill>
                    <w14:schemeClr w14:val="tx1"/>
                  </w14:solidFill>
                </w14:textFill>
              </w:rPr>
              <w:br w:type="textWrapping"/>
            </w:r>
            <w:r>
              <w:rPr>
                <w:rFonts w:hint="eastAsia" w:ascii="宋体" w:hAnsi="宋体" w:cs="宋体"/>
                <w:color w:val="000000" w:themeColor="text1"/>
                <w:kern w:val="0"/>
                <w:sz w:val="22"/>
                <w:lang w:bidi="ar"/>
                <w14:textFill>
                  <w14:solidFill>
                    <w14:schemeClr w14:val="tx1"/>
                  </w14:solidFill>
                </w14:textFill>
              </w:rPr>
              <w:t>2、柜体经厚度≥1.0mm优质冷轧钢板经过完全焊接，非铆接的构造结识牢固，延长使用寿命，并且由于减少了空隙，能够在火灾中提供更多的保护。</w:t>
            </w:r>
            <w:r>
              <w:rPr>
                <w:rFonts w:hint="eastAsia" w:ascii="宋体" w:hAnsi="宋体" w:cs="宋体"/>
                <w:color w:val="000000" w:themeColor="text1"/>
                <w:kern w:val="0"/>
                <w:sz w:val="22"/>
                <w:lang w:bidi="ar"/>
                <w14:textFill>
                  <w14:solidFill>
                    <w14:schemeClr w14:val="tx1"/>
                  </w14:solidFill>
                </w14:textFill>
              </w:rPr>
              <w:br w:type="textWrapping"/>
            </w:r>
            <w:r>
              <w:rPr>
                <w:rFonts w:hint="eastAsia" w:ascii="宋体" w:hAnsi="宋体" w:cs="宋体"/>
                <w:color w:val="000000" w:themeColor="text1"/>
                <w:kern w:val="0"/>
                <w:sz w:val="22"/>
                <w:lang w:bidi="ar"/>
                <w14:textFill>
                  <w14:solidFill>
                    <w14:schemeClr w14:val="tx1"/>
                  </w14:solidFill>
                </w14:textFill>
              </w:rPr>
              <w:t>3、柜体采用双层钢板结构，两层钢板之间相隔有38mm的绝缘层，可有效隔离热源，柜子内外经酸洗磷化后进行环氧树脂粉末静电喷涂，烘热固化处理。</w:t>
            </w:r>
            <w:r>
              <w:rPr>
                <w:rFonts w:hint="eastAsia" w:ascii="宋体" w:hAnsi="宋体" w:cs="宋体"/>
                <w:color w:val="000000" w:themeColor="text1"/>
                <w:kern w:val="0"/>
                <w:sz w:val="22"/>
                <w:lang w:bidi="ar"/>
                <w14:textFill>
                  <w14:solidFill>
                    <w14:schemeClr w14:val="tx1"/>
                  </w14:solidFill>
                </w14:textFill>
              </w:rPr>
              <w:br w:type="textWrapping"/>
            </w:r>
            <w:r>
              <w:rPr>
                <w:rFonts w:hint="eastAsia" w:ascii="宋体" w:hAnsi="宋体" w:cs="宋体"/>
                <w:color w:val="000000" w:themeColor="text1"/>
                <w:kern w:val="0"/>
                <w:sz w:val="22"/>
                <w:lang w:bidi="ar"/>
                <w14:textFill>
                  <w14:solidFill>
                    <w14:schemeClr w14:val="tx1"/>
                  </w14:solidFill>
                </w14:textFill>
              </w:rPr>
              <w:t>4、柜中部配有2块独有的镀锌层板，可上下调节，防液漏，可承托400lbs的钢制安全罐。</w:t>
            </w:r>
            <w:r>
              <w:rPr>
                <w:rFonts w:hint="eastAsia" w:ascii="宋体" w:hAnsi="宋体" w:cs="宋体"/>
                <w:color w:val="000000" w:themeColor="text1"/>
                <w:kern w:val="0"/>
                <w:sz w:val="22"/>
                <w:lang w:bidi="ar"/>
                <w14:textFill>
                  <w14:solidFill>
                    <w14:schemeClr w14:val="tx1"/>
                  </w14:solidFill>
                </w14:textFill>
              </w:rPr>
              <w:br w:type="textWrapping"/>
            </w:r>
            <w:r>
              <w:rPr>
                <w:rFonts w:hint="eastAsia" w:ascii="宋体" w:hAnsi="宋体" w:cs="宋体"/>
                <w:color w:val="000000" w:themeColor="text1"/>
                <w:kern w:val="0"/>
                <w:sz w:val="22"/>
                <w:lang w:bidi="ar"/>
                <w14:textFill>
                  <w14:solidFill>
                    <w14:schemeClr w14:val="tx1"/>
                  </w14:solidFill>
                </w14:textFill>
              </w:rPr>
              <w:t>5、柜体配备电子密码锁和机械锁，实现双人双锁管理，机械锁具符合GA/T 73-2015标准，同时锁具具有开锁记录查询及隐码功能。</w:t>
            </w:r>
            <w:r>
              <w:rPr>
                <w:rFonts w:hint="eastAsia" w:ascii="宋体" w:hAnsi="宋体" w:cs="宋体"/>
                <w:color w:val="000000" w:themeColor="text1"/>
                <w:kern w:val="0"/>
                <w:sz w:val="22"/>
                <w:lang w:bidi="ar"/>
                <w14:textFill>
                  <w14:solidFill>
                    <w14:schemeClr w14:val="tx1"/>
                  </w14:solidFill>
                </w14:textFill>
              </w:rPr>
              <w:br w:type="textWrapping"/>
            </w:r>
            <w:r>
              <w:rPr>
                <w:rFonts w:hint="eastAsia" w:ascii="宋体" w:hAnsi="宋体" w:cs="宋体"/>
                <w:color w:val="000000" w:themeColor="text1"/>
                <w:kern w:val="0"/>
                <w:sz w:val="22"/>
                <w:lang w:bidi="ar"/>
                <w14:textFill>
                  <w14:solidFill>
                    <w14:schemeClr w14:val="tx1"/>
                  </w14:solidFill>
                </w14:textFill>
              </w:rPr>
              <w:t>6、铰链：铰链应为钢琴式铰链，确保门能开180度。</w:t>
            </w:r>
          </w:p>
          <w:p w14:paraId="5426550F">
            <w:pPr>
              <w:widowControl/>
              <w:jc w:val="left"/>
              <w:textAlignment w:val="center"/>
              <w:rPr>
                <w:rFonts w:hint="eastAsia" w:ascii="宋体" w:hAnsi="宋体" w:cs="宋体"/>
                <w:color w:val="000000" w:themeColor="text1"/>
                <w:kern w:val="0"/>
                <w:sz w:val="22"/>
                <w:lang w:bidi="ar"/>
                <w14:textFill>
                  <w14:solidFill>
                    <w14:schemeClr w14:val="tx1"/>
                  </w14:solidFill>
                </w14:textFill>
              </w:rPr>
            </w:pPr>
            <w:r>
              <w:rPr>
                <w:rFonts w:ascii="宋体" w:hAnsi="宋体" w:cs="宋体"/>
                <w:color w:val="000000" w:themeColor="text1"/>
                <w:kern w:val="0"/>
                <w:sz w:val="22"/>
                <w:lang w:bidi="ar"/>
                <w14:textFill>
                  <w14:solidFill>
                    <w14:schemeClr w14:val="tx1"/>
                  </w14:solidFill>
                </w14:textFill>
              </w:rPr>
              <w:t>7、实时温湿度环境监控系统，显示实时温湿度，设置报警参数，保障产品使用安全。</w:t>
            </w:r>
          </w:p>
          <w:p w14:paraId="5D99F9D6">
            <w:pPr>
              <w:widowControl/>
              <w:jc w:val="left"/>
              <w:textAlignment w:val="center"/>
              <w:rPr>
                <w:rFonts w:hint="eastAsia"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w:t>
            </w:r>
            <w:r>
              <w:rPr>
                <w:rFonts w:ascii="宋体" w:hAnsi="宋体" w:cs="宋体"/>
                <w:color w:val="000000" w:themeColor="text1"/>
                <w:kern w:val="0"/>
                <w:sz w:val="22"/>
                <w:lang w:bidi="ar"/>
                <w14:textFill>
                  <w14:solidFill>
                    <w14:schemeClr w14:val="tx1"/>
                  </w14:solidFill>
                </w14:textFill>
              </w:rPr>
              <w:t>8、风机监控：风机失灵报警，在线可调风机转速，保证不同化学品量的储存需求。</w:t>
            </w:r>
          </w:p>
          <w:p w14:paraId="77127B54">
            <w:pPr>
              <w:widowControl/>
              <w:jc w:val="left"/>
              <w:textAlignment w:val="center"/>
              <w:rPr>
                <w:rFonts w:hint="eastAsia" w:ascii="宋体" w:hAnsi="宋体" w:cs="宋体"/>
                <w:color w:val="000000" w:themeColor="text1"/>
                <w:kern w:val="0"/>
                <w:sz w:val="22"/>
                <w:lang w:bidi="ar"/>
                <w14:textFill>
                  <w14:solidFill>
                    <w14:schemeClr w14:val="tx1"/>
                  </w14:solidFill>
                </w14:textFill>
              </w:rPr>
            </w:pPr>
            <w:r>
              <w:rPr>
                <w:rFonts w:ascii="宋体" w:hAnsi="宋体" w:cs="宋体"/>
                <w:color w:val="000000" w:themeColor="text1"/>
                <w:kern w:val="0"/>
                <w:sz w:val="22"/>
                <w:lang w:bidi="ar"/>
                <w14:textFill>
                  <w14:solidFill>
                    <w14:schemeClr w14:val="tx1"/>
                  </w14:solidFill>
                </w14:textFill>
              </w:rPr>
              <w:t>9、过滤器饱和报警系统：产品配有双层过滤器及VOC探头，监测过滤器饱和状况，过滤器设定饱和报警值，超出范围即报警，当浓度长时间超出设定值需更换过滤器。</w:t>
            </w:r>
          </w:p>
          <w:p w14:paraId="1B1237A2">
            <w:pPr>
              <w:widowControl/>
              <w:jc w:val="left"/>
              <w:textAlignment w:val="center"/>
              <w:rPr>
                <w:rFonts w:hint="eastAsia" w:ascii="宋体" w:hAnsi="宋体" w:cs="宋体"/>
                <w:color w:val="000000" w:themeColor="text1"/>
                <w:kern w:val="0"/>
                <w:sz w:val="22"/>
                <w:lang w:bidi="ar"/>
                <w14:textFill>
                  <w14:solidFill>
                    <w14:schemeClr w14:val="tx1"/>
                  </w14:solidFill>
                </w14:textFill>
              </w:rPr>
            </w:pPr>
            <w:r>
              <w:rPr>
                <w:rFonts w:ascii="宋体" w:hAnsi="宋体" w:cs="宋体"/>
                <w:color w:val="000000" w:themeColor="text1"/>
                <w:kern w:val="0"/>
                <w:sz w:val="22"/>
                <w:lang w:bidi="ar"/>
                <w14:textFill>
                  <w14:solidFill>
                    <w14:schemeClr w14:val="tx1"/>
                  </w14:solidFill>
                </w14:textFill>
              </w:rPr>
              <w:t>10、高品质风机，超静音，无火花静电。</w:t>
            </w:r>
          </w:p>
          <w:p w14:paraId="24ED0DE8">
            <w:pPr>
              <w:widowControl/>
              <w:jc w:val="left"/>
              <w:textAlignment w:val="center"/>
              <w:rPr>
                <w:rFonts w:hint="eastAsia" w:ascii="宋体" w:hAnsi="宋体" w:cs="宋体"/>
                <w:color w:val="000000" w:themeColor="text1"/>
                <w:kern w:val="0"/>
                <w:sz w:val="22"/>
                <w:lang w:bidi="ar"/>
                <w14:textFill>
                  <w14:solidFill>
                    <w14:schemeClr w14:val="tx1"/>
                  </w14:solidFill>
                </w14:textFill>
              </w:rPr>
            </w:pPr>
            <w:r>
              <w:rPr>
                <w:rFonts w:ascii="宋体" w:hAnsi="宋体" w:cs="宋体"/>
                <w:color w:val="000000" w:themeColor="text1"/>
                <w:kern w:val="0"/>
                <w:sz w:val="22"/>
                <w:lang w:bidi="ar"/>
                <w14:textFill>
                  <w14:solidFill>
                    <w14:schemeClr w14:val="tx1"/>
                  </w14:solidFill>
                </w14:textFill>
              </w:rPr>
              <w:t>11、高效过滤系统，按照颗粒大小选择排列分布，遵循ASTM标准，有效针对酸性气体、酸性气体和粒子粉末，吸附能力强。分子过滤器由分子筛和活性炭配比而成。</w:t>
            </w:r>
          </w:p>
          <w:p w14:paraId="353B3EC5">
            <w:pPr>
              <w:widowControl/>
              <w:jc w:val="left"/>
              <w:textAlignment w:val="center"/>
              <w:rPr>
                <w:rFonts w:hint="eastAsia"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12、柜体下侧一设有防闭火装置的透气孔；方便空气排散，防止有害气体聚集.</w:t>
            </w:r>
          </w:p>
          <w:p w14:paraId="3CE3DBF7">
            <w:pPr>
              <w:widowControl/>
              <w:jc w:val="left"/>
              <w:textAlignment w:val="center"/>
              <w:rPr>
                <w:rFonts w:hint="eastAsia"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13、严格按照OSHA规范，柜身设有静电接地传导端口，方便连接静电接地导线，防止静电聚集产生火花风险；</w:t>
            </w:r>
            <w:r>
              <w:rPr>
                <w:rFonts w:hint="eastAsia" w:ascii="宋体" w:hAnsi="宋体" w:cs="宋体"/>
                <w:color w:val="000000" w:themeColor="text1"/>
                <w:kern w:val="0"/>
                <w:sz w:val="22"/>
                <w:lang w:bidi="ar"/>
                <w14:textFill>
                  <w14:solidFill>
                    <w14:schemeClr w14:val="tx1"/>
                  </w14:solidFill>
                </w14:textFill>
              </w:rPr>
              <w:br w:type="textWrapping"/>
            </w:r>
            <w:r>
              <w:rPr>
                <w:rFonts w:hint="eastAsia" w:ascii="宋体" w:hAnsi="宋体" w:cs="宋体"/>
                <w:color w:val="000000" w:themeColor="text1"/>
                <w:kern w:val="0"/>
                <w:sz w:val="22"/>
                <w:lang w:bidi="ar"/>
                <w14:textFill>
                  <w14:solidFill>
                    <w14:schemeClr w14:val="tx1"/>
                  </w14:solidFill>
                </w14:textFill>
              </w:rPr>
              <w:t>14、装箱时柜内外的说明标识：《合格证》，《安全储存说明书》，柜门设有专业，规范，显眼的警示标志，用手电筒照亮时，可以高强反射光线，即使在夜晚或者发生火灾停电状态也能清晰警示，便于救灾时快速识别。</w:t>
            </w:r>
          </w:p>
          <w:p w14:paraId="0C7A68C0">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ascii="宋体" w:hAnsi="宋体" w:cs="宋体"/>
                <w:color w:val="000000" w:themeColor="text1"/>
                <w:kern w:val="0"/>
                <w:sz w:val="22"/>
                <w:lang w:bidi="ar"/>
                <w14:textFill>
                  <w14:solidFill>
                    <w14:schemeClr w14:val="tx1"/>
                  </w14:solidFill>
                </w14:textFill>
              </w:rPr>
              <w:t>15、外部尺寸：≥1930*1090*460mm（H*W*D）；内部尺寸：≥1550*1010*360mm（H*W*D）；分子过滤器：2组；初效过滤器：1个；风机：1个；门型：双门；开门方式：手动；锁具配置：三点联动式锁，可选配挂锁；可调层板：2块；颜色：红黄蓝（颜色可选）；重量：120KG；容积：170L；接地线：1根；电源线：1根；连接管：1根。</w:t>
            </w:r>
          </w:p>
        </w:tc>
        <w:tc>
          <w:tcPr>
            <w:tcW w:w="500" w:type="dxa"/>
            <w:tcBorders>
              <w:top w:val="single" w:color="auto" w:sz="4" w:space="0"/>
              <w:left w:val="single" w:color="auto" w:sz="4" w:space="0"/>
              <w:bottom w:val="single" w:color="auto" w:sz="4" w:space="0"/>
              <w:right w:val="single" w:color="auto" w:sz="4" w:space="0"/>
            </w:tcBorders>
            <w:vAlign w:val="center"/>
          </w:tcPr>
          <w:p w14:paraId="4F11554E">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auto" w:sz="4" w:space="0"/>
              <w:left w:val="single" w:color="auto" w:sz="4" w:space="0"/>
              <w:bottom w:val="single" w:color="auto" w:sz="4" w:space="0"/>
              <w:right w:val="single" w:color="auto" w:sz="4" w:space="0"/>
            </w:tcBorders>
            <w:vAlign w:val="center"/>
          </w:tcPr>
          <w:p w14:paraId="67027D1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台</w:t>
            </w:r>
          </w:p>
        </w:tc>
        <w:tc>
          <w:tcPr>
            <w:tcW w:w="3345" w:type="dxa"/>
            <w:tcBorders>
              <w:top w:val="single" w:color="auto" w:sz="4" w:space="0"/>
              <w:left w:val="single" w:color="auto" w:sz="4" w:space="0"/>
              <w:bottom w:val="single" w:color="auto" w:sz="4" w:space="0"/>
              <w:right w:val="single" w:color="auto" w:sz="4" w:space="0"/>
            </w:tcBorders>
            <w:noWrap/>
            <w:vAlign w:val="center"/>
          </w:tcPr>
          <w:p w14:paraId="6585701C">
            <w:pPr>
              <w:widowControl/>
              <w:jc w:val="center"/>
              <w:textAlignment w:val="center"/>
              <w:rPr>
                <w:rFonts w:hint="eastAsia" w:ascii="宋体" w:hAnsi="宋体" w:cs="宋体"/>
                <w:color w:val="000000" w:themeColor="text1"/>
                <w:sz w:val="22"/>
                <w:szCs w:val="22"/>
                <w14:textFill>
                  <w14:solidFill>
                    <w14:schemeClr w14:val="tx1"/>
                  </w14:solidFill>
                </w14:textFill>
              </w:rPr>
            </w:pPr>
            <w:r>
              <w:rPr>
                <w:color w:val="000000" w:themeColor="text1"/>
                <w14:textFill>
                  <w14:solidFill>
                    <w14:schemeClr w14:val="tx1"/>
                  </w14:solidFill>
                </w14:textFill>
              </w:rPr>
              <w:drawing>
                <wp:inline distT="0" distB="0" distL="0" distR="0">
                  <wp:extent cx="713740" cy="1087120"/>
                  <wp:effectExtent l="0" t="0" r="10160" b="17780"/>
                  <wp:docPr id="1074273016" name="图片 86" descr="微信图片_2024110814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73016" name="图片 86" descr="微信图片_20241108143800"/>
                          <pic:cNvPicPr>
                            <a:picLocks noChangeAspect="1"/>
                          </pic:cNvPicPr>
                        </pic:nvPicPr>
                        <pic:blipFill>
                          <a:blip r:embed="rId55"/>
                          <a:stretch>
                            <a:fillRect/>
                          </a:stretch>
                        </pic:blipFill>
                        <pic:spPr>
                          <a:xfrm>
                            <a:off x="0" y="0"/>
                            <a:ext cx="713740" cy="1087120"/>
                          </a:xfrm>
                          <a:prstGeom prst="rect">
                            <a:avLst/>
                          </a:prstGeom>
                        </pic:spPr>
                      </pic:pic>
                    </a:graphicData>
                  </a:graphic>
                </wp:inline>
              </w:drawing>
            </w:r>
          </w:p>
        </w:tc>
        <w:tc>
          <w:tcPr>
            <w:tcW w:w="1150" w:type="dxa"/>
            <w:tcBorders>
              <w:top w:val="single" w:color="auto" w:sz="4" w:space="0"/>
              <w:left w:val="single" w:color="auto" w:sz="4" w:space="0"/>
              <w:bottom w:val="single" w:color="auto" w:sz="4" w:space="0"/>
              <w:right w:val="single" w:color="auto" w:sz="4" w:space="0"/>
            </w:tcBorders>
            <w:noWrap/>
            <w:vAlign w:val="center"/>
          </w:tcPr>
          <w:p w14:paraId="4B2AC813">
            <w:pPr>
              <w:widowControl/>
              <w:jc w:val="center"/>
              <w:textAlignment w:val="center"/>
              <w:rPr>
                <w:color w:val="000000" w:themeColor="text1"/>
                <w14:textFill>
                  <w14:solidFill>
                    <w14:schemeClr w14:val="tx1"/>
                  </w14:solidFill>
                </w14:textFill>
              </w:rPr>
            </w:pPr>
          </w:p>
        </w:tc>
      </w:tr>
      <w:tr w14:paraId="5E5CB04D">
        <w:tblPrEx>
          <w:tblCellMar>
            <w:top w:w="0" w:type="dxa"/>
            <w:left w:w="108" w:type="dxa"/>
            <w:bottom w:w="0" w:type="dxa"/>
            <w:right w:w="108" w:type="dxa"/>
          </w:tblCellMar>
        </w:tblPrEx>
        <w:trPr>
          <w:trHeight w:val="557" w:hRule="atLeast"/>
        </w:trPr>
        <w:tc>
          <w:tcPr>
            <w:tcW w:w="14522" w:type="dxa"/>
            <w:gridSpan w:val="7"/>
            <w:tcBorders>
              <w:top w:val="single" w:color="000000" w:sz="4" w:space="0"/>
              <w:left w:val="single" w:color="000000" w:sz="4" w:space="0"/>
              <w:bottom w:val="single" w:color="000000" w:sz="4" w:space="0"/>
              <w:right w:val="single" w:color="auto" w:sz="4" w:space="0"/>
            </w:tcBorders>
            <w:noWrap/>
            <w:vAlign w:val="center"/>
          </w:tcPr>
          <w:p w14:paraId="16B5FAA1">
            <w:pPr>
              <w:widowControl/>
              <w:jc w:val="center"/>
              <w:textAlignment w:val="center"/>
              <w:rPr>
                <w:rFonts w:hint="eastAsia" w:ascii="新宋体" w:hAnsi="新宋体" w:eastAsia="新宋体" w:cs="新宋体"/>
                <w:b/>
                <w:bCs/>
                <w:color w:val="000000" w:themeColor="text1"/>
                <w:kern w:val="0"/>
                <w:sz w:val="24"/>
                <w:lang w:bidi="ar"/>
                <w14:textFill>
                  <w14:solidFill>
                    <w14:schemeClr w14:val="tx1"/>
                  </w14:solidFill>
                </w14:textFill>
              </w:rPr>
            </w:pPr>
            <w:r>
              <w:rPr>
                <w:rFonts w:hint="eastAsia" w:asciiTheme="minorEastAsia" w:hAnsiTheme="minorEastAsia" w:eastAsiaTheme="minorEastAsia" w:cstheme="minorEastAsia"/>
                <w:b/>
                <w:bCs/>
                <w:color w:val="000000" w:themeColor="text1"/>
                <w:kern w:val="0"/>
                <w:sz w:val="22"/>
                <w:szCs w:val="22"/>
                <w:lang w:bidi="ar"/>
                <w14:textFill>
                  <w14:solidFill>
                    <w14:schemeClr w14:val="tx1"/>
                  </w14:solidFill>
                </w14:textFill>
              </w:rPr>
              <w:t>（六）小学科学实验室</w:t>
            </w:r>
          </w:p>
        </w:tc>
      </w:tr>
      <w:tr w14:paraId="3D8C1B9A">
        <w:tblPrEx>
          <w:tblCellMar>
            <w:top w:w="0" w:type="dxa"/>
            <w:left w:w="108" w:type="dxa"/>
            <w:bottom w:w="0" w:type="dxa"/>
            <w:right w:w="108" w:type="dxa"/>
          </w:tblCellMar>
        </w:tblPrEx>
        <w:trPr>
          <w:trHeight w:val="52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24E4748F">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序号</w:t>
            </w:r>
          </w:p>
        </w:tc>
        <w:tc>
          <w:tcPr>
            <w:tcW w:w="2757" w:type="dxa"/>
            <w:tcBorders>
              <w:top w:val="single" w:color="000000" w:sz="4" w:space="0"/>
              <w:left w:val="single" w:color="000000" w:sz="4" w:space="0"/>
              <w:bottom w:val="single" w:color="000000" w:sz="4" w:space="0"/>
              <w:right w:val="single" w:color="000000" w:sz="4" w:space="0"/>
            </w:tcBorders>
            <w:vAlign w:val="center"/>
          </w:tcPr>
          <w:p w14:paraId="6B584BB7">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设备名称</w:t>
            </w:r>
          </w:p>
        </w:tc>
        <w:tc>
          <w:tcPr>
            <w:tcW w:w="5770" w:type="dxa"/>
            <w:tcBorders>
              <w:top w:val="single" w:color="000000" w:sz="4" w:space="0"/>
              <w:left w:val="single" w:color="000000" w:sz="4" w:space="0"/>
              <w:bottom w:val="single" w:color="000000" w:sz="4" w:space="0"/>
              <w:right w:val="single" w:color="000000" w:sz="4" w:space="0"/>
            </w:tcBorders>
            <w:vAlign w:val="center"/>
          </w:tcPr>
          <w:p w14:paraId="355DAD68">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规格参数</w:t>
            </w:r>
          </w:p>
        </w:tc>
        <w:tc>
          <w:tcPr>
            <w:tcW w:w="500" w:type="dxa"/>
            <w:tcBorders>
              <w:top w:val="single" w:color="000000" w:sz="4" w:space="0"/>
              <w:left w:val="single" w:color="000000" w:sz="4" w:space="0"/>
              <w:bottom w:val="single" w:color="000000" w:sz="4" w:space="0"/>
              <w:right w:val="single" w:color="000000" w:sz="4" w:space="0"/>
            </w:tcBorders>
            <w:vAlign w:val="center"/>
          </w:tcPr>
          <w:p w14:paraId="65D2476B">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数量</w:t>
            </w:r>
          </w:p>
        </w:tc>
        <w:tc>
          <w:tcPr>
            <w:tcW w:w="500" w:type="dxa"/>
            <w:tcBorders>
              <w:top w:val="single" w:color="000000" w:sz="4" w:space="0"/>
              <w:left w:val="single" w:color="000000" w:sz="4" w:space="0"/>
              <w:bottom w:val="single" w:color="000000" w:sz="4" w:space="0"/>
              <w:right w:val="single" w:color="000000" w:sz="4" w:space="0"/>
            </w:tcBorders>
            <w:vAlign w:val="center"/>
          </w:tcPr>
          <w:p w14:paraId="4F0ACF81">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单位</w:t>
            </w:r>
          </w:p>
        </w:tc>
        <w:tc>
          <w:tcPr>
            <w:tcW w:w="3345" w:type="dxa"/>
            <w:tcBorders>
              <w:top w:val="single" w:color="000000" w:sz="4" w:space="0"/>
              <w:left w:val="single" w:color="000000" w:sz="4" w:space="0"/>
              <w:bottom w:val="single" w:color="000000" w:sz="4" w:space="0"/>
              <w:right w:val="single" w:color="000000" w:sz="4" w:space="0"/>
            </w:tcBorders>
            <w:vAlign w:val="center"/>
          </w:tcPr>
          <w:p w14:paraId="6CC75676">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参考图片</w:t>
            </w:r>
          </w:p>
        </w:tc>
        <w:tc>
          <w:tcPr>
            <w:tcW w:w="1150" w:type="dxa"/>
            <w:tcBorders>
              <w:top w:val="single" w:color="000000" w:sz="4" w:space="0"/>
              <w:left w:val="single" w:color="000000" w:sz="4" w:space="0"/>
              <w:bottom w:val="single" w:color="000000" w:sz="4" w:space="0"/>
              <w:right w:val="single" w:color="000000" w:sz="4" w:space="0"/>
            </w:tcBorders>
            <w:vAlign w:val="center"/>
          </w:tcPr>
          <w:p w14:paraId="364CDB76">
            <w:pPr>
              <w:widowControl/>
              <w:jc w:val="center"/>
              <w:textAlignment w:val="center"/>
              <w:rPr>
                <w:rFonts w:hint="eastAsia" w:ascii="新宋体" w:hAnsi="新宋体" w:eastAsia="新宋体" w:cs="新宋体"/>
                <w:b/>
                <w:bCs/>
                <w:color w:val="000000" w:themeColor="text1"/>
                <w:kern w:val="0"/>
                <w:sz w:val="22"/>
                <w:szCs w:val="22"/>
                <w:lang w:bidi="ar"/>
                <w14:textFill>
                  <w14:solidFill>
                    <w14:schemeClr w14:val="tx1"/>
                  </w14:solidFill>
                </w14:textFill>
              </w:rPr>
            </w:pPr>
          </w:p>
        </w:tc>
      </w:tr>
      <w:tr w14:paraId="72F2211C">
        <w:tblPrEx>
          <w:tblCellMar>
            <w:top w:w="0" w:type="dxa"/>
            <w:left w:w="108" w:type="dxa"/>
            <w:bottom w:w="0" w:type="dxa"/>
            <w:right w:w="108" w:type="dxa"/>
          </w:tblCellMar>
        </w:tblPrEx>
        <w:trPr>
          <w:trHeight w:val="52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430BC5B3">
            <w:pPr>
              <w:widowControl/>
              <w:jc w:val="center"/>
              <w:textAlignment w:val="center"/>
              <w:rPr>
                <w:rFonts w:hint="eastAsia" w:ascii="新宋体" w:hAnsi="新宋体" w:eastAsia="新宋体" w:cs="新宋体"/>
                <w:b/>
                <w:bCs/>
                <w:color w:val="000000" w:themeColor="text1"/>
                <w:kern w:val="0"/>
                <w:sz w:val="22"/>
                <w:szCs w:val="22"/>
                <w:lang w:bidi="ar"/>
                <w14:textFill>
                  <w14:solidFill>
                    <w14:schemeClr w14:val="tx1"/>
                  </w14:solidFill>
                </w14:textFill>
              </w:rPr>
            </w:pPr>
          </w:p>
        </w:tc>
        <w:tc>
          <w:tcPr>
            <w:tcW w:w="2757" w:type="dxa"/>
            <w:tcBorders>
              <w:top w:val="single" w:color="000000" w:sz="4" w:space="0"/>
              <w:left w:val="single" w:color="000000" w:sz="4" w:space="0"/>
              <w:bottom w:val="single" w:color="000000" w:sz="4" w:space="0"/>
              <w:right w:val="single" w:color="000000" w:sz="4" w:space="0"/>
            </w:tcBorders>
            <w:vAlign w:val="center"/>
          </w:tcPr>
          <w:p w14:paraId="35AC4D4D">
            <w:pPr>
              <w:widowControl/>
              <w:jc w:val="center"/>
              <w:textAlignment w:val="center"/>
              <w:rPr>
                <w:rFonts w:hint="eastAsia" w:ascii="新宋体" w:hAnsi="新宋体" w:eastAsia="新宋体" w:cs="新宋体"/>
                <w:b/>
                <w:bCs/>
                <w:color w:val="000000" w:themeColor="text1"/>
                <w:kern w:val="0"/>
                <w:sz w:val="22"/>
                <w:szCs w:val="22"/>
                <w:lang w:bidi="ar"/>
                <w14:textFill>
                  <w14:solidFill>
                    <w14:schemeClr w14:val="tx1"/>
                  </w14:solidFill>
                </w14:textFill>
              </w:rPr>
            </w:pPr>
          </w:p>
        </w:tc>
        <w:tc>
          <w:tcPr>
            <w:tcW w:w="5770" w:type="dxa"/>
            <w:tcBorders>
              <w:top w:val="single" w:color="000000" w:sz="4" w:space="0"/>
              <w:left w:val="single" w:color="000000" w:sz="4" w:space="0"/>
              <w:bottom w:val="single" w:color="000000" w:sz="4" w:space="0"/>
              <w:right w:val="single" w:color="000000" w:sz="4" w:space="0"/>
            </w:tcBorders>
            <w:vAlign w:val="center"/>
          </w:tcPr>
          <w:p w14:paraId="2E1E64AE">
            <w:pPr>
              <w:widowControl/>
              <w:jc w:val="center"/>
              <w:textAlignment w:val="center"/>
              <w:rPr>
                <w:rFonts w:hint="eastAsia" w:ascii="新宋体" w:hAnsi="新宋体" w:eastAsia="新宋体" w:cs="新宋体"/>
                <w:b/>
                <w:bCs/>
                <w:color w:val="000000" w:themeColor="text1"/>
                <w:kern w:val="0"/>
                <w:sz w:val="22"/>
                <w:szCs w:val="22"/>
                <w:lang w:bidi="ar"/>
                <w14:textFill>
                  <w14:solidFill>
                    <w14:schemeClr w14:val="tx1"/>
                  </w14:solidFill>
                </w14:textFill>
              </w:rPr>
            </w:pPr>
            <w:r>
              <w:rPr>
                <w:rFonts w:hint="eastAsia" w:asciiTheme="minorEastAsia" w:hAnsiTheme="minorEastAsia" w:eastAsiaTheme="minorEastAsia" w:cstheme="minorEastAsia"/>
                <w:b/>
                <w:bCs/>
                <w:color w:val="000000" w:themeColor="text1"/>
                <w:kern w:val="0"/>
                <w:sz w:val="22"/>
                <w:szCs w:val="22"/>
                <w:lang w:bidi="ar"/>
                <w14:textFill>
                  <w14:solidFill>
                    <w14:schemeClr w14:val="tx1"/>
                  </w14:solidFill>
                </w14:textFill>
              </w:rPr>
              <w:t>（六）6.1</w:t>
            </w:r>
            <w:r>
              <w:rPr>
                <w:rFonts w:hint="eastAsia" w:ascii="新宋体" w:hAnsi="新宋体" w:eastAsia="新宋体" w:cs="新宋体"/>
                <w:b/>
                <w:bCs/>
                <w:color w:val="000000" w:themeColor="text1"/>
                <w:kern w:val="0"/>
                <w:sz w:val="22"/>
                <w:szCs w:val="22"/>
                <w:lang w:bidi="ar"/>
                <w14:textFill>
                  <w14:solidFill>
                    <w14:schemeClr w14:val="tx1"/>
                  </w14:solidFill>
                </w14:textFill>
              </w:rPr>
              <w:t>、实验室基础设备</w:t>
            </w:r>
          </w:p>
        </w:tc>
        <w:tc>
          <w:tcPr>
            <w:tcW w:w="500" w:type="dxa"/>
            <w:tcBorders>
              <w:top w:val="single" w:color="000000" w:sz="4" w:space="0"/>
              <w:left w:val="single" w:color="000000" w:sz="4" w:space="0"/>
              <w:bottom w:val="single" w:color="000000" w:sz="4" w:space="0"/>
              <w:right w:val="single" w:color="000000" w:sz="4" w:space="0"/>
            </w:tcBorders>
            <w:vAlign w:val="center"/>
          </w:tcPr>
          <w:p w14:paraId="5F093BA7">
            <w:pPr>
              <w:widowControl/>
              <w:jc w:val="center"/>
              <w:textAlignment w:val="center"/>
              <w:rPr>
                <w:rFonts w:hint="eastAsia" w:ascii="新宋体" w:hAnsi="新宋体" w:eastAsia="新宋体" w:cs="新宋体"/>
                <w:b/>
                <w:bCs/>
                <w:color w:val="000000" w:themeColor="text1"/>
                <w:kern w:val="0"/>
                <w:sz w:val="22"/>
                <w:szCs w:val="22"/>
                <w:lang w:bidi="ar"/>
                <w14:textFill>
                  <w14:solidFill>
                    <w14:schemeClr w14:val="tx1"/>
                  </w14:solidFill>
                </w14:textFill>
              </w:rPr>
            </w:pPr>
          </w:p>
        </w:tc>
        <w:tc>
          <w:tcPr>
            <w:tcW w:w="500" w:type="dxa"/>
            <w:tcBorders>
              <w:top w:val="single" w:color="000000" w:sz="4" w:space="0"/>
              <w:left w:val="single" w:color="000000" w:sz="4" w:space="0"/>
              <w:bottom w:val="single" w:color="000000" w:sz="4" w:space="0"/>
              <w:right w:val="single" w:color="000000" w:sz="4" w:space="0"/>
            </w:tcBorders>
            <w:vAlign w:val="center"/>
          </w:tcPr>
          <w:p w14:paraId="00426AB6">
            <w:pPr>
              <w:widowControl/>
              <w:jc w:val="center"/>
              <w:textAlignment w:val="center"/>
              <w:rPr>
                <w:rFonts w:hint="eastAsia" w:ascii="新宋体" w:hAnsi="新宋体" w:eastAsia="新宋体" w:cs="新宋体"/>
                <w:b/>
                <w:bCs/>
                <w:color w:val="000000" w:themeColor="text1"/>
                <w:kern w:val="0"/>
                <w:sz w:val="22"/>
                <w:szCs w:val="22"/>
                <w:lang w:bidi="ar"/>
                <w14:textFill>
                  <w14:solidFill>
                    <w14:schemeClr w14:val="tx1"/>
                  </w14:solidFill>
                </w14:textFill>
              </w:rPr>
            </w:pPr>
          </w:p>
        </w:tc>
        <w:tc>
          <w:tcPr>
            <w:tcW w:w="3345" w:type="dxa"/>
            <w:tcBorders>
              <w:top w:val="single" w:color="000000" w:sz="4" w:space="0"/>
              <w:left w:val="single" w:color="000000" w:sz="4" w:space="0"/>
              <w:bottom w:val="single" w:color="000000" w:sz="4" w:space="0"/>
              <w:right w:val="single" w:color="000000" w:sz="4" w:space="0"/>
            </w:tcBorders>
            <w:vAlign w:val="center"/>
          </w:tcPr>
          <w:p w14:paraId="0F0470F5">
            <w:pPr>
              <w:widowControl/>
              <w:jc w:val="center"/>
              <w:textAlignment w:val="center"/>
              <w:rPr>
                <w:rFonts w:hint="eastAsia" w:ascii="新宋体" w:hAnsi="新宋体" w:eastAsia="新宋体" w:cs="新宋体"/>
                <w:b/>
                <w:bCs/>
                <w:color w:val="000000" w:themeColor="text1"/>
                <w:kern w:val="0"/>
                <w:sz w:val="22"/>
                <w:szCs w:val="22"/>
                <w:lang w:bidi="ar"/>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vAlign w:val="center"/>
          </w:tcPr>
          <w:p w14:paraId="386E1A42">
            <w:pPr>
              <w:widowControl/>
              <w:jc w:val="center"/>
              <w:textAlignment w:val="center"/>
              <w:rPr>
                <w:rFonts w:hint="eastAsia" w:ascii="新宋体" w:hAnsi="新宋体" w:eastAsia="新宋体" w:cs="新宋体"/>
                <w:b/>
                <w:bCs/>
                <w:color w:val="000000" w:themeColor="text1"/>
                <w:kern w:val="0"/>
                <w:sz w:val="22"/>
                <w:szCs w:val="22"/>
                <w:lang w:bidi="ar"/>
                <w14:textFill>
                  <w14:solidFill>
                    <w14:schemeClr w14:val="tx1"/>
                  </w14:solidFill>
                </w14:textFill>
              </w:rPr>
            </w:pPr>
          </w:p>
        </w:tc>
      </w:tr>
      <w:tr w14:paraId="034A00A2">
        <w:tblPrEx>
          <w:tblCellMar>
            <w:top w:w="0" w:type="dxa"/>
            <w:left w:w="108" w:type="dxa"/>
            <w:bottom w:w="0" w:type="dxa"/>
            <w:right w:w="108" w:type="dxa"/>
          </w:tblCellMar>
        </w:tblPrEx>
        <w:trPr>
          <w:trHeight w:val="1215" w:hRule="atLeast"/>
        </w:trPr>
        <w:tc>
          <w:tcPr>
            <w:tcW w:w="500" w:type="dxa"/>
            <w:tcBorders>
              <w:top w:val="single" w:color="000000" w:sz="4" w:space="0"/>
              <w:left w:val="single" w:color="000000" w:sz="4" w:space="0"/>
              <w:bottom w:val="single" w:color="auto" w:sz="4" w:space="0"/>
              <w:right w:val="single" w:color="000000" w:sz="4" w:space="0"/>
            </w:tcBorders>
            <w:noWrap/>
            <w:vAlign w:val="center"/>
          </w:tcPr>
          <w:p w14:paraId="4DED17FF">
            <w:pPr>
              <w:widowControl/>
              <w:jc w:val="center"/>
              <w:textAlignment w:val="center"/>
              <w:rPr>
                <w:rFonts w:hint="eastAsia" w:ascii="新宋体" w:hAnsi="新宋体" w:eastAsia="新宋体" w:cs="新宋体"/>
                <w:color w:val="000000" w:themeColor="text1"/>
                <w:sz w:val="22"/>
                <w:szCs w:val="22"/>
                <w14:textFill>
                  <w14:solidFill>
                    <w14:schemeClr w14:val="tx1"/>
                  </w14:solidFill>
                </w14:textFill>
              </w:rPr>
            </w:pPr>
            <w:r>
              <w:rPr>
                <w:rFonts w:hint="eastAsia" w:ascii="新宋体" w:hAnsi="新宋体" w:eastAsia="新宋体" w:cs="新宋体"/>
                <w:color w:val="000000" w:themeColor="text1"/>
                <w:kern w:val="0"/>
                <w:sz w:val="22"/>
                <w:szCs w:val="22"/>
                <w:lang w:bidi="ar"/>
                <w14:textFill>
                  <w14:solidFill>
                    <w14:schemeClr w14:val="tx1"/>
                  </w14:solidFill>
                </w14:textFill>
              </w:rPr>
              <w:t>1</w:t>
            </w:r>
          </w:p>
        </w:tc>
        <w:tc>
          <w:tcPr>
            <w:tcW w:w="2757" w:type="dxa"/>
            <w:tcBorders>
              <w:top w:val="single" w:color="000000" w:sz="4" w:space="0"/>
              <w:left w:val="single" w:color="000000" w:sz="4" w:space="0"/>
              <w:bottom w:val="single" w:color="auto" w:sz="4" w:space="0"/>
              <w:right w:val="single" w:color="000000" w:sz="4" w:space="0"/>
            </w:tcBorders>
            <w:vAlign w:val="center"/>
          </w:tcPr>
          <w:p w14:paraId="1BBE6FF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教室专用演示设备</w:t>
            </w:r>
          </w:p>
        </w:tc>
        <w:tc>
          <w:tcPr>
            <w:tcW w:w="5770" w:type="dxa"/>
            <w:tcBorders>
              <w:top w:val="single" w:color="000000" w:sz="4" w:space="0"/>
              <w:left w:val="single" w:color="000000" w:sz="4" w:space="0"/>
              <w:bottom w:val="single" w:color="auto" w:sz="4" w:space="0"/>
              <w:right w:val="single" w:color="000000" w:sz="4" w:space="0"/>
            </w:tcBorders>
            <w:vAlign w:val="center"/>
          </w:tcPr>
          <w:p w14:paraId="73DA713B">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1.教师台规格：2400×750×900mm（±5mm）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2.面板材质：采用≥12.7mm实验室专用实芯理化板，周边成型厚度≥25.4mm，防腐蚀、耐酸碱、耐高温、抗菌等。</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3.柜体结构：全钢结构柜体，采用厚≥1.2mm一级镀锌钢板机压成型、焊接制作，并于适当部位予以补强，表面经耐酸碱EPOXY粉末烤漆处理，喷涂厚度为100微米以上。表面硬度附着力、耐腐蚀。</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4.导轨：三节式，静音。</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5.拉手：造型美观。</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6.防撞胶垫：装于抽屉及门板内侧，减缓碰撞，保护柜体。</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7.储存功能：桌面可以做演示实验，下方可存储计算机，交换机，路由器、仪器箱，方便实验仪器管理。</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8.含三联水嘴一套：采用实验室专用高密度PP一体化成型水槽，易清洁，耐腐蚀，且利于台面残水自然回流，美观实用；具耐酸碱、耐有机溶剂、耐紫外线等特点。</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9.含一个水槽，采用实验室专用高密度PP一体化成型水槽，易清洁，耐腐蚀，且利于台面残水自然回流，美观实用；具耐酸碱、耐有机溶剂、耐紫外线等特点。材质为聚丙烯共聚物。</w:t>
            </w:r>
          </w:p>
        </w:tc>
        <w:tc>
          <w:tcPr>
            <w:tcW w:w="500" w:type="dxa"/>
            <w:tcBorders>
              <w:top w:val="single" w:color="000000" w:sz="4" w:space="0"/>
              <w:left w:val="single" w:color="000000" w:sz="4" w:space="0"/>
              <w:bottom w:val="single" w:color="auto" w:sz="4" w:space="0"/>
              <w:right w:val="single" w:color="000000" w:sz="4" w:space="0"/>
            </w:tcBorders>
            <w:vAlign w:val="center"/>
          </w:tcPr>
          <w:p w14:paraId="1E36D31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auto" w:sz="4" w:space="0"/>
              <w:right w:val="single" w:color="000000" w:sz="4" w:space="0"/>
            </w:tcBorders>
            <w:vAlign w:val="center"/>
          </w:tcPr>
          <w:p w14:paraId="384D713A">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台</w:t>
            </w:r>
          </w:p>
        </w:tc>
        <w:tc>
          <w:tcPr>
            <w:tcW w:w="3345" w:type="dxa"/>
            <w:tcBorders>
              <w:top w:val="single" w:color="000000" w:sz="4" w:space="0"/>
              <w:left w:val="single" w:color="000000" w:sz="4" w:space="0"/>
              <w:bottom w:val="single" w:color="auto" w:sz="4" w:space="0"/>
              <w:right w:val="single" w:color="000000" w:sz="4" w:space="0"/>
            </w:tcBorders>
            <w:shd w:val="clear" w:color="auto" w:fill="FFFFFF"/>
            <w:vAlign w:val="center"/>
          </w:tcPr>
          <w:p w14:paraId="0DFD7D5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drawing>
                <wp:inline distT="0" distB="0" distL="114300" distR="114300">
                  <wp:extent cx="797560" cy="366395"/>
                  <wp:effectExtent l="0" t="0" r="2540" b="14605"/>
                  <wp:docPr id="58"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 descr="IMG_256"/>
                          <pic:cNvPicPr>
                            <a:picLocks noChangeAspect="1"/>
                          </pic:cNvPicPr>
                        </pic:nvPicPr>
                        <pic:blipFill>
                          <a:blip r:embed="rId56"/>
                          <a:stretch>
                            <a:fillRect/>
                          </a:stretch>
                        </pic:blipFill>
                        <pic:spPr>
                          <a:xfrm>
                            <a:off x="0" y="0"/>
                            <a:ext cx="797560" cy="366395"/>
                          </a:xfrm>
                          <a:prstGeom prst="rect">
                            <a:avLst/>
                          </a:prstGeom>
                          <a:noFill/>
                          <a:ln w="9525">
                            <a:noFill/>
                          </a:ln>
                        </pic:spPr>
                      </pic:pic>
                    </a:graphicData>
                  </a:graphic>
                </wp:inline>
              </w:drawing>
            </w:r>
          </w:p>
        </w:tc>
        <w:tc>
          <w:tcPr>
            <w:tcW w:w="1150" w:type="dxa"/>
            <w:tcBorders>
              <w:top w:val="single" w:color="000000" w:sz="4" w:space="0"/>
              <w:left w:val="single" w:color="000000" w:sz="4" w:space="0"/>
              <w:bottom w:val="single" w:color="auto" w:sz="4" w:space="0"/>
              <w:right w:val="single" w:color="000000" w:sz="4" w:space="0"/>
            </w:tcBorders>
            <w:shd w:val="clear" w:color="auto" w:fill="FFFFFF"/>
            <w:vAlign w:val="center"/>
          </w:tcPr>
          <w:p w14:paraId="50BD253A">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r>
      <w:tr w14:paraId="0C110BCD">
        <w:tblPrEx>
          <w:tblCellMar>
            <w:top w:w="0" w:type="dxa"/>
            <w:left w:w="108" w:type="dxa"/>
            <w:bottom w:w="0" w:type="dxa"/>
            <w:right w:w="108" w:type="dxa"/>
          </w:tblCellMar>
        </w:tblPrEx>
        <w:trPr>
          <w:trHeight w:val="255" w:hRule="atLeast"/>
        </w:trPr>
        <w:tc>
          <w:tcPr>
            <w:tcW w:w="500" w:type="dxa"/>
            <w:tcBorders>
              <w:top w:val="single" w:color="auto" w:sz="4" w:space="0"/>
              <w:left w:val="single" w:color="auto" w:sz="4" w:space="0"/>
              <w:bottom w:val="single" w:color="auto" w:sz="4" w:space="0"/>
              <w:right w:val="single" w:color="auto" w:sz="4" w:space="0"/>
            </w:tcBorders>
            <w:noWrap/>
            <w:vAlign w:val="center"/>
          </w:tcPr>
          <w:p w14:paraId="4907032B">
            <w:pPr>
              <w:widowControl/>
              <w:jc w:val="center"/>
              <w:textAlignment w:val="center"/>
              <w:rPr>
                <w:rFonts w:hint="eastAsia" w:ascii="新宋体" w:hAnsi="新宋体" w:eastAsia="新宋体" w:cs="新宋体"/>
                <w:color w:val="000000" w:themeColor="text1"/>
                <w:sz w:val="22"/>
                <w:szCs w:val="22"/>
                <w14:textFill>
                  <w14:solidFill>
                    <w14:schemeClr w14:val="tx1"/>
                  </w14:solidFill>
                </w14:textFill>
              </w:rPr>
            </w:pPr>
            <w:r>
              <w:rPr>
                <w:rFonts w:hint="eastAsia" w:ascii="新宋体" w:hAnsi="新宋体" w:eastAsia="新宋体" w:cs="新宋体"/>
                <w:color w:val="000000" w:themeColor="text1"/>
                <w:kern w:val="0"/>
                <w:sz w:val="22"/>
                <w:szCs w:val="22"/>
                <w:lang w:bidi="ar"/>
                <w14:textFill>
                  <w14:solidFill>
                    <w14:schemeClr w14:val="tx1"/>
                  </w14:solidFill>
                </w14:textFill>
              </w:rPr>
              <w:t>2</w:t>
            </w:r>
          </w:p>
        </w:tc>
        <w:tc>
          <w:tcPr>
            <w:tcW w:w="2757" w:type="dxa"/>
            <w:tcBorders>
              <w:top w:val="single" w:color="auto" w:sz="4" w:space="0"/>
              <w:left w:val="single" w:color="auto" w:sz="4" w:space="0"/>
              <w:bottom w:val="single" w:color="auto" w:sz="4" w:space="0"/>
              <w:right w:val="single" w:color="auto" w:sz="4" w:space="0"/>
            </w:tcBorders>
            <w:noWrap/>
            <w:vAlign w:val="center"/>
          </w:tcPr>
          <w:p w14:paraId="2D116AEE">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教师实验课椅</w:t>
            </w:r>
          </w:p>
        </w:tc>
        <w:tc>
          <w:tcPr>
            <w:tcW w:w="5770" w:type="dxa"/>
            <w:tcBorders>
              <w:top w:val="single" w:color="auto" w:sz="4" w:space="0"/>
              <w:left w:val="single" w:color="auto" w:sz="4" w:space="0"/>
              <w:bottom w:val="single" w:color="auto" w:sz="4" w:space="0"/>
              <w:right w:val="single" w:color="auto" w:sz="4" w:space="0"/>
            </w:tcBorders>
            <w:vAlign w:val="center"/>
          </w:tcPr>
          <w:p w14:paraId="104002EE">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1.规格:约380*400*800mm； 坐面为一体成型亚克力材质，靠面为一体成型树脂材质，四脚连接为一体成型表面抛光合金材质，整体美观，耐用。颜色以图片为准；具有良好的防腐蚀功能。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Arial" w:hAnsi="Arial" w:cs="宋体"/>
                <w:kern w:val="0"/>
                <w:szCs w:val="21"/>
              </w:rPr>
              <w:t>★</w:t>
            </w:r>
            <w:r>
              <w:rPr>
                <w:rFonts w:hint="eastAsia" w:ascii="宋体" w:hAnsi="宋体" w:cs="宋体"/>
                <w:color w:val="000000" w:themeColor="text1"/>
                <w:kern w:val="0"/>
                <w:sz w:val="22"/>
                <w:szCs w:val="22"/>
                <w:lang w:bidi="ar"/>
                <w14:textFill>
                  <w14:solidFill>
                    <w14:schemeClr w14:val="tx1"/>
                  </w14:solidFill>
                </w14:textFill>
              </w:rPr>
              <w:t>2.课椅靠背座垫符合 GB 28481-2012要求。</w:t>
            </w:r>
          </w:p>
        </w:tc>
        <w:tc>
          <w:tcPr>
            <w:tcW w:w="500" w:type="dxa"/>
            <w:tcBorders>
              <w:top w:val="single" w:color="auto" w:sz="4" w:space="0"/>
              <w:left w:val="single" w:color="auto" w:sz="4" w:space="0"/>
              <w:bottom w:val="single" w:color="auto" w:sz="4" w:space="0"/>
              <w:right w:val="single" w:color="auto" w:sz="4" w:space="0"/>
            </w:tcBorders>
            <w:vAlign w:val="center"/>
          </w:tcPr>
          <w:p w14:paraId="02BD2F7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auto" w:sz="4" w:space="0"/>
              <w:left w:val="single" w:color="auto" w:sz="4" w:space="0"/>
              <w:bottom w:val="single" w:color="auto" w:sz="4" w:space="0"/>
              <w:right w:val="single" w:color="auto" w:sz="4" w:space="0"/>
            </w:tcBorders>
            <w:vAlign w:val="center"/>
          </w:tcPr>
          <w:p w14:paraId="2ED2BB4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张</w:t>
            </w:r>
          </w:p>
        </w:tc>
        <w:tc>
          <w:tcPr>
            <w:tcW w:w="3345" w:type="dxa"/>
            <w:tcBorders>
              <w:top w:val="single" w:color="auto" w:sz="4" w:space="0"/>
              <w:left w:val="single" w:color="auto" w:sz="4" w:space="0"/>
              <w:bottom w:val="single" w:color="auto" w:sz="4" w:space="0"/>
              <w:right w:val="single" w:color="auto" w:sz="4" w:space="0"/>
            </w:tcBorders>
            <w:vAlign w:val="center"/>
          </w:tcPr>
          <w:p w14:paraId="656669FB">
            <w:pPr>
              <w:widowControl/>
              <w:jc w:val="center"/>
              <w:textAlignment w:val="center"/>
              <w:rPr>
                <w:rFonts w:hint="eastAsia" w:ascii="宋体" w:hAnsi="宋体" w:cs="宋体"/>
                <w:b/>
                <w:bCs/>
                <w:color w:val="000000" w:themeColor="text1"/>
                <w:sz w:val="22"/>
                <w:szCs w:val="22"/>
                <w14:textFill>
                  <w14:solidFill>
                    <w14:schemeClr w14:val="tx1"/>
                  </w14:solidFill>
                </w14:textFill>
              </w:rPr>
            </w:pPr>
          </w:p>
        </w:tc>
        <w:tc>
          <w:tcPr>
            <w:tcW w:w="1150" w:type="dxa"/>
            <w:tcBorders>
              <w:top w:val="single" w:color="auto" w:sz="4" w:space="0"/>
              <w:left w:val="single" w:color="auto" w:sz="4" w:space="0"/>
              <w:bottom w:val="single" w:color="auto" w:sz="4" w:space="0"/>
              <w:right w:val="single" w:color="auto" w:sz="4" w:space="0"/>
            </w:tcBorders>
            <w:vAlign w:val="center"/>
          </w:tcPr>
          <w:p w14:paraId="24FCA9F6">
            <w:pPr>
              <w:widowControl/>
              <w:jc w:val="center"/>
              <w:textAlignment w:val="center"/>
              <w:rPr>
                <w:rFonts w:hint="eastAsia" w:ascii="宋体" w:hAnsi="宋体" w:cs="宋体"/>
                <w:b/>
                <w:bCs/>
                <w:color w:val="000000" w:themeColor="text1"/>
                <w:kern w:val="0"/>
                <w:sz w:val="22"/>
                <w:szCs w:val="22"/>
                <w:bdr w:val="single" w:color="000000" w:sz="4" w:space="0"/>
                <w:lang w:bidi="ar"/>
                <w14:textFill>
                  <w14:solidFill>
                    <w14:schemeClr w14:val="tx1"/>
                  </w14:solidFill>
                </w14:textFill>
              </w:rPr>
            </w:pPr>
          </w:p>
        </w:tc>
      </w:tr>
      <w:tr w14:paraId="568EA408">
        <w:tblPrEx>
          <w:tblCellMar>
            <w:top w:w="0" w:type="dxa"/>
            <w:left w:w="108" w:type="dxa"/>
            <w:bottom w:w="0" w:type="dxa"/>
            <w:right w:w="108" w:type="dxa"/>
          </w:tblCellMar>
        </w:tblPrEx>
        <w:trPr>
          <w:trHeight w:val="1235" w:hRule="atLeast"/>
        </w:trPr>
        <w:tc>
          <w:tcPr>
            <w:tcW w:w="500" w:type="dxa"/>
            <w:tcBorders>
              <w:top w:val="single" w:color="auto" w:sz="4" w:space="0"/>
              <w:left w:val="single" w:color="000000" w:sz="4" w:space="0"/>
              <w:bottom w:val="single" w:color="000000" w:sz="4" w:space="0"/>
              <w:right w:val="single" w:color="000000" w:sz="4" w:space="0"/>
            </w:tcBorders>
            <w:noWrap/>
            <w:vAlign w:val="center"/>
          </w:tcPr>
          <w:p w14:paraId="04FE6B41">
            <w:pPr>
              <w:widowControl/>
              <w:jc w:val="center"/>
              <w:textAlignment w:val="center"/>
              <w:rPr>
                <w:rFonts w:hint="eastAsia" w:ascii="新宋体" w:hAnsi="新宋体" w:eastAsia="新宋体" w:cs="新宋体"/>
                <w:color w:val="000000" w:themeColor="text1"/>
                <w:sz w:val="22"/>
                <w:szCs w:val="22"/>
                <w14:textFill>
                  <w14:solidFill>
                    <w14:schemeClr w14:val="tx1"/>
                  </w14:solidFill>
                </w14:textFill>
              </w:rPr>
            </w:pPr>
            <w:r>
              <w:rPr>
                <w:rFonts w:hint="eastAsia" w:ascii="新宋体" w:hAnsi="新宋体" w:eastAsia="新宋体" w:cs="新宋体"/>
                <w:color w:val="000000" w:themeColor="text1"/>
                <w:kern w:val="0"/>
                <w:sz w:val="22"/>
                <w:szCs w:val="22"/>
                <w:lang w:bidi="ar"/>
                <w14:textFill>
                  <w14:solidFill>
                    <w14:schemeClr w14:val="tx1"/>
                  </w14:solidFill>
                </w14:textFill>
              </w:rPr>
              <w:t>3</w:t>
            </w:r>
          </w:p>
        </w:tc>
        <w:tc>
          <w:tcPr>
            <w:tcW w:w="2757" w:type="dxa"/>
            <w:tcBorders>
              <w:top w:val="single" w:color="auto" w:sz="4" w:space="0"/>
              <w:left w:val="single" w:color="000000" w:sz="4" w:space="0"/>
              <w:bottom w:val="single" w:color="000000" w:sz="4" w:space="0"/>
              <w:right w:val="single" w:color="000000" w:sz="4" w:space="0"/>
            </w:tcBorders>
            <w:vAlign w:val="center"/>
          </w:tcPr>
          <w:p w14:paraId="2F653D6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科学学生实践设备</w:t>
            </w:r>
          </w:p>
        </w:tc>
        <w:tc>
          <w:tcPr>
            <w:tcW w:w="5770" w:type="dxa"/>
            <w:tcBorders>
              <w:top w:val="single" w:color="auto" w:sz="4" w:space="0"/>
              <w:left w:val="single" w:color="000000" w:sz="4" w:space="0"/>
              <w:bottom w:val="single" w:color="000000" w:sz="4" w:space="0"/>
              <w:right w:val="single" w:color="000000" w:sz="4" w:space="0"/>
            </w:tcBorders>
            <w:vAlign w:val="center"/>
          </w:tcPr>
          <w:p w14:paraId="59F2943A">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1.规格尺寸：</w:t>
            </w:r>
            <w:r>
              <w:rPr>
                <w:rStyle w:val="158"/>
                <w:rFonts w:hint="default"/>
                <w:color w:val="000000" w:themeColor="text1"/>
                <w:lang w:bidi="ar"/>
                <w14:textFill>
                  <w14:solidFill>
                    <w14:schemeClr w14:val="tx1"/>
                  </w14:solidFill>
                </w14:textFill>
              </w:rPr>
              <w:t>≥</w:t>
            </w:r>
            <w:r>
              <w:rPr>
                <w:rFonts w:hint="eastAsia" w:ascii="宋体" w:hAnsi="宋体" w:cs="宋体"/>
                <w:color w:val="000000" w:themeColor="text1"/>
                <w:kern w:val="0"/>
                <w:sz w:val="22"/>
                <w:szCs w:val="22"/>
                <w:lang w:bidi="ar"/>
                <w14:textFill>
                  <w14:solidFill>
                    <w14:schemeClr w14:val="tx1"/>
                  </w14:solidFill>
                </w14:textFill>
              </w:rPr>
              <w:t>1225mm*610mm*780mm，（台面高度）/820（围边高度）mm。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2.台面：采用12.7mm实芯理化板制作，具有防腐蚀、耐酸碱、耐高温耐磨、耐热、抗老化、无毒、易清洁、耐冲击、抗化学和污染性能。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3.铸铝与型材铝结合结构，底脚可选用M8带吸盘调整脚，可调整高度0-8MM。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桌腿采用折叠式设计，可实现90度折叠，利于整体打包运输，免于现场安装调试复杂程度，使产品质量更容易管控。桌架上部分左右侧支撑框架与围边采用一体化压铸铝工艺，尺寸不小于470mm*340mm*65mm，侧边围边长度达到470mm，高出台面40 mm，防止仪器设备掉落；后档条为82 *42*2.0 mm，前支撑条为30mm*20mm，工艺为铝挤压一体成型工艺，金属表面经环氧树脂粉末喷涂高温固化处理，与左右支撑框架用M6螺丝固定一起形成整个台面支撑框架。横拉杆采用30mm*30mm *1200mm方管，侧面焊接斜撑板与左右侧支撑框架4个M6螺丝固定，使整体框架牢固。</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5.下部分支撑立柱采用不小于106mm*51mm*2.0mm铝挤压一体成型工艺；下脚尺寸不小于565mm*65mm*50mm，采用3.0mm铝压铸一体化成型，金属表面经环氧树脂粉末喷涂高温固化处理。</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6.折叠转轴采用铝压铸一体化成型，与支撑立柱采用M8螺丝固定，转轴旋转90度，打开后2个转轴螺丝与侧面2个螺丝固定，坚固，简洁，装配工艺简单。侧面设计有螺丝装饰盖板。</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7.左右两边设计两个书包斗，固定于左右侧支撑框架两侧，材质采用ABS一体化成型工艺，镂空设计，不屯垃圾，便于清理，中间设挂凳卡。</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8.整体台面框架内藏有8个M6 调整脚，调整脚采用螺丝塑胶一体成型，防止划伤台面，调整脚可调高度为0-10MM，可以适合嵌入台面厚度为：8-20mm。</w:t>
            </w:r>
          </w:p>
        </w:tc>
        <w:tc>
          <w:tcPr>
            <w:tcW w:w="500" w:type="dxa"/>
            <w:tcBorders>
              <w:top w:val="single" w:color="auto" w:sz="4" w:space="0"/>
              <w:left w:val="single" w:color="000000" w:sz="4" w:space="0"/>
              <w:bottom w:val="single" w:color="000000" w:sz="4" w:space="0"/>
              <w:right w:val="single" w:color="000000" w:sz="4" w:space="0"/>
            </w:tcBorders>
            <w:noWrap/>
            <w:vAlign w:val="center"/>
          </w:tcPr>
          <w:p w14:paraId="4A2D6B28">
            <w:pPr>
              <w:widowControl/>
              <w:jc w:val="center"/>
              <w:textAlignment w:val="center"/>
              <w:rPr>
                <w:rFonts w:hint="eastAsia" w:ascii="新宋体" w:hAnsi="新宋体" w:eastAsia="新宋体" w:cs="新宋体"/>
                <w:color w:val="000000" w:themeColor="text1"/>
                <w:sz w:val="22"/>
                <w:szCs w:val="22"/>
                <w14:textFill>
                  <w14:solidFill>
                    <w14:schemeClr w14:val="tx1"/>
                  </w14:solidFill>
                </w14:textFill>
              </w:rPr>
            </w:pPr>
            <w:r>
              <w:rPr>
                <w:rFonts w:hint="eastAsia" w:ascii="新宋体" w:hAnsi="新宋体" w:eastAsia="新宋体" w:cs="新宋体"/>
                <w:color w:val="000000" w:themeColor="text1"/>
                <w:kern w:val="0"/>
                <w:sz w:val="22"/>
                <w:szCs w:val="22"/>
                <w:lang w:bidi="ar"/>
                <w14:textFill>
                  <w14:solidFill>
                    <w14:schemeClr w14:val="tx1"/>
                  </w14:solidFill>
                </w14:textFill>
              </w:rPr>
              <w:t>24</w:t>
            </w:r>
          </w:p>
        </w:tc>
        <w:tc>
          <w:tcPr>
            <w:tcW w:w="500" w:type="dxa"/>
            <w:tcBorders>
              <w:top w:val="single" w:color="auto" w:sz="4" w:space="0"/>
              <w:left w:val="single" w:color="000000" w:sz="4" w:space="0"/>
              <w:bottom w:val="single" w:color="000000" w:sz="4" w:space="0"/>
              <w:right w:val="single" w:color="000000" w:sz="4" w:space="0"/>
            </w:tcBorders>
            <w:noWrap/>
            <w:vAlign w:val="center"/>
          </w:tcPr>
          <w:p w14:paraId="4B74C18F">
            <w:pPr>
              <w:widowControl/>
              <w:jc w:val="center"/>
              <w:textAlignment w:val="center"/>
              <w:rPr>
                <w:rFonts w:hint="eastAsia" w:ascii="新宋体" w:hAnsi="新宋体" w:eastAsia="新宋体" w:cs="新宋体"/>
                <w:color w:val="000000" w:themeColor="text1"/>
                <w:sz w:val="22"/>
                <w:szCs w:val="22"/>
                <w14:textFill>
                  <w14:solidFill>
                    <w14:schemeClr w14:val="tx1"/>
                  </w14:solidFill>
                </w14:textFill>
              </w:rPr>
            </w:pPr>
            <w:r>
              <w:rPr>
                <w:rFonts w:hint="eastAsia" w:ascii="新宋体" w:hAnsi="新宋体" w:eastAsia="新宋体" w:cs="新宋体"/>
                <w:color w:val="000000" w:themeColor="text1"/>
                <w:kern w:val="0"/>
                <w:sz w:val="22"/>
                <w:szCs w:val="22"/>
                <w:lang w:bidi="ar"/>
                <w14:textFill>
                  <w14:solidFill>
                    <w14:schemeClr w14:val="tx1"/>
                  </w14:solidFill>
                </w14:textFill>
              </w:rPr>
              <w:t>张</w:t>
            </w:r>
          </w:p>
        </w:tc>
        <w:tc>
          <w:tcPr>
            <w:tcW w:w="3345" w:type="dxa"/>
            <w:tcBorders>
              <w:top w:val="single" w:color="auto" w:sz="4" w:space="0"/>
              <w:left w:val="single" w:color="000000" w:sz="4" w:space="0"/>
              <w:bottom w:val="single" w:color="000000" w:sz="4" w:space="0"/>
              <w:right w:val="single" w:color="000000" w:sz="4" w:space="0"/>
            </w:tcBorders>
            <w:noWrap/>
            <w:vAlign w:val="center"/>
          </w:tcPr>
          <w:p w14:paraId="59327798">
            <w:pPr>
              <w:widowControl/>
              <w:jc w:val="center"/>
              <w:textAlignment w:val="center"/>
              <w:rPr>
                <w:rFonts w:hint="eastAsia" w:ascii="新宋体" w:hAnsi="新宋体" w:eastAsia="新宋体" w:cs="新宋体"/>
                <w:color w:val="000000" w:themeColor="text1"/>
                <w:sz w:val="22"/>
                <w:szCs w:val="22"/>
                <w14:textFill>
                  <w14:solidFill>
                    <w14:schemeClr w14:val="tx1"/>
                  </w14:solidFill>
                </w14:textFill>
              </w:rPr>
            </w:pPr>
            <w:r>
              <w:drawing>
                <wp:inline distT="0" distB="0" distL="0" distR="0">
                  <wp:extent cx="1366520" cy="1138555"/>
                  <wp:effectExtent l="0" t="0" r="5080" b="4445"/>
                  <wp:docPr id="2359829" name="ID_6D94496EF29447D392C7517A87EEDE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829" name="ID_6D94496EF29447D392C7517A87EEDE3E"/>
                          <pic:cNvPicPr>
                            <a:picLocks noChangeAspect="1"/>
                          </pic:cNvPicPr>
                        </pic:nvPicPr>
                        <pic:blipFill>
                          <a:blip r:embed="rId57"/>
                          <a:stretch>
                            <a:fillRect/>
                          </a:stretch>
                        </pic:blipFill>
                        <pic:spPr>
                          <a:xfrm>
                            <a:off x="0" y="0"/>
                            <a:ext cx="1385889" cy="1154907"/>
                          </a:xfrm>
                          <a:prstGeom prst="rect">
                            <a:avLst/>
                          </a:prstGeom>
                          <a:noFill/>
                          <a:ln w="9525">
                            <a:noFill/>
                          </a:ln>
                        </pic:spPr>
                      </pic:pic>
                    </a:graphicData>
                  </a:graphic>
                </wp:inline>
              </w:drawing>
            </w:r>
          </w:p>
        </w:tc>
        <w:tc>
          <w:tcPr>
            <w:tcW w:w="1150" w:type="dxa"/>
            <w:tcBorders>
              <w:top w:val="single" w:color="auto" w:sz="4" w:space="0"/>
              <w:left w:val="single" w:color="000000" w:sz="4" w:space="0"/>
              <w:bottom w:val="single" w:color="000000" w:sz="4" w:space="0"/>
              <w:right w:val="single" w:color="000000" w:sz="4" w:space="0"/>
            </w:tcBorders>
            <w:noWrap/>
            <w:vAlign w:val="center"/>
          </w:tcPr>
          <w:p w14:paraId="0022EA99">
            <w:pPr>
              <w:widowControl/>
              <w:jc w:val="left"/>
              <w:textAlignment w:val="center"/>
              <w:rPr>
                <w:rFonts w:hint="eastAsia" w:ascii="新宋体" w:hAnsi="新宋体" w:eastAsia="新宋体" w:cs="新宋体"/>
                <w:color w:val="000000" w:themeColor="text1"/>
                <w:kern w:val="0"/>
                <w:sz w:val="22"/>
                <w:szCs w:val="22"/>
                <w:bdr w:val="single" w:color="000000" w:sz="4" w:space="0"/>
                <w:lang w:bidi="ar"/>
                <w14:textFill>
                  <w14:solidFill>
                    <w14:schemeClr w14:val="tx1"/>
                  </w14:solidFill>
                </w14:textFill>
              </w:rPr>
            </w:pPr>
          </w:p>
        </w:tc>
      </w:tr>
      <w:tr w14:paraId="44D2C1E3">
        <w:tblPrEx>
          <w:tblCellMar>
            <w:top w:w="0" w:type="dxa"/>
            <w:left w:w="108" w:type="dxa"/>
            <w:bottom w:w="0" w:type="dxa"/>
            <w:right w:w="108" w:type="dxa"/>
          </w:tblCellMar>
        </w:tblPrEx>
        <w:trPr>
          <w:trHeight w:val="1200"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3937A671">
            <w:pPr>
              <w:widowControl/>
              <w:jc w:val="center"/>
              <w:textAlignment w:val="center"/>
              <w:rPr>
                <w:rFonts w:hint="eastAsia" w:ascii="新宋体" w:hAnsi="新宋体" w:eastAsia="新宋体" w:cs="新宋体"/>
                <w:color w:val="000000" w:themeColor="text1"/>
                <w:sz w:val="22"/>
                <w:szCs w:val="22"/>
                <w14:textFill>
                  <w14:solidFill>
                    <w14:schemeClr w14:val="tx1"/>
                  </w14:solidFill>
                </w14:textFill>
              </w:rPr>
            </w:pPr>
            <w:r>
              <w:rPr>
                <w:rFonts w:hint="eastAsia" w:ascii="新宋体" w:hAnsi="新宋体" w:eastAsia="新宋体" w:cs="新宋体"/>
                <w:color w:val="000000" w:themeColor="text1"/>
                <w:kern w:val="0"/>
                <w:sz w:val="22"/>
                <w:szCs w:val="22"/>
                <w:lang w:bidi="ar"/>
                <w14:textFill>
                  <w14:solidFill>
                    <w14:schemeClr w14:val="tx1"/>
                  </w14:solidFill>
                </w14:textFill>
              </w:rPr>
              <w:t>4</w:t>
            </w:r>
          </w:p>
        </w:tc>
        <w:tc>
          <w:tcPr>
            <w:tcW w:w="2757" w:type="dxa"/>
            <w:tcBorders>
              <w:top w:val="single" w:color="000000" w:sz="4" w:space="0"/>
              <w:left w:val="single" w:color="000000" w:sz="4" w:space="0"/>
              <w:bottom w:val="single" w:color="000000" w:sz="4" w:space="0"/>
              <w:right w:val="single" w:color="000000" w:sz="4" w:space="0"/>
            </w:tcBorders>
            <w:vAlign w:val="center"/>
          </w:tcPr>
          <w:p w14:paraId="26F9159E">
            <w:pPr>
              <w:widowControl/>
              <w:jc w:val="center"/>
              <w:textAlignment w:val="center"/>
              <w:rPr>
                <w:rFonts w:hint="eastAsia" w:ascii="宋体" w:hAnsi="宋体" w:cs="宋体"/>
                <w:color w:val="auto"/>
                <w:sz w:val="22"/>
                <w:szCs w:val="22"/>
              </w:rPr>
            </w:pPr>
            <w:r>
              <w:rPr>
                <w:rFonts w:hint="eastAsia" w:ascii="宋体" w:hAnsi="宋体" w:cs="宋体"/>
                <w:color w:val="auto"/>
                <w:kern w:val="0"/>
                <w:sz w:val="22"/>
                <w:szCs w:val="22"/>
                <w:lang w:bidi="ar"/>
              </w:rPr>
              <w:t>实验凳</w:t>
            </w:r>
          </w:p>
        </w:tc>
        <w:tc>
          <w:tcPr>
            <w:tcW w:w="5770" w:type="dxa"/>
            <w:tcBorders>
              <w:top w:val="single" w:color="000000" w:sz="4" w:space="0"/>
              <w:left w:val="single" w:color="000000" w:sz="4" w:space="0"/>
              <w:bottom w:val="single" w:color="000000" w:sz="4" w:space="0"/>
              <w:right w:val="single" w:color="000000" w:sz="4" w:space="0"/>
            </w:tcBorders>
            <w:vAlign w:val="center"/>
          </w:tcPr>
          <w:p w14:paraId="3CBF1CB3">
            <w:pPr>
              <w:widowControl/>
              <w:jc w:val="left"/>
              <w:textAlignment w:val="center"/>
              <w:rPr>
                <w:rFonts w:hint="eastAsia" w:ascii="宋体" w:hAnsi="宋体" w:cs="宋体"/>
                <w:color w:val="auto"/>
                <w:sz w:val="22"/>
                <w:szCs w:val="22"/>
              </w:rPr>
            </w:pPr>
            <w:r>
              <w:rPr>
                <w:rStyle w:val="194"/>
                <w:rFonts w:hint="default"/>
                <w:color w:val="auto"/>
                <w:sz w:val="21"/>
                <w:szCs w:val="21"/>
                <w:lang w:bidi="ar"/>
              </w:rPr>
              <w:t>1规格：</w:t>
            </w:r>
            <w:r>
              <w:rPr>
                <w:rFonts w:hint="eastAsia" w:ascii="宋体" w:hAnsi="宋体" w:cs="宋体"/>
                <w:color w:val="auto"/>
                <w:kern w:val="0"/>
                <w:szCs w:val="21"/>
                <w:lang w:bidi="ar"/>
              </w:rPr>
              <w:t>约490(直径）*530（高)</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2.凳面采用环保PP塑料一次性注塑成型，表面菱形凹凸纹路，</w:t>
            </w:r>
            <w:r>
              <w:rPr>
                <w:rFonts w:hint="eastAsia" w:ascii="宋体" w:hAnsi="宋体"/>
                <w:color w:val="auto"/>
                <w:szCs w:val="21"/>
              </w:rPr>
              <w:t>水滴放射型防滑纹路设计</w:t>
            </w:r>
            <w:r>
              <w:rPr>
                <w:rFonts w:hint="eastAsia" w:ascii="宋体" w:hAnsi="宋体" w:cs="宋体"/>
                <w:color w:val="auto"/>
                <w:kern w:val="0"/>
                <w:szCs w:val="21"/>
                <w:lang w:bidi="ar"/>
              </w:rPr>
              <w:t>.</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3.支撑柱采用直径50mm圆钢管，顶端为直径200钢板，采用全周满焊焊接，用四颗螺丝连接凳面，结构牢固，长期使用也不会出现摇晃松散现象。</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4.下端</w:t>
            </w:r>
            <w:r>
              <w:rPr>
                <w:rFonts w:hint="eastAsia" w:ascii="宋体" w:hAnsi="宋体"/>
                <w:color w:val="auto"/>
                <w:szCs w:val="21"/>
              </w:rPr>
              <w:t>五星</w:t>
            </w:r>
            <w:r>
              <w:rPr>
                <w:rFonts w:hint="eastAsia" w:ascii="宋体" w:hAnsi="宋体" w:cs="宋体"/>
                <w:color w:val="auto"/>
                <w:kern w:val="0"/>
                <w:szCs w:val="21"/>
                <w:lang w:bidi="ar"/>
              </w:rPr>
              <w:t>脚采用铝合金一体压铸成型，爪端预留螺丝眼，配工程塑料脚盘，所有金属材料表面经过防腐氧化处理和纯环氧树脂塑粉高温固化处理，具有较强的耐蚀性及承重性</w:t>
            </w:r>
            <w:r>
              <w:rPr>
                <w:rFonts w:hint="eastAsia" w:ascii="宋体" w:hAnsi="宋体"/>
                <w:color w:val="auto"/>
                <w:szCs w:val="21"/>
              </w:rPr>
              <w:t>。</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0ABCD1C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48</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08C77A9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个</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67B76D9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drawing>
                <wp:inline distT="0" distB="0" distL="0" distR="0">
                  <wp:extent cx="1605915" cy="2007235"/>
                  <wp:effectExtent l="0" t="0" r="13335" b="12065"/>
                  <wp:docPr id="14061777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77792" name="图片 1"/>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7876" cy="2035128"/>
                          </a:xfrm>
                          <a:prstGeom prst="rect">
                            <a:avLst/>
                          </a:prstGeom>
                        </pic:spPr>
                      </pic:pic>
                    </a:graphicData>
                  </a:graphic>
                </wp:inline>
              </w:drawing>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02F324AD">
            <w:pPr>
              <w:widowControl/>
              <w:jc w:val="left"/>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11D95990">
        <w:tblPrEx>
          <w:tblCellMar>
            <w:top w:w="0" w:type="dxa"/>
            <w:left w:w="108" w:type="dxa"/>
            <w:bottom w:w="0" w:type="dxa"/>
            <w:right w:w="108" w:type="dxa"/>
          </w:tblCellMar>
        </w:tblPrEx>
        <w:trPr>
          <w:trHeight w:val="416"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6464EE6B">
            <w:pPr>
              <w:widowControl/>
              <w:jc w:val="center"/>
              <w:textAlignment w:val="center"/>
              <w:rPr>
                <w:rFonts w:hint="eastAsia" w:ascii="新宋体" w:hAnsi="新宋体" w:eastAsia="新宋体" w:cs="新宋体"/>
                <w:color w:val="000000" w:themeColor="text1"/>
                <w:sz w:val="22"/>
                <w:szCs w:val="22"/>
                <w14:textFill>
                  <w14:solidFill>
                    <w14:schemeClr w14:val="tx1"/>
                  </w14:solidFill>
                </w14:textFill>
              </w:rPr>
            </w:pPr>
            <w:r>
              <w:rPr>
                <w:rFonts w:hint="eastAsia" w:ascii="新宋体" w:hAnsi="新宋体" w:eastAsia="新宋体" w:cs="新宋体"/>
                <w:color w:val="000000" w:themeColor="text1"/>
                <w:kern w:val="0"/>
                <w:sz w:val="22"/>
                <w:szCs w:val="22"/>
                <w:lang w:bidi="ar"/>
                <w14:textFill>
                  <w14:solidFill>
                    <w14:schemeClr w14:val="tx1"/>
                  </w14:solidFill>
                </w14:textFill>
              </w:rPr>
              <w:t>5</w:t>
            </w:r>
          </w:p>
        </w:tc>
        <w:tc>
          <w:tcPr>
            <w:tcW w:w="2757" w:type="dxa"/>
            <w:tcBorders>
              <w:top w:val="single" w:color="000000" w:sz="4" w:space="0"/>
              <w:left w:val="single" w:color="000000" w:sz="4" w:space="0"/>
              <w:bottom w:val="single" w:color="000000" w:sz="4" w:space="0"/>
              <w:right w:val="single" w:color="000000" w:sz="4" w:space="0"/>
            </w:tcBorders>
            <w:vAlign w:val="center"/>
          </w:tcPr>
          <w:p w14:paraId="0F1B5E42">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仪器柜</w:t>
            </w:r>
          </w:p>
        </w:tc>
        <w:tc>
          <w:tcPr>
            <w:tcW w:w="5770" w:type="dxa"/>
            <w:tcBorders>
              <w:top w:val="single" w:color="000000" w:sz="4" w:space="0"/>
              <w:left w:val="single" w:color="000000" w:sz="4" w:space="0"/>
              <w:bottom w:val="single" w:color="000000" w:sz="4" w:space="0"/>
              <w:right w:val="single" w:color="000000" w:sz="4" w:space="0"/>
            </w:tcBorders>
            <w:vAlign w:val="center"/>
          </w:tcPr>
          <w:p w14:paraId="27FBC639">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1.规格：</w:t>
            </w:r>
            <w:r>
              <w:rPr>
                <w:rStyle w:val="158"/>
                <w:rFonts w:hint="default"/>
                <w:color w:val="000000" w:themeColor="text1"/>
                <w:lang w:bidi="ar"/>
                <w14:textFill>
                  <w14:solidFill>
                    <w14:schemeClr w14:val="tx1"/>
                  </w14:solidFill>
                </w14:textFill>
              </w:rPr>
              <w:t>≥</w:t>
            </w:r>
            <w:r>
              <w:rPr>
                <w:rFonts w:hint="eastAsia" w:ascii="宋体" w:hAnsi="宋体" w:cs="宋体"/>
                <w:color w:val="000000" w:themeColor="text1"/>
                <w:kern w:val="0"/>
                <w:sz w:val="22"/>
                <w:szCs w:val="22"/>
                <w:lang w:bidi="ar"/>
                <w14:textFill>
                  <w14:solidFill>
                    <w14:schemeClr w14:val="tx1"/>
                  </w14:solidFill>
                </w14:textFill>
              </w:rPr>
              <w:t>1000×500×2000mm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2.柜体材质：为全钢结构，板材采用1.0mm厚优质钢板为基材，全自动压模成型；表面经磷化、酸洗、环氧树脂粉末烤漆处理，化学防锈处理，无突出漆块，光洁亮丽，抗强酸强碱性能突出。</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3.门板：采用上玻璃门下钢制门；</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4.玻璃门：采用优质冷轧钢板，表面经过去锈、磷化、喷砂、环氧树脂粉体烤漆处理，具有抗酸碱和耐高温特性，中间镶嵌玻璃。</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5.钢制门：采用优质冷轧钢板，表面经过去锈、磷化、喷砂、环氧树脂粉体烤漆处理，具有抗酸碱和耐高温特性，对开门。</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6.拉手：采用不锈钢拉手，外形美观大方，设计人性化。</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7.可调脚：采用橡胶模具一次成型地脚，可调节高度30-50mm。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带锁，带标签卡。</w:t>
            </w:r>
          </w:p>
        </w:tc>
        <w:tc>
          <w:tcPr>
            <w:tcW w:w="500" w:type="dxa"/>
            <w:tcBorders>
              <w:top w:val="single" w:color="000000" w:sz="4" w:space="0"/>
              <w:left w:val="single" w:color="000000" w:sz="4" w:space="0"/>
              <w:bottom w:val="single" w:color="000000" w:sz="4" w:space="0"/>
              <w:right w:val="single" w:color="000000" w:sz="4" w:space="0"/>
            </w:tcBorders>
            <w:vAlign w:val="center"/>
          </w:tcPr>
          <w:p w14:paraId="00F02DA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6</w:t>
            </w:r>
          </w:p>
        </w:tc>
        <w:tc>
          <w:tcPr>
            <w:tcW w:w="500" w:type="dxa"/>
            <w:tcBorders>
              <w:top w:val="single" w:color="000000" w:sz="4" w:space="0"/>
              <w:left w:val="single" w:color="000000" w:sz="4" w:space="0"/>
              <w:bottom w:val="single" w:color="000000" w:sz="4" w:space="0"/>
              <w:right w:val="single" w:color="000000" w:sz="4" w:space="0"/>
            </w:tcBorders>
            <w:vAlign w:val="center"/>
          </w:tcPr>
          <w:p w14:paraId="1915562A">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组</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62973697">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92032" behindDoc="0" locked="0" layoutInCell="1" allowOverlap="1">
                  <wp:simplePos x="0" y="0"/>
                  <wp:positionH relativeFrom="column">
                    <wp:posOffset>746125</wp:posOffset>
                  </wp:positionH>
                  <wp:positionV relativeFrom="paragraph">
                    <wp:posOffset>-635</wp:posOffset>
                  </wp:positionV>
                  <wp:extent cx="647700" cy="1099185"/>
                  <wp:effectExtent l="0" t="0" r="0" b="0"/>
                  <wp:wrapNone/>
                  <wp:docPr id="63" name="图片_4"/>
                  <wp:cNvGraphicFramePr/>
                  <a:graphic xmlns:a="http://schemas.openxmlformats.org/drawingml/2006/main">
                    <a:graphicData uri="http://schemas.openxmlformats.org/drawingml/2006/picture">
                      <pic:pic xmlns:pic="http://schemas.openxmlformats.org/drawingml/2006/picture">
                        <pic:nvPicPr>
                          <pic:cNvPr id="63" name="图片_4"/>
                          <pic:cNvPicPr/>
                        </pic:nvPicPr>
                        <pic:blipFill>
                          <a:blip r:embed="rId59"/>
                          <a:stretch>
                            <a:fillRect/>
                          </a:stretch>
                        </pic:blipFill>
                        <pic:spPr>
                          <a:xfrm>
                            <a:off x="0" y="0"/>
                            <a:ext cx="647700" cy="1099185"/>
                          </a:xfrm>
                          <a:prstGeom prst="rect">
                            <a:avLst/>
                          </a:prstGeom>
                          <a:noFill/>
                          <a:ln>
                            <a:noFill/>
                          </a:ln>
                        </pic:spPr>
                      </pic:pic>
                    </a:graphicData>
                  </a:graphic>
                </wp:anchor>
              </w:drawing>
            </w: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91008" behindDoc="0" locked="0" layoutInCell="1" allowOverlap="1">
                  <wp:simplePos x="0" y="0"/>
                  <wp:positionH relativeFrom="column">
                    <wp:posOffset>322580</wp:posOffset>
                  </wp:positionH>
                  <wp:positionV relativeFrom="paragraph">
                    <wp:posOffset>41910</wp:posOffset>
                  </wp:positionV>
                  <wp:extent cx="647700" cy="1099185"/>
                  <wp:effectExtent l="0" t="0" r="0" b="0"/>
                  <wp:wrapNone/>
                  <wp:docPr id="60" name="图片_7"/>
                  <wp:cNvGraphicFramePr/>
                  <a:graphic xmlns:a="http://schemas.openxmlformats.org/drawingml/2006/main">
                    <a:graphicData uri="http://schemas.openxmlformats.org/drawingml/2006/picture">
                      <pic:pic xmlns:pic="http://schemas.openxmlformats.org/drawingml/2006/picture">
                        <pic:nvPicPr>
                          <pic:cNvPr id="60" name="图片_7"/>
                          <pic:cNvPicPr/>
                        </pic:nvPicPr>
                        <pic:blipFill>
                          <a:blip r:embed="rId60"/>
                          <a:stretch>
                            <a:fillRect/>
                          </a:stretch>
                        </pic:blipFill>
                        <pic:spPr>
                          <a:xfrm>
                            <a:off x="0" y="0"/>
                            <a:ext cx="647700" cy="1099185"/>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5E162013">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2FC596DB">
        <w:tblPrEx>
          <w:tblCellMar>
            <w:top w:w="0" w:type="dxa"/>
            <w:left w:w="108" w:type="dxa"/>
            <w:bottom w:w="0" w:type="dxa"/>
            <w:right w:w="108" w:type="dxa"/>
          </w:tblCellMar>
        </w:tblPrEx>
        <w:trPr>
          <w:trHeight w:val="416"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5A4DA8ED">
            <w:pPr>
              <w:widowControl/>
              <w:jc w:val="center"/>
              <w:textAlignment w:val="center"/>
              <w:rPr>
                <w:rFonts w:hint="eastAsia" w:ascii="新宋体" w:hAnsi="新宋体" w:eastAsia="新宋体" w:cs="新宋体"/>
                <w:color w:val="000000" w:themeColor="text1"/>
                <w:kern w:val="0"/>
                <w:sz w:val="22"/>
                <w:szCs w:val="22"/>
                <w:lang w:bidi="ar"/>
                <w14:textFill>
                  <w14:solidFill>
                    <w14:schemeClr w14:val="tx1"/>
                  </w14:solidFill>
                </w14:textFill>
              </w:rPr>
            </w:pPr>
            <w:r>
              <w:rPr>
                <w:rFonts w:hint="eastAsia" w:ascii="新宋体" w:hAnsi="新宋体" w:eastAsia="新宋体" w:cs="新宋体"/>
                <w:color w:val="000000" w:themeColor="text1"/>
                <w:kern w:val="0"/>
                <w:sz w:val="22"/>
                <w:szCs w:val="22"/>
                <w:lang w:bidi="ar"/>
                <w14:textFill>
                  <w14:solidFill>
                    <w14:schemeClr w14:val="tx1"/>
                  </w14:solidFill>
                </w14:textFill>
              </w:rPr>
              <w:t>6</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566E1A">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认识植物和比较与测量实验箱</w:t>
            </w:r>
          </w:p>
        </w:tc>
        <w:tc>
          <w:tcPr>
            <w:tcW w:w="5770" w:type="dxa"/>
            <w:tcBorders>
              <w:top w:val="single" w:color="000000" w:sz="4" w:space="0"/>
              <w:left w:val="single" w:color="000000" w:sz="4" w:space="0"/>
              <w:bottom w:val="single" w:color="000000" w:sz="4" w:space="0"/>
              <w:right w:val="single" w:color="000000" w:sz="4" w:space="0"/>
            </w:tcBorders>
          </w:tcPr>
          <w:p w14:paraId="3ECACBC3">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 【科学仪器箱参数】：</w:t>
            </w:r>
          </w:p>
          <w:p w14:paraId="04F7DC79">
            <w:pPr>
              <w:widowControl/>
              <w:numPr>
                <w:ilvl w:val="0"/>
                <w:numId w:val="23"/>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外形尺寸：约530*350*165（mm)，</w:t>
            </w:r>
          </w:p>
          <w:p w14:paraId="33D1BF43">
            <w:pPr>
              <w:widowControl/>
              <w:numPr>
                <w:ilvl w:val="0"/>
                <w:numId w:val="23"/>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材质：仪器箱体全新优质PP材料注塑一体成型，盖子采用全新ABS加强材料注塑成型，盖子四周全新PP围边，注塑成型, 拉伸性能测试执行：ASTM D-638标准，为材料的使用提供判断依据﹒弯曲性能测试执行ASTM D-790标准，通过测试﹐预测材料在成型后之受力变形情况。冲击性能测试执行ASTM D256标准，测试物体受外界冲击时产生的抵抗外力的强度，即冲击强度。仪器箱两端设有活动式卡扣，整体造型美观适用，盖子其中一角采用防呆式设计，防止使用过程中误操作反装。内置弹性体内衬，仪器嵌入式专槽定位，方便器材取用保管。叠加方式：既可叠加组合摆放，也可放置于仪器柜或货架。                           </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【主要器材配置】：</w:t>
            </w:r>
          </w:p>
          <w:p w14:paraId="10A334C0">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85888" behindDoc="0" locked="0" layoutInCell="1" allowOverlap="1">
                  <wp:simplePos x="0" y="0"/>
                  <wp:positionH relativeFrom="column">
                    <wp:posOffset>4928870</wp:posOffset>
                  </wp:positionH>
                  <wp:positionV relativeFrom="paragraph">
                    <wp:posOffset>97155</wp:posOffset>
                  </wp:positionV>
                  <wp:extent cx="993775" cy="924560"/>
                  <wp:effectExtent l="0" t="0" r="15875" b="8890"/>
                  <wp:wrapNone/>
                  <wp:docPr id="1257244180" name="图片_21"/>
                  <wp:cNvGraphicFramePr/>
                  <a:graphic xmlns:a="http://schemas.openxmlformats.org/drawingml/2006/main">
                    <a:graphicData uri="http://schemas.openxmlformats.org/drawingml/2006/picture">
                      <pic:pic xmlns:pic="http://schemas.openxmlformats.org/drawingml/2006/picture">
                        <pic:nvPicPr>
                          <pic:cNvPr id="1257244180" name="图片_21"/>
                          <pic:cNvPicPr/>
                        </pic:nvPicPr>
                        <pic:blipFill>
                          <a:blip r:embed="rId61"/>
                          <a:stretch>
                            <a:fillRect/>
                          </a:stretch>
                        </pic:blipFill>
                        <pic:spPr>
                          <a:xfrm>
                            <a:off x="0" y="0"/>
                            <a:ext cx="993775" cy="924560"/>
                          </a:xfrm>
                          <a:prstGeom prst="rect">
                            <a:avLst/>
                          </a:prstGeom>
                          <a:noFill/>
                          <a:ln>
                            <a:noFill/>
                          </a:ln>
                        </pic:spPr>
                      </pic:pic>
                    </a:graphicData>
                  </a:graphic>
                </wp:anchor>
              </w:drawing>
            </w:r>
            <w:r>
              <w:rPr>
                <w:rFonts w:hint="eastAsia" w:ascii="宋体" w:hAnsi="宋体" w:cs="宋体"/>
                <w:color w:val="000000" w:themeColor="text1"/>
                <w:kern w:val="0"/>
                <w:sz w:val="22"/>
                <w:szCs w:val="22"/>
                <w:lang w:bidi="ar"/>
                <w14:textFill>
                  <w14:solidFill>
                    <w14:schemeClr w14:val="tx1"/>
                  </w14:solidFill>
                </w14:textFill>
              </w:rPr>
              <w:t>1:培养皿  2:植物的叶标本  3:植物分类卡片  4:恐龙模型  5:彩色纸   6:剪刀  7:厘米测量块   8:计数棒   9:橡皮   10:回形针  11:塑料直尺 12:软尺。                                                                                                                                                         【主要器材参数】：</w:t>
            </w:r>
          </w:p>
          <w:p w14:paraId="602B6132">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培养皿2个（材质采用BORO3.3高硼硅、可耐酸碱抗腐蚀、工艺：精工烧结，依据实验和设计要求定制，无毛刺锐角，可耐高温600度，低温-180度;产品直径100mm、底98mm、高23mm;盖直径105mm、盖高22mm;刻度清晰、表面光滑、放置平稳、耐磨不花）。</w:t>
            </w:r>
          </w:p>
          <w:p w14:paraId="7B3CA4E2">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2.植物的叶标本 1 套（是由26种不同植物真叶组成、天然植物、手工制作、长短、大小、形状、颜色各异、塑膜尺寸6.7cm*9.5cm）。3.植物分类卡片 1 套（材质是厚实有质量的卡纸、表面光滑、经过压光、挺度高、整张A4纸大小其中8小张）。</w:t>
            </w:r>
          </w:p>
          <w:p w14:paraId="608E7D9E">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4.恐龙模型 1 套（由角鼻龙17*3.3*11cm、  赖龙6*2.2*4.3cm、  幅栉龙16*3.3*9.4cm 霸王龙17*4*9cm、 禽龙6*2*3.5cm、甲龙6.5*2*1.8cm组成、采用天然橡胶回弹力高、耐摔耐撞耐用、环保水性漆色彩艳丽 、水洗不褪色、无毛刺无异味安全环保）。</w:t>
            </w:r>
          </w:p>
          <w:p w14:paraId="5575F8A1">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5.彩色纸 1 袋（尺寸A4；使用原木浆有韧性不褪色、平滑细腻的手感，80g厚实）。</w:t>
            </w:r>
          </w:p>
          <w:p w14:paraId="29D01759">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6.剪刀 1 把（握柄ABS树脂材料、金属刀片耐用不生锈裁剪锋利、刀刃保护套设计安全系数更高；平口宽刃圆头防止挫伤、握柄大小专为学生设计）。</w:t>
            </w:r>
          </w:p>
          <w:p w14:paraId="2F1C8986">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7.厘米测量块 1 套（材质：环保塑料；边角光滑无毛刺、红、绿、黄三种颜色、颜色鲜艳便于学生更好的分辨，加强视觉敏感、盒装便于收纳、单颗尺寸1*1CM）。</w:t>
            </w:r>
          </w:p>
          <w:p w14:paraId="74D4AB80">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8.计数棒 1 套（材质：实木，方形设计不易滚动、尺寸：14.5*8.5CM，盒装收纳、坚固耐用环保水性漆更安全、细心打磨、边角光滑无毛刺）。</w:t>
            </w:r>
          </w:p>
          <w:p w14:paraId="1DC434D4">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9.橡皮 2 块（长方形橡皮、保护纸张不留痕迹、碎屑少易清理、质地柔软线性碎屑不脏本子、尺寸：30*14mm）</w:t>
            </w:r>
          </w:p>
          <w:p w14:paraId="0B2B6F14">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10.回形针 1 盒(材质：PVC+钢丝、透明塑料盒包装取拿方便、色彩鲜艳易于分辨、体积小巧易于拿握) </w:t>
            </w:r>
          </w:p>
          <w:p w14:paraId="1C50FF60">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11.塑料直尺 1 把（材质：环保塑料、尺寸：长度300mm、高透明度、刻度清晰、精准分毫不差、边角光滑无毛刺、韧性好持久耐用）。12.软尺 1 根（软尺方便美观、准确测量、小巧精致易于收纳、公英双制：公制以厘米为计算单位；英制以英寸为计算单位、刻度清晰易识别、长度1500mm满足日常测量需求）。</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可完成实验】：植物：我们知道的植物；观察叶；校园里的植物；比较与测量：在观察中比较；起点和终点；用手来测量；用不同的物体来测量；用相同的物体来测量；做一个测量纸带；比较测量纸带和尺子等实验项目</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61C6B0">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102C59">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箱</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3B822714">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0B21EE74">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1A7A4CAF">
        <w:tblPrEx>
          <w:tblCellMar>
            <w:top w:w="0" w:type="dxa"/>
            <w:left w:w="108" w:type="dxa"/>
            <w:bottom w:w="0" w:type="dxa"/>
            <w:right w:w="108" w:type="dxa"/>
          </w:tblCellMar>
        </w:tblPrEx>
        <w:trPr>
          <w:trHeight w:val="416"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4A392AAC">
            <w:pPr>
              <w:widowControl/>
              <w:jc w:val="center"/>
              <w:textAlignment w:val="center"/>
              <w:rPr>
                <w:rFonts w:hint="eastAsia" w:ascii="新宋体" w:hAnsi="新宋体" w:eastAsia="新宋体" w:cs="新宋体"/>
                <w:color w:val="000000" w:themeColor="text1"/>
                <w:kern w:val="0"/>
                <w:sz w:val="22"/>
                <w:szCs w:val="22"/>
                <w:lang w:bidi="ar"/>
                <w14:textFill>
                  <w14:solidFill>
                    <w14:schemeClr w14:val="tx1"/>
                  </w14:solidFill>
                </w14:textFill>
              </w:rPr>
            </w:pPr>
            <w:r>
              <w:rPr>
                <w:rFonts w:hint="eastAsia" w:ascii="新宋体" w:hAnsi="新宋体" w:eastAsia="新宋体" w:cs="新宋体"/>
                <w:color w:val="000000" w:themeColor="text1"/>
                <w:kern w:val="0"/>
                <w:sz w:val="22"/>
                <w:szCs w:val="22"/>
                <w:lang w:bidi="ar"/>
                <w14:textFill>
                  <w14:solidFill>
                    <w14:schemeClr w14:val="tx1"/>
                  </w14:solidFill>
                </w14:textFill>
              </w:rPr>
              <w:t>7</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26DD88">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物体的形状、特征实验和认识动物实验箱</w:t>
            </w:r>
          </w:p>
        </w:tc>
        <w:tc>
          <w:tcPr>
            <w:tcW w:w="5770" w:type="dxa"/>
            <w:tcBorders>
              <w:top w:val="single" w:color="000000" w:sz="4" w:space="0"/>
              <w:left w:val="single" w:color="000000" w:sz="4" w:space="0"/>
              <w:bottom w:val="single" w:color="000000" w:sz="4" w:space="0"/>
              <w:right w:val="single" w:color="000000" w:sz="4" w:space="0"/>
            </w:tcBorders>
          </w:tcPr>
          <w:p w14:paraId="040D641B">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【科学仪器箱参数】：</w:t>
            </w:r>
          </w:p>
          <w:p w14:paraId="10C60E0B">
            <w:pPr>
              <w:widowControl/>
              <w:numPr>
                <w:ilvl w:val="0"/>
                <w:numId w:val="24"/>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外形尺寸：约530*350*165（mm)，材质：仪器箱体全新优质PP材料注塑一体成型，盖子采用全新ABS加强材料注塑成型，盖子四周全新PP围边，注塑成型, 拉伸性能测试执行：ASTM D-638标准，为材料的使用提供判断依据﹒弯曲性能测试执行ASTM D-790标准，通过测试﹐预测材料在成型后之受力变形情况。冲击性能测试执行ASTM D256标准，测试物体受外界冲击时产生的抵抗外力的强度，即冲击强度。仪器箱两端设有活动式卡扣，整体造型美观适用，盖子其中一角采用防呆式设计，防止使用过程中误操作反装。内置弹性体内衬，仪器嵌入式专槽定位，方便器材取用保管。叠加方式：既可叠加组合摆放，也可放置于仪器柜或货架。</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【主要器材配置】：</w:t>
            </w:r>
          </w:p>
          <w:p w14:paraId="1915723F">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1：螺母  2：乒乓球  3: 玻璃珠  4：小木块（或塑料块） 5：橡皮 6：塑料盒 7：电子天平 8：烧瓶 9：放大镜  10：药匙  11：玻璃棒   12：烧杯  13：胶头滴管  14：一次性食品袋   15：动物分类卡片 16：珍稀动物卡片  17：食物链、食物网卡片  18：橡皮泥   19：棉签  20：有机玻璃板  21：昆虫观察盒   22：彩色卡纸   23：捕鱼网                                                                                                                                           【主要器材参数】： </w:t>
            </w:r>
          </w:p>
          <w:p w14:paraId="66CCA1D7">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1.螺母 1 套(材质：304不锈钢:具有良好的耐腐蚀耐热性、强度高不生锈等、国标（GB)M14六角螺母、螺纹深邃、牙距均匀丝滑，做工精细头部无毛刺) 。</w:t>
            </w:r>
          </w:p>
          <w:p w14:paraId="5369B5D5">
            <w:pPr>
              <w:widowControl/>
              <w:numPr>
                <w:ilvl w:val="0"/>
                <w:numId w:val="24"/>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乒乓球 1 套（材质： 高分子环保材料 ABS40+；规格：直径40mm+; 高弹跳硬度高更耐打、外表光滑无缝稳定易于操控、精细工艺：圆度均匀弹性更均匀）。</w:t>
            </w:r>
          </w:p>
          <w:p w14:paraId="19718878">
            <w:pPr>
              <w:widowControl/>
              <w:numPr>
                <w:ilvl w:val="0"/>
                <w:numId w:val="24"/>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玻璃珠1套（A级高精密实验透明玻璃珠；规格：直径20mm、圆整清洁、表面光滑、无色透明、实心、高强度、磨耗底、化学性能稳定、有足够的弹性、反复使用不易破碎、无痕不刮手 )。</w:t>
            </w:r>
          </w:p>
          <w:p w14:paraId="338D2023">
            <w:pPr>
              <w:widowControl/>
              <w:numPr>
                <w:ilvl w:val="0"/>
                <w:numId w:val="24"/>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小木块（或塑料块） 1 套（材质：新西兰松木 参数：1*1CM、具有松香味、色淡黄。优点是：色泽天然、保持了松木的天然本色，纹理清楚美观、线条饱满流畅、尽现良好加质感、弹性和透气性强但木质松软.）。</w:t>
            </w:r>
          </w:p>
          <w:p w14:paraId="4816AF90">
            <w:pPr>
              <w:widowControl/>
              <w:numPr>
                <w:ilvl w:val="0"/>
                <w:numId w:val="24"/>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橡皮 2 块（长方形橡皮、保护纸张不留痕迹、碎屑少）。</w:t>
            </w:r>
          </w:p>
          <w:p w14:paraId="295A00C7">
            <w:pPr>
              <w:widowControl/>
              <w:numPr>
                <w:ilvl w:val="0"/>
                <w:numId w:val="24"/>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塑料盒1套，全新PP材料注塑成型。</w:t>
            </w:r>
          </w:p>
          <w:p w14:paraId="7CDCA77C">
            <w:pPr>
              <w:widowControl/>
              <w:numPr>
                <w:ilvl w:val="0"/>
                <w:numId w:val="24"/>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电子天平 1 台（材质:ABS镀漆机身+不锈钢拉丝秤面；单位转换：公斤 格令  盎司  克拉 毫升 磅  斤 两 克9种；LCD高清显示读数更清晰、量程：1000克、称重0.1克、秤面尺寸：10*10CM、产品尺寸：12.7*10.6*1.6CM、加长USB电源线、优质耐用防水贴） </w:t>
            </w:r>
          </w:p>
          <w:p w14:paraId="38122E0B">
            <w:pPr>
              <w:widowControl/>
              <w:numPr>
                <w:ilvl w:val="0"/>
                <w:numId w:val="24"/>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烧瓶 1 个（材质采用BORO3.3高硼硅、250ML、可耐酸碱抗腐蚀、工艺：精工烧结，依据实验和设计要求定制，无毛刺锐角，耐高温800度、高度透明坚固耐用、刻度清晰、底座圆润平稳无凸起）</w:t>
            </w:r>
          </w:p>
          <w:p w14:paraId="2C7D2859">
            <w:pPr>
              <w:widowControl/>
              <w:numPr>
                <w:ilvl w:val="0"/>
                <w:numId w:val="24"/>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放大镜 1 个:(材质：ABS环保镜框、高清光学镜片、小巧便携、高清成像、尺寸70 mm *70 mm专为小学生设计、不晕不晃)  。</w:t>
            </w:r>
          </w:p>
          <w:p w14:paraId="5881BBB1">
            <w:pPr>
              <w:widowControl/>
              <w:numPr>
                <w:ilvl w:val="0"/>
                <w:numId w:val="24"/>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药匙 1 套（材质：优质塑料、红绿黄三色单头、大中小号长度分别是：15CM、13.5CM、12CM、手感舒适、挖取适量、圆润手感、轻巧方便、表面光滑、耐冲击性好）。</w:t>
            </w:r>
          </w:p>
          <w:p w14:paraId="040A5B95">
            <w:pPr>
              <w:widowControl/>
              <w:numPr>
                <w:ilvl w:val="0"/>
                <w:numId w:val="24"/>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玻璃棒 1 根（材质：高透明高硼硅玻璃、长度200mm 两端圆润、表面光滑、不伤手、材质稳定、耐高低温、耐腐蚀） 。</w:t>
            </w:r>
          </w:p>
          <w:p w14:paraId="1C681449">
            <w:pPr>
              <w:widowControl/>
              <w:numPr>
                <w:ilvl w:val="0"/>
                <w:numId w:val="24"/>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烧杯 3 个(材质：无铅环保玻璃、软化温度高达820度、继承含铅水晶玻璃的外观品质而不含铅、耐200度的温差变化、无毛刺锐角，功能描述：管体具有低膨胀率、耐高温、高强度、高硬度、高透光率和高化学稳定性的优良特性，用作配制溶液和作为较大量的试剂化学反应容器)。 </w:t>
            </w:r>
          </w:p>
          <w:p w14:paraId="5FDEEDFD">
            <w:pPr>
              <w:widowControl/>
              <w:numPr>
                <w:ilvl w:val="0"/>
                <w:numId w:val="24"/>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胶头滴管 1 支（材质：高质量加厚玻璃、为实验用品而生的刻度滴管、带吸球、胶帽、高透光率坚固耐用 耐高温耐腐蚀、磨砂口部密封性好）。  </w:t>
            </w:r>
          </w:p>
          <w:p w14:paraId="065CE8F7">
            <w:pPr>
              <w:widowControl/>
              <w:numPr>
                <w:ilvl w:val="0"/>
                <w:numId w:val="24"/>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一次性食品袋 1 袋（材质：PE（聚乙烯）规格：25*17CM、PE原料具有不易破漏、柔韧耐用的特点；袋装抽取式包装、单只抽取方便容易）</w:t>
            </w:r>
          </w:p>
          <w:p w14:paraId="35620E58">
            <w:pPr>
              <w:widowControl/>
              <w:numPr>
                <w:ilvl w:val="0"/>
                <w:numId w:val="24"/>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动物分类卡片 1 套 （材质是厚实有质量的卡纸、表面光滑、经过压光、挺度高、图片清晰、整张A4纸大小其中8小张） </w:t>
            </w:r>
          </w:p>
          <w:p w14:paraId="0DCD0BCE">
            <w:pPr>
              <w:widowControl/>
              <w:numPr>
                <w:ilvl w:val="0"/>
                <w:numId w:val="24"/>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珍稀动物卡片1套（材质是厚实有质量的卡纸、表面光滑、经过压光、挺度高、图片清晰、整张A4纸大小其中10小张） </w:t>
            </w:r>
          </w:p>
          <w:p w14:paraId="0E4A9C68">
            <w:pPr>
              <w:widowControl/>
              <w:numPr>
                <w:ilvl w:val="0"/>
                <w:numId w:val="24"/>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食物链、食物网卡片1套 （材质是厚实有质量的卡纸、表面光滑、经过压光、挺度高、图片清晰、整张A4纸大小其中12小张）</w:t>
            </w:r>
          </w:p>
          <w:p w14:paraId="5F5EE898">
            <w:pPr>
              <w:widowControl/>
              <w:numPr>
                <w:ilvl w:val="0"/>
                <w:numId w:val="24"/>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橡皮泥 1 套（采用超轻黏土制作而成、无异味、色彩美观、具有安全环保、柔和易拉伸、不油腻、不粘手的特点；独立包装 密封不干 可以反复使用）</w:t>
            </w:r>
          </w:p>
          <w:p w14:paraId="570DEC81">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19.棉签 1 盒（采用环保竹木棒+脱脂棉制作而成、医用级别、双头设计、饱满洁白棉头缠绕紧实不易脱落；棉头经脱脂处理吸附力强、柔软无异味、无毛刺、坚韧不易折断、耐用性好，盒装安全卫生）</w:t>
            </w:r>
          </w:p>
          <w:p w14:paraId="4C36F02C">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20.有机玻璃板 1 块（材质：PMMA、透光率高达95%以上、无毛刺无毛边不割手、圆角设计使用更安全）</w:t>
            </w:r>
          </w:p>
          <w:p w14:paraId="72A8A39E">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21.昆虫观察盒 1 个（材质：优质塑料、尺寸9*9*8.5CM、带出气孔、方形带3倍放大镜）</w:t>
            </w:r>
          </w:p>
          <w:p w14:paraId="4A99EA38">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22.彩色卡纸 1 袋 （尺寸A4；使用原木浆有韧性不褪色、平滑细腻的手感，80g厚实）</w:t>
            </w:r>
          </w:p>
          <w:p w14:paraId="0DBB5012">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23.捕鱼网 1 个（材质：网兜+金属、圈径约20CM、杆子长约85CM可伸缩、轻巧便携）。</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可完成实验】：我们周围的物体：发现物体的特征；谁轻谁重；认识物体的形状；给物体分类；观察一瓶水；它们去哪里了；认识一袋空气；动物：我们知道的动物；校园里的动物；观察一种动物；给动物建个“家”；观察鱼；给动物分类等实验项目</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FB8154">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9D5598">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箱</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3AE99F81">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96128" behindDoc="0" locked="0" layoutInCell="1" allowOverlap="1">
                  <wp:simplePos x="0" y="0"/>
                  <wp:positionH relativeFrom="column">
                    <wp:posOffset>503555</wp:posOffset>
                  </wp:positionH>
                  <wp:positionV relativeFrom="paragraph">
                    <wp:posOffset>-76200</wp:posOffset>
                  </wp:positionV>
                  <wp:extent cx="1025525" cy="1121410"/>
                  <wp:effectExtent l="0" t="0" r="3175" b="2540"/>
                  <wp:wrapNone/>
                  <wp:docPr id="324504053" name="图片_2"/>
                  <wp:cNvGraphicFramePr/>
                  <a:graphic xmlns:a="http://schemas.openxmlformats.org/drawingml/2006/main">
                    <a:graphicData uri="http://schemas.openxmlformats.org/drawingml/2006/picture">
                      <pic:pic xmlns:pic="http://schemas.openxmlformats.org/drawingml/2006/picture">
                        <pic:nvPicPr>
                          <pic:cNvPr id="324504053" name="图片_2"/>
                          <pic:cNvPicPr/>
                        </pic:nvPicPr>
                        <pic:blipFill>
                          <a:blip r:embed="rId61"/>
                          <a:stretch>
                            <a:fillRect/>
                          </a:stretch>
                        </pic:blipFill>
                        <pic:spPr>
                          <a:xfrm>
                            <a:off x="0" y="0"/>
                            <a:ext cx="1025525" cy="1121410"/>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2F98F84C">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79C62987">
        <w:tblPrEx>
          <w:tblCellMar>
            <w:top w:w="0" w:type="dxa"/>
            <w:left w:w="108" w:type="dxa"/>
            <w:bottom w:w="0" w:type="dxa"/>
            <w:right w:w="108" w:type="dxa"/>
          </w:tblCellMar>
        </w:tblPrEx>
        <w:trPr>
          <w:trHeight w:val="416"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60DC9D94">
            <w:pPr>
              <w:widowControl/>
              <w:jc w:val="center"/>
              <w:textAlignment w:val="center"/>
              <w:rPr>
                <w:rFonts w:hint="eastAsia" w:ascii="新宋体" w:hAnsi="新宋体" w:eastAsia="新宋体" w:cs="新宋体"/>
                <w:color w:val="000000" w:themeColor="text1"/>
                <w:kern w:val="0"/>
                <w:sz w:val="22"/>
                <w:szCs w:val="22"/>
                <w:lang w:bidi="ar"/>
                <w14:textFill>
                  <w14:solidFill>
                    <w14:schemeClr w14:val="tx1"/>
                  </w14:solidFill>
                </w14:textFill>
              </w:rPr>
            </w:pPr>
            <w:r>
              <w:rPr>
                <w:rFonts w:hint="eastAsia" w:ascii="新宋体" w:hAnsi="新宋体" w:eastAsia="新宋体" w:cs="新宋体"/>
                <w:color w:val="000000" w:themeColor="text1"/>
                <w:kern w:val="0"/>
                <w:sz w:val="22"/>
                <w:szCs w:val="22"/>
                <w:lang w:bidi="ar"/>
                <w14:textFill>
                  <w14:solidFill>
                    <w14:schemeClr w14:val="tx1"/>
                  </w14:solidFill>
                </w14:textFill>
              </w:rPr>
              <w:t>8</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9625F6">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地球家园和认识不同的材料实验箱</w:t>
            </w:r>
          </w:p>
        </w:tc>
        <w:tc>
          <w:tcPr>
            <w:tcW w:w="5770" w:type="dxa"/>
            <w:tcBorders>
              <w:top w:val="single" w:color="000000" w:sz="4" w:space="0"/>
              <w:left w:val="single" w:color="000000" w:sz="4" w:space="0"/>
              <w:bottom w:val="single" w:color="000000" w:sz="4" w:space="0"/>
              <w:right w:val="single" w:color="000000" w:sz="4" w:space="0"/>
            </w:tcBorders>
          </w:tcPr>
          <w:p w14:paraId="3D3B1720">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【科学仪器箱参数】：</w:t>
            </w:r>
          </w:p>
          <w:p w14:paraId="1EF2E86A">
            <w:pPr>
              <w:widowControl/>
              <w:numPr>
                <w:ilvl w:val="0"/>
                <w:numId w:val="25"/>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外形尺寸：约530*350*165（mm)</w:t>
            </w:r>
          </w:p>
          <w:p w14:paraId="67CAF06A">
            <w:pPr>
              <w:widowControl/>
              <w:numPr>
                <w:ilvl w:val="0"/>
                <w:numId w:val="25"/>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材质：仪器箱体全新优质PP材料注塑一体成型，盖子采用全新ABS加强材料注塑成型，盖子四周全新PP围边，注塑成型, 拉伸性能测试执行：ASTM D-638标准，为材料</w:t>
            </w: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97152" behindDoc="0" locked="0" layoutInCell="1" allowOverlap="1">
                  <wp:simplePos x="0" y="0"/>
                  <wp:positionH relativeFrom="column">
                    <wp:posOffset>4768850</wp:posOffset>
                  </wp:positionH>
                  <wp:positionV relativeFrom="paragraph">
                    <wp:posOffset>1072515</wp:posOffset>
                  </wp:positionV>
                  <wp:extent cx="1202055" cy="1121410"/>
                  <wp:effectExtent l="0" t="0" r="17145" b="2540"/>
                  <wp:wrapNone/>
                  <wp:docPr id="886101816" name="图片_3"/>
                  <wp:cNvGraphicFramePr/>
                  <a:graphic xmlns:a="http://schemas.openxmlformats.org/drawingml/2006/main">
                    <a:graphicData uri="http://schemas.openxmlformats.org/drawingml/2006/picture">
                      <pic:pic xmlns:pic="http://schemas.openxmlformats.org/drawingml/2006/picture">
                        <pic:nvPicPr>
                          <pic:cNvPr id="886101816" name="图片_3"/>
                          <pic:cNvPicPr/>
                        </pic:nvPicPr>
                        <pic:blipFill>
                          <a:blip r:embed="rId61"/>
                          <a:stretch>
                            <a:fillRect/>
                          </a:stretch>
                        </pic:blipFill>
                        <pic:spPr>
                          <a:xfrm>
                            <a:off x="0" y="0"/>
                            <a:ext cx="1202055" cy="1121410"/>
                          </a:xfrm>
                          <a:prstGeom prst="rect">
                            <a:avLst/>
                          </a:prstGeom>
                          <a:noFill/>
                          <a:ln>
                            <a:noFill/>
                          </a:ln>
                        </pic:spPr>
                      </pic:pic>
                    </a:graphicData>
                  </a:graphic>
                </wp:anchor>
              </w:drawing>
            </w:r>
            <w:r>
              <w:rPr>
                <w:rFonts w:hint="eastAsia" w:ascii="宋体" w:hAnsi="宋体" w:cs="宋体"/>
                <w:color w:val="000000" w:themeColor="text1"/>
                <w:kern w:val="0"/>
                <w:sz w:val="22"/>
                <w:szCs w:val="22"/>
                <w:lang w:bidi="ar"/>
                <w14:textFill>
                  <w14:solidFill>
                    <w14:schemeClr w14:val="tx1"/>
                  </w14:solidFill>
                </w14:textFill>
              </w:rPr>
              <w:t xml:space="preserve">的使用提供判断依据﹒弯曲性能测试执行ASTM D-790标准，通过测试﹐预测材料在成型后之受力变形情况。冲击性能测试执行ASTM D256标准，测试物体受外界冲击时产生的抵抗外力的强度，即冲击强度。仪器箱两端设有活动式卡扣，整体造型美观适用，盖子其中一角采用防呆式设计，防止使用过程中误操作反装。内置弹性体内衬，仪器嵌入式专槽定位，方便器材取用保管。叠加方式：既可叠加组合摆放，也可放置于仪器柜或货架。其中一角采用防呆式设计，防止使用过程中误操作反装。内置弹性体内衬，仪器嵌入式专槽定位，方便器材取用保管。叠加方式：既可叠加组合摆放，也可放置于仪器柜或货架。 </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【主要器材配置】：</w:t>
            </w:r>
          </w:p>
          <w:p w14:paraId="6F75FE67">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1:彩笔  2：剪刀  3:培养皿  4：放大镜  5：月相卡片  6：烧杯  7：泥板  8：竹简   9：泥板雕刻刀  10：不同材料的餐具  11：订书机  12：天然材料标本  13：彩色卡纸  14：塑料直尺  15：软尺  16：胶头滴管  17：油刷 18：透明塑料袋  19：材料盘  20：细线  21：回形针 22：透明胶带  23：燕尾夹  24：美工刀  25：形状记忆合金  26：纳米材料  27：吸水树脂等</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【主要器材参数】：</w:t>
            </w:r>
          </w:p>
          <w:p w14:paraId="1CADA4D7">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彩笔 1 盒（采用环保材质 安全无味、色彩丰富视觉认知好、纤维笔头绘画流畅耐磨而好用；三角笔杆手握舒适，盒装方便收纳）。剪刀 1 把（握柄ABS树脂材料、金属刀片耐用不生锈裁剪锋利、刀刃保护套设计安全系数更高；平口宽刃圆头防止挫伤、握柄大小专为学生设计）。培养皿 1 个:（材质采用BORO3.3高硼硅、可耐酸碱抗腐蚀、工艺：精工烧结，依据实验和设计要求定制，无毛刺锐角，可耐高温600度，低温-180度;产品直径100mm、底98mm、高23mm;盖直径105mm、盖高22mm;刻度清晰、表面光滑、放置平稳、耐磨不花）。 放大镜 1 个:（材质：ABS环保镜框、高清光学镜片、小巧便携、高清成像、尺寸70 mm *70 mm专为小学生设计、不晕不晃) 。月相卡片 1 套:（采用环保卡纸、图案清晰、配有月相记录卡和月相图卡使用、月相图卡包括娥眉、上弦、凸月、满月、下弦残月、新月等）。 烧杯 1 个（材质：无铅环保玻璃、软化温度高达820度、继承含铅水晶玻璃的外观品质而不含铅、耐200度的温差变化、无毛刺锐角，功能描述：管体具有低膨胀率、耐高温、高强度、高硬度、高透光率和高化学稳定性的优良特性，用作配制溶液和作为较大量的试剂化学反应容器)。 泥板 2 块（材质：高岭土、黏土、蒙脱石制作而成；环保无异味、细腻无杂质、不掉色可塑性强、可重复使用）。竹简 10 块（材质：天然楠竹；尺寸：约200mm*10mm*2mm,实心材质、色泽自然纹理细腻，不易折断弯曲度好拉力强、经过打磨表面光滑无毛刺）。泥板雕刻刀 1 把(材质：木质+金属刀头 环保无毒、结实耐用、小巧方便使用、盒装便于收纳)。 不同材料的餐具 1 套（包含金属、环保塑料、木质、陶瓷四种不同材料的碗和勺子）。订书机 1 个（机身采用硬质塑料、内芯金属拉杆、顶部凹凸设计方便按压手感好、可转动的书钉成可暂钉可久钉、工程水平线设计简洁大方、小巧方便、专为小学生打造）。天然材料标本 1 套（外壳材质：有机塑料、标本主要包括木材、棉花、石油、煤、矿石等；系数高真实自然、均为干燥处理、方便直观、可以保存）。彩色卡纸 1 袋 （尺寸A4；使用原木浆有韧性不褪色、平滑细腻的手感，80g厚实）。 塑料直尺 1 把:（材质：环保塑料、尺寸：长度300mm、高透明度、刻度清晰、精准分毫不差、边角光滑无毛刺、韧性好持久耐用）。软尺 1 根:（软尺方便美观、准确测量、小巧精致易于收纳、公英双制：公制以厘米为计算单位；英制以英寸为计算单位、刻度清晰易识别、长度1500mm满足日常测量需求）。胶头滴管 1 支:（材质：高质量加厚玻璃、为实验用品而生的刻度滴管、带吸球、胶帽、高透光率坚固耐用 耐高温耐腐蚀、磨砂口部密封性好）。油刷 1 把:（材质：硅胶、采用食品级硅胶、耐高温防烫、拒绝掉毛、易清洗、挂孔一体式设计、舒适的手柄加长加厚、操作更方便）。透明塑料袋 1 袋:（材质：PE（聚乙烯）规格：25*17CM、PE原料具有不易破漏、柔韧耐用的特点；袋装抽取式包装、单只抽取方便容易）。材料盘 1 个:（材质：优质PP、彩色盘、尺寸：约280mm*210mm*30mm、结实耐摔、韧性强、无异味、内壁光滑易清洁、底部防滑设计、颜色亮丽加厚设计、边框圆润不伤手）。细线 1 盒:（材质：棉线、选用优质环保材质、白色百搭适用、结实不断、高温不化、不掉色安全卫生）。回形针 1 盒(材质：PVC+钢丝、透明塑料盒包装取拿方便、色彩鲜艳易于分辨、体积小巧易于拿握)。透明胶带 1 盒（原材料采用：高品质薄膜和胶水、涂胶均匀、粘贴平整、超高粘性、加厚不易断、缠绕紧实、环保无毒）。燕尾夹 1 个（材质：金属、外层电镀烤漆工艺、不易生锈、 彩色长尾夹、张合力度适中、反复使用不易松弛、硬度韧性高、桶装收纳更方便、四色混装便于分类）。美工刀 1 把（材质：不锈钢、全刀长最大值12cm、加厚锋利刀片、 舒适手柄、平面刀尖、折掉刀片就可重新作为新的刀片继续使用、多重防滑线条、结合人体工学设计、加深锯齿卡槽、让锁定器方便卡住、切割顺滑、可整体拆卸方便更换）。形状记忆合金 1 个（材质：不锈钢、线径0.7、外径10、长度100、伸缩性好寿命长、硬度高、受力均匀牢固、质量稳定精度高）。纳米材料 2 块（采用100%涤纶、纳米雪纺质地柔软、细腻、爽滑的独特质感、光泽度和透气性好、纹理清晰明了、色泽饱满舒服又环保、垂感好、 不扎手、 不易皱、新型纳米环保面料、固色性强、耐磨性强）。吸水树脂 1 盒（无毒无味、无害、不粘手、吸水保肥、农林抗旱、土壤保水、边坡绿化）</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可完成实验】：我们的地球家园：地球家园中有什么；土壤，动植物的乐园；太阳的位置和方向；观察月相；不同的季节；材料：材料类别分类；不同材料的餐具；做一本简易的书；神奇的纸；做一顶帽子；新型材料改变生活等实验项目</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99837A">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55C214">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箱</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4D033C2D">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10286C0F">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1EBFE085">
        <w:tblPrEx>
          <w:tblCellMar>
            <w:top w:w="0" w:type="dxa"/>
            <w:left w:w="108" w:type="dxa"/>
            <w:bottom w:w="0" w:type="dxa"/>
            <w:right w:w="108" w:type="dxa"/>
          </w:tblCellMar>
        </w:tblPrEx>
        <w:trPr>
          <w:trHeight w:val="416"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42341515">
            <w:pPr>
              <w:widowControl/>
              <w:jc w:val="center"/>
              <w:textAlignment w:val="center"/>
              <w:rPr>
                <w:rFonts w:hint="eastAsia" w:ascii="新宋体" w:hAnsi="新宋体" w:eastAsia="新宋体" w:cs="新宋体"/>
                <w:color w:val="000000" w:themeColor="text1"/>
                <w:kern w:val="0"/>
                <w:sz w:val="22"/>
                <w:szCs w:val="22"/>
                <w:lang w:bidi="ar"/>
                <w14:textFill>
                  <w14:solidFill>
                    <w14:schemeClr w14:val="tx1"/>
                  </w14:solidFill>
                </w14:textFill>
              </w:rPr>
            </w:pPr>
            <w:r>
              <w:rPr>
                <w:rFonts w:hint="eastAsia" w:ascii="新宋体" w:hAnsi="新宋体" w:eastAsia="新宋体" w:cs="新宋体"/>
                <w:color w:val="000000" w:themeColor="text1"/>
                <w:kern w:val="0"/>
                <w:sz w:val="22"/>
                <w:szCs w:val="22"/>
                <w:lang w:bidi="ar"/>
                <w14:textFill>
                  <w14:solidFill>
                    <w14:schemeClr w14:val="tx1"/>
                  </w14:solidFill>
                </w14:textFill>
              </w:rPr>
              <w:t>9</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1995FA">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水的主题实验箱</w:t>
            </w:r>
          </w:p>
        </w:tc>
        <w:tc>
          <w:tcPr>
            <w:tcW w:w="5770" w:type="dxa"/>
            <w:tcBorders>
              <w:top w:val="single" w:color="000000" w:sz="4" w:space="0"/>
              <w:left w:val="single" w:color="000000" w:sz="4" w:space="0"/>
              <w:bottom w:val="single" w:color="000000" w:sz="4" w:space="0"/>
              <w:right w:val="single" w:color="000000" w:sz="4" w:space="0"/>
            </w:tcBorders>
          </w:tcPr>
          <w:p w14:paraId="679B7F5E">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【科学仪器箱参数】：</w:t>
            </w:r>
          </w:p>
          <w:p w14:paraId="53723A66">
            <w:pPr>
              <w:widowControl/>
              <w:numPr>
                <w:ilvl w:val="0"/>
                <w:numId w:val="26"/>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外形尺寸：约530*350*165（mm)</w:t>
            </w:r>
          </w:p>
          <w:p w14:paraId="6037418E">
            <w:pPr>
              <w:widowControl/>
              <w:numPr>
                <w:ilvl w:val="0"/>
                <w:numId w:val="26"/>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材质：仪器箱体全新优质PP材料注塑一体成型，盖子采用全新ABS加强材料注塑成型，盖子四周全新PP围边，注塑成型, 拉伸性能测试执行：ASTM D-638标准，为材料的使用提供判断依据﹒弯曲性能测试执行ASTM D-790标准，通过测试﹐预测材料在成型后之受力变形情况。冲击性能测试执行ASTM D256标准，测试物体受外界冲击时产生的抵抗外力的强度，即冲击强度。仪器箱两端设有活动式卡扣，整体造型美观适用，盖子其中一角采用防呆式设计，防止使用过程中误操作反装。内置弹性体内衬，仪器嵌入式专槽定位，方便器材取用保管。叠加方式：既可叠加组合摆放，也可放置于仪器柜或货架。   </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【主要器材配置】：</w:t>
            </w:r>
          </w:p>
          <w:p w14:paraId="42DAD102">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1：透明塑料袋 2：塑料杯 3：橡皮筋  4：温度计 5：三脚架 6：酒精灯 7：陶土网  8：电子点火器  9：烧杯  10：试管夹  11：漏斗 12：电子秒表 13：试管 14：吸管 15：橡皮泥 16：药匙 17：玻璃棒 18：过滤纸 19：彩色卡纸 20：剪刀 21：研钵 22：蒸发皿 23：烧杯刷 24：试管刷等</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【主要器材参数】：</w:t>
            </w:r>
          </w:p>
          <w:p w14:paraId="5F910D32">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1.透明塑料袋 1 袋(材质：PE环保新料、高压平口、透明、韧性好、防尘防水、表面光滑无异味、烫边整齐不易爆边). </w:t>
            </w:r>
          </w:p>
          <w:p w14:paraId="5AB41E57">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2.塑料杯 3 个（材质：全新聚苯乙烯PS、本身顺滑细腻、具有良好的通透性、安全性、抗冲击、晶莹剔透有光泽、边缘平滑、杯口与杯壁一体成型、平稳的杯底更加稳定牢固）。</w:t>
            </w:r>
          </w:p>
          <w:p w14:paraId="4AFCCE04">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3.橡皮筋 1 袋（材质：天然乳胶、具有不易老化、伸缩力强、不易断裂、采用60度高温处理不易粘贴、不易腐蚀）. </w:t>
            </w:r>
          </w:p>
          <w:p w14:paraId="5F784432">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4.温度计 1 支（材质：高硼硅玻璃、不惧高温、刻度清晰读数更方便、感温液珠饱满精密灌装，液体视觉效果好，温度变化清晰可见，测温精准、快速感温自动升降、安全防爆）。</w:t>
            </w:r>
          </w:p>
          <w:p w14:paraId="23DD1CB7">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5.三脚架 1 个（材质：铸铁+表面镀铬金属杆、耐高温、不生锈、支架可拆卸）。 </w:t>
            </w:r>
          </w:p>
          <w:p w14:paraId="74A35731">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6.酒精灯 1 个（高硼硅玻璃、坚固耐用、可耐酸碱腐蚀、耐高温120度）。 </w:t>
            </w:r>
          </w:p>
          <w:p w14:paraId="3954F447">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7.陶土网 1 块:（材质：合金丝+陶土、采用合金丝拉制编织而成、四周铂片包边防止刮手、耐酸碱耐腐蚀耐高温、经久耐用）。 </w:t>
            </w:r>
          </w:p>
          <w:p w14:paraId="0B2C1CD7">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8.电子点火器 1 把（材质：环保塑料+不锈钢、手柄采用抗高温优质ABS、不锈钢合金点火头不仅外观漂亮而且结实耐用、工程学点火开关手感顺畅、回馈感十足、火焰大小任意调整，巧妙合理设计）。</w:t>
            </w:r>
          </w:p>
          <w:p w14:paraId="365B1DCD">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 9.烧杯 2 个（材质：无铅环保玻璃、软化温度高达820度、继承含铅水晶玻璃的外观品质而不含铅、耐200度的温差变化、无毛刺锐角，功能描述：管体具有低膨胀率、耐高温、高强度、高硬度、高透光率和高化学稳定性的优良特性，用作配制溶液和作为较大量的试剂化学反应容器）。</w:t>
            </w:r>
          </w:p>
          <w:p w14:paraId="60931611">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10.试管夹 1 个（材质：优质原木、轻巧简便、使用方便、结实耐用、耐磨耐摔、防滑效果好夹取试管方便快捷）. </w:t>
            </w:r>
          </w:p>
          <w:p w14:paraId="05C266CB">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11.漏斗 1 个（材质：高硼硅玻璃、高透光便于操作的实时观察、耐高温腐蚀、高强硬度、玻体细腻结实有质感、平滑无凸起）。</w:t>
            </w:r>
          </w:p>
          <w:p w14:paraId="0DEE1A58">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12.电子秒表 1 个（外壳材质：优质ABS、大LCD屏，显示清晰直观读取轻松不伤眼、外观光滑有质感、声音响亮操作简单、时间精准低功耗待机时间长、迷你小巧方便携带）。</w:t>
            </w:r>
          </w:p>
          <w:p w14:paraId="027555F9">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13.试管 1 支（材质：无铅环保玻璃、耐高温、耐腐蚀、耐化学性、口部圆润光滑、透明度高、光滑圆底耐用）. </w:t>
            </w:r>
          </w:p>
          <w:p w14:paraId="6A6FE72E">
            <w:pPr>
              <w:widowControl/>
              <w:numPr>
                <w:ilvl w:val="0"/>
                <w:numId w:val="27"/>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吸管 1 袋:（材质：100%采用食品级颗粒料、无回收料无异味、无味无毒、U型，总长度170MM、单独包装，使用方便卫生）。 </w:t>
            </w:r>
          </w:p>
          <w:p w14:paraId="6204B29E">
            <w:pPr>
              <w:widowControl/>
              <w:numPr>
                <w:ilvl w:val="0"/>
                <w:numId w:val="27"/>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橡皮泥 1 套（采用超轻黏土制作而成、国家3C认证 无异味、色彩美观、具有安全环保、柔和易拉伸、不油腻、不粘手的特点；独立包装 密封不干 可以反复使用）。 </w:t>
            </w:r>
          </w:p>
          <w:p w14:paraId="69453F3F">
            <w:pPr>
              <w:widowControl/>
              <w:numPr>
                <w:ilvl w:val="0"/>
                <w:numId w:val="27"/>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药匙 1 套（材质：优质塑料、红绿黄三色单头、大中小号长度分别是：15CM、13.5CM、12CM、手感舒适、挖取适量、圆润手感、轻巧方便、表面光滑、耐冲击性好）。</w:t>
            </w:r>
          </w:p>
          <w:p w14:paraId="20984AA6">
            <w:pPr>
              <w:widowControl/>
              <w:numPr>
                <w:ilvl w:val="0"/>
                <w:numId w:val="27"/>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玻璃棒 2 根（材质：高透明高硼硅玻璃、长度200mm 两端圆润、表面光滑、不伤手、材质稳定、耐高低温、耐腐蚀）。 </w:t>
            </w:r>
          </w:p>
          <w:p w14:paraId="0D749853">
            <w:pPr>
              <w:widowControl/>
              <w:numPr>
                <w:ilvl w:val="0"/>
                <w:numId w:val="27"/>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过滤纸 1 盒（材质：棉质纤维、滤纸是具有良好的过滤性能的纸，纸质疏松、对液体有强烈的吸收性能）. </w:t>
            </w:r>
          </w:p>
          <w:p w14:paraId="4D046FB5">
            <w:pPr>
              <w:widowControl/>
              <w:numPr>
                <w:ilvl w:val="0"/>
                <w:numId w:val="27"/>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彩色卡纸 1 袋（尺寸A4；使用原木浆有韧性不褪色、平滑细腻的手感，80g厚实）。 </w:t>
            </w:r>
          </w:p>
          <w:p w14:paraId="3E3E5E80">
            <w:pPr>
              <w:widowControl/>
              <w:numPr>
                <w:ilvl w:val="0"/>
                <w:numId w:val="27"/>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剪刀 1 把（握柄ABS树脂材料、金属刀片耐用不生锈裁剪锋利、刀刃保护套设计安全系数更高；平口宽刃圆头防止挫伤、握柄大小专为学生设计）。</w:t>
            </w:r>
          </w:p>
          <w:p w14:paraId="79BC35FA">
            <w:pPr>
              <w:widowControl/>
              <w:numPr>
                <w:ilvl w:val="0"/>
                <w:numId w:val="27"/>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研钵 1 套（材质：陶瓷、玻体厚实稳固、研棒耐磨、抗冲击力、不易破碎、耐酸碱耐研磨、具嘴易倾倒、简洁美观）。 </w:t>
            </w:r>
          </w:p>
          <w:p w14:paraId="446FC416">
            <w:pPr>
              <w:widowControl/>
              <w:numPr>
                <w:ilvl w:val="0"/>
                <w:numId w:val="27"/>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蒸发皿 1 个（材质：优质陶瓷、圆润管口、圆润皿身无凸起感、底部圆润宽大摆放平稳、侧口具嘴便于倾倒液体给实验带来便捷、表面光滑、内外上釉美观大方）。 </w:t>
            </w:r>
          </w:p>
          <w:p w14:paraId="0EC25B09">
            <w:pPr>
              <w:widowControl/>
              <w:numPr>
                <w:ilvl w:val="0"/>
                <w:numId w:val="27"/>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烧杯刷 1 个（主要是由钢丝做骨架上面带有许多排序整齐、向外延伸的细刷丝构成，清洗不费力、可悬挂使用方便）。</w:t>
            </w:r>
          </w:p>
          <w:p w14:paraId="512B0FFB">
            <w:pPr>
              <w:widowControl/>
              <w:numPr>
                <w:ilvl w:val="0"/>
                <w:numId w:val="27"/>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试管刷 1 个（主要是由钢丝做骨架上面带有许多排序整齐、向外延伸的细刷丝构成，清洗不费力、可悬挂使用方便）。 </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 xml:space="preserve">【可完成实验】：水：水到哪里去了；给烧杯中的水加热、测量水的温度；观察水结冰的过程；观察冰融化的过程；能够融解在水中的物质、不同物质在水中的溶解力；探索温度与溶解快慢的关系、探索搅拌与溶解快慢的关系；分离食盐和沙；比较橡皮泥、纸与水的变化等实验项目。  </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10F45C">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7B6801">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箱</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6651CE7F">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98176" behindDoc="0" locked="0" layoutInCell="1" allowOverlap="1">
                  <wp:simplePos x="0" y="0"/>
                  <wp:positionH relativeFrom="column">
                    <wp:posOffset>390525</wp:posOffset>
                  </wp:positionH>
                  <wp:positionV relativeFrom="paragraph">
                    <wp:posOffset>-109855</wp:posOffset>
                  </wp:positionV>
                  <wp:extent cx="1043305" cy="1020445"/>
                  <wp:effectExtent l="0" t="0" r="4445" b="8255"/>
                  <wp:wrapNone/>
                  <wp:docPr id="354498615" name="图片_5"/>
                  <wp:cNvGraphicFramePr/>
                  <a:graphic xmlns:a="http://schemas.openxmlformats.org/drawingml/2006/main">
                    <a:graphicData uri="http://schemas.openxmlformats.org/drawingml/2006/picture">
                      <pic:pic xmlns:pic="http://schemas.openxmlformats.org/drawingml/2006/picture">
                        <pic:nvPicPr>
                          <pic:cNvPr id="354498615" name="图片_5"/>
                          <pic:cNvPicPr/>
                        </pic:nvPicPr>
                        <pic:blipFill>
                          <a:blip r:embed="rId61"/>
                          <a:stretch>
                            <a:fillRect/>
                          </a:stretch>
                        </pic:blipFill>
                        <pic:spPr>
                          <a:xfrm>
                            <a:off x="0" y="0"/>
                            <a:ext cx="1043305" cy="1020445"/>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6B6BB9B2">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3F29D5B6">
        <w:tblPrEx>
          <w:tblCellMar>
            <w:top w:w="0" w:type="dxa"/>
            <w:left w:w="108" w:type="dxa"/>
            <w:bottom w:w="0" w:type="dxa"/>
            <w:right w:w="108" w:type="dxa"/>
          </w:tblCellMar>
        </w:tblPrEx>
        <w:trPr>
          <w:trHeight w:val="416"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421515B9">
            <w:pPr>
              <w:widowControl/>
              <w:jc w:val="center"/>
              <w:textAlignment w:val="center"/>
              <w:rPr>
                <w:rFonts w:hint="eastAsia" w:ascii="新宋体" w:hAnsi="新宋体" w:eastAsia="新宋体" w:cs="新宋体"/>
                <w:color w:val="000000" w:themeColor="text1"/>
                <w:kern w:val="0"/>
                <w:sz w:val="22"/>
                <w:szCs w:val="22"/>
                <w:lang w:bidi="ar"/>
                <w14:textFill>
                  <w14:solidFill>
                    <w14:schemeClr w14:val="tx1"/>
                  </w14:solidFill>
                </w14:textFill>
              </w:rPr>
            </w:pPr>
            <w:r>
              <w:rPr>
                <w:rFonts w:hint="eastAsia" w:ascii="新宋体" w:hAnsi="新宋体" w:eastAsia="新宋体" w:cs="新宋体"/>
                <w:color w:val="000000" w:themeColor="text1"/>
                <w:kern w:val="0"/>
                <w:sz w:val="22"/>
                <w:szCs w:val="22"/>
                <w:lang w:bidi="ar"/>
                <w14:textFill>
                  <w14:solidFill>
                    <w14:schemeClr w14:val="tx1"/>
                  </w14:solidFill>
                </w14:textFill>
              </w:rPr>
              <w:t>10</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EF3805">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空气和天气的实验箱</w:t>
            </w:r>
          </w:p>
        </w:tc>
        <w:tc>
          <w:tcPr>
            <w:tcW w:w="5770" w:type="dxa"/>
            <w:tcBorders>
              <w:top w:val="single" w:color="000000" w:sz="4" w:space="0"/>
              <w:left w:val="single" w:color="000000" w:sz="4" w:space="0"/>
              <w:bottom w:val="single" w:color="000000" w:sz="4" w:space="0"/>
              <w:right w:val="single" w:color="000000" w:sz="4" w:space="0"/>
            </w:tcBorders>
          </w:tcPr>
          <w:p w14:paraId="1D44DB2E">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【科学仪器箱参数】：</w:t>
            </w:r>
          </w:p>
          <w:p w14:paraId="7599327F">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1.外形尺寸：约530*350*165（mm)</w:t>
            </w:r>
          </w:p>
          <w:p w14:paraId="11333A96">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2.材质：仪器箱体全新优质PP材料注塑一体成型，盖子采用全新ABS加强材料注塑成型，盖子四周全新PP围边，注塑成型, 拉伸性能测试执行：ASTM D-638标准，为材料的使用提供判断依据﹒弯曲性能测试执行ASTM D-790标准，通过测试﹐预测材料在成型后之受力变形情况。冲击性能测试执行ASTM D256标准，测试物体受外界冲击时产生的抵抗外力的强度，即冲击强度。仪器箱两端设有活动式卡扣，整体造型美观适用，盖子其中一角采用防呆式设计，防止使用过程中误操作反装。内置弹性体内衬，仪器嵌入式专槽定位，方便器材取用保管。叠加方式：既可叠加组合摆放，也可放置于仪器柜或货架。                                                                                                                   【主要器材配置】：</w:t>
            </w:r>
          </w:p>
          <w:p w14:paraId="755B3720">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1：自封口塑料袋  2：气球  3：打气筒  4：水槽  5：塑料注射器  6：杠杆及支架  7：皮球  8：塑料小桶  9：回形针  10：蜡烛  11：双面胶  12：空气动力小车（风力小车） 13：风的成因实验装置  14：天气符号卡片 15：数字温度计 16：体温计  17：寒暑表  18：量杯  19：喷水壶  20：组装风速仪  21：组装风向标等                                     </w:t>
            </w:r>
          </w:p>
          <w:p w14:paraId="475EAE07">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【主要器材参数】： </w:t>
            </w:r>
          </w:p>
          <w:p w14:paraId="16470F7F">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1.自封口塑料袋 1 袋（材质：环保LDPE，、恒温热切工艺、具有非常高的密封性、韧性、卫生性、线性分子结构的材料具备非常好的拉伸性可反复使用；成熟的凹凸结构自封条，能提供更的咬合力、可多次开合使用）。</w:t>
            </w:r>
          </w:p>
          <w:p w14:paraId="3F2A4385">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2.气球 1 袋（材质：乳胶、圆形亚光气球、加厚、圆润饱满、色泽鲜艳）。</w:t>
            </w:r>
          </w:p>
          <w:p w14:paraId="536D0AA0">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3.打气筒 1 个（材质：PP、手推式、独特充气嘴设计美观更高效）。 </w:t>
            </w:r>
          </w:p>
          <w:p w14:paraId="193D76A4">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4.水槽 1 个（材质：PMMA、   高透明度、参数：290*220*120MM、它具有较高的耐冲击性、较低的密度、使其更轻便、能够抗紫外线、氧化剂和一些化学物质的侵蚀；口部圆润光滑不伤手）。 </w:t>
            </w:r>
          </w:p>
          <w:p w14:paraId="65FD353D">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5.塑料注射器 2 个（材质：聚乙烯ABS、原生料制作、活塞头与管壁紧密贴合密闭性强、不易漏液、刻度精准清晰易读、标准口径）。</w:t>
            </w:r>
          </w:p>
          <w:p w14:paraId="3DF03FD3">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6.杠杆及支架 1 套（材质：环保ABS+铝合金；底座采用全新ABS塑料注塑而成，长方形设计更稳固，支架使用304不锈钢，表面光滑美观、杜绝生锈 ；杠杆尺寸:≥500 mm，一体成型，铝合金材质，表面本色喷砂氧化，双面刻度清晰易懂、杠杆尺端包头加固、平衡螺母方便调节、挂钩滑动顺畅无阻、配有金属钩码）。</w:t>
            </w:r>
          </w:p>
          <w:p w14:paraId="44CD5340">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7.皮球 1 个（材质：环保PVC、高弹耐摔手感舒适、颜色鲜艳、防水耐磨、表面防滑颗粒饱满弹性好、气嘴防漏气）. </w:t>
            </w:r>
          </w:p>
          <w:p w14:paraId="13FF90AD">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8.塑料小桶 2 个（材质：PP、加厚耐用无异味、食品级材质“0”添加；高端透明、防盗扣设计、桶口光滑无毛刺）。 </w:t>
            </w:r>
          </w:p>
          <w:p w14:paraId="4E5DE8D4">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9.回形针 1 盒（材质：PVC+钢丝、透明塑料盒包装取拿方便、色彩鲜艳易于分辨、体积小巧易于拿握）。</w:t>
            </w:r>
          </w:p>
          <w:p w14:paraId="03B9FEC3">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10.蜡烛 2 支（无烟燃烧、高纯度石蜡、轻易点燃、无异味、一体成型不易断裂）。 </w:t>
            </w:r>
          </w:p>
          <w:p w14:paraId="116F27FB">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11.双面胶 1 袋（热熔性双面胶、强力高粘、手撕易断轻松剥离、边缘平整胶带厚度均匀、单独包装使用方便）。</w:t>
            </w:r>
          </w:p>
          <w:p w14:paraId="705D70F1">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12.空气动力小车（风力小车） 1 辆（参数：940*760*900MM)  。</w:t>
            </w:r>
          </w:p>
          <w:p w14:paraId="4BC2C68F">
            <w:pPr>
              <w:widowControl/>
              <w:numPr>
                <w:ilvl w:val="0"/>
                <w:numId w:val="28"/>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风的成因实验装置 1 套(材质：环保纸质；动手动脑、激发学生的学习兴趣和求知欲)。</w:t>
            </w:r>
          </w:p>
          <w:p w14:paraId="0A484347">
            <w:pPr>
              <w:widowControl/>
              <w:numPr>
                <w:ilvl w:val="0"/>
                <w:numId w:val="28"/>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天气符号卡片 1 本（材质是厚实有质量的卡纸、表面光滑、经过压光、挺度高、图片清晰、整张A4大小其中21小张）。</w:t>
            </w:r>
          </w:p>
          <w:p w14:paraId="1149C0C7">
            <w:pPr>
              <w:widowControl/>
              <w:numPr>
                <w:ilvl w:val="0"/>
                <w:numId w:val="28"/>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数字温度计 1 支（高灵敏感温、不含水银、LED液晶大屏、测量精度+-0.1度）。</w:t>
            </w:r>
          </w:p>
          <w:p w14:paraId="55755ECB">
            <w:pPr>
              <w:widowControl/>
              <w:numPr>
                <w:ilvl w:val="0"/>
                <w:numId w:val="28"/>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体温计 1 支（医用级大刻度、屏幕宽大刻度清晰、独立外壳方便存放；水银测量精度更高）。</w:t>
            </w:r>
          </w:p>
          <w:p w14:paraId="12C27D0C">
            <w:pPr>
              <w:widowControl/>
              <w:numPr>
                <w:ilvl w:val="0"/>
                <w:numId w:val="28"/>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寒暑表 1 个（双温标显示摄氏度/华氏度，易读数宽分刻度设计、测量准确、参数：21.5*5.5CM）。</w:t>
            </w:r>
          </w:p>
          <w:p w14:paraId="4A43ED08">
            <w:pPr>
              <w:widowControl/>
              <w:numPr>
                <w:ilvl w:val="0"/>
                <w:numId w:val="28"/>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量杯 2 个(材质：高硼硅玻璃、把手设计方便拿取、三角形倒液口便于溶液倾倒、接口顺滑牢固耐用、杯体厚薄均匀无气泡、杯壁表面光滑无突起感、无毛刺锐角，丝印白色品牌LOGO；功能描述：管体具有低膨胀率、耐高温、高强度、高硬度、高透光率和高化学稳定性的优良特性，用作配制溶液和作为较大量的试剂化学反应容器)。 </w:t>
            </w:r>
          </w:p>
          <w:p w14:paraId="2AE9242C">
            <w:pPr>
              <w:widowControl/>
              <w:numPr>
                <w:ilvl w:val="0"/>
                <w:numId w:val="28"/>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喷水壶 1 个（材质：环保PET、按压式、旋钮可调喷头、雾化细腻喷洒均匀、瓶口加厚螺纹、喷头与瓶身紧密结合密封不漏水）。</w:t>
            </w:r>
          </w:p>
          <w:p w14:paraId="4D1D84C6">
            <w:pPr>
              <w:widowControl/>
              <w:numPr>
                <w:ilvl w:val="0"/>
                <w:numId w:val="28"/>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组装风速仪 1 套（材质：环保塑料、配有精美指南针、两侧风翼、测风向更准确）。</w:t>
            </w:r>
          </w:p>
          <w:p w14:paraId="007B8324">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21.组装风向标 1 套（材质：PS;产品光滑无毛刺、不含胶水粘合剂、无毒无味、盒装收纳更方便）。                                                                                           【可完成实验】：空气：感受空气；空气能占据空间吗；压缩空气；空气有质量吗；一袋子的空气质量是多少；我们来做“热气球”；做风的模拟实验；天气：制作天气日历；认识气温计并练习读数；学习气温计的使用方法、测量室外气温变化；测制作简易雨量器、测量降水量；制作一面简单的风旗（风向袋）、观测风的大小和方向等实验项目        </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629C13">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0A4DE2">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箱</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055AB94D">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99200" behindDoc="0" locked="0" layoutInCell="1" allowOverlap="1">
                  <wp:simplePos x="0" y="0"/>
                  <wp:positionH relativeFrom="column">
                    <wp:posOffset>483870</wp:posOffset>
                  </wp:positionH>
                  <wp:positionV relativeFrom="paragraph">
                    <wp:posOffset>45085</wp:posOffset>
                  </wp:positionV>
                  <wp:extent cx="997585" cy="781050"/>
                  <wp:effectExtent l="0" t="0" r="12065" b="0"/>
                  <wp:wrapNone/>
                  <wp:docPr id="240090980" name="图片_6"/>
                  <wp:cNvGraphicFramePr/>
                  <a:graphic xmlns:a="http://schemas.openxmlformats.org/drawingml/2006/main">
                    <a:graphicData uri="http://schemas.openxmlformats.org/drawingml/2006/picture">
                      <pic:pic xmlns:pic="http://schemas.openxmlformats.org/drawingml/2006/picture">
                        <pic:nvPicPr>
                          <pic:cNvPr id="240090980" name="图片_6"/>
                          <pic:cNvPicPr/>
                        </pic:nvPicPr>
                        <pic:blipFill>
                          <a:blip r:embed="rId61"/>
                          <a:stretch>
                            <a:fillRect/>
                          </a:stretch>
                        </pic:blipFill>
                        <pic:spPr>
                          <a:xfrm>
                            <a:off x="0" y="0"/>
                            <a:ext cx="997585" cy="781050"/>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048360EB">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0EB8D1F1">
        <w:tblPrEx>
          <w:tblCellMar>
            <w:top w:w="0" w:type="dxa"/>
            <w:left w:w="108" w:type="dxa"/>
            <w:bottom w:w="0" w:type="dxa"/>
            <w:right w:w="108" w:type="dxa"/>
          </w:tblCellMar>
        </w:tblPrEx>
        <w:trPr>
          <w:trHeight w:val="416"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42F885C0">
            <w:pPr>
              <w:widowControl/>
              <w:jc w:val="center"/>
              <w:textAlignment w:val="center"/>
              <w:rPr>
                <w:rFonts w:hint="eastAsia" w:ascii="新宋体" w:hAnsi="新宋体" w:eastAsia="新宋体" w:cs="新宋体"/>
                <w:color w:val="000000" w:themeColor="text1"/>
                <w:kern w:val="0"/>
                <w:sz w:val="22"/>
                <w:szCs w:val="22"/>
                <w:lang w:bidi="ar"/>
                <w14:textFill>
                  <w14:solidFill>
                    <w14:schemeClr w14:val="tx1"/>
                  </w14:solidFill>
                </w14:textFill>
              </w:rPr>
            </w:pPr>
            <w:r>
              <w:rPr>
                <w:rFonts w:hint="eastAsia" w:ascii="新宋体" w:hAnsi="新宋体" w:eastAsia="新宋体" w:cs="新宋体"/>
                <w:color w:val="000000" w:themeColor="text1"/>
                <w:kern w:val="0"/>
                <w:sz w:val="22"/>
                <w:szCs w:val="22"/>
                <w:lang w:bidi="ar"/>
                <w14:textFill>
                  <w14:solidFill>
                    <w14:schemeClr w14:val="tx1"/>
                  </w14:solidFill>
                </w14:textFill>
              </w:rPr>
              <w:t>11</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300066">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动物的一生和太阳月球的实验箱</w:t>
            </w:r>
          </w:p>
        </w:tc>
        <w:tc>
          <w:tcPr>
            <w:tcW w:w="5770" w:type="dxa"/>
            <w:tcBorders>
              <w:top w:val="single" w:color="000000" w:sz="4" w:space="0"/>
              <w:left w:val="single" w:color="000000" w:sz="4" w:space="0"/>
              <w:bottom w:val="single" w:color="000000" w:sz="4" w:space="0"/>
              <w:right w:val="single" w:color="000000" w:sz="4" w:space="0"/>
            </w:tcBorders>
          </w:tcPr>
          <w:p w14:paraId="738C273D">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【科学仪器箱参数】：</w:t>
            </w:r>
          </w:p>
          <w:p w14:paraId="62CA355C">
            <w:pPr>
              <w:widowControl/>
              <w:numPr>
                <w:ilvl w:val="0"/>
                <w:numId w:val="29"/>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外形尺寸：约530*350*165（mm)</w:t>
            </w:r>
          </w:p>
          <w:p w14:paraId="026E0156">
            <w:pPr>
              <w:widowControl/>
              <w:numPr>
                <w:ilvl w:val="0"/>
                <w:numId w:val="29"/>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700224" behindDoc="0" locked="0" layoutInCell="1" allowOverlap="1">
                  <wp:simplePos x="0" y="0"/>
                  <wp:positionH relativeFrom="column">
                    <wp:posOffset>5012690</wp:posOffset>
                  </wp:positionH>
                  <wp:positionV relativeFrom="paragraph">
                    <wp:posOffset>1452245</wp:posOffset>
                  </wp:positionV>
                  <wp:extent cx="782955" cy="977265"/>
                  <wp:effectExtent l="0" t="0" r="17145" b="13335"/>
                  <wp:wrapNone/>
                  <wp:docPr id="1303293478" name="图片_8"/>
                  <wp:cNvGraphicFramePr/>
                  <a:graphic xmlns:a="http://schemas.openxmlformats.org/drawingml/2006/main">
                    <a:graphicData uri="http://schemas.openxmlformats.org/drawingml/2006/picture">
                      <pic:pic xmlns:pic="http://schemas.openxmlformats.org/drawingml/2006/picture">
                        <pic:nvPicPr>
                          <pic:cNvPr id="1303293478" name="图片_8"/>
                          <pic:cNvPicPr/>
                        </pic:nvPicPr>
                        <pic:blipFill>
                          <a:blip r:embed="rId61"/>
                          <a:stretch>
                            <a:fillRect/>
                          </a:stretch>
                        </pic:blipFill>
                        <pic:spPr>
                          <a:xfrm>
                            <a:off x="0" y="0"/>
                            <a:ext cx="782955" cy="977265"/>
                          </a:xfrm>
                          <a:prstGeom prst="rect">
                            <a:avLst/>
                          </a:prstGeom>
                          <a:noFill/>
                          <a:ln>
                            <a:noFill/>
                          </a:ln>
                        </pic:spPr>
                      </pic:pic>
                    </a:graphicData>
                  </a:graphic>
                </wp:anchor>
              </w:drawing>
            </w:r>
            <w:r>
              <w:rPr>
                <w:rFonts w:hint="eastAsia" w:ascii="宋体" w:hAnsi="宋体" w:cs="宋体"/>
                <w:color w:val="000000" w:themeColor="text1"/>
                <w:kern w:val="0"/>
                <w:sz w:val="22"/>
                <w:szCs w:val="22"/>
                <w:lang w:bidi="ar"/>
                <w14:textFill>
                  <w14:solidFill>
                    <w14:schemeClr w14:val="tx1"/>
                  </w14:solidFill>
                </w14:textFill>
              </w:rPr>
              <w:t>材质：仪器箱体全新优质PP材料注塑一体成型，盖子采用全新ABS加强材料注塑成型，盖子四周全新PP围边，注塑成型, 拉伸性能测试执行：ASTM D-638标准，为材料的使用提供判断依据﹒弯曲性能测试执行ASTM D-790标准，通过测试﹐预测材料在成型后之受力变形情况。冲击性能测试执行ASTM D256标准，测试物体受外界冲击时产生的抵抗外力的强度，即冲击强度。仪器箱两端设有活动式卡扣，整体造型美观适用，盖子其中一角采用防呆式设计，防止使用过程中误操作反装。内置弹性体内衬，仪器嵌入式专槽定位，方便器材取用保管。叠加方式：既可叠加组合摆放，也可放置于仪器柜或货架。</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【主要器材配置】：</w:t>
            </w:r>
          </w:p>
          <w:p w14:paraId="5135FDD5">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 1：养蚕盒  2：培养皿  3：放大镜  4：桑蚕生活史标本  5：手电筒  6：木圆柱  7：燕尾夹  8：月相卡片  9：太阳系模型  10：制作日晷模型  11：制作三球仪材料 12：大小不同的球  13：沙子  14：长方形塑料盒  15：正方体块  16：平面地形地球仪  17：世界地形图  18：透明计算纸 等</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 xml:space="preserve">【主要器材参数】： </w:t>
            </w:r>
          </w:p>
          <w:p w14:paraId="1F57BA10">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1.养蚕盒 1 个（材质：环保塑料、参数：6.5*6.5*4.5cm透明度高、带有透气孔、操作简单、喂食方便）。</w:t>
            </w:r>
          </w:p>
          <w:p w14:paraId="0389AE97">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2.培养皿 1 个（材质采用BORO3.3高硼硅、可耐酸碱抗腐蚀、工艺：精工烧结，依据实验和设计要求定制，无毛刺锐角，可耐高温600度，低温-180度;产品直径100mm、底98mm、高23mm;盖直径105mm、盖高22mm;刻度清晰、表面光滑、放置平稳、耐磨不花）。</w:t>
            </w:r>
          </w:p>
          <w:p w14:paraId="53FB81DD">
            <w:pPr>
              <w:widowControl/>
              <w:numPr>
                <w:ilvl w:val="0"/>
                <w:numId w:val="26"/>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放大镜 1 个（材质：PVC、手持式、5倍、直径40mm）。</w:t>
            </w:r>
          </w:p>
          <w:p w14:paraId="72B1DF29">
            <w:pPr>
              <w:widowControl/>
              <w:numPr>
                <w:ilvl w:val="0"/>
                <w:numId w:val="26"/>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桑蚕生活史标本 1 套（材质：高分子树脂+标本、高透明无杂质、方便直观、真实自然、安全无毒、可以长久保存）。</w:t>
            </w:r>
          </w:p>
          <w:p w14:paraId="2CCB2CF8">
            <w:pPr>
              <w:widowControl/>
              <w:numPr>
                <w:ilvl w:val="0"/>
                <w:numId w:val="26"/>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手电筒 1 个（材质：不锈钢、供电方式：7号电池、多功能手电筒、便捷舒适开关）。</w:t>
            </w:r>
          </w:p>
          <w:p w14:paraId="0988F05A">
            <w:pPr>
              <w:widowControl/>
              <w:numPr>
                <w:ilvl w:val="0"/>
                <w:numId w:val="26"/>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木圆柱 1 袋（材质：松木、直径2*2cm、表面圆润无毛刺、无结巴、手感舒适）。</w:t>
            </w:r>
          </w:p>
          <w:p w14:paraId="65796065">
            <w:pPr>
              <w:widowControl/>
              <w:numPr>
                <w:ilvl w:val="0"/>
                <w:numId w:val="26"/>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燕尾夹 1 个（材质：金属、外层电镀烤漆工艺、不易生锈、 彩色长尾夹、张合力度适中、反复使用不易松弛、硬度韧性高、桶装收纳更方便、四色混装便于分类））。</w:t>
            </w:r>
          </w:p>
          <w:p w14:paraId="7C73E944">
            <w:pPr>
              <w:widowControl/>
              <w:numPr>
                <w:ilvl w:val="0"/>
                <w:numId w:val="26"/>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月相卡片 1片 （材质是厚实有质量的卡纸、表面光滑、经过压光、挺度高、整张A4纸大小））。</w:t>
            </w:r>
          </w:p>
          <w:p w14:paraId="05C8C919">
            <w:pPr>
              <w:widowControl/>
              <w:numPr>
                <w:ilvl w:val="0"/>
                <w:numId w:val="26"/>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太阳系模型 1 套（材质：环保塑料、圆形收纳盒包装、美观易整理、配件结实、坚固耐用、可自由组装拆卸反复使用）。</w:t>
            </w:r>
          </w:p>
          <w:p w14:paraId="02D76D12">
            <w:pPr>
              <w:widowControl/>
              <w:numPr>
                <w:ilvl w:val="0"/>
                <w:numId w:val="26"/>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制作日晷模型 1 个（由多种配件组装而成）。</w:t>
            </w:r>
          </w:p>
          <w:p w14:paraId="1D800CBB">
            <w:pPr>
              <w:widowControl/>
              <w:numPr>
                <w:ilvl w:val="0"/>
                <w:numId w:val="26"/>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制作三球仪材料 1 套（塑料件为积木、多种拼接搭建组装） 。12.大小不同的球1袋（由6种、不同材质、不同大小、不同颜色的球组成 ）。</w:t>
            </w:r>
          </w:p>
          <w:p w14:paraId="54751676">
            <w:pPr>
              <w:widowControl/>
              <w:numPr>
                <w:ilvl w:val="0"/>
                <w:numId w:val="26"/>
              </w:numPr>
              <w:tabs>
                <w:tab w:val="clear" w:pos="312"/>
              </w:tabs>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沙子 1 袋（采用白沙、质地细腻、大小均匀、超高纯度）。</w:t>
            </w:r>
          </w:p>
          <w:p w14:paraId="2AEB8403">
            <w:pPr>
              <w:widowControl/>
              <w:numPr>
                <w:ilvl w:val="0"/>
                <w:numId w:val="26"/>
              </w:numPr>
              <w:tabs>
                <w:tab w:val="clear" w:pos="312"/>
              </w:tabs>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长方形塑料盒 1 个（优质塑料材质、壁厚均匀坚固耐用、表面光滑无突起感、尺寸参数：250*180*100mm）。</w:t>
            </w:r>
          </w:p>
          <w:p w14:paraId="28342415">
            <w:pPr>
              <w:widowControl/>
              <w:numPr>
                <w:ilvl w:val="0"/>
                <w:numId w:val="26"/>
              </w:numPr>
              <w:tabs>
                <w:tab w:val="clear" w:pos="312"/>
              </w:tabs>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正方体块 1 个（材质：新西兰松木 参数：1*1CM、具有松香味、色淡黄。优点是：色泽天然、保持了松木的天然本色，纹理清楚美观、线条饱满流畅、尽现良好加质感、弹性和透气性强但木质松软）  。</w:t>
            </w:r>
          </w:p>
          <w:p w14:paraId="73590DEC">
            <w:pPr>
              <w:widowControl/>
              <w:numPr>
                <w:ilvl w:val="0"/>
                <w:numId w:val="26"/>
              </w:numPr>
              <w:tabs>
                <w:tab w:val="clear" w:pos="312"/>
              </w:tabs>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平面地形地球仪 1个（参数：直径14.2CM、360度灵活旋转、印刷清晰刻度支架、采用防滑底垫不易晃动）。</w:t>
            </w:r>
          </w:p>
          <w:p w14:paraId="3A77FDD6">
            <w:pPr>
              <w:widowControl/>
              <w:numPr>
                <w:ilvl w:val="0"/>
                <w:numId w:val="26"/>
              </w:numPr>
              <w:tabs>
                <w:tab w:val="clear" w:pos="312"/>
              </w:tabs>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世界地形图 1 张（环保PVC材质、迷你新版世界地图、防水耐磨、产品参数：41.5*29CM） 。</w:t>
            </w:r>
          </w:p>
          <w:p w14:paraId="2851D22F">
            <w:pPr>
              <w:widowControl/>
              <w:numPr>
                <w:ilvl w:val="0"/>
                <w:numId w:val="26"/>
              </w:numPr>
              <w:tabs>
                <w:tab w:val="clear" w:pos="312"/>
              </w:tabs>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透明计算纸 1 袋（采用优质木浆、韧性强半透明）</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可完成实验】：动物的一生：观察蚕卵、为蚕宝宝建造一个“家”；认识其他动物的卵；观察蚕的生活、蚕的幼虫和食物；观察交流蚕吐丝结茧的过程、观察蚕蛹；观察蚕蛾、比较蚕蛾和蚕蛹；观察交流蚕一生中的生长变化情况；太阳、地球和月球：比较太阳和月球的不同、模拟在地球看太阳和月球；制作简易日晷观察影子变化规律；模拟影子的产生和变化、手影游戏；观察月相、给月相排序；观察了解月球、模拟制造环形山；对比观察船模在球面和平面上的移动、对比观察正方体和球体投射的影子；观察地球仪上的水域、观察地图比较陆地与海洋哪个面积大等实验项目。</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F92DF0">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643A5D">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箱</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571FC405">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78AFE388">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63EF074D">
        <w:tblPrEx>
          <w:tblCellMar>
            <w:top w:w="0" w:type="dxa"/>
            <w:left w:w="108" w:type="dxa"/>
            <w:bottom w:w="0" w:type="dxa"/>
            <w:right w:w="108" w:type="dxa"/>
          </w:tblCellMar>
        </w:tblPrEx>
        <w:trPr>
          <w:trHeight w:val="416"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635AD600">
            <w:pPr>
              <w:widowControl/>
              <w:jc w:val="center"/>
              <w:textAlignment w:val="center"/>
              <w:rPr>
                <w:rFonts w:hint="eastAsia" w:ascii="新宋体" w:hAnsi="新宋体" w:eastAsia="新宋体" w:cs="新宋体"/>
                <w:color w:val="000000" w:themeColor="text1"/>
                <w:kern w:val="0"/>
                <w:sz w:val="22"/>
                <w:szCs w:val="22"/>
                <w:lang w:bidi="ar"/>
                <w14:textFill>
                  <w14:solidFill>
                    <w14:schemeClr w14:val="tx1"/>
                  </w14:solidFill>
                </w14:textFill>
              </w:rPr>
            </w:pPr>
            <w:r>
              <w:rPr>
                <w:rFonts w:hint="eastAsia" w:ascii="新宋体" w:hAnsi="新宋体" w:eastAsia="新宋体" w:cs="新宋体"/>
                <w:color w:val="000000" w:themeColor="text1"/>
                <w:kern w:val="0"/>
                <w:sz w:val="22"/>
                <w:szCs w:val="22"/>
                <w:lang w:bidi="ar"/>
                <w14:textFill>
                  <w14:solidFill>
                    <w14:schemeClr w14:val="tx1"/>
                  </w14:solidFill>
                </w14:textFill>
              </w:rPr>
              <w:t>12</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0BAD5">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能量的主题实验箱</w:t>
            </w:r>
            <w:r>
              <w:rPr>
                <w:rFonts w:hint="eastAsia" w:ascii="宋体" w:hAnsi="宋体" w:cs="宋体"/>
                <w:b/>
                <w:bCs/>
                <w:color w:val="000000" w:themeColor="text1"/>
                <w:kern w:val="0"/>
                <w:sz w:val="22"/>
                <w:szCs w:val="22"/>
                <w:lang w:bidi="ar"/>
                <w14:textFill>
                  <w14:solidFill>
                    <w14:schemeClr w14:val="tx1"/>
                  </w14:solidFill>
                </w14:textFill>
              </w:rPr>
              <w:t>（样品）</w:t>
            </w:r>
          </w:p>
        </w:tc>
        <w:tc>
          <w:tcPr>
            <w:tcW w:w="5770" w:type="dxa"/>
            <w:tcBorders>
              <w:top w:val="single" w:color="000000" w:sz="4" w:space="0"/>
              <w:left w:val="single" w:color="000000" w:sz="4" w:space="0"/>
              <w:bottom w:val="single" w:color="000000" w:sz="4" w:space="0"/>
              <w:right w:val="single" w:color="000000" w:sz="4" w:space="0"/>
            </w:tcBorders>
          </w:tcPr>
          <w:p w14:paraId="189C4863">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【科学仪器箱参数】：</w:t>
            </w:r>
          </w:p>
          <w:p w14:paraId="3E91AA9F">
            <w:pPr>
              <w:widowControl/>
              <w:numPr>
                <w:ilvl w:val="0"/>
                <w:numId w:val="3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外形尺寸：约530*350*165（mm)</w:t>
            </w:r>
          </w:p>
          <w:p w14:paraId="754B797D">
            <w:pPr>
              <w:widowControl/>
              <w:numPr>
                <w:ilvl w:val="0"/>
                <w:numId w:val="3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材质：仪器箱体全新优质PP材料注塑一体成型，盖子采用全新ABS加强材料注塑成型，盖子四周全新PP围边，注塑成型, 拉伸性能测试执行：ASTM D-638标准，为材料的使用提供判断依据﹒弯曲性能测试执行ASTM D-790标准，通过测试﹐预测材料在成型后之受力变形情况。冲击性能测试执行ASTM D256标准，测试物体受外界冲击时产生的抵抗外力的强度，即冲击强度。仪器箱两端设有活动式卡扣，整体造型美观适用，盖子其中一角采用防呆式设计，防止使用过程中误操作反装。内置弹性体内衬，仪器嵌入式专槽定位，方便器材取用保管。叠加方式：既可叠加组合摆放，也可放置于仪器柜或货架。       </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【主要器材配置】：</w:t>
            </w:r>
          </w:p>
          <w:p w14:paraId="6B80A78B">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1：电池盒  2：小灯座 :  3：小灯泡  4：单刀开关  5：连接导线   6：长导线  7：指南针  8：电磁铁组装材料  9：回形针  10：小型电动机模型 11：手摇发电机    12：太阳能小车等.</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【主要器材参数】：</w:t>
            </w:r>
          </w:p>
          <w:p w14:paraId="41A87881">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1.电池盒 4 个（外型尺寸113*51*41（mm)，上下壳体结构，塑料模具注塑成型。R20（1＃）电池用，有接线柱，负极采用用弹簧触点，正极采用弹片触点，顶部设有两条20*9（mm)电池防护筋条，4MM多用香蕉插投，有串联接插口，电池装反时不能接通）。 </w:t>
            </w:r>
          </w:p>
          <w:p w14:paraId="7723D430">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2.小灯座 1 个（E10螺口灯座，外形尺寸100*69*52（mm)，L型创新设计，侧面印刷有灯座原理标识，由底座、接线柱和灯座等组成。底座采用注塑模具注塑成型，ABS材料，最高工作电压应为36 V 最大工作电流应为2.5 A。灯座口圈应采用厚0.4 mm～0.5mm 的黄铜材料制作，中心触点应采用厚0.3 mm～0.4 mm 的磷铜材料制作。两接线柱之间绝缘电阻应≥2 M</w:t>
            </w:r>
            <w:r>
              <w:rPr>
                <w:rStyle w:val="196"/>
                <w:color w:val="000000" w:themeColor="text1"/>
                <w:sz w:val="22"/>
                <w:szCs w:val="22"/>
                <w:lang w:bidi="ar"/>
                <w14:textFill>
                  <w14:solidFill>
                    <w14:schemeClr w14:val="tx1"/>
                  </w14:solidFill>
                </w14:textFill>
              </w:rPr>
              <w:t>Ω</w:t>
            </w:r>
            <w:r>
              <w:rPr>
                <w:rFonts w:hint="eastAsia" w:ascii="宋体" w:hAnsi="宋体" w:cs="宋体"/>
                <w:color w:val="000000" w:themeColor="text1"/>
                <w:kern w:val="0"/>
                <w:sz w:val="22"/>
                <w:szCs w:val="22"/>
                <w:lang w:bidi="ar"/>
                <w14:textFill>
                  <w14:solidFill>
                    <w14:schemeClr w14:val="tx1"/>
                  </w14:solidFill>
                </w14:textFill>
              </w:rPr>
              <w:t>）。</w:t>
            </w:r>
          </w:p>
          <w:p w14:paraId="349021C9">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3.小灯泡 1 袋（材质：环保阻燃材料、螺口灯座，纯铜接线柱等主要配件组成、造型新颖美观、安全耐用）。</w:t>
            </w:r>
          </w:p>
          <w:p w14:paraId="186CE8AD">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4.单刀开关 1 个（外形尺寸100*69*52（mm)，L型创新设计，上下壳结构，塑料模具注塑成型。侧面印刷有单刀开关原理标识，最高工作电压36 V，额定工作电流6 A。开关闸刀、接线柱、垫片均为铜质。闸刀宽度≥7 mm，闸刀厚度≥0.7 mm。接线柱直径为4 mm，有效行程≥4 mm。通额定电流，导电部分允许温升≤5 ℃，操作手柄允许温升≤25 ℃。开关的绝缘强度应能承受1200 V 在额定直流电流工作条件下，接线两端直流电压降≤100 Mv）。</w:t>
            </w:r>
          </w:p>
          <w:p w14:paraId="2526E15B">
            <w:pPr>
              <w:widowControl/>
              <w:numPr>
                <w:ilvl w:val="0"/>
                <w:numId w:val="31"/>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连接导线 1 组（塑壳材质：丁晴软线；金属材质：纯铜；颜色：红、黑；连接方式：4MM注塑型香蕉插头）。</w:t>
            </w:r>
          </w:p>
          <w:p w14:paraId="5FA035DA">
            <w:pPr>
              <w:widowControl/>
              <w:numPr>
                <w:ilvl w:val="0"/>
                <w:numId w:val="31"/>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长导线 1 根（外壳材质：聚氯乙烯、具有防火阻燃、抗冻、寿命长等特点；线芯：无氧纯铜、抗老化、衰减小、传输稳定抗氧化、电阻小、传输快速稳定、单芯硬铜导线）。</w:t>
            </w:r>
          </w:p>
          <w:p w14:paraId="203EC536">
            <w:pPr>
              <w:widowControl/>
              <w:numPr>
                <w:ilvl w:val="0"/>
                <w:numId w:val="31"/>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指南针 1 个（金属外壳、高精度、定位指北、小巧、轻便、实用）。</w:t>
            </w:r>
          </w:p>
          <w:p w14:paraId="23207A5E">
            <w:pPr>
              <w:widowControl/>
              <w:numPr>
                <w:ilvl w:val="0"/>
                <w:numId w:val="31"/>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电磁铁组装材料 1 套（产品主要由电池盒、导线、绕线线圈等组成）。</w:t>
            </w:r>
          </w:p>
          <w:p w14:paraId="30032225">
            <w:pPr>
              <w:widowControl/>
              <w:numPr>
                <w:ilvl w:val="0"/>
                <w:numId w:val="31"/>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回形针 1 盒(材质：PVC+钢丝、透明塑料盒包装取拿方便、色彩鲜艳易于分辨、体积小巧易于拿握) 。</w:t>
            </w:r>
          </w:p>
          <w:p w14:paraId="0341AF8D">
            <w:pPr>
              <w:widowControl/>
              <w:numPr>
                <w:ilvl w:val="0"/>
                <w:numId w:val="31"/>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小型电动机模型 1 套（由底座、接线柱、磁铁、小风扇等配件组合而成、以此了解电动机转动的秘密） 。</w:t>
            </w:r>
          </w:p>
          <w:p w14:paraId="09F859FD">
            <w:pPr>
              <w:widowControl/>
              <w:numPr>
                <w:ilvl w:val="0"/>
                <w:numId w:val="31"/>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手摇发电机 1 套（外壳材质：环保PC、透明外壳便于学生观察原理、无异味不刮手、能激发学生学习兴趣和求知欲） 12：太阳能小车 1 套（材质：塑料+金属元件等多种配件组成）等。                                                                                                                                    【可完成实验】：能量：电和磁；电能和磁能；电磁铁；神奇的小电动机；能量从哪里来等实验项目。</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A1075F">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A4846C">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箱</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1D78E151">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701248" behindDoc="0" locked="0" layoutInCell="1" allowOverlap="1">
                  <wp:simplePos x="0" y="0"/>
                  <wp:positionH relativeFrom="column">
                    <wp:posOffset>574675</wp:posOffset>
                  </wp:positionH>
                  <wp:positionV relativeFrom="paragraph">
                    <wp:posOffset>-100330</wp:posOffset>
                  </wp:positionV>
                  <wp:extent cx="829310" cy="640080"/>
                  <wp:effectExtent l="0" t="0" r="8890" b="7620"/>
                  <wp:wrapNone/>
                  <wp:docPr id="406183853" name="图片_19"/>
                  <wp:cNvGraphicFramePr/>
                  <a:graphic xmlns:a="http://schemas.openxmlformats.org/drawingml/2006/main">
                    <a:graphicData uri="http://schemas.openxmlformats.org/drawingml/2006/picture">
                      <pic:pic xmlns:pic="http://schemas.openxmlformats.org/drawingml/2006/picture">
                        <pic:nvPicPr>
                          <pic:cNvPr id="406183853" name="图片_19"/>
                          <pic:cNvPicPr/>
                        </pic:nvPicPr>
                        <pic:blipFill>
                          <a:blip r:embed="rId61"/>
                          <a:stretch>
                            <a:fillRect/>
                          </a:stretch>
                        </pic:blipFill>
                        <pic:spPr>
                          <a:xfrm>
                            <a:off x="0" y="0"/>
                            <a:ext cx="829310" cy="640080"/>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4168937D">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4D7BA651">
        <w:tblPrEx>
          <w:tblCellMar>
            <w:top w:w="0" w:type="dxa"/>
            <w:left w:w="108" w:type="dxa"/>
            <w:bottom w:w="0" w:type="dxa"/>
            <w:right w:w="108" w:type="dxa"/>
          </w:tblCellMar>
        </w:tblPrEx>
        <w:trPr>
          <w:trHeight w:val="416"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63F7F1E2">
            <w:pPr>
              <w:widowControl/>
              <w:jc w:val="center"/>
              <w:textAlignment w:val="center"/>
              <w:rPr>
                <w:rFonts w:hint="eastAsia" w:ascii="新宋体" w:hAnsi="新宋体" w:eastAsia="新宋体" w:cs="新宋体"/>
                <w:color w:val="000000" w:themeColor="text1"/>
                <w:kern w:val="0"/>
                <w:sz w:val="22"/>
                <w:szCs w:val="22"/>
                <w:lang w:bidi="ar"/>
                <w14:textFill>
                  <w14:solidFill>
                    <w14:schemeClr w14:val="tx1"/>
                  </w14:solidFill>
                </w14:textFill>
              </w:rPr>
            </w:pPr>
            <w:r>
              <w:rPr>
                <w:rFonts w:hint="eastAsia" w:ascii="新宋体" w:hAnsi="新宋体" w:eastAsia="新宋体" w:cs="新宋体"/>
                <w:color w:val="000000" w:themeColor="text1"/>
                <w:kern w:val="0"/>
                <w:sz w:val="22"/>
                <w:szCs w:val="22"/>
                <w:lang w:bidi="ar"/>
                <w14:textFill>
                  <w14:solidFill>
                    <w14:schemeClr w14:val="tx1"/>
                  </w14:solidFill>
                </w14:textFill>
              </w:rPr>
              <w:t>13</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074DEF">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演示实验展示台</w:t>
            </w:r>
          </w:p>
        </w:tc>
        <w:tc>
          <w:tcPr>
            <w:tcW w:w="5770" w:type="dxa"/>
            <w:tcBorders>
              <w:top w:val="single" w:color="000000" w:sz="4" w:space="0"/>
              <w:left w:val="single" w:color="000000" w:sz="4" w:space="0"/>
              <w:bottom w:val="single" w:color="000000" w:sz="4" w:space="0"/>
              <w:right w:val="single" w:color="000000" w:sz="4" w:space="0"/>
            </w:tcBorders>
          </w:tcPr>
          <w:p w14:paraId="454593B4">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1.演示实验展示台：把数字化实验室带进课堂，便捷使用，集成多项实验功能，是硬件、软件、传感器相结合的创新技术。内置10.1寸触摸屏，800*3(RGB)*1280像素，像素间距0.1692*0.1692，防炫光MPI， 双核1GHz高性能处理器，简体中文界面，能自动识别数据及其状态。集成教学电源、光学实验、电学实验、声学实验、热学实验、视频投屏放大功能、演示平台、仪器储存8项功能。视频展示仪，支持多角度拍摄，能实现实物和动态教学。体验数字化环境及问题解决方案。是展示实验设计、实验数据、实验过程、实验结论等多功能教学一体机设备。适用于物理、化学、生物、科学等实验用可移动式演示车。</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外观和结构：合理的布局，人性化设计。优化产品的交互界面、视觉、效果、信息架构等方面，独特的设计理念，包括外观、使用体验、功能性、可持续性等多个方面创新。车体柜体材质为全钢结构，外形尺寸：长920 mm *宽600mm *高780 mm（含万向轮），板材采用1.0mm厚优质钢板为基材，全自动折弯、焊接、打磨成型；表面经磷化、酸洗、环氧树脂粉末烤漆处理，化学防锈处理，无突出漆块，光洁亮丽，抗强酸强碱性能突出。底部设有4个3寸平板刹车万向轮，TPR静音轮，行走无声，顺滑无痕，一体式双刹车设计，停靠更平稳安全，优质高速转动珠盘，360°灵活旋转无卡顿。前端设有U型推手，折弯焊接成型，推手四周R角顺接处理，防止划伤。导轨使用冷轧钢材质，表面防锈处理，前端设有定位橡胶，抽屉关闭时导轨卡停在橡胶位置，防止抽屉自动滑开，钢珠排列整齐，滑动时高效稳定，降低导轨滑行摩擦阻力，抽拉时轻盈舒适。视频展示仪可折叠、可伸缩结构，主体采用铝合金阳极氧化处理，关节处采用缓冲阻尼设计。</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主要功能描述：</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一：教学电源功能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控制面板设有开关控制，无极调节，屏幕实时显示数据。配有4 mm香蕉插座，外壳ABS注塑成型，额定电压电流：30VAC-60VDC/MAX 24A,金属部分黄铜镀镍处理，工作性能稳定，有较强的耐磨性、耐腐蚀和耐热性。主要功能：交流：2V～24V，每2V一档，2V～6V/12A，8V～12V/6A，14V～24V/3。直流稳压：1V～25V分档连续可调，2V～6V/6A，8V～12V/4A，14V～24V/2A；40A、8s自动关断。</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二：光学实验功能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触摸屏直接控制，可单独显示红、绿、蓝三原色，也可显示双色光混合色和三色光混合色，面板上手指触摸拖拽模式自动显现实验效果。该项功能时根据教育部物理课程标准中有关光的三色原理合成的教学内容而设计，替代实验器材直接完成实验。</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可完成以下实验：</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1：.颜料的三原色实验。2：光的三原色实验 .3: 了解白光的组成，能从物理学视角正确描述和解释自然现象，能综合应用所学知识解决实际问题。4：用科学推理的思维方法分析、归纳总结实验中白光的色散与合成规律。</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三：电学实验功能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能自动识别数据及其状态，电阻测量功能，测量范围5-30</w:t>
            </w:r>
            <w:r>
              <w:rPr>
                <w:rStyle w:val="196"/>
                <w:color w:val="000000" w:themeColor="text1"/>
                <w:sz w:val="22"/>
                <w:szCs w:val="22"/>
                <w:lang w:bidi="ar"/>
                <w14:textFill>
                  <w14:solidFill>
                    <w14:schemeClr w14:val="tx1"/>
                  </w14:solidFill>
                </w14:textFill>
              </w:rPr>
              <w:t>Ω</w:t>
            </w:r>
            <w:r>
              <w:rPr>
                <w:rFonts w:hint="eastAsia" w:ascii="宋体" w:hAnsi="宋体" w:cs="宋体"/>
                <w:color w:val="000000" w:themeColor="text1"/>
                <w:kern w:val="0"/>
                <w:sz w:val="22"/>
                <w:szCs w:val="22"/>
                <w:lang w:bidi="ar"/>
                <w14:textFill>
                  <w14:solidFill>
                    <w14:schemeClr w14:val="tx1"/>
                  </w14:solidFill>
                </w14:textFill>
              </w:rPr>
              <w:t>，电压测量功能，测量直流范围0-12V，电流测量功能，0.6/3A双量程，数字/指针式双显示，测量结果显示实时显示在模拟表盘的刻度上，避免学生因观看角度不同而造成的读数误差，具备多种实验数据与图线。</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可完成一下实验：</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1：测量电路中的电流。2：测量电路中用电器两端电压和电路两端的电压。3：伏安法测电阻。4：伏安法测电功率。5：探究影响电阻大小的因素。6：探究影响电功大小的因。7：探究影响电功率大小的因素。8：电路中电流与电压、电阻的关系。</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四：声学实验功能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音频分析功能，能够显示音频特征，音频特性视觉化展示。内置外磁式喇叭，频率响应FO-1500（kHz），额定功率100W，可以展示声音波形，内置发音装置，可以发出人,狗,猫,蝙蝠,海豚,大象等声音，和发出音叉，钢琴，长笛声音，可以发出0,10,20,30,40,50,60,70,80,90,100分贝的声音。</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可完成实验：</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1：响度实验。2：音调实验。3：声音具有能量。4：测量噪音。5：观察声音的波形。6：声音的产生实验</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五：热学实验功能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内置温度传感器接口，Pt100温度传感器，防水，测温范围0-100℃，实时显示温度测量数据。</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可完成一下实验</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1：测量液体的温度。2：探究水沸腾时温度变化的特点。3探究物质熔化和凝固的过程及特点</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六：视频展示仪功能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采用CMOS感应器，像素1200万，自动对焦（单次自动对焦、连续自动对焦），设有多角度调节和高度伸缩功能，支持拍照录像实时标注的功能，可在实验过程中拍摄或投影到白板或黑板上，具有多方向调节功能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七：演示平台</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演示车顶面设有500mm*800mm演示实验操作区域，采用1.0mm冷轧钢板，表面平整，底部横梁加强支撑设计，全圆满焊接完成，结构牢固，经高温粉体烤漆处理，表面涂覆层均匀，长时间使用也不会产生表面烤漆剥落现象。侧面设有加长实验区，可放置和使用1米以上的实验仪器，增加实验操作区范围，使用最大范围长度可达1.2米。</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 xml:space="preserve">八：仪器储存 </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超大空间设计，演示车设有1：仪器箱储存区、2：示教版储存区、3：实验药品储存区、4：防护用品储存区、5：实验工具储存区。.仪器储存区≥550 mm *500 mm *370 mm，适合放置各式仪器实验箱和各类仪器。示教版储存区≥580 mm *500 mm *220 mm，放置各种型号的示教版。前端设有抽屉，可放置实验工具，实验药品储存区和防护用品储存区≥520 mm *230 mm *200 mm，可放置各类药品和防护用品。</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403DFB">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9674A3">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370582BB">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702272" behindDoc="0" locked="0" layoutInCell="1" allowOverlap="1">
                  <wp:simplePos x="0" y="0"/>
                  <wp:positionH relativeFrom="column">
                    <wp:posOffset>223520</wp:posOffset>
                  </wp:positionH>
                  <wp:positionV relativeFrom="paragraph">
                    <wp:posOffset>-584200</wp:posOffset>
                  </wp:positionV>
                  <wp:extent cx="1350010" cy="1416685"/>
                  <wp:effectExtent l="0" t="0" r="2540" b="12065"/>
                  <wp:wrapNone/>
                  <wp:docPr id="2047851155" name="图片_1"/>
                  <wp:cNvGraphicFramePr/>
                  <a:graphic xmlns:a="http://schemas.openxmlformats.org/drawingml/2006/main">
                    <a:graphicData uri="http://schemas.openxmlformats.org/drawingml/2006/picture">
                      <pic:pic xmlns:pic="http://schemas.openxmlformats.org/drawingml/2006/picture">
                        <pic:nvPicPr>
                          <pic:cNvPr id="2047851155" name="图片_1"/>
                          <pic:cNvPicPr/>
                        </pic:nvPicPr>
                        <pic:blipFill>
                          <a:blip r:embed="rId62"/>
                          <a:stretch>
                            <a:fillRect/>
                          </a:stretch>
                        </pic:blipFill>
                        <pic:spPr>
                          <a:xfrm>
                            <a:off x="0" y="0"/>
                            <a:ext cx="1350010" cy="1416685"/>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noWrap/>
            <w:vAlign w:val="bottom"/>
          </w:tcPr>
          <w:p w14:paraId="697520E3">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77BCEF66">
        <w:tblPrEx>
          <w:tblCellMar>
            <w:top w:w="0" w:type="dxa"/>
            <w:left w:w="108" w:type="dxa"/>
            <w:bottom w:w="0" w:type="dxa"/>
            <w:right w:w="108" w:type="dxa"/>
          </w:tblCellMar>
        </w:tblPrEx>
        <w:trPr>
          <w:trHeight w:val="416" w:hRule="atLeast"/>
        </w:trPr>
        <w:tc>
          <w:tcPr>
            <w:tcW w:w="13372" w:type="dxa"/>
            <w:gridSpan w:val="6"/>
            <w:tcBorders>
              <w:top w:val="single" w:color="000000" w:sz="4" w:space="0"/>
              <w:left w:val="single" w:color="000000" w:sz="4" w:space="0"/>
              <w:bottom w:val="single" w:color="000000" w:sz="4" w:space="0"/>
              <w:right w:val="single" w:color="000000" w:sz="4" w:space="0"/>
            </w:tcBorders>
            <w:noWrap/>
            <w:vAlign w:val="center"/>
          </w:tcPr>
          <w:p w14:paraId="1BA842F3">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r>
              <w:rPr>
                <w:rFonts w:hint="eastAsia" w:asciiTheme="minorEastAsia" w:hAnsiTheme="minorEastAsia" w:eastAsiaTheme="minorEastAsia" w:cstheme="minorEastAsia"/>
                <w:b/>
                <w:bCs/>
                <w:color w:val="000000" w:themeColor="text1"/>
                <w:kern w:val="0"/>
                <w:sz w:val="22"/>
                <w:szCs w:val="22"/>
                <w:lang w:bidi="ar"/>
                <w14:textFill>
                  <w14:solidFill>
                    <w14:schemeClr w14:val="tx1"/>
                  </w14:solidFill>
                </w14:textFill>
              </w:rPr>
              <w:t>（六）6.2</w:t>
            </w:r>
            <w:r>
              <w:rPr>
                <w:rFonts w:hint="eastAsia" w:ascii="宋体" w:hAnsi="宋体" w:cs="宋体"/>
                <w:b/>
                <w:bCs/>
                <w:color w:val="000000" w:themeColor="text1"/>
                <w:kern w:val="0"/>
                <w:sz w:val="22"/>
                <w:szCs w:val="22"/>
                <w:lang w:bidi="ar"/>
                <w14:textFill>
                  <w14:solidFill>
                    <w14:schemeClr w14:val="tx1"/>
                  </w14:solidFill>
                </w14:textFill>
              </w:rPr>
              <w:t>、智能实验取电设备</w:t>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211D2FBB">
            <w:pPr>
              <w:widowControl/>
              <w:jc w:val="center"/>
              <w:textAlignment w:val="center"/>
              <w:rPr>
                <w:rFonts w:hint="eastAsia" w:ascii="宋体" w:hAnsi="宋体" w:cs="宋体"/>
                <w:b/>
                <w:bCs/>
                <w:color w:val="000000" w:themeColor="text1"/>
                <w:kern w:val="0"/>
                <w:sz w:val="22"/>
                <w:szCs w:val="22"/>
                <w:lang w:bidi="ar"/>
                <w14:textFill>
                  <w14:solidFill>
                    <w14:schemeClr w14:val="tx1"/>
                  </w14:solidFill>
                </w14:textFill>
              </w:rPr>
            </w:pPr>
          </w:p>
        </w:tc>
      </w:tr>
      <w:tr w14:paraId="18D9B1FC">
        <w:tblPrEx>
          <w:tblCellMar>
            <w:top w:w="0" w:type="dxa"/>
            <w:left w:w="108" w:type="dxa"/>
            <w:bottom w:w="0" w:type="dxa"/>
            <w:right w:w="108" w:type="dxa"/>
          </w:tblCellMar>
        </w:tblPrEx>
        <w:trPr>
          <w:trHeight w:val="416"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26390D6C">
            <w:pPr>
              <w:widowControl/>
              <w:jc w:val="center"/>
              <w:textAlignment w:val="center"/>
              <w:rPr>
                <w:rFonts w:hint="eastAsia" w:ascii="新宋体" w:hAnsi="新宋体" w:eastAsia="新宋体" w:cs="新宋体"/>
                <w:color w:val="000000" w:themeColor="text1"/>
                <w:kern w:val="0"/>
                <w:sz w:val="22"/>
                <w:szCs w:val="22"/>
                <w:lang w:bidi="ar"/>
                <w14:textFill>
                  <w14:solidFill>
                    <w14:schemeClr w14:val="tx1"/>
                  </w14:solidFill>
                </w14:textFill>
              </w:rPr>
            </w:pP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C4BB54">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5770" w:type="dxa"/>
            <w:tcBorders>
              <w:top w:val="single" w:color="000000" w:sz="4" w:space="0"/>
              <w:left w:val="single" w:color="000000" w:sz="4" w:space="0"/>
              <w:bottom w:val="single" w:color="000000" w:sz="4" w:space="0"/>
              <w:right w:val="single" w:color="000000" w:sz="4" w:space="0"/>
            </w:tcBorders>
          </w:tcPr>
          <w:p w14:paraId="17537037">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b/>
                <w:bCs/>
                <w:color w:val="000000" w:themeColor="text1"/>
                <w:kern w:val="0"/>
                <w:sz w:val="22"/>
                <w:szCs w:val="22"/>
                <w:lang w:bidi="ar"/>
                <w14:textFill>
                  <w14:solidFill>
                    <w14:schemeClr w14:val="tx1"/>
                  </w14:solidFill>
                </w14:textFill>
              </w:rPr>
              <w:t>1、集成主控制软件系统</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04BAA1">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78ABBA">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2F60AE27">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noWrap/>
            <w:vAlign w:val="bottom"/>
          </w:tcPr>
          <w:p w14:paraId="2B05CEC2">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1FAC4E3D">
        <w:tblPrEx>
          <w:tblCellMar>
            <w:top w:w="0" w:type="dxa"/>
            <w:left w:w="108" w:type="dxa"/>
            <w:bottom w:w="0" w:type="dxa"/>
            <w:right w:w="108" w:type="dxa"/>
          </w:tblCellMar>
        </w:tblPrEx>
        <w:trPr>
          <w:trHeight w:val="94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728DCB4A">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14</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BCBF4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控制柜</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04030F">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1.控制柜外形尺寸：约1100*500*180mm(±5mm)。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控制箱内置：10寸彩色液晶触摸屏一台，3P总电源开关1组，220V漏电保护开关1个，220V交流接触器1个，24V直流电源1个，220V空气开关，动力线端子台，接地端子等。单片机控制器及功能扩展模块1套，单片机保护模块1个 急停控制系统1套；(WiFi模块控制1套,，2.4G 5G 5.8G双频吸盘天线5-12dbi无线路由SMA全向高增益wifi天线一套,选配），启动开关一个，工作指示灯系统1套。机柜控制板由专业PCB设计，软件编程及设计团队独立研发，采用CAN总线技术接收发送主控制系统控制通信，板载温湿度监控单元，WiFi控制单元等信号采集处理，反馈采集信息和主控系统进行自动化处理。</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F6034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auto" w:sz="4" w:space="0"/>
              <w:right w:val="single" w:color="000000" w:sz="4" w:space="0"/>
            </w:tcBorders>
            <w:shd w:val="clear" w:color="auto" w:fill="FFFFFF"/>
            <w:vAlign w:val="center"/>
          </w:tcPr>
          <w:p w14:paraId="34E7C64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台</w:t>
            </w:r>
          </w:p>
        </w:tc>
        <w:tc>
          <w:tcPr>
            <w:tcW w:w="3345" w:type="dxa"/>
            <w:tcBorders>
              <w:top w:val="single" w:color="000000" w:sz="4" w:space="0"/>
              <w:left w:val="single" w:color="000000" w:sz="4" w:space="0"/>
              <w:bottom w:val="single" w:color="auto" w:sz="4" w:space="0"/>
              <w:right w:val="single" w:color="000000" w:sz="4" w:space="0"/>
            </w:tcBorders>
            <w:vAlign w:val="center"/>
          </w:tcPr>
          <w:p w14:paraId="3AAE80C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95104" behindDoc="0" locked="0" layoutInCell="1" allowOverlap="1">
                  <wp:simplePos x="0" y="0"/>
                  <wp:positionH relativeFrom="column">
                    <wp:posOffset>635000</wp:posOffset>
                  </wp:positionH>
                  <wp:positionV relativeFrom="paragraph">
                    <wp:posOffset>27305</wp:posOffset>
                  </wp:positionV>
                  <wp:extent cx="334010" cy="739140"/>
                  <wp:effectExtent l="0" t="0" r="8890" b="3810"/>
                  <wp:wrapNone/>
                  <wp:docPr id="61" name="图片_23"/>
                  <wp:cNvGraphicFramePr/>
                  <a:graphic xmlns:a="http://schemas.openxmlformats.org/drawingml/2006/main">
                    <a:graphicData uri="http://schemas.openxmlformats.org/drawingml/2006/picture">
                      <pic:pic xmlns:pic="http://schemas.openxmlformats.org/drawingml/2006/picture">
                        <pic:nvPicPr>
                          <pic:cNvPr id="61" name="图片_23"/>
                          <pic:cNvPicPr/>
                        </pic:nvPicPr>
                        <pic:blipFill>
                          <a:blip r:embed="rId63"/>
                          <a:stretch>
                            <a:fillRect/>
                          </a:stretch>
                        </pic:blipFill>
                        <pic:spPr>
                          <a:xfrm>
                            <a:off x="0" y="0"/>
                            <a:ext cx="334010" cy="739140"/>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auto" w:sz="4" w:space="0"/>
              <w:right w:val="single" w:color="000000" w:sz="4" w:space="0"/>
            </w:tcBorders>
            <w:vAlign w:val="center"/>
          </w:tcPr>
          <w:p w14:paraId="538E930D">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631B21E2">
        <w:tblPrEx>
          <w:tblCellMar>
            <w:top w:w="0" w:type="dxa"/>
            <w:left w:w="108" w:type="dxa"/>
            <w:bottom w:w="0" w:type="dxa"/>
            <w:right w:w="108" w:type="dxa"/>
          </w:tblCellMar>
        </w:tblPrEx>
        <w:trPr>
          <w:trHeight w:val="9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30423EF2">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15</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759A02">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顶装智能控制模块</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A24599">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1.规格：10寸彩色液晶触摸屏，集成主控制系统。可执行各分项分页控制；初次以超级管理员身份登陆APP，提供密码修改，多用户注册，多用户进行管理功能。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1）主页：用户登入后进入主页模式。首先点击右侧电源图标进行连线才可以控制后面操作，在主页内显示当前温度，湿度，时间。此界面点击右上角菜单图标可以进行时间设置，用户管理，关于我们，使用说明操作。用户管理菜单内可以多进行多用户管理，删除，增加，修改密码等处理。</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升降控制：可以实现单个控制，可以集中控制，可以任意组合控制：此界面内对电源系统进行分组选择，全选，单选等操作。选择需要开启组项电机上升，下降，暂停图标来进行摇臂操作。摇臂升降过程中采用限位开关进行上下限到位保护。控制系统带障碍物保护功能，具有防夹，防卡功能，当摇臂在运动的过程中遇到障碍物时会自动停止。</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（3）高压：对吊装系统分成A,B两组和老师，可以进行分组选择，全选，单选等操作。可以控制学生，老师端高压220V，电源具有漏电、短路、过载保护，保证安全可靠。</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（4）低压：对吊装系统分成A,B两组和老师，可以进行分组选择，全选，单选等操作。可以控制学生，老师端低压交直流输出。低压输出学生电源交直流电压，具有智能保护系统，短路过载具有自动复位功能。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（5）照明：此界面内对吊装系统分成A,B两组和老师，可以进行分组选择，全选，单选等操作分组控制整室照明。</w:t>
            </w:r>
          </w:p>
        </w:tc>
        <w:tc>
          <w:tcPr>
            <w:tcW w:w="500" w:type="dxa"/>
            <w:tcBorders>
              <w:top w:val="single" w:color="000000" w:sz="4" w:space="0"/>
              <w:left w:val="single" w:color="000000" w:sz="4" w:space="0"/>
              <w:bottom w:val="single" w:color="000000" w:sz="4" w:space="0"/>
              <w:right w:val="single" w:color="auto" w:sz="4" w:space="0"/>
            </w:tcBorders>
            <w:shd w:val="clear" w:color="auto" w:fill="FFFFFF"/>
            <w:vAlign w:val="center"/>
          </w:tcPr>
          <w:p w14:paraId="3654D6A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auto" w:sz="4" w:space="0"/>
              <w:left w:val="single" w:color="auto" w:sz="4" w:space="0"/>
              <w:bottom w:val="single" w:color="auto" w:sz="4" w:space="0"/>
              <w:right w:val="single" w:color="auto" w:sz="4" w:space="0"/>
            </w:tcBorders>
            <w:shd w:val="clear" w:color="auto" w:fill="FFFFFF"/>
            <w:vAlign w:val="center"/>
          </w:tcPr>
          <w:p w14:paraId="6FBA7C02">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auto" w:sz="4" w:space="0"/>
              <w:left w:val="single" w:color="auto" w:sz="4" w:space="0"/>
              <w:bottom w:val="single" w:color="auto" w:sz="4" w:space="0"/>
              <w:right w:val="single" w:color="auto" w:sz="4" w:space="0"/>
            </w:tcBorders>
            <w:vAlign w:val="center"/>
          </w:tcPr>
          <w:p w14:paraId="6034484B">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auto" w:sz="4" w:space="0"/>
              <w:left w:val="single" w:color="auto" w:sz="4" w:space="0"/>
              <w:bottom w:val="single" w:color="auto" w:sz="4" w:space="0"/>
              <w:right w:val="single" w:color="auto" w:sz="4" w:space="0"/>
            </w:tcBorders>
            <w:vAlign w:val="center"/>
          </w:tcPr>
          <w:p w14:paraId="50C650EB">
            <w:pPr>
              <w:jc w:val="center"/>
              <w:rPr>
                <w:rFonts w:hint="eastAsia" w:ascii="宋体" w:hAnsi="宋体" w:cs="宋体"/>
                <w:color w:val="000000" w:themeColor="text1"/>
                <w:sz w:val="22"/>
                <w:szCs w:val="22"/>
                <w14:textFill>
                  <w14:solidFill>
                    <w14:schemeClr w14:val="tx1"/>
                  </w14:solidFill>
                </w14:textFill>
              </w:rPr>
            </w:pPr>
          </w:p>
        </w:tc>
      </w:tr>
      <w:tr w14:paraId="18E217C8">
        <w:tblPrEx>
          <w:tblCellMar>
            <w:top w:w="0" w:type="dxa"/>
            <w:left w:w="108" w:type="dxa"/>
            <w:bottom w:w="0" w:type="dxa"/>
            <w:right w:w="108" w:type="dxa"/>
          </w:tblCellMar>
        </w:tblPrEx>
        <w:trPr>
          <w:trHeight w:val="94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22EFC52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16</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6A374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移动端控制模块</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D7E37A">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机柜内设置WiFi模块，机柜内终端对移动端进行授权后手机，平板电脑移动端可以通过APP进行连入设备网络终端，可以进行吊装系统全部的操作。</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EB81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auto" w:sz="4" w:space="0"/>
              <w:left w:val="single" w:color="000000" w:sz="4" w:space="0"/>
              <w:bottom w:val="single" w:color="auto" w:sz="4" w:space="0"/>
              <w:right w:val="single" w:color="000000" w:sz="4" w:space="0"/>
            </w:tcBorders>
            <w:shd w:val="clear" w:color="auto" w:fill="FFFFFF"/>
            <w:vAlign w:val="center"/>
          </w:tcPr>
          <w:p w14:paraId="5E29B627">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auto" w:sz="4" w:space="0"/>
              <w:left w:val="single" w:color="000000" w:sz="4" w:space="0"/>
              <w:bottom w:val="single" w:color="auto" w:sz="4" w:space="0"/>
              <w:right w:val="single" w:color="auto" w:sz="4" w:space="0"/>
            </w:tcBorders>
            <w:vAlign w:val="center"/>
          </w:tcPr>
          <w:p w14:paraId="013DE7EA">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auto" w:sz="4" w:space="0"/>
              <w:left w:val="single" w:color="000000" w:sz="4" w:space="0"/>
              <w:bottom w:val="single" w:color="auto" w:sz="4" w:space="0"/>
              <w:right w:val="single" w:color="auto" w:sz="4" w:space="0"/>
            </w:tcBorders>
            <w:vAlign w:val="center"/>
          </w:tcPr>
          <w:p w14:paraId="3EF6B09C">
            <w:pPr>
              <w:jc w:val="center"/>
              <w:rPr>
                <w:rFonts w:hint="eastAsia" w:ascii="宋体" w:hAnsi="宋体" w:cs="宋体"/>
                <w:color w:val="000000" w:themeColor="text1"/>
                <w:sz w:val="22"/>
                <w:szCs w:val="22"/>
                <w14:textFill>
                  <w14:solidFill>
                    <w14:schemeClr w14:val="tx1"/>
                  </w14:solidFill>
                </w14:textFill>
              </w:rPr>
            </w:pPr>
          </w:p>
        </w:tc>
      </w:tr>
      <w:tr w14:paraId="24F7CFF6">
        <w:tblPrEx>
          <w:tblCellMar>
            <w:top w:w="0" w:type="dxa"/>
            <w:left w:w="108" w:type="dxa"/>
            <w:bottom w:w="0" w:type="dxa"/>
            <w:right w:w="108" w:type="dxa"/>
          </w:tblCellMar>
        </w:tblPrEx>
        <w:trPr>
          <w:trHeight w:val="94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34B7210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17</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7C084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温湿度监视模块</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65EBD">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内置精密温湿度传感装置，实时监控房间内的温度和湿度，保障室内舒适的环境舒适性，在触摸屏中实时显示当前环境的温度和湿度。</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7D557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6845C4F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项</w:t>
            </w:r>
          </w:p>
        </w:tc>
        <w:tc>
          <w:tcPr>
            <w:tcW w:w="3345" w:type="dxa"/>
            <w:tcBorders>
              <w:top w:val="single" w:color="auto" w:sz="4" w:space="0"/>
              <w:left w:val="single" w:color="000000" w:sz="4" w:space="0"/>
              <w:bottom w:val="single" w:color="000000" w:sz="4" w:space="0"/>
              <w:right w:val="single" w:color="auto" w:sz="4" w:space="0"/>
            </w:tcBorders>
            <w:vAlign w:val="center"/>
          </w:tcPr>
          <w:p w14:paraId="57A35F00">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auto" w:sz="4" w:space="0"/>
              <w:left w:val="single" w:color="000000" w:sz="4" w:space="0"/>
              <w:bottom w:val="single" w:color="000000" w:sz="4" w:space="0"/>
              <w:right w:val="single" w:color="auto" w:sz="4" w:space="0"/>
            </w:tcBorders>
            <w:vAlign w:val="center"/>
          </w:tcPr>
          <w:p w14:paraId="31806036">
            <w:pPr>
              <w:jc w:val="center"/>
              <w:rPr>
                <w:rFonts w:hint="eastAsia" w:ascii="宋体" w:hAnsi="宋体" w:cs="宋体"/>
                <w:color w:val="000000" w:themeColor="text1"/>
                <w:sz w:val="22"/>
                <w:szCs w:val="22"/>
                <w14:textFill>
                  <w14:solidFill>
                    <w14:schemeClr w14:val="tx1"/>
                  </w14:solidFill>
                </w14:textFill>
              </w:rPr>
            </w:pPr>
          </w:p>
        </w:tc>
      </w:tr>
      <w:tr w14:paraId="5C0E22EB">
        <w:tblPrEx>
          <w:tblCellMar>
            <w:top w:w="0" w:type="dxa"/>
            <w:left w:w="108" w:type="dxa"/>
            <w:bottom w:w="0" w:type="dxa"/>
            <w:right w:w="108" w:type="dxa"/>
          </w:tblCellMar>
        </w:tblPrEx>
        <w:trPr>
          <w:trHeight w:val="94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51F1C9C3">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D61CED">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076D5">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b/>
                <w:bCs/>
                <w:color w:val="000000" w:themeColor="text1"/>
                <w:kern w:val="0"/>
                <w:sz w:val="22"/>
                <w:szCs w:val="22"/>
                <w:lang w:bidi="ar"/>
                <w14:textFill>
                  <w14:solidFill>
                    <w14:schemeClr w14:val="tx1"/>
                  </w14:solidFill>
                </w14:textFill>
              </w:rPr>
              <w:t>2、学生吊装顶部集成供给系统</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7B8ED6">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239030">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3345" w:type="dxa"/>
            <w:tcBorders>
              <w:top w:val="single" w:color="000000" w:sz="4" w:space="0"/>
              <w:left w:val="single" w:color="000000" w:sz="4" w:space="0"/>
              <w:bottom w:val="single" w:color="000000" w:sz="4" w:space="0"/>
              <w:right w:val="single" w:color="000000" w:sz="4" w:space="0"/>
            </w:tcBorders>
            <w:vAlign w:val="center"/>
          </w:tcPr>
          <w:p w14:paraId="125F8996">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vAlign w:val="center"/>
          </w:tcPr>
          <w:p w14:paraId="762DF49D">
            <w:pPr>
              <w:jc w:val="center"/>
              <w:rPr>
                <w:rFonts w:hint="eastAsia" w:ascii="宋体" w:hAnsi="宋体" w:cs="宋体"/>
                <w:color w:val="000000" w:themeColor="text1"/>
                <w:sz w:val="22"/>
                <w:szCs w:val="22"/>
                <w14:textFill>
                  <w14:solidFill>
                    <w14:schemeClr w14:val="tx1"/>
                  </w14:solidFill>
                </w14:textFill>
              </w:rPr>
            </w:pPr>
          </w:p>
        </w:tc>
      </w:tr>
      <w:tr w14:paraId="226289F9">
        <w:tblPrEx>
          <w:tblCellMar>
            <w:top w:w="0" w:type="dxa"/>
            <w:left w:w="108" w:type="dxa"/>
            <w:bottom w:w="0" w:type="dxa"/>
            <w:right w:w="108" w:type="dxa"/>
          </w:tblCellMar>
        </w:tblPrEx>
        <w:trPr>
          <w:trHeight w:val="820"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255E833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18</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DB9EE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主体框架</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6BF549">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采用优质镀锌钢板经激光切割、数控冲压、数控折弯成型，生产工业采取模块组合，便于安装，外观流线形设计，简洁美观,表面经环氧树脂粉末静电喷涂、高温固化处理，耐腐蚀。</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DC48A">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59C5D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000000" w:sz="4" w:space="0"/>
              <w:left w:val="single" w:color="000000" w:sz="4" w:space="0"/>
              <w:bottom w:val="single" w:color="auto" w:sz="4" w:space="0"/>
              <w:right w:val="single" w:color="000000" w:sz="4" w:space="0"/>
            </w:tcBorders>
            <w:noWrap/>
            <w:vAlign w:val="center"/>
          </w:tcPr>
          <w:p w14:paraId="6108800E">
            <w:pPr>
              <w:widowControl/>
              <w:jc w:val="center"/>
              <w:textAlignment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auto" w:sz="4" w:space="0"/>
              <w:right w:val="single" w:color="000000" w:sz="4" w:space="0"/>
            </w:tcBorders>
            <w:noWrap/>
            <w:vAlign w:val="center"/>
          </w:tcPr>
          <w:p w14:paraId="1E259219">
            <w:pPr>
              <w:widowControl/>
              <w:jc w:val="center"/>
              <w:textAlignment w:val="center"/>
              <w:rPr>
                <w:rFonts w:hint="eastAsia" w:ascii="宋体" w:hAnsi="宋体" w:cs="宋体"/>
                <w:color w:val="000000" w:themeColor="text1"/>
                <w:sz w:val="22"/>
                <w:szCs w:val="22"/>
                <w14:textFill>
                  <w14:solidFill>
                    <w14:schemeClr w14:val="tx1"/>
                  </w14:solidFill>
                </w14:textFill>
              </w:rPr>
            </w:pPr>
          </w:p>
        </w:tc>
      </w:tr>
      <w:tr w14:paraId="4EBF702B">
        <w:tblPrEx>
          <w:tblCellMar>
            <w:top w:w="0" w:type="dxa"/>
            <w:left w:w="108" w:type="dxa"/>
            <w:bottom w:w="0" w:type="dxa"/>
            <w:right w:w="108" w:type="dxa"/>
          </w:tblCellMar>
        </w:tblPrEx>
        <w:trPr>
          <w:trHeight w:val="820"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3953D47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19</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0AF694">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电源升降模块</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A276B1">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采用为直流24V低压减速电机，带动卷线盘实现电源主体上下运动.</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B01F7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000000" w:sz="4" w:space="0"/>
              <w:left w:val="single" w:color="000000" w:sz="4" w:space="0"/>
              <w:bottom w:val="single" w:color="auto" w:sz="4" w:space="0"/>
              <w:right w:val="single" w:color="000000" w:sz="4" w:space="0"/>
            </w:tcBorders>
            <w:shd w:val="clear" w:color="auto" w:fill="FFFFFF"/>
            <w:vAlign w:val="center"/>
          </w:tcPr>
          <w:p w14:paraId="1DB511A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个</w:t>
            </w:r>
          </w:p>
        </w:tc>
        <w:tc>
          <w:tcPr>
            <w:tcW w:w="3345" w:type="dxa"/>
            <w:tcBorders>
              <w:top w:val="single" w:color="auto" w:sz="4" w:space="0"/>
              <w:left w:val="single" w:color="000000" w:sz="4" w:space="0"/>
              <w:bottom w:val="single" w:color="auto" w:sz="4" w:space="0"/>
              <w:right w:val="single" w:color="000000" w:sz="4" w:space="0"/>
            </w:tcBorders>
            <w:noWrap/>
            <w:vAlign w:val="center"/>
          </w:tcPr>
          <w:p w14:paraId="4672BDDC">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auto" w:sz="4" w:space="0"/>
              <w:left w:val="single" w:color="000000" w:sz="4" w:space="0"/>
              <w:bottom w:val="single" w:color="auto" w:sz="4" w:space="0"/>
              <w:right w:val="single" w:color="000000" w:sz="4" w:space="0"/>
            </w:tcBorders>
            <w:noWrap/>
            <w:vAlign w:val="center"/>
          </w:tcPr>
          <w:p w14:paraId="3AEA6F5F">
            <w:pPr>
              <w:jc w:val="center"/>
              <w:rPr>
                <w:rFonts w:hint="eastAsia" w:ascii="宋体" w:hAnsi="宋体" w:cs="宋体"/>
                <w:color w:val="000000" w:themeColor="text1"/>
                <w:sz w:val="22"/>
                <w:szCs w:val="22"/>
                <w14:textFill>
                  <w14:solidFill>
                    <w14:schemeClr w14:val="tx1"/>
                  </w14:solidFill>
                </w14:textFill>
              </w:rPr>
            </w:pPr>
          </w:p>
        </w:tc>
      </w:tr>
      <w:tr w14:paraId="249FA5A1">
        <w:tblPrEx>
          <w:tblCellMar>
            <w:top w:w="0" w:type="dxa"/>
            <w:left w:w="108" w:type="dxa"/>
            <w:bottom w:w="0" w:type="dxa"/>
            <w:right w:w="108" w:type="dxa"/>
          </w:tblCellMar>
        </w:tblPrEx>
        <w:trPr>
          <w:trHeight w:val="820"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213F079A">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20</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135A9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升降电源主体</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871CD0">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接收智能化控制系统控制终端，主体外壳采用阻燃剂ABS注塑成型，预留多个供应系统安装位置。</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6915C2">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auto" w:sz="4" w:space="0"/>
              <w:left w:val="single" w:color="000000" w:sz="4" w:space="0"/>
              <w:bottom w:val="single" w:color="auto" w:sz="4" w:space="0"/>
              <w:right w:val="single" w:color="000000" w:sz="4" w:space="0"/>
            </w:tcBorders>
            <w:shd w:val="clear" w:color="auto" w:fill="FFFFFF"/>
            <w:vAlign w:val="center"/>
          </w:tcPr>
          <w:p w14:paraId="07745DD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个</w:t>
            </w:r>
          </w:p>
        </w:tc>
        <w:tc>
          <w:tcPr>
            <w:tcW w:w="3345" w:type="dxa"/>
            <w:tcBorders>
              <w:top w:val="single" w:color="auto" w:sz="4" w:space="0"/>
              <w:left w:val="single" w:color="000000" w:sz="4" w:space="0"/>
              <w:bottom w:val="single" w:color="auto" w:sz="4" w:space="0"/>
              <w:right w:val="single" w:color="000000" w:sz="4" w:space="0"/>
            </w:tcBorders>
            <w:noWrap/>
            <w:vAlign w:val="center"/>
          </w:tcPr>
          <w:p w14:paraId="163FC018">
            <w:pPr>
              <w:jc w:val="center"/>
              <w:rPr>
                <w:rFonts w:hint="eastAsia" w:ascii="宋体" w:hAnsi="宋体" w:cs="宋体"/>
                <w:color w:val="000000" w:themeColor="text1"/>
                <w:sz w:val="22"/>
                <w:szCs w:val="22"/>
                <w14:textFill>
                  <w14:solidFill>
                    <w14:schemeClr w14:val="tx1"/>
                  </w14:solidFill>
                </w14:textFill>
              </w:rPr>
            </w:pPr>
            <w:r>
              <w:drawing>
                <wp:inline distT="0" distB="0" distL="0" distR="0">
                  <wp:extent cx="942975" cy="766445"/>
                  <wp:effectExtent l="0" t="0" r="9525" b="14605"/>
                  <wp:docPr id="4367727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72740" name="图片 24"/>
                          <pic:cNvPicPr>
                            <a:picLocks noChangeAspect="1"/>
                          </pic:cNvPicPr>
                        </pic:nvPicPr>
                        <pic:blipFill>
                          <a:blip r:embed="rId64"/>
                          <a:stretch>
                            <a:fillRect/>
                          </a:stretch>
                        </pic:blipFill>
                        <pic:spPr>
                          <a:xfrm>
                            <a:off x="0" y="0"/>
                            <a:ext cx="942975" cy="766818"/>
                          </a:xfrm>
                          <a:prstGeom prst="rect">
                            <a:avLst/>
                          </a:prstGeom>
                          <a:noFill/>
                          <a:ln w="9525">
                            <a:noFill/>
                          </a:ln>
                        </pic:spPr>
                      </pic:pic>
                    </a:graphicData>
                  </a:graphic>
                </wp:inline>
              </w:drawing>
            </w:r>
          </w:p>
        </w:tc>
        <w:tc>
          <w:tcPr>
            <w:tcW w:w="1150" w:type="dxa"/>
            <w:tcBorders>
              <w:top w:val="single" w:color="auto" w:sz="4" w:space="0"/>
              <w:left w:val="single" w:color="000000" w:sz="4" w:space="0"/>
              <w:bottom w:val="single" w:color="auto" w:sz="4" w:space="0"/>
              <w:right w:val="single" w:color="000000" w:sz="4" w:space="0"/>
            </w:tcBorders>
            <w:noWrap/>
            <w:vAlign w:val="center"/>
          </w:tcPr>
          <w:p w14:paraId="26B90FCB">
            <w:pPr>
              <w:jc w:val="center"/>
              <w:rPr>
                <w:rFonts w:hint="eastAsia" w:ascii="宋体" w:hAnsi="宋体" w:cs="宋体"/>
                <w:color w:val="000000" w:themeColor="text1"/>
                <w:sz w:val="22"/>
                <w:szCs w:val="22"/>
                <w14:textFill>
                  <w14:solidFill>
                    <w14:schemeClr w14:val="tx1"/>
                  </w14:solidFill>
                </w14:textFill>
              </w:rPr>
            </w:pPr>
          </w:p>
        </w:tc>
      </w:tr>
      <w:tr w14:paraId="7C934FE8">
        <w:tblPrEx>
          <w:tblCellMar>
            <w:top w:w="0" w:type="dxa"/>
            <w:left w:w="108" w:type="dxa"/>
            <w:bottom w:w="0" w:type="dxa"/>
            <w:right w:w="108" w:type="dxa"/>
          </w:tblCellMar>
        </w:tblPrEx>
        <w:trPr>
          <w:trHeight w:val="820"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1BA1E4E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21</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D6925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低压电源模块</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B7C33B">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1、教师主控型，学生低压电源都可接收主控电源发送的锁定信号，在锁定指示灯点亮后，学生接收老师输送的设定电源电压，教师锁定时,学生自己无法操作，这样可避免学生的误操作。可以分组或独立控制；</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2、学生电源面板采用整体框架机构，采用旋钮加按钮式按键控制，可以随意设置电压，贴片元件生产技术，微电脑控制，采用1.9寸液晶显示电源学生交直流电压 ；</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 xml:space="preserve">3、学生交流电源通过旋钮键进行交流电源输出，AC1.5V~36V，分辨率0.1V。显示设定值。功率根据输出需求定，最大输出约100W，具有过载保护智能检测功能（电流高于过载点则自动保护，电流低于过载点则自动恢复至设定值）； </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 xml:space="preserve">4、学生直流电源也是通过过旋钮键选取，1，直流电源输出，DC1.5V~36V，分辨率0.1V。显示设定值；亦具有过载保护智能检测功能  </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5、电源内部设计有工作状态指示灯条，正常工作模式显示绿色灯光，有报警时灯变成红色模式</w:t>
            </w:r>
          </w:p>
        </w:tc>
        <w:tc>
          <w:tcPr>
            <w:tcW w:w="500" w:type="dxa"/>
            <w:tcBorders>
              <w:top w:val="single" w:color="000000" w:sz="4" w:space="0"/>
              <w:left w:val="single" w:color="000000" w:sz="4" w:space="0"/>
              <w:bottom w:val="single" w:color="000000" w:sz="4" w:space="0"/>
              <w:right w:val="single" w:color="auto" w:sz="4" w:space="0"/>
            </w:tcBorders>
            <w:shd w:val="clear" w:color="auto" w:fill="FFFFFF"/>
            <w:vAlign w:val="center"/>
          </w:tcPr>
          <w:p w14:paraId="2AC982CE">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auto" w:sz="4" w:space="0"/>
              <w:left w:val="single" w:color="auto" w:sz="4" w:space="0"/>
              <w:bottom w:val="single" w:color="auto" w:sz="4" w:space="0"/>
              <w:right w:val="single" w:color="auto" w:sz="4" w:space="0"/>
            </w:tcBorders>
            <w:shd w:val="clear" w:color="auto" w:fill="FFFFFF"/>
            <w:vAlign w:val="center"/>
          </w:tcPr>
          <w:p w14:paraId="0FABE08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个</w:t>
            </w:r>
          </w:p>
        </w:tc>
        <w:tc>
          <w:tcPr>
            <w:tcW w:w="3345" w:type="dxa"/>
            <w:tcBorders>
              <w:top w:val="single" w:color="auto" w:sz="4" w:space="0"/>
              <w:left w:val="single" w:color="auto" w:sz="4" w:space="0"/>
              <w:bottom w:val="single" w:color="auto" w:sz="4" w:space="0"/>
              <w:right w:val="single" w:color="auto" w:sz="4" w:space="0"/>
            </w:tcBorders>
            <w:noWrap/>
            <w:vAlign w:val="center"/>
          </w:tcPr>
          <w:p w14:paraId="4FD207D1">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auto" w:sz="4" w:space="0"/>
              <w:left w:val="single" w:color="auto" w:sz="4" w:space="0"/>
              <w:bottom w:val="single" w:color="auto" w:sz="4" w:space="0"/>
              <w:right w:val="single" w:color="auto" w:sz="4" w:space="0"/>
            </w:tcBorders>
            <w:noWrap/>
            <w:vAlign w:val="center"/>
          </w:tcPr>
          <w:p w14:paraId="4782B62A">
            <w:pPr>
              <w:jc w:val="center"/>
              <w:rPr>
                <w:rFonts w:hint="eastAsia" w:ascii="宋体" w:hAnsi="宋体" w:cs="宋体"/>
                <w:color w:val="000000" w:themeColor="text1"/>
                <w:sz w:val="22"/>
                <w:szCs w:val="22"/>
                <w14:textFill>
                  <w14:solidFill>
                    <w14:schemeClr w14:val="tx1"/>
                  </w14:solidFill>
                </w14:textFill>
              </w:rPr>
            </w:pPr>
          </w:p>
        </w:tc>
      </w:tr>
      <w:tr w14:paraId="26649EF0">
        <w:tblPrEx>
          <w:tblCellMar>
            <w:top w:w="0" w:type="dxa"/>
            <w:left w:w="108" w:type="dxa"/>
            <w:bottom w:w="0" w:type="dxa"/>
            <w:right w:w="108" w:type="dxa"/>
          </w:tblCellMar>
        </w:tblPrEx>
        <w:trPr>
          <w:trHeight w:val="820"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3A6D71A4">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22</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AD6BE2">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高压电源模块</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1085A1">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采用220V，4组国标多功能安全插座，带漏电保护功能</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E36B1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auto" w:sz="4" w:space="0"/>
              <w:left w:val="single" w:color="000000" w:sz="4" w:space="0"/>
              <w:bottom w:val="single" w:color="auto" w:sz="4" w:space="0"/>
              <w:right w:val="single" w:color="000000" w:sz="4" w:space="0"/>
            </w:tcBorders>
            <w:shd w:val="clear" w:color="auto" w:fill="FFFFFF"/>
            <w:vAlign w:val="center"/>
          </w:tcPr>
          <w:p w14:paraId="2A90706E">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个</w:t>
            </w:r>
          </w:p>
        </w:tc>
        <w:tc>
          <w:tcPr>
            <w:tcW w:w="3345" w:type="dxa"/>
            <w:tcBorders>
              <w:top w:val="single" w:color="auto" w:sz="4" w:space="0"/>
              <w:left w:val="single" w:color="000000" w:sz="4" w:space="0"/>
              <w:bottom w:val="single" w:color="auto" w:sz="4" w:space="0"/>
              <w:right w:val="single" w:color="auto" w:sz="4" w:space="0"/>
            </w:tcBorders>
            <w:noWrap/>
            <w:vAlign w:val="center"/>
          </w:tcPr>
          <w:p w14:paraId="0235F758">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auto" w:sz="4" w:space="0"/>
              <w:left w:val="single" w:color="000000" w:sz="4" w:space="0"/>
              <w:bottom w:val="single" w:color="auto" w:sz="4" w:space="0"/>
              <w:right w:val="single" w:color="auto" w:sz="4" w:space="0"/>
            </w:tcBorders>
            <w:noWrap/>
            <w:vAlign w:val="center"/>
          </w:tcPr>
          <w:p w14:paraId="6B5E941A">
            <w:pPr>
              <w:jc w:val="center"/>
              <w:rPr>
                <w:rFonts w:hint="eastAsia" w:ascii="宋体" w:hAnsi="宋体" w:cs="宋体"/>
                <w:color w:val="000000" w:themeColor="text1"/>
                <w:sz w:val="22"/>
                <w:szCs w:val="22"/>
                <w14:textFill>
                  <w14:solidFill>
                    <w14:schemeClr w14:val="tx1"/>
                  </w14:solidFill>
                </w14:textFill>
              </w:rPr>
            </w:pPr>
          </w:p>
        </w:tc>
      </w:tr>
      <w:tr w14:paraId="5AF7BADD">
        <w:tblPrEx>
          <w:tblCellMar>
            <w:top w:w="0" w:type="dxa"/>
            <w:left w:w="108" w:type="dxa"/>
            <w:bottom w:w="0" w:type="dxa"/>
            <w:right w:w="108" w:type="dxa"/>
          </w:tblCellMar>
        </w:tblPrEx>
        <w:trPr>
          <w:trHeight w:val="820"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7D32208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23</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178004">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USB充电模块</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96D553">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输出电压：默认5V，触发快充后在3-12V之间自动调整；输出功率：最大24W（5V@3.4A，9V@2.5A，12V@2A等）；支持多种快充协议；输入过压、欠压保护；输入过流保护；输出过流、短路保护 支持快充协议：BC1.2、Apple、三星协议；高通 QC2.0和3.0；MTK PE1.1/PE2.0；华为快充协议AFC；展讯快充协议SFCP。</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8289A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24</w:t>
            </w:r>
          </w:p>
        </w:tc>
        <w:tc>
          <w:tcPr>
            <w:tcW w:w="50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2EE77D7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个</w:t>
            </w:r>
          </w:p>
        </w:tc>
        <w:tc>
          <w:tcPr>
            <w:tcW w:w="3345" w:type="dxa"/>
            <w:tcBorders>
              <w:top w:val="single" w:color="auto" w:sz="4" w:space="0"/>
              <w:left w:val="single" w:color="000000" w:sz="4" w:space="0"/>
              <w:bottom w:val="single" w:color="auto" w:sz="4" w:space="0"/>
              <w:right w:val="single" w:color="auto" w:sz="4" w:space="0"/>
            </w:tcBorders>
            <w:noWrap/>
            <w:vAlign w:val="center"/>
          </w:tcPr>
          <w:p w14:paraId="01C642F6">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auto" w:sz="4" w:space="0"/>
              <w:left w:val="single" w:color="000000" w:sz="4" w:space="0"/>
              <w:bottom w:val="single" w:color="auto" w:sz="4" w:space="0"/>
              <w:right w:val="single" w:color="auto" w:sz="4" w:space="0"/>
            </w:tcBorders>
            <w:noWrap/>
            <w:vAlign w:val="center"/>
          </w:tcPr>
          <w:p w14:paraId="2E039855">
            <w:pPr>
              <w:jc w:val="center"/>
              <w:rPr>
                <w:rFonts w:hint="eastAsia" w:ascii="宋体" w:hAnsi="宋体" w:cs="宋体"/>
                <w:color w:val="000000" w:themeColor="text1"/>
                <w:sz w:val="22"/>
                <w:szCs w:val="22"/>
                <w14:textFill>
                  <w14:solidFill>
                    <w14:schemeClr w14:val="tx1"/>
                  </w14:solidFill>
                </w14:textFill>
              </w:rPr>
            </w:pPr>
          </w:p>
        </w:tc>
      </w:tr>
      <w:tr w14:paraId="744FC804">
        <w:tblPrEx>
          <w:tblCellMar>
            <w:top w:w="0" w:type="dxa"/>
            <w:left w:w="108" w:type="dxa"/>
            <w:bottom w:w="0" w:type="dxa"/>
            <w:right w:w="108" w:type="dxa"/>
          </w:tblCellMar>
        </w:tblPrEx>
        <w:trPr>
          <w:trHeight w:val="820"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6CC893CA">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24</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DA8E9D">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网络模块</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9DFBF9">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内置RJ45网络模块，与路由器组成组成网络系统。</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D8384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24</w:t>
            </w:r>
          </w:p>
        </w:tc>
        <w:tc>
          <w:tcPr>
            <w:tcW w:w="500" w:type="dxa"/>
            <w:tcBorders>
              <w:top w:val="single" w:color="000000" w:sz="4" w:space="0"/>
              <w:left w:val="single" w:color="000000" w:sz="4" w:space="0"/>
              <w:bottom w:val="single" w:color="auto" w:sz="4" w:space="0"/>
              <w:right w:val="single" w:color="000000" w:sz="4" w:space="0"/>
            </w:tcBorders>
            <w:shd w:val="clear" w:color="auto" w:fill="FFFFFF"/>
            <w:vAlign w:val="center"/>
          </w:tcPr>
          <w:p w14:paraId="38F2E35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个</w:t>
            </w:r>
          </w:p>
        </w:tc>
        <w:tc>
          <w:tcPr>
            <w:tcW w:w="3345" w:type="dxa"/>
            <w:tcBorders>
              <w:top w:val="single" w:color="auto" w:sz="4" w:space="0"/>
              <w:left w:val="single" w:color="000000" w:sz="4" w:space="0"/>
              <w:bottom w:val="single" w:color="auto" w:sz="4" w:space="0"/>
              <w:right w:val="single" w:color="auto" w:sz="4" w:space="0"/>
            </w:tcBorders>
            <w:noWrap/>
            <w:vAlign w:val="center"/>
          </w:tcPr>
          <w:p w14:paraId="59075BC3">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auto" w:sz="4" w:space="0"/>
              <w:left w:val="single" w:color="000000" w:sz="4" w:space="0"/>
              <w:bottom w:val="single" w:color="auto" w:sz="4" w:space="0"/>
              <w:right w:val="single" w:color="auto" w:sz="4" w:space="0"/>
            </w:tcBorders>
            <w:noWrap/>
            <w:vAlign w:val="center"/>
          </w:tcPr>
          <w:p w14:paraId="0A5830AB">
            <w:pPr>
              <w:jc w:val="center"/>
              <w:rPr>
                <w:rFonts w:hint="eastAsia" w:ascii="宋体" w:hAnsi="宋体" w:cs="宋体"/>
                <w:color w:val="000000" w:themeColor="text1"/>
                <w:sz w:val="22"/>
                <w:szCs w:val="22"/>
                <w14:textFill>
                  <w14:solidFill>
                    <w14:schemeClr w14:val="tx1"/>
                  </w14:solidFill>
                </w14:textFill>
              </w:rPr>
            </w:pPr>
          </w:p>
        </w:tc>
      </w:tr>
      <w:tr w14:paraId="00EC95E1">
        <w:tblPrEx>
          <w:tblCellMar>
            <w:top w:w="0" w:type="dxa"/>
            <w:left w:w="108" w:type="dxa"/>
            <w:bottom w:w="0" w:type="dxa"/>
            <w:right w:w="108" w:type="dxa"/>
          </w:tblCellMar>
        </w:tblPrEx>
        <w:trPr>
          <w:trHeight w:val="820"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33B92EA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25</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3E7CA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系统安装辅件1</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3FF16D">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模块化设计，每组模块间采用活接式连接，方便安装、检修。采用国标要求进行系统布线（国标产品）。</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D9A4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auto" w:sz="4" w:space="0"/>
              <w:left w:val="single" w:color="000000" w:sz="4" w:space="0"/>
              <w:bottom w:val="single" w:color="auto" w:sz="4" w:space="0"/>
              <w:right w:val="single" w:color="auto" w:sz="4" w:space="0"/>
            </w:tcBorders>
            <w:shd w:val="clear" w:color="auto" w:fill="FFFFFF"/>
            <w:vAlign w:val="center"/>
          </w:tcPr>
          <w:p w14:paraId="1CB4215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项</w:t>
            </w:r>
          </w:p>
        </w:tc>
        <w:tc>
          <w:tcPr>
            <w:tcW w:w="3345" w:type="dxa"/>
            <w:tcBorders>
              <w:top w:val="single" w:color="auto" w:sz="4" w:space="0"/>
              <w:left w:val="single" w:color="auto" w:sz="4" w:space="0"/>
              <w:bottom w:val="single" w:color="auto" w:sz="4" w:space="0"/>
              <w:right w:val="single" w:color="auto" w:sz="4" w:space="0"/>
            </w:tcBorders>
            <w:noWrap/>
            <w:vAlign w:val="center"/>
          </w:tcPr>
          <w:p w14:paraId="456F92AB">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auto" w:sz="4" w:space="0"/>
              <w:left w:val="single" w:color="auto" w:sz="4" w:space="0"/>
              <w:bottom w:val="single" w:color="auto" w:sz="4" w:space="0"/>
              <w:right w:val="single" w:color="auto" w:sz="4" w:space="0"/>
            </w:tcBorders>
            <w:noWrap/>
            <w:vAlign w:val="center"/>
          </w:tcPr>
          <w:p w14:paraId="645A8D53">
            <w:pPr>
              <w:jc w:val="center"/>
              <w:rPr>
                <w:rFonts w:hint="eastAsia" w:ascii="宋体" w:hAnsi="宋体" w:cs="宋体"/>
                <w:color w:val="000000" w:themeColor="text1"/>
                <w:sz w:val="22"/>
                <w:szCs w:val="22"/>
                <w14:textFill>
                  <w14:solidFill>
                    <w14:schemeClr w14:val="tx1"/>
                  </w14:solidFill>
                </w14:textFill>
              </w:rPr>
            </w:pPr>
          </w:p>
        </w:tc>
      </w:tr>
      <w:tr w14:paraId="45B1350B">
        <w:tblPrEx>
          <w:tblCellMar>
            <w:top w:w="0" w:type="dxa"/>
            <w:left w:w="108" w:type="dxa"/>
            <w:bottom w:w="0" w:type="dxa"/>
            <w:right w:w="108" w:type="dxa"/>
          </w:tblCellMar>
        </w:tblPrEx>
        <w:trPr>
          <w:trHeight w:val="270"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0F3E7B5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26</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0F28C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智能照明</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B3929">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采用1个标准LED模组，每个模组功率10W，灯板采用2.0mm厚pc光扩散板，扩大了发光面。而使光线变的柔和，达到匀光而又透光的目的，同时满足各种雾度值和透光率的需求。及在保证高透光率，降低光衰的情况下，有着良好的光源遮蔽性效果</w:t>
            </w:r>
          </w:p>
        </w:tc>
        <w:tc>
          <w:tcPr>
            <w:tcW w:w="500" w:type="dxa"/>
            <w:tcBorders>
              <w:top w:val="single" w:color="000000" w:sz="4" w:space="0"/>
              <w:left w:val="single" w:color="000000" w:sz="4" w:space="0"/>
              <w:bottom w:val="single" w:color="000000" w:sz="4" w:space="0"/>
              <w:right w:val="single" w:color="auto" w:sz="4" w:space="0"/>
            </w:tcBorders>
            <w:shd w:val="clear" w:color="auto" w:fill="FFFFFF"/>
            <w:vAlign w:val="center"/>
          </w:tcPr>
          <w:p w14:paraId="40ECAF3D">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auto" w:sz="4" w:space="0"/>
              <w:left w:val="single" w:color="auto" w:sz="4" w:space="0"/>
              <w:bottom w:val="single" w:color="auto" w:sz="4" w:space="0"/>
              <w:right w:val="single" w:color="auto" w:sz="4" w:space="0"/>
            </w:tcBorders>
            <w:shd w:val="clear" w:color="auto" w:fill="FFFFFF"/>
            <w:vAlign w:val="center"/>
          </w:tcPr>
          <w:p w14:paraId="530B8CBA">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auto" w:sz="4" w:space="0"/>
              <w:left w:val="single" w:color="auto" w:sz="4" w:space="0"/>
              <w:bottom w:val="single" w:color="auto" w:sz="4" w:space="0"/>
              <w:right w:val="single" w:color="auto" w:sz="4" w:space="0"/>
            </w:tcBorders>
            <w:noWrap/>
            <w:vAlign w:val="center"/>
          </w:tcPr>
          <w:p w14:paraId="7D22A60A">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auto" w:sz="4" w:space="0"/>
              <w:left w:val="single" w:color="auto" w:sz="4" w:space="0"/>
              <w:bottom w:val="single" w:color="auto" w:sz="4" w:space="0"/>
              <w:right w:val="single" w:color="auto" w:sz="4" w:space="0"/>
            </w:tcBorders>
            <w:noWrap/>
            <w:vAlign w:val="center"/>
          </w:tcPr>
          <w:p w14:paraId="3548D21B">
            <w:pPr>
              <w:jc w:val="center"/>
              <w:rPr>
                <w:rFonts w:hint="eastAsia" w:ascii="宋体" w:hAnsi="宋体" w:cs="宋体"/>
                <w:color w:val="000000" w:themeColor="text1"/>
                <w:sz w:val="22"/>
                <w:szCs w:val="22"/>
                <w14:textFill>
                  <w14:solidFill>
                    <w14:schemeClr w14:val="tx1"/>
                  </w14:solidFill>
                </w14:textFill>
              </w:rPr>
            </w:pPr>
          </w:p>
        </w:tc>
      </w:tr>
      <w:tr w14:paraId="47846D44">
        <w:tblPrEx>
          <w:tblCellMar>
            <w:top w:w="0" w:type="dxa"/>
            <w:left w:w="108" w:type="dxa"/>
            <w:bottom w:w="0" w:type="dxa"/>
            <w:right w:w="108" w:type="dxa"/>
          </w:tblCellMar>
        </w:tblPrEx>
        <w:trPr>
          <w:trHeight w:val="820"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3A4CBBAA">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27</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C84C57">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系统安装辅件</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256872">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采用型材吊装方式，减少楼板承重，防止左右晃动，可进行上下、左右的平衡调节。主要辅件有：型材、龙骨架连接件、高度调节结构等。</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2491C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66F9CAF2">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项</w:t>
            </w:r>
          </w:p>
        </w:tc>
        <w:tc>
          <w:tcPr>
            <w:tcW w:w="3345" w:type="dxa"/>
            <w:tcBorders>
              <w:top w:val="single" w:color="auto" w:sz="4" w:space="0"/>
              <w:left w:val="single" w:color="000000" w:sz="4" w:space="0"/>
              <w:bottom w:val="single" w:color="000000" w:sz="4" w:space="0"/>
              <w:right w:val="single" w:color="000000" w:sz="4" w:space="0"/>
            </w:tcBorders>
            <w:noWrap/>
            <w:vAlign w:val="center"/>
          </w:tcPr>
          <w:p w14:paraId="17EB9A95">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auto" w:sz="4" w:space="0"/>
              <w:left w:val="single" w:color="000000" w:sz="4" w:space="0"/>
              <w:bottom w:val="single" w:color="000000" w:sz="4" w:space="0"/>
              <w:right w:val="single" w:color="000000" w:sz="4" w:space="0"/>
            </w:tcBorders>
            <w:noWrap/>
            <w:vAlign w:val="center"/>
          </w:tcPr>
          <w:p w14:paraId="4495F27D">
            <w:pPr>
              <w:jc w:val="center"/>
              <w:rPr>
                <w:rFonts w:hint="eastAsia" w:ascii="宋体" w:hAnsi="宋体" w:cs="宋体"/>
                <w:color w:val="000000" w:themeColor="text1"/>
                <w:sz w:val="22"/>
                <w:szCs w:val="22"/>
                <w14:textFill>
                  <w14:solidFill>
                    <w14:schemeClr w14:val="tx1"/>
                  </w14:solidFill>
                </w14:textFill>
              </w:rPr>
            </w:pPr>
          </w:p>
        </w:tc>
      </w:tr>
      <w:tr w14:paraId="1D8B705E">
        <w:tblPrEx>
          <w:tblCellMar>
            <w:top w:w="0" w:type="dxa"/>
            <w:left w:w="108" w:type="dxa"/>
            <w:bottom w:w="0" w:type="dxa"/>
            <w:right w:w="108" w:type="dxa"/>
          </w:tblCellMar>
        </w:tblPrEx>
        <w:trPr>
          <w:trHeight w:val="820" w:hRule="atLeast"/>
        </w:trPr>
        <w:tc>
          <w:tcPr>
            <w:tcW w:w="14522" w:type="dxa"/>
            <w:gridSpan w:val="7"/>
            <w:tcBorders>
              <w:top w:val="single" w:color="000000" w:sz="4" w:space="0"/>
              <w:left w:val="single" w:color="000000" w:sz="4" w:space="0"/>
              <w:bottom w:val="single" w:color="000000" w:sz="4" w:space="0"/>
              <w:right w:val="single" w:color="000000" w:sz="4" w:space="0"/>
            </w:tcBorders>
            <w:noWrap/>
            <w:vAlign w:val="center"/>
          </w:tcPr>
          <w:p w14:paraId="3E60AAF6">
            <w:pPr>
              <w:jc w:val="center"/>
              <w:rPr>
                <w:rFonts w:hint="eastAsia" w:ascii="新宋体" w:hAnsi="新宋体" w:eastAsia="新宋体" w:cs="新宋体"/>
                <w:b/>
                <w:bCs/>
                <w:color w:val="000000" w:themeColor="text1"/>
                <w:kern w:val="0"/>
                <w:sz w:val="24"/>
                <w:lang w:bidi="ar"/>
                <w14:textFill>
                  <w14:solidFill>
                    <w14:schemeClr w14:val="tx1"/>
                  </w14:solidFill>
                </w14:textFill>
              </w:rPr>
            </w:pPr>
            <w:r>
              <w:rPr>
                <w:rFonts w:hint="eastAsia" w:asciiTheme="minorEastAsia" w:hAnsiTheme="minorEastAsia" w:eastAsiaTheme="minorEastAsia" w:cstheme="minorEastAsia"/>
                <w:b/>
                <w:bCs/>
                <w:color w:val="000000" w:themeColor="text1"/>
                <w:kern w:val="0"/>
                <w:sz w:val="22"/>
                <w:szCs w:val="22"/>
                <w:lang w:bidi="ar"/>
                <w14:textFill>
                  <w14:solidFill>
                    <w14:schemeClr w14:val="tx1"/>
                  </w14:solidFill>
                </w14:textFill>
              </w:rPr>
              <w:t>（七）物理实验室设备</w:t>
            </w:r>
          </w:p>
        </w:tc>
      </w:tr>
      <w:tr w14:paraId="04A1CA9E">
        <w:tblPrEx>
          <w:tblCellMar>
            <w:top w:w="0" w:type="dxa"/>
            <w:left w:w="108" w:type="dxa"/>
            <w:bottom w:w="0" w:type="dxa"/>
            <w:right w:w="108" w:type="dxa"/>
          </w:tblCellMar>
        </w:tblPrEx>
        <w:trPr>
          <w:trHeight w:val="56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09628731">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序号</w:t>
            </w:r>
          </w:p>
        </w:tc>
        <w:tc>
          <w:tcPr>
            <w:tcW w:w="2757" w:type="dxa"/>
            <w:tcBorders>
              <w:top w:val="single" w:color="000000" w:sz="4" w:space="0"/>
              <w:left w:val="single" w:color="000000" w:sz="4" w:space="0"/>
              <w:bottom w:val="single" w:color="000000" w:sz="4" w:space="0"/>
              <w:right w:val="single" w:color="000000" w:sz="4" w:space="0"/>
            </w:tcBorders>
            <w:vAlign w:val="center"/>
          </w:tcPr>
          <w:p w14:paraId="23E90964">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设备名称</w:t>
            </w:r>
          </w:p>
        </w:tc>
        <w:tc>
          <w:tcPr>
            <w:tcW w:w="5770" w:type="dxa"/>
            <w:tcBorders>
              <w:top w:val="single" w:color="000000" w:sz="4" w:space="0"/>
              <w:left w:val="single" w:color="000000" w:sz="4" w:space="0"/>
              <w:bottom w:val="single" w:color="000000" w:sz="4" w:space="0"/>
              <w:right w:val="single" w:color="000000" w:sz="4" w:space="0"/>
            </w:tcBorders>
            <w:vAlign w:val="center"/>
          </w:tcPr>
          <w:p w14:paraId="3E1A09B6">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规格参数</w:t>
            </w:r>
          </w:p>
        </w:tc>
        <w:tc>
          <w:tcPr>
            <w:tcW w:w="500" w:type="dxa"/>
            <w:tcBorders>
              <w:top w:val="single" w:color="000000" w:sz="4" w:space="0"/>
              <w:left w:val="single" w:color="000000" w:sz="4" w:space="0"/>
              <w:bottom w:val="single" w:color="000000" w:sz="4" w:space="0"/>
              <w:right w:val="single" w:color="000000" w:sz="4" w:space="0"/>
            </w:tcBorders>
            <w:vAlign w:val="center"/>
          </w:tcPr>
          <w:p w14:paraId="07F3506E">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数量</w:t>
            </w:r>
          </w:p>
        </w:tc>
        <w:tc>
          <w:tcPr>
            <w:tcW w:w="500" w:type="dxa"/>
            <w:tcBorders>
              <w:top w:val="single" w:color="000000" w:sz="4" w:space="0"/>
              <w:left w:val="single" w:color="000000" w:sz="4" w:space="0"/>
              <w:bottom w:val="single" w:color="000000" w:sz="4" w:space="0"/>
              <w:right w:val="single" w:color="000000" w:sz="4" w:space="0"/>
            </w:tcBorders>
            <w:vAlign w:val="center"/>
          </w:tcPr>
          <w:p w14:paraId="1C61401D">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单位</w:t>
            </w:r>
          </w:p>
        </w:tc>
        <w:tc>
          <w:tcPr>
            <w:tcW w:w="3345" w:type="dxa"/>
            <w:tcBorders>
              <w:top w:val="single" w:color="000000" w:sz="4" w:space="0"/>
              <w:left w:val="single" w:color="000000" w:sz="4" w:space="0"/>
              <w:bottom w:val="single" w:color="000000" w:sz="4" w:space="0"/>
              <w:right w:val="single" w:color="000000" w:sz="4" w:space="0"/>
            </w:tcBorders>
            <w:vAlign w:val="center"/>
          </w:tcPr>
          <w:p w14:paraId="59E55C32">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参考图</w:t>
            </w:r>
          </w:p>
        </w:tc>
        <w:tc>
          <w:tcPr>
            <w:tcW w:w="1150" w:type="dxa"/>
            <w:tcBorders>
              <w:top w:val="single" w:color="000000" w:sz="4" w:space="0"/>
              <w:left w:val="single" w:color="000000" w:sz="4" w:space="0"/>
              <w:bottom w:val="single" w:color="000000" w:sz="4" w:space="0"/>
              <w:right w:val="single" w:color="000000" w:sz="4" w:space="0"/>
            </w:tcBorders>
            <w:vAlign w:val="center"/>
          </w:tcPr>
          <w:p w14:paraId="4F0EC4D4">
            <w:pPr>
              <w:widowControl/>
              <w:jc w:val="center"/>
              <w:textAlignment w:val="center"/>
              <w:rPr>
                <w:rFonts w:hint="eastAsia" w:ascii="新宋体" w:hAnsi="新宋体" w:eastAsia="新宋体" w:cs="新宋体"/>
                <w:b/>
                <w:bCs/>
                <w:color w:val="000000" w:themeColor="text1"/>
                <w:kern w:val="0"/>
                <w:sz w:val="22"/>
                <w:szCs w:val="22"/>
                <w:lang w:bidi="ar"/>
                <w14:textFill>
                  <w14:solidFill>
                    <w14:schemeClr w14:val="tx1"/>
                  </w14:solidFill>
                </w14:textFill>
              </w:rPr>
            </w:pPr>
          </w:p>
        </w:tc>
      </w:tr>
      <w:tr w14:paraId="2E84247D">
        <w:tblPrEx>
          <w:tblCellMar>
            <w:top w:w="0" w:type="dxa"/>
            <w:left w:w="108" w:type="dxa"/>
            <w:bottom w:w="0" w:type="dxa"/>
            <w:right w:w="108" w:type="dxa"/>
          </w:tblCellMar>
        </w:tblPrEx>
        <w:trPr>
          <w:trHeight w:val="56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4DE6BB75">
            <w:pPr>
              <w:widowControl/>
              <w:jc w:val="center"/>
              <w:textAlignment w:val="center"/>
              <w:rPr>
                <w:rFonts w:hint="eastAsia" w:ascii="新宋体" w:hAnsi="新宋体" w:eastAsia="新宋体" w:cs="新宋体"/>
                <w:b/>
                <w:bCs/>
                <w:color w:val="000000" w:themeColor="text1"/>
                <w:kern w:val="0"/>
                <w:sz w:val="22"/>
                <w:szCs w:val="22"/>
                <w:lang w:bidi="ar"/>
                <w14:textFill>
                  <w14:solidFill>
                    <w14:schemeClr w14:val="tx1"/>
                  </w14:solidFill>
                </w14:textFill>
              </w:rPr>
            </w:pPr>
          </w:p>
        </w:tc>
        <w:tc>
          <w:tcPr>
            <w:tcW w:w="2757" w:type="dxa"/>
            <w:tcBorders>
              <w:top w:val="single" w:color="000000" w:sz="4" w:space="0"/>
              <w:left w:val="single" w:color="000000" w:sz="4" w:space="0"/>
              <w:bottom w:val="single" w:color="000000" w:sz="4" w:space="0"/>
              <w:right w:val="single" w:color="000000" w:sz="4" w:space="0"/>
            </w:tcBorders>
            <w:vAlign w:val="center"/>
          </w:tcPr>
          <w:p w14:paraId="27B249DA">
            <w:pPr>
              <w:widowControl/>
              <w:jc w:val="center"/>
              <w:textAlignment w:val="center"/>
              <w:rPr>
                <w:rFonts w:hint="eastAsia" w:ascii="新宋体" w:hAnsi="新宋体" w:eastAsia="新宋体" w:cs="新宋体"/>
                <w:b/>
                <w:bCs/>
                <w:color w:val="000000" w:themeColor="text1"/>
                <w:kern w:val="0"/>
                <w:sz w:val="22"/>
                <w:szCs w:val="22"/>
                <w:lang w:bidi="ar"/>
                <w14:textFill>
                  <w14:solidFill>
                    <w14:schemeClr w14:val="tx1"/>
                  </w14:solidFill>
                </w14:textFill>
              </w:rPr>
            </w:pPr>
          </w:p>
        </w:tc>
        <w:tc>
          <w:tcPr>
            <w:tcW w:w="5770" w:type="dxa"/>
            <w:tcBorders>
              <w:top w:val="single" w:color="000000" w:sz="4" w:space="0"/>
              <w:left w:val="single" w:color="000000" w:sz="4" w:space="0"/>
              <w:bottom w:val="single" w:color="000000" w:sz="4" w:space="0"/>
              <w:right w:val="single" w:color="000000" w:sz="4" w:space="0"/>
            </w:tcBorders>
            <w:vAlign w:val="center"/>
          </w:tcPr>
          <w:p w14:paraId="7DC7FB92">
            <w:pPr>
              <w:widowControl/>
              <w:jc w:val="center"/>
              <w:textAlignment w:val="center"/>
              <w:rPr>
                <w:rFonts w:hint="eastAsia" w:ascii="新宋体" w:hAnsi="新宋体" w:eastAsia="新宋体" w:cs="新宋体"/>
                <w:b/>
                <w:bCs/>
                <w:color w:val="000000" w:themeColor="text1"/>
                <w:kern w:val="0"/>
                <w:sz w:val="22"/>
                <w:szCs w:val="22"/>
                <w:lang w:bidi="ar"/>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（七）7.1、实验室基础设备</w:t>
            </w:r>
          </w:p>
        </w:tc>
        <w:tc>
          <w:tcPr>
            <w:tcW w:w="500" w:type="dxa"/>
            <w:tcBorders>
              <w:top w:val="single" w:color="000000" w:sz="4" w:space="0"/>
              <w:left w:val="single" w:color="000000" w:sz="4" w:space="0"/>
              <w:bottom w:val="single" w:color="000000" w:sz="4" w:space="0"/>
              <w:right w:val="single" w:color="000000" w:sz="4" w:space="0"/>
            </w:tcBorders>
            <w:vAlign w:val="center"/>
          </w:tcPr>
          <w:p w14:paraId="7C0B05E6">
            <w:pPr>
              <w:widowControl/>
              <w:jc w:val="center"/>
              <w:textAlignment w:val="center"/>
              <w:rPr>
                <w:rFonts w:hint="eastAsia" w:ascii="新宋体" w:hAnsi="新宋体" w:eastAsia="新宋体" w:cs="新宋体"/>
                <w:b/>
                <w:bCs/>
                <w:color w:val="000000" w:themeColor="text1"/>
                <w:kern w:val="0"/>
                <w:sz w:val="22"/>
                <w:szCs w:val="22"/>
                <w:lang w:bidi="ar"/>
                <w14:textFill>
                  <w14:solidFill>
                    <w14:schemeClr w14:val="tx1"/>
                  </w14:solidFill>
                </w14:textFill>
              </w:rPr>
            </w:pPr>
          </w:p>
        </w:tc>
        <w:tc>
          <w:tcPr>
            <w:tcW w:w="500" w:type="dxa"/>
            <w:tcBorders>
              <w:top w:val="single" w:color="000000" w:sz="4" w:space="0"/>
              <w:left w:val="single" w:color="000000" w:sz="4" w:space="0"/>
              <w:bottom w:val="single" w:color="000000" w:sz="4" w:space="0"/>
              <w:right w:val="single" w:color="000000" w:sz="4" w:space="0"/>
            </w:tcBorders>
            <w:vAlign w:val="center"/>
          </w:tcPr>
          <w:p w14:paraId="4DEE3E1E">
            <w:pPr>
              <w:widowControl/>
              <w:jc w:val="center"/>
              <w:textAlignment w:val="center"/>
              <w:rPr>
                <w:rFonts w:hint="eastAsia" w:ascii="新宋体" w:hAnsi="新宋体" w:eastAsia="新宋体" w:cs="新宋体"/>
                <w:b/>
                <w:bCs/>
                <w:color w:val="000000" w:themeColor="text1"/>
                <w:kern w:val="0"/>
                <w:sz w:val="22"/>
                <w:szCs w:val="22"/>
                <w:lang w:bidi="ar"/>
                <w14:textFill>
                  <w14:solidFill>
                    <w14:schemeClr w14:val="tx1"/>
                  </w14:solidFill>
                </w14:textFill>
              </w:rPr>
            </w:pPr>
          </w:p>
        </w:tc>
        <w:tc>
          <w:tcPr>
            <w:tcW w:w="3345" w:type="dxa"/>
            <w:tcBorders>
              <w:top w:val="single" w:color="000000" w:sz="4" w:space="0"/>
              <w:left w:val="single" w:color="000000" w:sz="4" w:space="0"/>
              <w:bottom w:val="single" w:color="000000" w:sz="4" w:space="0"/>
              <w:right w:val="single" w:color="000000" w:sz="4" w:space="0"/>
            </w:tcBorders>
            <w:vAlign w:val="center"/>
          </w:tcPr>
          <w:p w14:paraId="47D1DE96">
            <w:pPr>
              <w:widowControl/>
              <w:jc w:val="center"/>
              <w:textAlignment w:val="center"/>
              <w:rPr>
                <w:rFonts w:hint="eastAsia" w:ascii="新宋体" w:hAnsi="新宋体" w:eastAsia="新宋体" w:cs="新宋体"/>
                <w:b/>
                <w:bCs/>
                <w:color w:val="000000" w:themeColor="text1"/>
                <w:kern w:val="0"/>
                <w:sz w:val="22"/>
                <w:szCs w:val="22"/>
                <w:lang w:bidi="ar"/>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vAlign w:val="center"/>
          </w:tcPr>
          <w:p w14:paraId="59550A97">
            <w:pPr>
              <w:widowControl/>
              <w:jc w:val="center"/>
              <w:textAlignment w:val="center"/>
              <w:rPr>
                <w:rFonts w:hint="eastAsia" w:ascii="新宋体" w:hAnsi="新宋体" w:eastAsia="新宋体" w:cs="新宋体"/>
                <w:b/>
                <w:bCs/>
                <w:color w:val="000000" w:themeColor="text1"/>
                <w:kern w:val="0"/>
                <w:sz w:val="22"/>
                <w:szCs w:val="22"/>
                <w:lang w:bidi="ar"/>
                <w14:textFill>
                  <w14:solidFill>
                    <w14:schemeClr w14:val="tx1"/>
                  </w14:solidFill>
                </w14:textFill>
              </w:rPr>
            </w:pPr>
          </w:p>
        </w:tc>
      </w:tr>
      <w:tr w14:paraId="14F65B59">
        <w:tblPrEx>
          <w:tblCellMar>
            <w:top w:w="0" w:type="dxa"/>
            <w:left w:w="108" w:type="dxa"/>
            <w:bottom w:w="0" w:type="dxa"/>
            <w:right w:w="108" w:type="dxa"/>
          </w:tblCellMar>
        </w:tblPrEx>
        <w:trPr>
          <w:trHeight w:val="626" w:hRule="atLeast"/>
        </w:trPr>
        <w:tc>
          <w:tcPr>
            <w:tcW w:w="500" w:type="dxa"/>
            <w:tcBorders>
              <w:top w:val="single" w:color="000000" w:sz="4" w:space="0"/>
              <w:left w:val="single" w:color="000000" w:sz="4" w:space="0"/>
              <w:bottom w:val="single" w:color="auto" w:sz="4" w:space="0"/>
              <w:right w:val="single" w:color="000000" w:sz="4" w:space="0"/>
            </w:tcBorders>
            <w:noWrap/>
            <w:vAlign w:val="center"/>
          </w:tcPr>
          <w:p w14:paraId="1E789CE3">
            <w:pPr>
              <w:widowControl/>
              <w:jc w:val="center"/>
              <w:textAlignment w:val="center"/>
              <w:rPr>
                <w:rFonts w:hint="eastAsia" w:ascii="新宋体" w:hAnsi="新宋体" w:eastAsia="新宋体" w:cs="新宋体"/>
                <w:color w:val="000000" w:themeColor="text1"/>
                <w:sz w:val="22"/>
                <w:szCs w:val="22"/>
                <w14:textFill>
                  <w14:solidFill>
                    <w14:schemeClr w14:val="tx1"/>
                  </w14:solidFill>
                </w14:textFill>
              </w:rPr>
            </w:pPr>
            <w:r>
              <w:rPr>
                <w:rFonts w:hint="eastAsia" w:ascii="新宋体" w:hAnsi="新宋体" w:eastAsia="新宋体" w:cs="新宋体"/>
                <w:color w:val="000000" w:themeColor="text1"/>
                <w:kern w:val="0"/>
                <w:sz w:val="22"/>
                <w:szCs w:val="22"/>
                <w:lang w:bidi="ar"/>
                <w14:textFill>
                  <w14:solidFill>
                    <w14:schemeClr w14:val="tx1"/>
                  </w14:solidFill>
                </w14:textFill>
              </w:rPr>
              <w:t>1</w:t>
            </w:r>
          </w:p>
        </w:tc>
        <w:tc>
          <w:tcPr>
            <w:tcW w:w="2757" w:type="dxa"/>
            <w:tcBorders>
              <w:top w:val="single" w:color="000000" w:sz="4" w:space="0"/>
              <w:left w:val="single" w:color="000000" w:sz="4" w:space="0"/>
              <w:bottom w:val="single" w:color="auto" w:sz="4" w:space="0"/>
              <w:right w:val="single" w:color="000000" w:sz="4" w:space="0"/>
            </w:tcBorders>
            <w:vAlign w:val="center"/>
          </w:tcPr>
          <w:p w14:paraId="1427834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教室专用演示设备</w:t>
            </w:r>
          </w:p>
        </w:tc>
        <w:tc>
          <w:tcPr>
            <w:tcW w:w="5770" w:type="dxa"/>
            <w:tcBorders>
              <w:top w:val="single" w:color="000000" w:sz="4" w:space="0"/>
              <w:left w:val="single" w:color="000000" w:sz="4" w:space="0"/>
              <w:bottom w:val="single" w:color="auto" w:sz="4" w:space="0"/>
              <w:right w:val="single" w:color="000000" w:sz="4" w:space="0"/>
            </w:tcBorders>
            <w:vAlign w:val="center"/>
          </w:tcPr>
          <w:p w14:paraId="4AE3702A">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（1）教师台规格：2400×750×900mm（±5mm）。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（2）面板材质：采用≥12.7mm实验室专用实芯理化板，周边成型厚度≥25.4mm，防腐蚀、耐酸碱、耐高温、抗菌等。</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（3）柜体结构：全钢结构柜体，采用厚≥1.2mm一级镀锌钢板机压成型、焊接制作，并于适当部位予以补强，表面经耐酸碱EPOXY粉末烤漆处理，喷涂厚度为100微米以上。表面硬度附着力、耐腐蚀。</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（4）导轨：三节式，静音。</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（5）拉手：造型美观。</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（6）防撞胶垫：装于抽屉及门板内侧，减缓碰撞，保护柜体。</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（7）储存功能：桌面可以做演示实验，下方可存储计算机，交换机，路由器、仪器箱，方便实验仪器管理。</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（8）含三联水嘴一套：采用实验室专用高密度PP一体化成型水槽，易清洁，耐腐蚀，且利于台面残水自然回流，美观实用；具耐酸碱、耐有机溶剂、耐紫外线等特点。</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（9）含一个水槽，采用实验室专用高密度PP一体化成型水槽，易清洁，耐腐蚀，且利于台面残水自然回流，美观实用；具耐酸碱、耐有机溶剂、耐紫外线等特点。材质为聚丙烯共聚物。</w:t>
            </w:r>
          </w:p>
        </w:tc>
        <w:tc>
          <w:tcPr>
            <w:tcW w:w="500" w:type="dxa"/>
            <w:tcBorders>
              <w:top w:val="single" w:color="000000" w:sz="4" w:space="0"/>
              <w:left w:val="single" w:color="000000" w:sz="4" w:space="0"/>
              <w:bottom w:val="single" w:color="auto" w:sz="4" w:space="0"/>
              <w:right w:val="single" w:color="000000" w:sz="4" w:space="0"/>
            </w:tcBorders>
            <w:vAlign w:val="center"/>
          </w:tcPr>
          <w:p w14:paraId="1252D86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auto" w:sz="4" w:space="0"/>
              <w:right w:val="single" w:color="000000" w:sz="4" w:space="0"/>
            </w:tcBorders>
            <w:vAlign w:val="center"/>
          </w:tcPr>
          <w:p w14:paraId="0F446C1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台</w:t>
            </w:r>
          </w:p>
        </w:tc>
        <w:tc>
          <w:tcPr>
            <w:tcW w:w="33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F285B1">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    </w:t>
            </w:r>
            <w:r>
              <w:rPr>
                <w:rFonts w:hint="eastAsia" w:ascii="宋体" w:hAnsi="宋体" w:cs="宋体"/>
                <w:color w:val="000000" w:themeColor="text1"/>
                <w:kern w:val="0"/>
                <w:sz w:val="22"/>
                <w:szCs w:val="22"/>
                <w:lang w:bidi="ar"/>
                <w14:textFill>
                  <w14:solidFill>
                    <w14:schemeClr w14:val="tx1"/>
                  </w14:solidFill>
                </w14:textFill>
              </w:rPr>
              <w:drawing>
                <wp:inline distT="0" distB="0" distL="114300" distR="114300">
                  <wp:extent cx="1162050" cy="534035"/>
                  <wp:effectExtent l="0" t="0" r="0" b="18415"/>
                  <wp:docPr id="3" name="图片 1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IMG_257"/>
                          <pic:cNvPicPr>
                            <a:picLocks noChangeAspect="1"/>
                          </pic:cNvPicPr>
                        </pic:nvPicPr>
                        <pic:blipFill>
                          <a:blip r:embed="rId56"/>
                          <a:stretch>
                            <a:fillRect/>
                          </a:stretch>
                        </pic:blipFill>
                        <pic:spPr>
                          <a:xfrm>
                            <a:off x="0" y="0"/>
                            <a:ext cx="1162050" cy="534035"/>
                          </a:xfrm>
                          <a:prstGeom prst="rect">
                            <a:avLst/>
                          </a:prstGeom>
                          <a:noFill/>
                          <a:ln w="9525">
                            <a:noFill/>
                          </a:ln>
                        </pic:spPr>
                      </pic:pic>
                    </a:graphicData>
                  </a:graphic>
                </wp:inline>
              </w:drawing>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FFB603">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p>
        </w:tc>
      </w:tr>
      <w:tr w14:paraId="3A801E28">
        <w:tblPrEx>
          <w:tblCellMar>
            <w:top w:w="0" w:type="dxa"/>
            <w:left w:w="108" w:type="dxa"/>
            <w:bottom w:w="0" w:type="dxa"/>
            <w:right w:w="108" w:type="dxa"/>
          </w:tblCellMar>
        </w:tblPrEx>
        <w:trPr>
          <w:trHeight w:val="1485" w:hRule="atLeast"/>
        </w:trPr>
        <w:tc>
          <w:tcPr>
            <w:tcW w:w="500" w:type="dxa"/>
            <w:tcBorders>
              <w:top w:val="single" w:color="auto" w:sz="4" w:space="0"/>
              <w:left w:val="single" w:color="auto" w:sz="4" w:space="0"/>
              <w:bottom w:val="single" w:color="auto" w:sz="4" w:space="0"/>
              <w:right w:val="single" w:color="auto" w:sz="4" w:space="0"/>
            </w:tcBorders>
            <w:noWrap/>
            <w:vAlign w:val="center"/>
          </w:tcPr>
          <w:p w14:paraId="4A1B1908">
            <w:pPr>
              <w:widowControl/>
              <w:jc w:val="center"/>
              <w:textAlignment w:val="center"/>
              <w:rPr>
                <w:rFonts w:hint="eastAsia" w:ascii="新宋体" w:hAnsi="新宋体" w:eastAsia="新宋体" w:cs="新宋体"/>
                <w:color w:val="000000" w:themeColor="text1"/>
                <w:sz w:val="22"/>
                <w:szCs w:val="22"/>
                <w14:textFill>
                  <w14:solidFill>
                    <w14:schemeClr w14:val="tx1"/>
                  </w14:solidFill>
                </w14:textFill>
              </w:rPr>
            </w:pPr>
            <w:r>
              <w:rPr>
                <w:rFonts w:hint="eastAsia" w:ascii="新宋体" w:hAnsi="新宋体" w:eastAsia="新宋体" w:cs="新宋体"/>
                <w:color w:val="000000" w:themeColor="text1"/>
                <w:kern w:val="0"/>
                <w:sz w:val="22"/>
                <w:szCs w:val="22"/>
                <w:lang w:bidi="ar"/>
                <w14:textFill>
                  <w14:solidFill>
                    <w14:schemeClr w14:val="tx1"/>
                  </w14:solidFill>
                </w14:textFill>
              </w:rPr>
              <w:t>2</w:t>
            </w:r>
          </w:p>
        </w:tc>
        <w:tc>
          <w:tcPr>
            <w:tcW w:w="2757" w:type="dxa"/>
            <w:tcBorders>
              <w:top w:val="single" w:color="auto" w:sz="4" w:space="0"/>
              <w:left w:val="single" w:color="auto" w:sz="4" w:space="0"/>
              <w:bottom w:val="single" w:color="auto" w:sz="4" w:space="0"/>
              <w:right w:val="single" w:color="auto" w:sz="4" w:space="0"/>
            </w:tcBorders>
            <w:noWrap/>
            <w:vAlign w:val="center"/>
          </w:tcPr>
          <w:p w14:paraId="0C9C2E7D">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教师实验课椅</w:t>
            </w:r>
          </w:p>
        </w:tc>
        <w:tc>
          <w:tcPr>
            <w:tcW w:w="5770" w:type="dxa"/>
            <w:tcBorders>
              <w:top w:val="single" w:color="auto" w:sz="4" w:space="0"/>
              <w:left w:val="single" w:color="auto" w:sz="4" w:space="0"/>
              <w:bottom w:val="single" w:color="auto" w:sz="4" w:space="0"/>
              <w:right w:val="single" w:color="auto" w:sz="4" w:space="0"/>
            </w:tcBorders>
            <w:vAlign w:val="center"/>
          </w:tcPr>
          <w:p w14:paraId="5EB01812">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1.规格:约380*400*800mm； 坐面为一体成型亚克力材质，靠面为一体成型树脂材质，四脚连接为一体成型表面抛光合金材质，整体美观，耐用。具有良好的防腐蚀功能。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★2.课椅靠背座垫符合 GB 28481-2012要求。</w:t>
            </w:r>
          </w:p>
        </w:tc>
        <w:tc>
          <w:tcPr>
            <w:tcW w:w="500" w:type="dxa"/>
            <w:tcBorders>
              <w:top w:val="single" w:color="auto" w:sz="4" w:space="0"/>
              <w:left w:val="single" w:color="auto" w:sz="4" w:space="0"/>
              <w:bottom w:val="single" w:color="auto" w:sz="4" w:space="0"/>
              <w:right w:val="single" w:color="auto" w:sz="4" w:space="0"/>
            </w:tcBorders>
            <w:vAlign w:val="center"/>
          </w:tcPr>
          <w:p w14:paraId="2498604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auto" w:sz="4" w:space="0"/>
              <w:left w:val="single" w:color="auto" w:sz="4" w:space="0"/>
              <w:bottom w:val="single" w:color="auto" w:sz="4" w:space="0"/>
              <w:right w:val="single" w:color="auto" w:sz="4" w:space="0"/>
            </w:tcBorders>
            <w:vAlign w:val="center"/>
          </w:tcPr>
          <w:p w14:paraId="04B15ECE">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张</w:t>
            </w:r>
          </w:p>
        </w:tc>
        <w:tc>
          <w:tcPr>
            <w:tcW w:w="3345" w:type="dxa"/>
            <w:tcBorders>
              <w:top w:val="single" w:color="000000" w:sz="4" w:space="0"/>
              <w:left w:val="single" w:color="000000" w:sz="4" w:space="0"/>
              <w:bottom w:val="single" w:color="000000" w:sz="4" w:space="0"/>
              <w:right w:val="single" w:color="000000" w:sz="4" w:space="0"/>
            </w:tcBorders>
            <w:vAlign w:val="center"/>
          </w:tcPr>
          <w:p w14:paraId="238EB95D">
            <w:pPr>
              <w:widowControl/>
              <w:jc w:val="center"/>
              <w:textAlignment w:val="center"/>
              <w:rPr>
                <w:rFonts w:hint="eastAsia" w:ascii="宋体" w:hAnsi="宋体" w:cs="宋体"/>
                <w:b/>
                <w:bCs/>
                <w:color w:val="000000" w:themeColor="text1"/>
                <w:sz w:val="22"/>
                <w:szCs w:val="22"/>
                <w14:textFill>
                  <w14:solidFill>
                    <w14:schemeClr w14:val="tx1"/>
                  </w14:solidFill>
                </w14:textFill>
              </w:rPr>
            </w:pPr>
            <w:r>
              <w:rPr>
                <w:rFonts w:hint="eastAsia" w:ascii="宋体" w:hAnsi="宋体" w:cs="宋体"/>
                <w:b/>
                <w:bCs/>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94080" behindDoc="0" locked="0" layoutInCell="1" allowOverlap="1">
                  <wp:simplePos x="0" y="0"/>
                  <wp:positionH relativeFrom="column">
                    <wp:posOffset>441325</wp:posOffset>
                  </wp:positionH>
                  <wp:positionV relativeFrom="paragraph">
                    <wp:posOffset>229235</wp:posOffset>
                  </wp:positionV>
                  <wp:extent cx="548640" cy="569595"/>
                  <wp:effectExtent l="0" t="0" r="3810" b="1905"/>
                  <wp:wrapNone/>
                  <wp:docPr id="52" name="图片_38_SpCnt_1"/>
                  <wp:cNvGraphicFramePr/>
                  <a:graphic xmlns:a="http://schemas.openxmlformats.org/drawingml/2006/main">
                    <a:graphicData uri="http://schemas.openxmlformats.org/drawingml/2006/picture">
                      <pic:pic xmlns:pic="http://schemas.openxmlformats.org/drawingml/2006/picture">
                        <pic:nvPicPr>
                          <pic:cNvPr id="52" name="图片_38_SpCnt_1"/>
                          <pic:cNvPicPr/>
                        </pic:nvPicPr>
                        <pic:blipFill>
                          <a:blip r:embed="rId33"/>
                          <a:stretch>
                            <a:fillRect/>
                          </a:stretch>
                        </pic:blipFill>
                        <pic:spPr>
                          <a:xfrm>
                            <a:off x="0" y="0"/>
                            <a:ext cx="548640" cy="569595"/>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vAlign w:val="center"/>
          </w:tcPr>
          <w:p w14:paraId="3569E4ED">
            <w:pPr>
              <w:widowControl/>
              <w:jc w:val="center"/>
              <w:textAlignment w:val="center"/>
              <w:rPr>
                <w:rFonts w:hint="eastAsia" w:ascii="宋体" w:hAnsi="宋体" w:cs="宋体"/>
                <w:b/>
                <w:bCs/>
                <w:color w:val="000000" w:themeColor="text1"/>
                <w:kern w:val="0"/>
                <w:sz w:val="22"/>
                <w:szCs w:val="22"/>
                <w:bdr w:val="single" w:color="000000" w:sz="4" w:space="0"/>
                <w:lang w:bidi="ar"/>
                <w14:textFill>
                  <w14:solidFill>
                    <w14:schemeClr w14:val="tx1"/>
                  </w14:solidFill>
                </w14:textFill>
              </w:rPr>
            </w:pPr>
          </w:p>
        </w:tc>
      </w:tr>
      <w:tr w14:paraId="2F6FB1BD">
        <w:tblPrEx>
          <w:tblCellMar>
            <w:top w:w="0" w:type="dxa"/>
            <w:left w:w="108" w:type="dxa"/>
            <w:bottom w:w="0" w:type="dxa"/>
            <w:right w:w="108" w:type="dxa"/>
          </w:tblCellMar>
        </w:tblPrEx>
        <w:trPr>
          <w:trHeight w:val="1016" w:hRule="atLeast"/>
        </w:trPr>
        <w:tc>
          <w:tcPr>
            <w:tcW w:w="500" w:type="dxa"/>
            <w:tcBorders>
              <w:top w:val="single" w:color="auto" w:sz="4" w:space="0"/>
              <w:left w:val="single" w:color="000000" w:sz="4" w:space="0"/>
              <w:bottom w:val="single" w:color="000000" w:sz="4" w:space="0"/>
              <w:right w:val="single" w:color="000000" w:sz="4" w:space="0"/>
            </w:tcBorders>
            <w:noWrap/>
            <w:vAlign w:val="center"/>
          </w:tcPr>
          <w:p w14:paraId="6011B800">
            <w:pPr>
              <w:widowControl/>
              <w:jc w:val="center"/>
              <w:textAlignment w:val="center"/>
              <w:rPr>
                <w:rFonts w:hint="eastAsia" w:ascii="新宋体" w:hAnsi="新宋体" w:eastAsia="新宋体" w:cs="新宋体"/>
                <w:color w:val="000000" w:themeColor="text1"/>
                <w:sz w:val="22"/>
                <w:szCs w:val="22"/>
                <w14:textFill>
                  <w14:solidFill>
                    <w14:schemeClr w14:val="tx1"/>
                  </w14:solidFill>
                </w14:textFill>
              </w:rPr>
            </w:pPr>
            <w:r>
              <w:rPr>
                <w:rFonts w:hint="eastAsia" w:ascii="新宋体" w:hAnsi="新宋体" w:eastAsia="新宋体" w:cs="新宋体"/>
                <w:color w:val="000000" w:themeColor="text1"/>
                <w:kern w:val="0"/>
                <w:sz w:val="22"/>
                <w:szCs w:val="22"/>
                <w:lang w:bidi="ar"/>
                <w14:textFill>
                  <w14:solidFill>
                    <w14:schemeClr w14:val="tx1"/>
                  </w14:solidFill>
                </w14:textFill>
              </w:rPr>
              <w:t>3</w:t>
            </w:r>
          </w:p>
        </w:tc>
        <w:tc>
          <w:tcPr>
            <w:tcW w:w="2757" w:type="dxa"/>
            <w:tcBorders>
              <w:top w:val="single" w:color="auto" w:sz="4" w:space="0"/>
              <w:left w:val="single" w:color="000000" w:sz="4" w:space="0"/>
              <w:bottom w:val="single" w:color="000000" w:sz="4" w:space="0"/>
              <w:right w:val="single" w:color="000000" w:sz="4" w:space="0"/>
            </w:tcBorders>
            <w:vAlign w:val="center"/>
          </w:tcPr>
          <w:p w14:paraId="22CCBF2E">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物理学生实践设备</w:t>
            </w:r>
          </w:p>
        </w:tc>
        <w:tc>
          <w:tcPr>
            <w:tcW w:w="5770" w:type="dxa"/>
            <w:tcBorders>
              <w:top w:val="single" w:color="auto" w:sz="4" w:space="0"/>
              <w:left w:val="single" w:color="000000" w:sz="4" w:space="0"/>
              <w:bottom w:val="single" w:color="000000" w:sz="4" w:space="0"/>
              <w:right w:val="single" w:color="000000" w:sz="4" w:space="0"/>
            </w:tcBorders>
            <w:vAlign w:val="center"/>
          </w:tcPr>
          <w:p w14:paraId="23CEFFC2">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1.规格尺寸：约1225mm*610mm*780mm，（台面高度）/约820（围边高度）mm。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2.台面：采用12.7mm实芯理化板制作，具有防腐蚀、耐酸碱、耐高温耐磨、耐热、抗老化、无毒、易清洁、耐冲击、抗化学和污染性能。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3.铸铝与型材铝结合结构，底脚可选用M8带吸盘调整脚，可调整高度0-8MM。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桌腿采用折叠式设计，可实现90度折叠，利于整体打包运输，免于现场安装调试复杂程度，使产品质量更容易管控。桌架上部分左右侧支撑框架与围边采用一体化压铸铝工艺，尺寸不小于470mm*340mm*65mm，侧边围边长度达到470mm，高出台面40 mm，防止仪器设备掉落；后档条为82 *42*2.0 mm，前支撑条为30mm*20mm，工艺为铝挤压一体成型工艺，金属表面经环氧树脂粉末喷涂高温固化处理，与左右支撑框架用M6螺丝固定一起形成整个台面支撑框架。横拉杆采用30mm*30mm *1200mm方管，侧面焊接斜撑板与左右侧支撑框架4个M6螺丝固定，使整体框架牢固。</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5.下部分支撑立柱采用不小于106mm*51mm*2.0mm铝挤压一体成型工艺；下脚尺寸不小于565mm*65mm*50mm，采用3.0mm铝压铸一体化成型，金属表面经环氧树脂粉末喷涂高温固化处理。</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6.折叠转轴采用铝压铸一体化成型，与支撑立柱采用M8螺丝固定，转轴旋转90度，打开后2个转轴螺丝与侧面2个螺丝固定，坚固，简洁，装配工艺简单。侧面设计有螺丝装饰盖板。</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7.左右两边设计两个书包斗，固定于左右侧支撑框架两侧，材质采用ABS一体化成型工艺，镂空设计，不屯垃圾，便于清理，中间设挂凳卡；</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8.整体台面框架内藏有8个M6 调整脚，调整脚采用螺丝塑胶一体成型，防止划伤台面，调整脚可调高度为0-10MM，可以适合嵌入台面厚度为：8-20mm。</w:t>
            </w:r>
          </w:p>
        </w:tc>
        <w:tc>
          <w:tcPr>
            <w:tcW w:w="500" w:type="dxa"/>
            <w:tcBorders>
              <w:top w:val="single" w:color="auto" w:sz="4" w:space="0"/>
              <w:left w:val="single" w:color="000000" w:sz="4" w:space="0"/>
              <w:bottom w:val="single" w:color="000000" w:sz="4" w:space="0"/>
              <w:right w:val="single" w:color="000000" w:sz="4" w:space="0"/>
            </w:tcBorders>
            <w:noWrap/>
            <w:vAlign w:val="center"/>
          </w:tcPr>
          <w:p w14:paraId="57368A38">
            <w:pPr>
              <w:widowControl/>
              <w:jc w:val="center"/>
              <w:textAlignment w:val="center"/>
              <w:rPr>
                <w:rFonts w:hint="eastAsia" w:ascii="新宋体" w:hAnsi="新宋体" w:eastAsia="新宋体" w:cs="新宋体"/>
                <w:color w:val="000000" w:themeColor="text1"/>
                <w:sz w:val="22"/>
                <w:szCs w:val="22"/>
                <w14:textFill>
                  <w14:solidFill>
                    <w14:schemeClr w14:val="tx1"/>
                  </w14:solidFill>
                </w14:textFill>
              </w:rPr>
            </w:pPr>
            <w:r>
              <w:rPr>
                <w:rFonts w:hint="eastAsia" w:ascii="新宋体" w:hAnsi="新宋体" w:eastAsia="新宋体" w:cs="新宋体"/>
                <w:color w:val="000000" w:themeColor="text1"/>
                <w:kern w:val="0"/>
                <w:sz w:val="22"/>
                <w:szCs w:val="22"/>
                <w:lang w:bidi="ar"/>
                <w14:textFill>
                  <w14:solidFill>
                    <w14:schemeClr w14:val="tx1"/>
                  </w14:solidFill>
                </w14:textFill>
              </w:rPr>
              <w:t>24</w:t>
            </w:r>
          </w:p>
        </w:tc>
        <w:tc>
          <w:tcPr>
            <w:tcW w:w="500" w:type="dxa"/>
            <w:tcBorders>
              <w:top w:val="single" w:color="auto" w:sz="4" w:space="0"/>
              <w:left w:val="single" w:color="000000" w:sz="4" w:space="0"/>
              <w:bottom w:val="single" w:color="000000" w:sz="4" w:space="0"/>
              <w:right w:val="single" w:color="000000" w:sz="4" w:space="0"/>
            </w:tcBorders>
            <w:noWrap/>
            <w:vAlign w:val="center"/>
          </w:tcPr>
          <w:p w14:paraId="626170E4">
            <w:pPr>
              <w:widowControl/>
              <w:jc w:val="center"/>
              <w:textAlignment w:val="center"/>
              <w:rPr>
                <w:rFonts w:hint="eastAsia" w:ascii="新宋体" w:hAnsi="新宋体" w:eastAsia="新宋体" w:cs="新宋体"/>
                <w:color w:val="000000" w:themeColor="text1"/>
                <w:sz w:val="22"/>
                <w:szCs w:val="22"/>
                <w14:textFill>
                  <w14:solidFill>
                    <w14:schemeClr w14:val="tx1"/>
                  </w14:solidFill>
                </w14:textFill>
              </w:rPr>
            </w:pPr>
            <w:r>
              <w:rPr>
                <w:rFonts w:hint="eastAsia" w:ascii="新宋体" w:hAnsi="新宋体" w:eastAsia="新宋体" w:cs="新宋体"/>
                <w:color w:val="000000" w:themeColor="text1"/>
                <w:kern w:val="0"/>
                <w:sz w:val="22"/>
                <w:szCs w:val="22"/>
                <w:lang w:bidi="ar"/>
                <w14:textFill>
                  <w14:solidFill>
                    <w14:schemeClr w14:val="tx1"/>
                  </w14:solidFill>
                </w14:textFill>
              </w:rPr>
              <w:t>张</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4F34BFE8">
            <w:pPr>
              <w:widowControl/>
              <w:jc w:val="left"/>
              <w:textAlignment w:val="center"/>
              <w:rPr>
                <w:rFonts w:hint="eastAsia" w:ascii="新宋体" w:hAnsi="新宋体" w:eastAsia="新宋体" w:cs="新宋体"/>
                <w:color w:val="000000" w:themeColor="text1"/>
                <w:sz w:val="22"/>
                <w:szCs w:val="22"/>
                <w14:textFill>
                  <w14:solidFill>
                    <w14:schemeClr w14:val="tx1"/>
                  </w14:solidFill>
                </w14:textFill>
              </w:rPr>
            </w:pPr>
            <w:r>
              <w:rPr>
                <w:rFonts w:hint="eastAsia" w:ascii="新宋体" w:hAnsi="新宋体" w:eastAsia="新宋体" w:cs="新宋体"/>
                <w:color w:val="000000" w:themeColor="text1"/>
                <w:sz w:val="22"/>
                <w:szCs w:val="22"/>
                <w14:textFill>
                  <w14:solidFill>
                    <w14:schemeClr w14:val="tx1"/>
                  </w14:solidFill>
                </w14:textFill>
              </w:rPr>
              <w:t xml:space="preserve">     </w:t>
            </w:r>
            <w:r>
              <w:drawing>
                <wp:inline distT="0" distB="0" distL="0" distR="0">
                  <wp:extent cx="970280" cy="808990"/>
                  <wp:effectExtent l="0" t="0" r="1270" b="10160"/>
                  <wp:docPr id="556090364" name="ID_6D94496EF29447D392C7517A87EEDE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90364" name="ID_6D94496EF29447D392C7517A87EEDE3E"/>
                          <pic:cNvPicPr>
                            <a:picLocks noChangeAspect="1"/>
                          </pic:cNvPicPr>
                        </pic:nvPicPr>
                        <pic:blipFill>
                          <a:blip r:embed="rId57"/>
                          <a:stretch>
                            <a:fillRect/>
                          </a:stretch>
                        </pic:blipFill>
                        <pic:spPr>
                          <a:xfrm>
                            <a:off x="0" y="0"/>
                            <a:ext cx="970280" cy="808990"/>
                          </a:xfrm>
                          <a:prstGeom prst="rect">
                            <a:avLst/>
                          </a:prstGeom>
                          <a:noFill/>
                          <a:ln w="9525">
                            <a:noFill/>
                          </a:ln>
                        </pic:spPr>
                      </pic:pic>
                    </a:graphicData>
                  </a:graphic>
                </wp:inline>
              </w:drawing>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35B30265">
            <w:pPr>
              <w:widowControl/>
              <w:jc w:val="left"/>
              <w:textAlignment w:val="center"/>
              <w:rPr>
                <w:rFonts w:hint="eastAsia" w:ascii="新宋体" w:hAnsi="新宋体" w:eastAsia="新宋体" w:cs="新宋体"/>
                <w:color w:val="000000" w:themeColor="text1"/>
                <w:kern w:val="0"/>
                <w:sz w:val="22"/>
                <w:szCs w:val="22"/>
                <w:bdr w:val="single" w:color="000000" w:sz="4" w:space="0"/>
                <w:lang w:bidi="ar"/>
                <w14:textFill>
                  <w14:solidFill>
                    <w14:schemeClr w14:val="tx1"/>
                  </w14:solidFill>
                </w14:textFill>
              </w:rPr>
            </w:pPr>
          </w:p>
        </w:tc>
      </w:tr>
      <w:tr w14:paraId="39512704">
        <w:tblPrEx>
          <w:tblCellMar>
            <w:top w:w="0" w:type="dxa"/>
            <w:left w:w="108" w:type="dxa"/>
            <w:bottom w:w="0" w:type="dxa"/>
            <w:right w:w="108" w:type="dxa"/>
          </w:tblCellMar>
        </w:tblPrEx>
        <w:trPr>
          <w:trHeight w:val="1401"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6B02595A">
            <w:pPr>
              <w:widowControl/>
              <w:jc w:val="center"/>
              <w:textAlignment w:val="center"/>
              <w:rPr>
                <w:rFonts w:hint="eastAsia" w:ascii="新宋体" w:hAnsi="新宋体" w:eastAsia="新宋体" w:cs="新宋体"/>
                <w:color w:val="000000" w:themeColor="text1"/>
                <w:sz w:val="22"/>
                <w:szCs w:val="22"/>
                <w14:textFill>
                  <w14:solidFill>
                    <w14:schemeClr w14:val="tx1"/>
                  </w14:solidFill>
                </w14:textFill>
              </w:rPr>
            </w:pPr>
            <w:r>
              <w:rPr>
                <w:rFonts w:hint="eastAsia" w:ascii="新宋体" w:hAnsi="新宋体" w:eastAsia="新宋体" w:cs="新宋体"/>
                <w:color w:val="000000" w:themeColor="text1"/>
                <w:kern w:val="0"/>
                <w:sz w:val="22"/>
                <w:szCs w:val="22"/>
                <w:lang w:bidi="ar"/>
                <w14:textFill>
                  <w14:solidFill>
                    <w14:schemeClr w14:val="tx1"/>
                  </w14:solidFill>
                </w14:textFill>
              </w:rPr>
              <w:t>4</w:t>
            </w:r>
          </w:p>
        </w:tc>
        <w:tc>
          <w:tcPr>
            <w:tcW w:w="2757" w:type="dxa"/>
            <w:tcBorders>
              <w:top w:val="single" w:color="000000" w:sz="4" w:space="0"/>
              <w:left w:val="single" w:color="000000" w:sz="4" w:space="0"/>
              <w:bottom w:val="single" w:color="000000" w:sz="4" w:space="0"/>
              <w:right w:val="single" w:color="000000" w:sz="4" w:space="0"/>
            </w:tcBorders>
            <w:vAlign w:val="center"/>
          </w:tcPr>
          <w:p w14:paraId="542ACCA7">
            <w:pPr>
              <w:widowControl/>
              <w:jc w:val="center"/>
              <w:textAlignment w:val="center"/>
              <w:rPr>
                <w:rFonts w:hint="eastAsia" w:ascii="宋体" w:hAnsi="宋体" w:cs="宋体"/>
                <w:color w:val="auto"/>
                <w:sz w:val="22"/>
                <w:szCs w:val="22"/>
              </w:rPr>
            </w:pPr>
            <w:r>
              <w:rPr>
                <w:rFonts w:hint="eastAsia" w:ascii="宋体" w:hAnsi="宋体" w:cs="宋体"/>
                <w:color w:val="auto"/>
                <w:kern w:val="0"/>
                <w:sz w:val="22"/>
                <w:szCs w:val="22"/>
                <w:lang w:bidi="ar"/>
              </w:rPr>
              <w:t>防静电实验凳</w:t>
            </w:r>
          </w:p>
        </w:tc>
        <w:tc>
          <w:tcPr>
            <w:tcW w:w="5770" w:type="dxa"/>
            <w:tcBorders>
              <w:top w:val="single" w:color="000000" w:sz="4" w:space="0"/>
              <w:left w:val="single" w:color="000000" w:sz="4" w:space="0"/>
              <w:bottom w:val="single" w:color="000000" w:sz="4" w:space="0"/>
              <w:right w:val="single" w:color="000000" w:sz="4" w:space="0"/>
            </w:tcBorders>
            <w:vAlign w:val="center"/>
          </w:tcPr>
          <w:p w14:paraId="08F9FF5C">
            <w:pPr>
              <w:widowControl/>
              <w:textAlignment w:val="center"/>
              <w:rPr>
                <w:rFonts w:hint="eastAsia" w:ascii="宋体" w:hAnsi="宋体" w:cs="宋体"/>
                <w:color w:val="auto"/>
                <w:kern w:val="0"/>
                <w:szCs w:val="21"/>
                <w:lang w:bidi="ar"/>
              </w:rPr>
            </w:pPr>
            <w:r>
              <w:rPr>
                <w:rStyle w:val="194"/>
                <w:rFonts w:hint="default"/>
                <w:color w:val="auto"/>
                <w:sz w:val="21"/>
                <w:szCs w:val="21"/>
                <w:lang w:bidi="ar"/>
              </w:rPr>
              <w:t>1.规格：</w:t>
            </w:r>
            <w:r>
              <w:rPr>
                <w:rFonts w:hint="eastAsia" w:ascii="宋体" w:hAnsi="宋体" w:cs="宋体"/>
                <w:color w:val="auto"/>
                <w:kern w:val="0"/>
                <w:szCs w:val="21"/>
                <w:lang w:bidi="ar"/>
              </w:rPr>
              <w:t>约420(直径）*530（高)</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2.凳面采用环保PU</w:t>
            </w:r>
            <w:r>
              <w:rPr>
                <w:rFonts w:hint="eastAsia"/>
                <w:color w:val="auto"/>
              </w:rPr>
              <w:t>发泡材质</w:t>
            </w:r>
            <w:r>
              <w:rPr>
                <w:rFonts w:hint="eastAsia" w:ascii="宋体" w:hAnsi="宋体" w:cs="宋体"/>
                <w:color w:val="auto"/>
                <w:kern w:val="0"/>
                <w:szCs w:val="21"/>
                <w:lang w:bidi="ar"/>
              </w:rPr>
              <w:t>，</w:t>
            </w:r>
            <w:r>
              <w:rPr>
                <w:rFonts w:hint="eastAsia" w:ascii="宋体" w:hAnsi="宋体"/>
                <w:color w:val="auto"/>
                <w:szCs w:val="21"/>
              </w:rPr>
              <w:t>水滴放射型防滑纹路设计</w:t>
            </w:r>
            <w:r>
              <w:rPr>
                <w:rFonts w:hint="eastAsia" w:ascii="宋体" w:hAnsi="宋体" w:cs="宋体"/>
                <w:color w:val="auto"/>
                <w:kern w:val="0"/>
                <w:szCs w:val="21"/>
                <w:lang w:bidi="ar"/>
              </w:rPr>
              <w:t>.</w:t>
            </w:r>
          </w:p>
          <w:p w14:paraId="79C613FB">
            <w:pPr>
              <w:widowControl/>
              <w:jc w:val="left"/>
              <w:textAlignment w:val="center"/>
              <w:rPr>
                <w:rFonts w:hint="eastAsia" w:ascii="宋体" w:hAnsi="宋体" w:cs="宋体"/>
                <w:color w:val="auto"/>
                <w:sz w:val="22"/>
                <w:szCs w:val="22"/>
              </w:rPr>
            </w:pPr>
            <w:r>
              <w:rPr>
                <w:rFonts w:hint="eastAsia" w:ascii="宋体" w:hAnsi="宋体"/>
                <w:color w:val="auto"/>
                <w:szCs w:val="21"/>
              </w:rPr>
              <w:t>底盘：坐垫下方。花瓣型升降手柄，实现360°操作椅子升降功能</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3.支撑柱采用直径50mm圆钢管，顶端为直径200钢板，采用全周满焊焊接，用四颗螺丝连接凳面，结构牢固，长期使用也不会出现摇晃松散现象。</w:t>
            </w:r>
            <w:r>
              <w:rPr>
                <w:rFonts w:hint="eastAsia" w:ascii="宋体" w:hAnsi="宋体" w:cs="宋体"/>
                <w:color w:val="auto"/>
                <w:kern w:val="0"/>
                <w:szCs w:val="21"/>
                <w:lang w:bidi="ar"/>
              </w:rPr>
              <w:br w:type="textWrapping"/>
            </w:r>
            <w:r>
              <w:rPr>
                <w:rFonts w:hint="eastAsia" w:ascii="宋体" w:hAnsi="宋体" w:cs="宋体"/>
                <w:color w:val="auto"/>
                <w:kern w:val="0"/>
                <w:szCs w:val="21"/>
                <w:lang w:bidi="ar"/>
              </w:rPr>
              <w:t>4.下端</w:t>
            </w:r>
            <w:r>
              <w:rPr>
                <w:rFonts w:hint="eastAsia" w:ascii="宋体" w:hAnsi="宋体"/>
                <w:color w:val="auto"/>
                <w:szCs w:val="21"/>
              </w:rPr>
              <w:t>五星</w:t>
            </w:r>
            <w:r>
              <w:rPr>
                <w:rFonts w:hint="eastAsia" w:ascii="宋体" w:hAnsi="宋体" w:cs="宋体"/>
                <w:color w:val="auto"/>
                <w:kern w:val="0"/>
                <w:szCs w:val="21"/>
                <w:lang w:bidi="ar"/>
              </w:rPr>
              <w:t>脚采用铝合金一体压铸成型，爪端预留螺丝眼，配工程塑料脚盘，所有金属材料表面经过防腐氧化处理和纯环氧树脂塑粉高温固化处理，具有较强的耐蚀性及承重性；</w:t>
            </w:r>
            <w:r>
              <w:rPr>
                <w:rFonts w:hint="eastAsia" w:ascii="宋体" w:hAnsi="宋体"/>
                <w:color w:val="auto"/>
                <w:szCs w:val="21"/>
              </w:rPr>
              <w:t>轮子为Pu尼龙一级材料，抗压以及耐磨测试，具有很好的稳定性。</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3EF980CA">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48</w:t>
            </w:r>
          </w:p>
        </w:tc>
        <w:tc>
          <w:tcPr>
            <w:tcW w:w="500" w:type="dxa"/>
            <w:tcBorders>
              <w:top w:val="single" w:color="000000" w:sz="4" w:space="0"/>
              <w:left w:val="single" w:color="000000" w:sz="4" w:space="0"/>
              <w:bottom w:val="single" w:color="000000" w:sz="4" w:space="0"/>
              <w:right w:val="single" w:color="000000" w:sz="4" w:space="0"/>
            </w:tcBorders>
            <w:noWrap/>
            <w:vAlign w:val="center"/>
          </w:tcPr>
          <w:p w14:paraId="04CEA1E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个</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06269ABA">
            <w:pP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drawing>
                <wp:inline distT="0" distB="0" distL="0" distR="0">
                  <wp:extent cx="1669415" cy="2087245"/>
                  <wp:effectExtent l="0" t="0" r="6985" b="8255"/>
                  <wp:docPr id="19431258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25866" name="图片 1"/>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76936" cy="2096461"/>
                          </a:xfrm>
                          <a:prstGeom prst="rect">
                            <a:avLst/>
                          </a:prstGeom>
                        </pic:spPr>
                      </pic:pic>
                    </a:graphicData>
                  </a:graphic>
                </wp:inline>
              </w:drawing>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120A89B2">
            <w:pPr>
              <w:rPr>
                <w:rFonts w:hint="eastAsia" w:ascii="新宋体" w:hAnsi="新宋体" w:eastAsia="新宋体" w:cs="新宋体"/>
                <w:color w:val="000000" w:themeColor="text1"/>
                <w:kern w:val="0"/>
                <w:sz w:val="22"/>
                <w:szCs w:val="22"/>
                <w:bdr w:val="single" w:color="000000" w:sz="4" w:space="0"/>
                <w:lang w:bidi="ar"/>
                <w14:textFill>
                  <w14:solidFill>
                    <w14:schemeClr w14:val="tx1"/>
                  </w14:solidFill>
                </w14:textFill>
              </w:rPr>
            </w:pPr>
          </w:p>
        </w:tc>
      </w:tr>
      <w:tr w14:paraId="6F2E0728">
        <w:tblPrEx>
          <w:tblCellMar>
            <w:top w:w="0" w:type="dxa"/>
            <w:left w:w="108" w:type="dxa"/>
            <w:bottom w:w="0" w:type="dxa"/>
            <w:right w:w="108" w:type="dxa"/>
          </w:tblCellMar>
        </w:tblPrEx>
        <w:trPr>
          <w:trHeight w:val="558"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79528483">
            <w:pPr>
              <w:widowControl/>
              <w:jc w:val="center"/>
              <w:textAlignment w:val="center"/>
              <w:rPr>
                <w:rFonts w:hint="eastAsia" w:ascii="新宋体" w:hAnsi="新宋体" w:eastAsia="新宋体" w:cs="新宋体"/>
                <w:color w:val="000000" w:themeColor="text1"/>
                <w:sz w:val="22"/>
                <w:szCs w:val="22"/>
                <w14:textFill>
                  <w14:solidFill>
                    <w14:schemeClr w14:val="tx1"/>
                  </w14:solidFill>
                </w14:textFill>
              </w:rPr>
            </w:pPr>
            <w:r>
              <w:rPr>
                <w:rFonts w:hint="eastAsia" w:ascii="新宋体" w:hAnsi="新宋体" w:eastAsia="新宋体" w:cs="新宋体"/>
                <w:color w:val="000000" w:themeColor="text1"/>
                <w:kern w:val="0"/>
                <w:sz w:val="22"/>
                <w:szCs w:val="22"/>
                <w:lang w:bidi="ar"/>
                <w14:textFill>
                  <w14:solidFill>
                    <w14:schemeClr w14:val="tx1"/>
                  </w14:solidFill>
                </w14:textFill>
              </w:rPr>
              <w:t>5</w:t>
            </w:r>
          </w:p>
        </w:tc>
        <w:tc>
          <w:tcPr>
            <w:tcW w:w="2757" w:type="dxa"/>
            <w:tcBorders>
              <w:top w:val="single" w:color="000000" w:sz="4" w:space="0"/>
              <w:left w:val="single" w:color="000000" w:sz="4" w:space="0"/>
              <w:bottom w:val="single" w:color="000000" w:sz="4" w:space="0"/>
              <w:right w:val="single" w:color="000000" w:sz="4" w:space="0"/>
            </w:tcBorders>
            <w:vAlign w:val="center"/>
          </w:tcPr>
          <w:p w14:paraId="6DB2A167">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仪器柜</w:t>
            </w:r>
          </w:p>
        </w:tc>
        <w:tc>
          <w:tcPr>
            <w:tcW w:w="5770" w:type="dxa"/>
            <w:tcBorders>
              <w:top w:val="single" w:color="000000" w:sz="4" w:space="0"/>
              <w:left w:val="single" w:color="000000" w:sz="4" w:space="0"/>
              <w:bottom w:val="single" w:color="000000" w:sz="4" w:space="0"/>
              <w:right w:val="single" w:color="000000" w:sz="4" w:space="0"/>
            </w:tcBorders>
            <w:vAlign w:val="center"/>
          </w:tcPr>
          <w:p w14:paraId="78E6EA85">
            <w:pPr>
              <w:widowControl/>
              <w:numPr>
                <w:ilvl w:val="0"/>
                <w:numId w:val="32"/>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规格：约1000×500×2000mm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2.柜体材质：为全钢结构，板材采用1.0mm厚优质钢板为基材。</w:t>
            </w:r>
          </w:p>
          <w:p w14:paraId="4DBFE521">
            <w:pPr>
              <w:widowControl/>
              <w:numPr>
                <w:ilvl w:val="255"/>
                <w:numId w:val="0"/>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3.全自动压模成型：表面经磷化、酸洗、环氧树脂粉末烤漆处理，化学防锈处理，无突出漆块，光洁亮丽，抗强酸强碱性能突出。</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4.门板：采用上玻璃门下钢制门；</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5.玻璃门：采用优质冷轧钢板，表面经过去锈、磷化、喷砂、环氧。</w:t>
            </w:r>
          </w:p>
          <w:p w14:paraId="55C603B8">
            <w:pPr>
              <w:widowControl/>
              <w:numPr>
                <w:ilvl w:val="0"/>
                <w:numId w:val="33"/>
              </w:numPr>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树脂粉体烤漆处理，具有抗酸碱和耐高温特性，中间镶嵌玻璃。</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7.钢制门：采用优质冷轧钢板，表面经过去锈、磷化、喷砂、环氧。</w:t>
            </w:r>
          </w:p>
          <w:p w14:paraId="288996CB">
            <w:pPr>
              <w:widowControl/>
              <w:numPr>
                <w:ilvl w:val="255"/>
                <w:numId w:val="0"/>
              </w:numPr>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8.树脂粉体烤漆处理，具有抗酸碱和耐高温特性，对开门。</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9.拉手：采用不锈钢拉手，外形美观大方，设计人性化。</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10.可调脚：采用橡胶模具一次成型地脚，可调节高度30-50mm。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带锁，带标签卡。</w:t>
            </w:r>
          </w:p>
        </w:tc>
        <w:tc>
          <w:tcPr>
            <w:tcW w:w="500" w:type="dxa"/>
            <w:tcBorders>
              <w:top w:val="single" w:color="000000" w:sz="4" w:space="0"/>
              <w:left w:val="single" w:color="000000" w:sz="4" w:space="0"/>
              <w:bottom w:val="single" w:color="000000" w:sz="4" w:space="0"/>
              <w:right w:val="single" w:color="000000" w:sz="4" w:space="0"/>
            </w:tcBorders>
            <w:vAlign w:val="center"/>
          </w:tcPr>
          <w:p w14:paraId="416AA14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6</w:t>
            </w:r>
          </w:p>
        </w:tc>
        <w:tc>
          <w:tcPr>
            <w:tcW w:w="500" w:type="dxa"/>
            <w:tcBorders>
              <w:top w:val="single" w:color="000000" w:sz="4" w:space="0"/>
              <w:left w:val="single" w:color="000000" w:sz="4" w:space="0"/>
              <w:bottom w:val="single" w:color="000000" w:sz="4" w:space="0"/>
              <w:right w:val="single" w:color="000000" w:sz="4" w:space="0"/>
            </w:tcBorders>
            <w:vAlign w:val="center"/>
          </w:tcPr>
          <w:p w14:paraId="32B99E6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组</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15FE69BA">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580390</wp:posOffset>
                  </wp:positionH>
                  <wp:positionV relativeFrom="paragraph">
                    <wp:posOffset>-16510</wp:posOffset>
                  </wp:positionV>
                  <wp:extent cx="647700" cy="1098550"/>
                  <wp:effectExtent l="0" t="0" r="0" b="0"/>
                  <wp:wrapNone/>
                  <wp:docPr id="53" name="图片_147"/>
                  <wp:cNvGraphicFramePr/>
                  <a:graphic xmlns:a="http://schemas.openxmlformats.org/drawingml/2006/main">
                    <a:graphicData uri="http://schemas.openxmlformats.org/drawingml/2006/picture">
                      <pic:pic xmlns:pic="http://schemas.openxmlformats.org/drawingml/2006/picture">
                        <pic:nvPicPr>
                          <pic:cNvPr id="53" name="图片_147"/>
                          <pic:cNvPicPr/>
                        </pic:nvPicPr>
                        <pic:blipFill>
                          <a:blip r:embed="rId59"/>
                          <a:stretch>
                            <a:fillRect/>
                          </a:stretch>
                        </pic:blipFill>
                        <pic:spPr>
                          <a:xfrm>
                            <a:off x="0" y="0"/>
                            <a:ext cx="647700" cy="1098550"/>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5C2AC0A9">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3FF83B27">
        <w:tblPrEx>
          <w:tblCellMar>
            <w:top w:w="0" w:type="dxa"/>
            <w:left w:w="108" w:type="dxa"/>
            <w:bottom w:w="0" w:type="dxa"/>
            <w:right w:w="108" w:type="dxa"/>
          </w:tblCellMar>
        </w:tblPrEx>
        <w:trPr>
          <w:trHeight w:val="639" w:hRule="atLeast"/>
        </w:trPr>
        <w:tc>
          <w:tcPr>
            <w:tcW w:w="14522" w:type="dxa"/>
            <w:gridSpan w:val="7"/>
            <w:tcBorders>
              <w:top w:val="single" w:color="000000" w:sz="4" w:space="0"/>
              <w:left w:val="single" w:color="000000" w:sz="4" w:space="0"/>
              <w:bottom w:val="single" w:color="000000" w:sz="4" w:space="0"/>
              <w:right w:val="single" w:color="000000" w:sz="4" w:space="0"/>
            </w:tcBorders>
            <w:noWrap/>
            <w:vAlign w:val="center"/>
          </w:tcPr>
          <w:p w14:paraId="53D57BB9">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r>
              <w:rPr>
                <w:rFonts w:hint="eastAsia" w:ascii="宋体" w:hAnsi="宋体" w:cs="宋体"/>
                <w:b/>
                <w:bCs/>
                <w:color w:val="000000" w:themeColor="text1"/>
                <w:kern w:val="0"/>
                <w:sz w:val="22"/>
                <w:szCs w:val="22"/>
                <w:lang w:bidi="ar"/>
                <w14:textFill>
                  <w14:solidFill>
                    <w14:schemeClr w14:val="tx1"/>
                  </w14:solidFill>
                </w14:textFill>
              </w:rPr>
              <w:t>（七）7.2、智能实验取电设备</w:t>
            </w:r>
          </w:p>
        </w:tc>
      </w:tr>
      <w:tr w14:paraId="49AFD892">
        <w:tblPrEx>
          <w:tblCellMar>
            <w:top w:w="0" w:type="dxa"/>
            <w:left w:w="108" w:type="dxa"/>
            <w:bottom w:w="0" w:type="dxa"/>
            <w:right w:w="108" w:type="dxa"/>
          </w:tblCellMar>
        </w:tblPrEx>
        <w:trPr>
          <w:trHeight w:val="549"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310223EE">
            <w:pPr>
              <w:widowControl/>
              <w:jc w:val="center"/>
              <w:textAlignment w:val="center"/>
              <w:rPr>
                <w:rFonts w:hint="eastAsia" w:ascii="新宋体" w:hAnsi="新宋体" w:eastAsia="新宋体" w:cs="新宋体"/>
                <w:color w:val="000000" w:themeColor="text1"/>
                <w:kern w:val="0"/>
                <w:sz w:val="22"/>
                <w:szCs w:val="22"/>
                <w:lang w:bidi="ar"/>
                <w14:textFill>
                  <w14:solidFill>
                    <w14:schemeClr w14:val="tx1"/>
                  </w14:solidFill>
                </w14:textFill>
              </w:rPr>
            </w:pPr>
          </w:p>
        </w:tc>
        <w:tc>
          <w:tcPr>
            <w:tcW w:w="2757" w:type="dxa"/>
            <w:tcBorders>
              <w:top w:val="single" w:color="000000" w:sz="4" w:space="0"/>
              <w:left w:val="single" w:color="000000" w:sz="4" w:space="0"/>
              <w:bottom w:val="single" w:color="000000" w:sz="4" w:space="0"/>
              <w:right w:val="single" w:color="000000" w:sz="4" w:space="0"/>
            </w:tcBorders>
            <w:vAlign w:val="center"/>
          </w:tcPr>
          <w:p w14:paraId="3A29365B">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5770" w:type="dxa"/>
            <w:tcBorders>
              <w:top w:val="single" w:color="000000" w:sz="4" w:space="0"/>
              <w:left w:val="single" w:color="000000" w:sz="4" w:space="0"/>
              <w:bottom w:val="single" w:color="000000" w:sz="4" w:space="0"/>
              <w:right w:val="single" w:color="000000" w:sz="4" w:space="0"/>
            </w:tcBorders>
            <w:vAlign w:val="center"/>
          </w:tcPr>
          <w:p w14:paraId="5A17132E">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b/>
                <w:bCs/>
                <w:color w:val="000000" w:themeColor="text1"/>
                <w:kern w:val="0"/>
                <w:sz w:val="22"/>
                <w:szCs w:val="22"/>
                <w:lang w:bidi="ar"/>
                <w14:textFill>
                  <w14:solidFill>
                    <w14:schemeClr w14:val="tx1"/>
                  </w14:solidFill>
                </w14:textFill>
              </w:rPr>
              <w:t>1、集成主控制软件系统</w:t>
            </w:r>
          </w:p>
        </w:tc>
        <w:tc>
          <w:tcPr>
            <w:tcW w:w="500" w:type="dxa"/>
            <w:tcBorders>
              <w:top w:val="single" w:color="000000" w:sz="4" w:space="0"/>
              <w:left w:val="single" w:color="000000" w:sz="4" w:space="0"/>
              <w:bottom w:val="single" w:color="000000" w:sz="4" w:space="0"/>
              <w:right w:val="single" w:color="000000" w:sz="4" w:space="0"/>
            </w:tcBorders>
            <w:vAlign w:val="center"/>
          </w:tcPr>
          <w:p w14:paraId="4247A88C">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500" w:type="dxa"/>
            <w:tcBorders>
              <w:top w:val="single" w:color="000000" w:sz="4" w:space="0"/>
              <w:left w:val="single" w:color="000000" w:sz="4" w:space="0"/>
              <w:bottom w:val="single" w:color="000000" w:sz="4" w:space="0"/>
              <w:right w:val="single" w:color="000000" w:sz="4" w:space="0"/>
            </w:tcBorders>
            <w:vAlign w:val="center"/>
          </w:tcPr>
          <w:p w14:paraId="5219DEB8">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45822D35">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2E0D2777">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111D7770">
        <w:tblPrEx>
          <w:tblCellMar>
            <w:top w:w="0" w:type="dxa"/>
            <w:left w:w="108" w:type="dxa"/>
            <w:bottom w:w="0" w:type="dxa"/>
            <w:right w:w="108" w:type="dxa"/>
          </w:tblCellMar>
        </w:tblPrEx>
        <w:trPr>
          <w:trHeight w:val="82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7A1438C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6</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D3C93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控制柜</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DA49F8">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1.控制柜外形尺寸：1100*500*180mm(±5mm)。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控制箱内置：10寸彩色液晶触摸屏一台，3P总电源开关1组，220V漏电保护开关1个，220V交流接触器1个，24V直流电源1个，220V空气开关，动力线端子台，接地端子等。单片机控制器及功能扩展模块1套，单片机保护模块1个急停控制系统1套；(WiFi模块控制1套，2.4G 5G 5.8G双频吸盘天线5-12dbi无线路由SMA全向高增益wifi天线一套,选配），启动开关一个，工作指示灯系统1套。机柜控制板由专业PCB设计，软件编程及设计团队独立研发，采用CAN总线技术接收发送主控制系统控制通信，板载温湿度监控单元，WiFi控制单元等信号采集处理，反馈采集信息和主控系统进行自动化处理。</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4A1F7">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D61F6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台</w:t>
            </w:r>
          </w:p>
        </w:tc>
        <w:tc>
          <w:tcPr>
            <w:tcW w:w="3345" w:type="dxa"/>
            <w:vMerge w:val="restart"/>
            <w:tcBorders>
              <w:top w:val="single" w:color="000000" w:sz="4" w:space="0"/>
              <w:left w:val="single" w:color="000000" w:sz="4" w:space="0"/>
              <w:bottom w:val="single" w:color="000000" w:sz="4" w:space="0"/>
              <w:right w:val="single" w:color="000000" w:sz="4" w:space="0"/>
            </w:tcBorders>
            <w:vAlign w:val="center"/>
          </w:tcPr>
          <w:p w14:paraId="367E8AE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93056" behindDoc="0" locked="0" layoutInCell="1" allowOverlap="1">
                  <wp:simplePos x="0" y="0"/>
                  <wp:positionH relativeFrom="column">
                    <wp:posOffset>633730</wp:posOffset>
                  </wp:positionH>
                  <wp:positionV relativeFrom="paragraph">
                    <wp:posOffset>1544320</wp:posOffset>
                  </wp:positionV>
                  <wp:extent cx="727075" cy="1438275"/>
                  <wp:effectExtent l="0" t="0" r="15875" b="9525"/>
                  <wp:wrapNone/>
                  <wp:docPr id="46" name="图片_23_SpCnt_1"/>
                  <wp:cNvGraphicFramePr/>
                  <a:graphic xmlns:a="http://schemas.openxmlformats.org/drawingml/2006/main">
                    <a:graphicData uri="http://schemas.openxmlformats.org/drawingml/2006/picture">
                      <pic:pic xmlns:pic="http://schemas.openxmlformats.org/drawingml/2006/picture">
                        <pic:nvPicPr>
                          <pic:cNvPr id="46" name="图片_23_SpCnt_1"/>
                          <pic:cNvPicPr/>
                        </pic:nvPicPr>
                        <pic:blipFill>
                          <a:blip r:embed="rId66"/>
                          <a:stretch>
                            <a:fillRect/>
                          </a:stretch>
                        </pic:blipFill>
                        <pic:spPr>
                          <a:xfrm>
                            <a:off x="0" y="0"/>
                            <a:ext cx="727075" cy="1438275"/>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vAlign w:val="center"/>
          </w:tcPr>
          <w:p w14:paraId="2FA2BC45">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25248B2A">
        <w:tblPrEx>
          <w:tblCellMar>
            <w:top w:w="0" w:type="dxa"/>
            <w:left w:w="108" w:type="dxa"/>
            <w:bottom w:w="0" w:type="dxa"/>
            <w:right w:w="108" w:type="dxa"/>
          </w:tblCellMar>
        </w:tblPrEx>
        <w:trPr>
          <w:trHeight w:val="82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327BCB6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7</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6B50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顶装智能控制模块</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CB0D55">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1.规格：10寸彩色液晶触摸屏，集成主控制系统。可执行各分项分页控制；初次以超级管理员身份登陆APP，提供密码修改，多用户注册，多用户进行管理功能。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1）主页：用户登入后进入主页模式。首先点击右侧电源图标进行连线才可以控制后面操作，在主页内显示当前温度，湿度，时间。此界面点击右上角菜单图标可以进行时间设置，用户管理，关于我们，使用说明操作。用户管理菜单内可以多进行多用户管理，删除，增加，修改密码等处理。</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升降控制：可以实现单个控制，可以集中控制，可以任意组合控制：此界面内对电源系统进行分组选择，全选，单选等操作。选择需要开启组项电机上升，下降，暂停图标来进行摇臂操作。摇臂升降过程中采用限位开关进行上下限到位保护。控制系统带障碍物保护功能，具有防夹，防卡功能，当摇臂在运动的过程中遇到障碍物时会自动停止。</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（3）高压：对吊装系统分成A,B两组和老师，可以进行分组选择，全选，单选等操作。可以控制学生，老师端高压220V，电源具有漏电、短路、过载保护，保证安全可靠。</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（4）低压：对吊装系统分成A,B两组和老师，可以进行分组选择，全选，单选等操作。可以控制学生，老师端低压交直流输出。低压输出学生电源交直流电压，具有智能保护系统，短路过载具有自动复位功能。</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（5）照明：此界面内对吊装系统分成A,B两组和老师，可以进行分组选择，全选，单选等操作分组控制整室照明。</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CB362A">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auto" w:sz="4" w:space="0"/>
              <w:right w:val="single" w:color="000000" w:sz="4" w:space="0"/>
            </w:tcBorders>
            <w:shd w:val="clear" w:color="auto" w:fill="FFFFFF"/>
            <w:vAlign w:val="center"/>
          </w:tcPr>
          <w:p w14:paraId="05E9E39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vMerge w:val="continue"/>
            <w:tcBorders>
              <w:top w:val="single" w:color="000000" w:sz="4" w:space="0"/>
              <w:left w:val="single" w:color="000000" w:sz="4" w:space="0"/>
              <w:bottom w:val="single" w:color="auto" w:sz="4" w:space="0"/>
              <w:right w:val="single" w:color="000000" w:sz="4" w:space="0"/>
            </w:tcBorders>
            <w:vAlign w:val="center"/>
          </w:tcPr>
          <w:p w14:paraId="78CDEFA0">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auto" w:sz="4" w:space="0"/>
              <w:right w:val="single" w:color="000000" w:sz="4" w:space="0"/>
            </w:tcBorders>
            <w:vAlign w:val="center"/>
          </w:tcPr>
          <w:p w14:paraId="0F6EB50E">
            <w:pPr>
              <w:jc w:val="center"/>
              <w:rPr>
                <w:rFonts w:hint="eastAsia" w:ascii="宋体" w:hAnsi="宋体" w:cs="宋体"/>
                <w:color w:val="000000" w:themeColor="text1"/>
                <w:sz w:val="22"/>
                <w:szCs w:val="22"/>
                <w14:textFill>
                  <w14:solidFill>
                    <w14:schemeClr w14:val="tx1"/>
                  </w14:solidFill>
                </w14:textFill>
              </w:rPr>
            </w:pPr>
          </w:p>
        </w:tc>
      </w:tr>
      <w:tr w14:paraId="3CEC9275">
        <w:tblPrEx>
          <w:tblCellMar>
            <w:top w:w="0" w:type="dxa"/>
            <w:left w:w="108" w:type="dxa"/>
            <w:bottom w:w="0" w:type="dxa"/>
            <w:right w:w="108" w:type="dxa"/>
          </w:tblCellMar>
        </w:tblPrEx>
        <w:trPr>
          <w:trHeight w:val="30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05FBA320">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8</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ADC670">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移动端控制模块</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A278ED">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 xml:space="preserve"> 机柜内设置WiFi模块，机柜内终端对移动端进行授权后手机，平板电脑移动端可以通过APP进行连入设备网络终端，可以进行吊装系统全部的操作。</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05E574">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auto" w:sz="4" w:space="0"/>
              <w:left w:val="single" w:color="000000" w:sz="4" w:space="0"/>
              <w:bottom w:val="single" w:color="000000" w:sz="4" w:space="0"/>
              <w:right w:val="single" w:color="000000" w:sz="4" w:space="0"/>
            </w:tcBorders>
            <w:shd w:val="clear" w:color="auto" w:fill="FFFFFF"/>
            <w:vAlign w:val="center"/>
          </w:tcPr>
          <w:p w14:paraId="5340664F">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auto" w:sz="4" w:space="0"/>
              <w:left w:val="single" w:color="000000" w:sz="4" w:space="0"/>
              <w:bottom w:val="single" w:color="auto" w:sz="4" w:space="0"/>
              <w:right w:val="single" w:color="000000" w:sz="4" w:space="0"/>
            </w:tcBorders>
            <w:vAlign w:val="center"/>
          </w:tcPr>
          <w:p w14:paraId="68A1D65D">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auto" w:sz="4" w:space="0"/>
              <w:left w:val="single" w:color="000000" w:sz="4" w:space="0"/>
              <w:bottom w:val="single" w:color="auto" w:sz="4" w:space="0"/>
              <w:right w:val="single" w:color="000000" w:sz="4" w:space="0"/>
            </w:tcBorders>
            <w:vAlign w:val="center"/>
          </w:tcPr>
          <w:p w14:paraId="23A99CAE">
            <w:pPr>
              <w:jc w:val="center"/>
              <w:rPr>
                <w:rFonts w:hint="eastAsia" w:ascii="宋体" w:hAnsi="宋体" w:cs="宋体"/>
                <w:color w:val="000000" w:themeColor="text1"/>
                <w:sz w:val="22"/>
                <w:szCs w:val="22"/>
                <w14:textFill>
                  <w14:solidFill>
                    <w14:schemeClr w14:val="tx1"/>
                  </w14:solidFill>
                </w14:textFill>
              </w:rPr>
            </w:pPr>
          </w:p>
        </w:tc>
      </w:tr>
      <w:tr w14:paraId="4BE20F69">
        <w:tblPrEx>
          <w:tblCellMar>
            <w:top w:w="0" w:type="dxa"/>
            <w:left w:w="108" w:type="dxa"/>
            <w:bottom w:w="0" w:type="dxa"/>
            <w:right w:w="108" w:type="dxa"/>
          </w:tblCellMar>
        </w:tblPrEx>
        <w:trPr>
          <w:trHeight w:val="82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5ABB64C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9</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15EAB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温湿度监视模块</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D9CF02">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内置精密温湿度传感装置，实时监控房间内的温度和湿度，保障室内舒适的环境舒适性，在触摸屏中实时显示当前环境的温度和湿度。</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E774D7">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7A325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项</w:t>
            </w:r>
          </w:p>
        </w:tc>
        <w:tc>
          <w:tcPr>
            <w:tcW w:w="3345" w:type="dxa"/>
            <w:tcBorders>
              <w:top w:val="single" w:color="auto" w:sz="4" w:space="0"/>
              <w:left w:val="single" w:color="000000" w:sz="4" w:space="0"/>
              <w:bottom w:val="single" w:color="auto" w:sz="4" w:space="0"/>
              <w:right w:val="single" w:color="000000" w:sz="4" w:space="0"/>
            </w:tcBorders>
            <w:vAlign w:val="center"/>
          </w:tcPr>
          <w:p w14:paraId="6BEA5CCB">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auto" w:sz="4" w:space="0"/>
              <w:left w:val="single" w:color="000000" w:sz="4" w:space="0"/>
              <w:bottom w:val="single" w:color="auto" w:sz="4" w:space="0"/>
              <w:right w:val="single" w:color="000000" w:sz="4" w:space="0"/>
            </w:tcBorders>
            <w:vAlign w:val="center"/>
          </w:tcPr>
          <w:p w14:paraId="18F6B748">
            <w:pPr>
              <w:jc w:val="center"/>
              <w:rPr>
                <w:rFonts w:hint="eastAsia" w:ascii="宋体" w:hAnsi="宋体" w:cs="宋体"/>
                <w:color w:val="000000" w:themeColor="text1"/>
                <w:sz w:val="22"/>
                <w:szCs w:val="22"/>
                <w14:textFill>
                  <w14:solidFill>
                    <w14:schemeClr w14:val="tx1"/>
                  </w14:solidFill>
                </w14:textFill>
              </w:rPr>
            </w:pPr>
          </w:p>
        </w:tc>
      </w:tr>
      <w:tr w14:paraId="2A2088A1">
        <w:tblPrEx>
          <w:tblCellMar>
            <w:top w:w="0" w:type="dxa"/>
            <w:left w:w="108" w:type="dxa"/>
            <w:bottom w:w="0" w:type="dxa"/>
            <w:right w:w="108" w:type="dxa"/>
          </w:tblCellMar>
        </w:tblPrEx>
        <w:trPr>
          <w:trHeight w:val="82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3A760936">
            <w:pPr>
              <w:widowControl/>
              <w:jc w:val="center"/>
              <w:textAlignment w:val="center"/>
              <w:rPr>
                <w:rFonts w:hint="eastAsia" w:ascii="宋体" w:hAnsi="宋体" w:cs="宋体"/>
                <w:color w:val="000000" w:themeColor="text1"/>
                <w:sz w:val="22"/>
                <w:szCs w:val="22"/>
                <w14:textFill>
                  <w14:solidFill>
                    <w14:schemeClr w14:val="tx1"/>
                  </w14:solidFill>
                </w14:textFill>
              </w:rPr>
            </w:pP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4C1CD4">
            <w:pPr>
              <w:widowControl/>
              <w:jc w:val="center"/>
              <w:textAlignment w:val="center"/>
              <w:rPr>
                <w:rFonts w:hint="eastAsia" w:ascii="宋体" w:hAnsi="宋体" w:cs="宋体"/>
                <w:color w:val="000000" w:themeColor="text1"/>
                <w:sz w:val="22"/>
                <w:szCs w:val="22"/>
                <w14:textFill>
                  <w14:solidFill>
                    <w14:schemeClr w14:val="tx1"/>
                  </w14:solidFill>
                </w14:textFill>
              </w:rPr>
            </w:pP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FAE468">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b/>
                <w:bCs/>
                <w:color w:val="000000" w:themeColor="text1"/>
                <w:kern w:val="0"/>
                <w:sz w:val="22"/>
                <w:szCs w:val="22"/>
                <w:lang w:bidi="ar"/>
                <w14:textFill>
                  <w14:solidFill>
                    <w14:schemeClr w14:val="tx1"/>
                  </w14:solidFill>
                </w14:textFill>
              </w:rPr>
              <w:t>2、学生吊装顶部集成供给系统</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193921">
            <w:pPr>
              <w:widowControl/>
              <w:jc w:val="center"/>
              <w:textAlignment w:val="center"/>
              <w:rPr>
                <w:rFonts w:hint="eastAsia" w:ascii="宋体" w:hAnsi="宋体" w:cs="宋体"/>
                <w:color w:val="000000" w:themeColor="text1"/>
                <w:sz w:val="22"/>
                <w:szCs w:val="22"/>
                <w14:textFill>
                  <w14:solidFill>
                    <w14:schemeClr w14:val="tx1"/>
                  </w14:solidFill>
                </w14:textFill>
              </w:rPr>
            </w:pP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B18E8A">
            <w:pPr>
              <w:widowControl/>
              <w:jc w:val="center"/>
              <w:textAlignment w:val="center"/>
              <w:rPr>
                <w:rFonts w:hint="eastAsia" w:ascii="宋体" w:hAnsi="宋体" w:cs="宋体"/>
                <w:color w:val="000000" w:themeColor="text1"/>
                <w:sz w:val="22"/>
                <w:szCs w:val="22"/>
                <w14:textFill>
                  <w14:solidFill>
                    <w14:schemeClr w14:val="tx1"/>
                  </w14:solidFill>
                </w14:textFill>
              </w:rPr>
            </w:pPr>
          </w:p>
        </w:tc>
        <w:tc>
          <w:tcPr>
            <w:tcW w:w="3345" w:type="dxa"/>
            <w:tcBorders>
              <w:top w:val="single" w:color="auto" w:sz="4" w:space="0"/>
              <w:left w:val="single" w:color="000000" w:sz="4" w:space="0"/>
              <w:bottom w:val="single" w:color="000000" w:sz="4" w:space="0"/>
              <w:right w:val="single" w:color="000000" w:sz="4" w:space="0"/>
            </w:tcBorders>
            <w:vAlign w:val="center"/>
          </w:tcPr>
          <w:p w14:paraId="1BB61F2C">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auto" w:sz="4" w:space="0"/>
              <w:left w:val="single" w:color="000000" w:sz="4" w:space="0"/>
              <w:bottom w:val="single" w:color="000000" w:sz="4" w:space="0"/>
              <w:right w:val="single" w:color="000000" w:sz="4" w:space="0"/>
            </w:tcBorders>
            <w:vAlign w:val="center"/>
          </w:tcPr>
          <w:p w14:paraId="34D6A910">
            <w:pPr>
              <w:jc w:val="center"/>
              <w:rPr>
                <w:rFonts w:hint="eastAsia" w:ascii="宋体" w:hAnsi="宋体" w:cs="宋体"/>
                <w:color w:val="000000" w:themeColor="text1"/>
                <w:sz w:val="22"/>
                <w:szCs w:val="22"/>
                <w14:textFill>
                  <w14:solidFill>
                    <w14:schemeClr w14:val="tx1"/>
                  </w14:solidFill>
                </w14:textFill>
              </w:rPr>
            </w:pPr>
          </w:p>
        </w:tc>
      </w:tr>
      <w:tr w14:paraId="56D68110">
        <w:tblPrEx>
          <w:tblCellMar>
            <w:top w:w="0" w:type="dxa"/>
            <w:left w:w="108" w:type="dxa"/>
            <w:bottom w:w="0" w:type="dxa"/>
            <w:right w:w="108" w:type="dxa"/>
          </w:tblCellMar>
        </w:tblPrEx>
        <w:trPr>
          <w:trHeight w:val="700"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3D265CB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10</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BF6BE4">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主体框架</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9ABF07">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采用优质镀锌钢板经激光切割、数控冲压、数控折弯成型，生产工业采取模块组合，便于安装，外观流线形设计，简洁美观,表面经环氧树脂粉末静电喷涂、高温固化处理，耐腐蚀。</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9F480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9B489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1D3D12CA">
            <w:pPr>
              <w:widowControl/>
              <w:jc w:val="center"/>
              <w:textAlignment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4B0696DD">
            <w:pPr>
              <w:widowControl/>
              <w:jc w:val="center"/>
              <w:textAlignment w:val="center"/>
              <w:rPr>
                <w:rFonts w:hint="eastAsia" w:ascii="宋体" w:hAnsi="宋体" w:cs="宋体"/>
                <w:color w:val="000000" w:themeColor="text1"/>
                <w:sz w:val="22"/>
                <w:szCs w:val="22"/>
                <w14:textFill>
                  <w14:solidFill>
                    <w14:schemeClr w14:val="tx1"/>
                  </w14:solidFill>
                </w14:textFill>
              </w:rPr>
            </w:pPr>
          </w:p>
        </w:tc>
      </w:tr>
      <w:tr w14:paraId="23B8374F">
        <w:tblPrEx>
          <w:tblCellMar>
            <w:top w:w="0" w:type="dxa"/>
            <w:left w:w="108" w:type="dxa"/>
            <w:bottom w:w="0" w:type="dxa"/>
            <w:right w:w="108" w:type="dxa"/>
          </w:tblCellMar>
        </w:tblPrEx>
        <w:trPr>
          <w:trHeight w:val="700"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7E22286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11</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75500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电源升降模块</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C47E7">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采用为直流24V低压减速电机，带动卷线盘实现电源主体上下运动.</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AF52A4">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0242B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个</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68C6E203">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30D98460">
            <w:pPr>
              <w:jc w:val="center"/>
              <w:rPr>
                <w:rFonts w:hint="eastAsia" w:ascii="宋体" w:hAnsi="宋体" w:cs="宋体"/>
                <w:color w:val="000000" w:themeColor="text1"/>
                <w:sz w:val="22"/>
                <w:szCs w:val="22"/>
                <w14:textFill>
                  <w14:solidFill>
                    <w14:schemeClr w14:val="tx1"/>
                  </w14:solidFill>
                </w14:textFill>
              </w:rPr>
            </w:pPr>
          </w:p>
        </w:tc>
      </w:tr>
      <w:tr w14:paraId="0EF010A2">
        <w:trPr>
          <w:trHeight w:val="700"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6D2EA2C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274DF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升降电源主体</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E5B918">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接收智能化控制系统控制终端，主体外壳采用阻燃剂ABS注塑成型，预留多个供应系统安装位置。</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FA9D7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6DC1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个</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45E5D7E9">
            <w:pPr>
              <w:jc w:val="center"/>
              <w:rPr>
                <w:rFonts w:hint="eastAsia" w:ascii="宋体" w:hAnsi="宋体" w:cs="宋体"/>
                <w:color w:val="000000" w:themeColor="text1"/>
                <w:sz w:val="22"/>
                <w:szCs w:val="22"/>
                <w14:textFill>
                  <w14:solidFill>
                    <w14:schemeClr w14:val="tx1"/>
                  </w14:solidFill>
                </w14:textFill>
              </w:rPr>
            </w:pPr>
            <w:r>
              <w:drawing>
                <wp:inline distT="0" distB="0" distL="0" distR="0">
                  <wp:extent cx="942975" cy="766445"/>
                  <wp:effectExtent l="0" t="0" r="9525" b="14605"/>
                  <wp:docPr id="12011506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50637" name="图片 24"/>
                          <pic:cNvPicPr>
                            <a:picLocks noChangeAspect="1"/>
                          </pic:cNvPicPr>
                        </pic:nvPicPr>
                        <pic:blipFill>
                          <a:blip r:embed="rId64"/>
                          <a:stretch>
                            <a:fillRect/>
                          </a:stretch>
                        </pic:blipFill>
                        <pic:spPr>
                          <a:xfrm>
                            <a:off x="0" y="0"/>
                            <a:ext cx="942975" cy="766818"/>
                          </a:xfrm>
                          <a:prstGeom prst="rect">
                            <a:avLst/>
                          </a:prstGeom>
                          <a:noFill/>
                          <a:ln w="9525">
                            <a:noFill/>
                          </a:ln>
                        </pic:spPr>
                      </pic:pic>
                    </a:graphicData>
                  </a:graphic>
                </wp:inline>
              </w:drawing>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1D98EE06">
            <w:pPr>
              <w:jc w:val="center"/>
              <w:rPr>
                <w:rFonts w:hint="eastAsia" w:ascii="宋体" w:hAnsi="宋体" w:cs="宋体"/>
                <w:color w:val="000000" w:themeColor="text1"/>
                <w:sz w:val="22"/>
                <w:szCs w:val="22"/>
                <w14:textFill>
                  <w14:solidFill>
                    <w14:schemeClr w14:val="tx1"/>
                  </w14:solidFill>
                </w14:textFill>
              </w:rPr>
            </w:pPr>
          </w:p>
        </w:tc>
      </w:tr>
      <w:tr w14:paraId="665FC844">
        <w:tblPrEx>
          <w:tblCellMar>
            <w:top w:w="0" w:type="dxa"/>
            <w:left w:w="108" w:type="dxa"/>
            <w:bottom w:w="0" w:type="dxa"/>
            <w:right w:w="108" w:type="dxa"/>
          </w:tblCellMar>
        </w:tblPrEx>
        <w:trPr>
          <w:trHeight w:val="300"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2ABAD00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13</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CB405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低压电源模块</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70DC85">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1、教师主控型，学生低压电源都可接收主控电源发送的锁定信号，在锁定指示灯点亮后，学生接收老师输送的设定电源电压，教师锁定时,学生自己无法操作，这样可避免学生的误操作。可以分组或独立控制；</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2、学生电源面板采用整体框架机构，采用旋钮加按钮式按键控制，可以随意设置电压，贴片元件生产技术，微电脑控制，采用1.9寸液晶显示电源学生交直流电压 ；</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 xml:space="preserve">3、学生交流电源通过旋钮键进行交流电源输出，AC1.5V~36V，分辨率0.1V。显示设定值。功率根据输出需求定，最大输出约100W，具有过载保护智能检测功能（电流高于过载点则自动保护，电流低于过载点则自动恢复至设定值）； </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 xml:space="preserve">4、学生直流电源也是通过过旋钮键选取，1，直流电源输出，DC1.5V~36V，分辨率0.1V。显示设定值；亦具有过载保护智能检测功能  </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5、电源内部设计有工作状态指示灯条，正常工作模式显示绿色灯光，有报警时灯变成红色模式</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C89EA7">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7B395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个</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7052D1A8">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34421657">
            <w:pPr>
              <w:jc w:val="center"/>
              <w:rPr>
                <w:rFonts w:hint="eastAsia" w:ascii="宋体" w:hAnsi="宋体" w:cs="宋体"/>
                <w:color w:val="000000" w:themeColor="text1"/>
                <w:sz w:val="22"/>
                <w:szCs w:val="22"/>
                <w14:textFill>
                  <w14:solidFill>
                    <w14:schemeClr w14:val="tx1"/>
                  </w14:solidFill>
                </w14:textFill>
              </w:rPr>
            </w:pPr>
          </w:p>
        </w:tc>
      </w:tr>
      <w:tr w14:paraId="6B44210C">
        <w:tblPrEx>
          <w:tblCellMar>
            <w:top w:w="0" w:type="dxa"/>
            <w:left w:w="108" w:type="dxa"/>
            <w:bottom w:w="0" w:type="dxa"/>
            <w:right w:w="108" w:type="dxa"/>
          </w:tblCellMar>
        </w:tblPrEx>
        <w:trPr>
          <w:trHeight w:val="700"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0392CF8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14</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30BE1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高压电源模块</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FA6EB3">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采用220V，4组国标多功能安全插座，带漏电保护功能</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758EC9">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F392F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个</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7F5A787A">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4CCCE398">
            <w:pPr>
              <w:jc w:val="center"/>
              <w:rPr>
                <w:rFonts w:hint="eastAsia" w:ascii="宋体" w:hAnsi="宋体" w:cs="宋体"/>
                <w:color w:val="000000" w:themeColor="text1"/>
                <w:sz w:val="22"/>
                <w:szCs w:val="22"/>
                <w14:textFill>
                  <w14:solidFill>
                    <w14:schemeClr w14:val="tx1"/>
                  </w14:solidFill>
                </w14:textFill>
              </w:rPr>
            </w:pPr>
          </w:p>
        </w:tc>
      </w:tr>
      <w:tr w14:paraId="6B893E33">
        <w:tblPrEx>
          <w:tblCellMar>
            <w:top w:w="0" w:type="dxa"/>
            <w:left w:w="108" w:type="dxa"/>
            <w:bottom w:w="0" w:type="dxa"/>
            <w:right w:w="108" w:type="dxa"/>
          </w:tblCellMar>
        </w:tblPrEx>
        <w:trPr>
          <w:trHeight w:val="700"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2FB4B99A">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15</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4126AE">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USB充电模块</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75C3F8">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输出电压：默认5V，触发快充后在3-12V之间自动调整；输出功率：最大24W（5V@3.4A，9V@2.5A，12V@2A等）；支持多种快充协议；输入过压、欠压保护；输入过流保护；输出过流、短路保护 支持快充协议：BC1.2、Apple、三星协议；高通 QC2.0和3.0；MTK PE1.1/PE2.0；华为快充协议AFC；展讯快充协议SFCP。</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EBC402">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24</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CB3C12">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个</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2BCC52FD">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58987339">
            <w:pPr>
              <w:jc w:val="center"/>
              <w:rPr>
                <w:rFonts w:hint="eastAsia" w:ascii="宋体" w:hAnsi="宋体" w:cs="宋体"/>
                <w:color w:val="000000" w:themeColor="text1"/>
                <w:sz w:val="22"/>
                <w:szCs w:val="22"/>
                <w14:textFill>
                  <w14:solidFill>
                    <w14:schemeClr w14:val="tx1"/>
                  </w14:solidFill>
                </w14:textFill>
              </w:rPr>
            </w:pPr>
          </w:p>
        </w:tc>
      </w:tr>
      <w:tr w14:paraId="11298B4A">
        <w:tblPrEx>
          <w:tblCellMar>
            <w:top w:w="0" w:type="dxa"/>
            <w:left w:w="108" w:type="dxa"/>
            <w:bottom w:w="0" w:type="dxa"/>
            <w:right w:w="108" w:type="dxa"/>
          </w:tblCellMar>
        </w:tblPrEx>
        <w:trPr>
          <w:trHeight w:val="700"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0B242B5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16</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9F18A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网络模块</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8157B2">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内置RJ45网络模块，与路由器组成组成网络系统</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0E14C4">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24</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3F798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个</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0D25C6C0">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7D4668A5">
            <w:pPr>
              <w:jc w:val="center"/>
              <w:rPr>
                <w:rFonts w:hint="eastAsia" w:ascii="宋体" w:hAnsi="宋体" w:cs="宋体"/>
                <w:color w:val="000000" w:themeColor="text1"/>
                <w:sz w:val="22"/>
                <w:szCs w:val="22"/>
                <w14:textFill>
                  <w14:solidFill>
                    <w14:schemeClr w14:val="tx1"/>
                  </w14:solidFill>
                </w14:textFill>
              </w:rPr>
            </w:pPr>
          </w:p>
        </w:tc>
      </w:tr>
      <w:tr w14:paraId="53094C3C">
        <w:tblPrEx>
          <w:tblCellMar>
            <w:top w:w="0" w:type="dxa"/>
            <w:left w:w="108" w:type="dxa"/>
            <w:bottom w:w="0" w:type="dxa"/>
            <w:right w:w="108" w:type="dxa"/>
          </w:tblCellMar>
        </w:tblPrEx>
        <w:trPr>
          <w:trHeight w:val="700"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01D1476A">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17</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D637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系统安装辅件1</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CD50F5">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模块化设计，每组模块间采用活接式连接，方便安装、检修。采用国标要求进行系统布线（国标产品）。</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A77C2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1CF8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项</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5A92A00B">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46129C77">
            <w:pPr>
              <w:jc w:val="center"/>
              <w:rPr>
                <w:rFonts w:hint="eastAsia" w:ascii="宋体" w:hAnsi="宋体" w:cs="宋体"/>
                <w:color w:val="000000" w:themeColor="text1"/>
                <w:sz w:val="22"/>
                <w:szCs w:val="22"/>
                <w14:textFill>
                  <w14:solidFill>
                    <w14:schemeClr w14:val="tx1"/>
                  </w14:solidFill>
                </w14:textFill>
              </w:rPr>
            </w:pPr>
          </w:p>
        </w:tc>
      </w:tr>
      <w:tr w14:paraId="186E2D84">
        <w:tblPrEx>
          <w:tblCellMar>
            <w:top w:w="0" w:type="dxa"/>
            <w:left w:w="108" w:type="dxa"/>
            <w:bottom w:w="0" w:type="dxa"/>
            <w:right w:w="108" w:type="dxa"/>
          </w:tblCellMar>
        </w:tblPrEx>
        <w:trPr>
          <w:trHeight w:val="700"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26BE6CD2">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18</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6171A7">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智能照明</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520ACE">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采用1个标准LED模组，每个模组功率10W，灯板采用2.0mm厚pc光扩散板，扩大了发光面。而使光线变的柔和，达到匀光而又透光的目的，同时满足各种雾度值和透光率的需求。及在保证高透光率，降低光衰的情况下，有着良好的光源遮蔽性效果</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75537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107CF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3495C234">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70481583">
            <w:pPr>
              <w:jc w:val="center"/>
              <w:rPr>
                <w:rFonts w:hint="eastAsia" w:ascii="宋体" w:hAnsi="宋体" w:cs="宋体"/>
                <w:color w:val="000000" w:themeColor="text1"/>
                <w:sz w:val="22"/>
                <w:szCs w:val="22"/>
                <w14:textFill>
                  <w14:solidFill>
                    <w14:schemeClr w14:val="tx1"/>
                  </w14:solidFill>
                </w14:textFill>
              </w:rPr>
            </w:pPr>
          </w:p>
        </w:tc>
      </w:tr>
      <w:tr w14:paraId="6551CC6E">
        <w:tblPrEx>
          <w:tblCellMar>
            <w:top w:w="0" w:type="dxa"/>
            <w:left w:w="108" w:type="dxa"/>
            <w:bottom w:w="0" w:type="dxa"/>
            <w:right w:w="108" w:type="dxa"/>
          </w:tblCellMar>
        </w:tblPrEx>
        <w:trPr>
          <w:trHeight w:val="700"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55D4DC3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19</w:t>
            </w:r>
          </w:p>
        </w:tc>
        <w:tc>
          <w:tcPr>
            <w:tcW w:w="27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11442E">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系统安装辅件</w:t>
            </w:r>
          </w:p>
        </w:tc>
        <w:tc>
          <w:tcPr>
            <w:tcW w:w="5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7191DF">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采用型材吊装方式，减少楼板承重，防止左右晃动，可进行上下、左右的平衡调节。主要辅件有：型材、龙骨架连接件、高度调节结构等。</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F5E6D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12</w:t>
            </w:r>
          </w:p>
        </w:tc>
        <w:tc>
          <w:tcPr>
            <w:tcW w:w="5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A57CE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项</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59B4951C">
            <w:pPr>
              <w:jc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7FC9370C">
            <w:pPr>
              <w:jc w:val="center"/>
              <w:rPr>
                <w:rFonts w:hint="eastAsia" w:ascii="宋体" w:hAnsi="宋体" w:cs="宋体"/>
                <w:color w:val="000000" w:themeColor="text1"/>
                <w:sz w:val="22"/>
                <w:szCs w:val="22"/>
                <w14:textFill>
                  <w14:solidFill>
                    <w14:schemeClr w14:val="tx1"/>
                  </w14:solidFill>
                </w14:textFill>
              </w:rPr>
            </w:pPr>
          </w:p>
        </w:tc>
      </w:tr>
      <w:tr w14:paraId="46BEFE98">
        <w:tblPrEx>
          <w:tblCellMar>
            <w:top w:w="0" w:type="dxa"/>
            <w:left w:w="108" w:type="dxa"/>
            <w:bottom w:w="0" w:type="dxa"/>
            <w:right w:w="108" w:type="dxa"/>
          </w:tblCellMar>
        </w:tblPrEx>
        <w:trPr>
          <w:trHeight w:val="700" w:hRule="atLeast"/>
        </w:trPr>
        <w:tc>
          <w:tcPr>
            <w:tcW w:w="13372" w:type="dxa"/>
            <w:gridSpan w:val="6"/>
            <w:tcBorders>
              <w:top w:val="single" w:color="000000" w:sz="4" w:space="0"/>
              <w:left w:val="single" w:color="000000" w:sz="4" w:space="0"/>
              <w:bottom w:val="single" w:color="000000" w:sz="4" w:space="0"/>
              <w:right w:val="single" w:color="000000" w:sz="4" w:space="0"/>
            </w:tcBorders>
            <w:noWrap/>
            <w:vAlign w:val="center"/>
          </w:tcPr>
          <w:p w14:paraId="0E1C8895">
            <w:pPr>
              <w:jc w:val="center"/>
              <w:rPr>
                <w:rFonts w:hint="eastAsia" w:ascii="宋体" w:hAnsi="宋体" w:cs="宋体"/>
                <w:color w:val="000000" w:themeColor="text1"/>
                <w:sz w:val="22"/>
                <w:szCs w:val="22"/>
                <w14:textFill>
                  <w14:solidFill>
                    <w14:schemeClr w14:val="tx1"/>
                  </w14:solidFill>
                </w14:textFill>
              </w:rPr>
            </w:pPr>
            <w:r>
              <w:rPr>
                <w:rFonts w:hint="eastAsia" w:asciiTheme="minorEastAsia" w:hAnsiTheme="minorEastAsia" w:eastAsiaTheme="minorEastAsia" w:cstheme="minorEastAsia"/>
                <w:b/>
                <w:bCs/>
                <w:color w:val="000000" w:themeColor="text1"/>
                <w:kern w:val="0"/>
                <w:sz w:val="22"/>
                <w:szCs w:val="22"/>
                <w:lang w:bidi="ar"/>
                <w14:textFill>
                  <w14:solidFill>
                    <w14:schemeClr w14:val="tx1"/>
                  </w14:solidFill>
                </w14:textFill>
              </w:rPr>
              <w:t>（八）物理仪器室</w:t>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77B06FD4">
            <w:pPr>
              <w:jc w:val="center"/>
              <w:rPr>
                <w:rFonts w:hint="eastAsia" w:ascii="新宋体" w:hAnsi="新宋体" w:eastAsia="新宋体" w:cs="新宋体"/>
                <w:b/>
                <w:bCs/>
                <w:color w:val="000000" w:themeColor="text1"/>
                <w:kern w:val="0"/>
                <w:sz w:val="24"/>
                <w:lang w:bidi="ar"/>
                <w14:textFill>
                  <w14:solidFill>
                    <w14:schemeClr w14:val="tx1"/>
                  </w14:solidFill>
                </w14:textFill>
              </w:rPr>
            </w:pPr>
          </w:p>
        </w:tc>
      </w:tr>
      <w:tr w14:paraId="1B14EDB6">
        <w:tblPrEx>
          <w:tblCellMar>
            <w:top w:w="0" w:type="dxa"/>
            <w:left w:w="108" w:type="dxa"/>
            <w:bottom w:w="0" w:type="dxa"/>
            <w:right w:w="108" w:type="dxa"/>
          </w:tblCellMar>
        </w:tblPrEx>
        <w:trPr>
          <w:trHeight w:val="560" w:hRule="atLeast"/>
        </w:trPr>
        <w:tc>
          <w:tcPr>
            <w:tcW w:w="500" w:type="dxa"/>
            <w:tcBorders>
              <w:top w:val="single" w:color="000000" w:sz="4" w:space="0"/>
              <w:left w:val="single" w:color="000000" w:sz="4" w:space="0"/>
              <w:bottom w:val="single" w:color="000000" w:sz="4" w:space="0"/>
              <w:right w:val="single" w:color="000000" w:sz="4" w:space="0"/>
            </w:tcBorders>
            <w:vAlign w:val="center"/>
          </w:tcPr>
          <w:p w14:paraId="2839DA52">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序号</w:t>
            </w:r>
          </w:p>
        </w:tc>
        <w:tc>
          <w:tcPr>
            <w:tcW w:w="2757" w:type="dxa"/>
            <w:tcBorders>
              <w:top w:val="single" w:color="000000" w:sz="4" w:space="0"/>
              <w:left w:val="single" w:color="000000" w:sz="4" w:space="0"/>
              <w:bottom w:val="single" w:color="000000" w:sz="4" w:space="0"/>
              <w:right w:val="single" w:color="000000" w:sz="4" w:space="0"/>
            </w:tcBorders>
            <w:vAlign w:val="center"/>
          </w:tcPr>
          <w:p w14:paraId="4E79521B">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设备名称</w:t>
            </w:r>
          </w:p>
        </w:tc>
        <w:tc>
          <w:tcPr>
            <w:tcW w:w="5770" w:type="dxa"/>
            <w:tcBorders>
              <w:top w:val="single" w:color="000000" w:sz="4" w:space="0"/>
              <w:left w:val="single" w:color="000000" w:sz="4" w:space="0"/>
              <w:bottom w:val="single" w:color="000000" w:sz="4" w:space="0"/>
              <w:right w:val="single" w:color="000000" w:sz="4" w:space="0"/>
            </w:tcBorders>
            <w:vAlign w:val="center"/>
          </w:tcPr>
          <w:p w14:paraId="1F4FB93E">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规格参数</w:t>
            </w:r>
          </w:p>
        </w:tc>
        <w:tc>
          <w:tcPr>
            <w:tcW w:w="500" w:type="dxa"/>
            <w:tcBorders>
              <w:top w:val="single" w:color="000000" w:sz="4" w:space="0"/>
              <w:left w:val="single" w:color="000000" w:sz="4" w:space="0"/>
              <w:bottom w:val="single" w:color="000000" w:sz="4" w:space="0"/>
              <w:right w:val="single" w:color="000000" w:sz="4" w:space="0"/>
            </w:tcBorders>
            <w:vAlign w:val="center"/>
          </w:tcPr>
          <w:p w14:paraId="5082346C">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数量</w:t>
            </w:r>
          </w:p>
        </w:tc>
        <w:tc>
          <w:tcPr>
            <w:tcW w:w="500" w:type="dxa"/>
            <w:tcBorders>
              <w:top w:val="single" w:color="000000" w:sz="4" w:space="0"/>
              <w:left w:val="single" w:color="000000" w:sz="4" w:space="0"/>
              <w:bottom w:val="single" w:color="000000" w:sz="4" w:space="0"/>
              <w:right w:val="single" w:color="000000" w:sz="4" w:space="0"/>
            </w:tcBorders>
            <w:vAlign w:val="center"/>
          </w:tcPr>
          <w:p w14:paraId="2E21F637">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单位</w:t>
            </w:r>
          </w:p>
        </w:tc>
        <w:tc>
          <w:tcPr>
            <w:tcW w:w="3345" w:type="dxa"/>
            <w:tcBorders>
              <w:top w:val="single" w:color="000000" w:sz="4" w:space="0"/>
              <w:left w:val="single" w:color="000000" w:sz="4" w:space="0"/>
              <w:bottom w:val="single" w:color="000000" w:sz="4" w:space="0"/>
              <w:right w:val="single" w:color="000000" w:sz="4" w:space="0"/>
            </w:tcBorders>
            <w:vAlign w:val="center"/>
          </w:tcPr>
          <w:p w14:paraId="67EF73CB">
            <w:pPr>
              <w:widowControl/>
              <w:jc w:val="center"/>
              <w:textAlignment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参考图</w:t>
            </w:r>
          </w:p>
        </w:tc>
        <w:tc>
          <w:tcPr>
            <w:tcW w:w="1150" w:type="dxa"/>
            <w:tcBorders>
              <w:top w:val="single" w:color="000000" w:sz="4" w:space="0"/>
              <w:left w:val="single" w:color="000000" w:sz="4" w:space="0"/>
              <w:bottom w:val="single" w:color="000000" w:sz="4" w:space="0"/>
              <w:right w:val="single" w:color="000000" w:sz="4" w:space="0"/>
            </w:tcBorders>
            <w:vAlign w:val="center"/>
          </w:tcPr>
          <w:p w14:paraId="683A2E73">
            <w:pPr>
              <w:widowControl/>
              <w:jc w:val="center"/>
              <w:textAlignment w:val="center"/>
              <w:rPr>
                <w:rFonts w:hint="eastAsia" w:ascii="新宋体" w:hAnsi="新宋体" w:eastAsia="新宋体" w:cs="新宋体"/>
                <w:b/>
                <w:bCs/>
                <w:color w:val="000000" w:themeColor="text1"/>
                <w:kern w:val="0"/>
                <w:sz w:val="22"/>
                <w:szCs w:val="22"/>
                <w:lang w:bidi="ar"/>
                <w14:textFill>
                  <w14:solidFill>
                    <w14:schemeClr w14:val="tx1"/>
                  </w14:solidFill>
                </w14:textFill>
              </w:rPr>
            </w:pPr>
          </w:p>
        </w:tc>
      </w:tr>
      <w:tr w14:paraId="41DB6954">
        <w:tblPrEx>
          <w:tblCellMar>
            <w:top w:w="0" w:type="dxa"/>
            <w:left w:w="108" w:type="dxa"/>
            <w:bottom w:w="0" w:type="dxa"/>
            <w:right w:w="108" w:type="dxa"/>
          </w:tblCellMar>
        </w:tblPrEx>
        <w:trPr>
          <w:trHeight w:val="644"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0CF0233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2757" w:type="dxa"/>
            <w:tcBorders>
              <w:top w:val="single" w:color="000000" w:sz="4" w:space="0"/>
              <w:left w:val="single" w:color="000000" w:sz="4" w:space="0"/>
              <w:bottom w:val="single" w:color="000000" w:sz="4" w:space="0"/>
              <w:right w:val="single" w:color="000000" w:sz="4" w:space="0"/>
            </w:tcBorders>
            <w:vAlign w:val="center"/>
          </w:tcPr>
          <w:p w14:paraId="7384462D">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边台承载设备</w:t>
            </w:r>
          </w:p>
        </w:tc>
        <w:tc>
          <w:tcPr>
            <w:tcW w:w="5770" w:type="dxa"/>
            <w:tcBorders>
              <w:top w:val="single" w:color="000000" w:sz="4" w:space="0"/>
              <w:left w:val="single" w:color="000000" w:sz="4" w:space="0"/>
              <w:bottom w:val="single" w:color="000000" w:sz="4" w:space="0"/>
              <w:right w:val="single" w:color="000000" w:sz="4" w:space="0"/>
            </w:tcBorders>
            <w:vAlign w:val="center"/>
          </w:tcPr>
          <w:p w14:paraId="348531F2">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1.规格：</w:t>
            </w:r>
            <w:r>
              <w:rPr>
                <w:rFonts w:hint="eastAsia" w:ascii="宋体" w:hAnsi="宋体" w:cs="宋体"/>
                <w:kern w:val="0"/>
                <w:szCs w:val="21"/>
                <w:lang w:bidi="ar"/>
              </w:rPr>
              <w:t>≥</w:t>
            </w:r>
            <w:r>
              <w:rPr>
                <w:rFonts w:hint="eastAsia" w:ascii="宋体" w:hAnsi="宋体" w:cs="宋体"/>
                <w:color w:val="000000" w:themeColor="text1"/>
                <w:kern w:val="0"/>
                <w:sz w:val="22"/>
                <w:szCs w:val="22"/>
                <w:lang w:bidi="ar"/>
                <w14:textFill>
                  <w14:solidFill>
                    <w14:schemeClr w14:val="tx1"/>
                  </w14:solidFill>
                </w14:textFill>
              </w:rPr>
              <w:t>2400×600×850mm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2.全钢材质边台；台面采用</w:t>
            </w:r>
            <w:r>
              <w:rPr>
                <w:rStyle w:val="194"/>
                <w:rFonts w:hint="default"/>
                <w:color w:val="000000" w:themeColor="text1"/>
                <w:lang w:bidi="ar"/>
                <w14:textFill>
                  <w14:solidFill>
                    <w14:schemeClr w14:val="tx1"/>
                  </w14:solidFill>
                </w14:textFill>
              </w:rPr>
              <w:t>≤</w:t>
            </w:r>
            <w:r>
              <w:rPr>
                <w:rFonts w:hint="eastAsia" w:ascii="宋体" w:hAnsi="宋体" w:cs="宋体"/>
                <w:color w:val="000000" w:themeColor="text1"/>
                <w:kern w:val="0"/>
                <w:sz w:val="22"/>
                <w:szCs w:val="22"/>
                <w:lang w:bidi="ar"/>
                <w14:textFill>
                  <w14:solidFill>
                    <w14:schemeClr w14:val="tx1"/>
                  </w14:solidFill>
                </w14:textFill>
              </w:rPr>
              <w:t>16mm厚一体实芯灰坯灰釉实验室专用陶瓷止滑台面，止滑槽为一体成型非后期加工，有效防止试管滑落。台面耐强腐蚀，耐1350度以上高温。水槽台台面采用25mm厚带一体釉面烧制工艺的防滑沥水槽且四周带一体陶瓷阻水边碟型陶瓷台面，碟型及沥水槽工艺可以有效防止液体外溢及防止清洗烧杯烧瓶意外滑动；</w:t>
            </w:r>
          </w:p>
          <w:p w14:paraId="74D9E5A8">
            <w:pPr>
              <w:pStyle w:val="68"/>
              <w:widowControl/>
              <w:numPr>
                <w:ilvl w:val="0"/>
                <w:numId w:val="0"/>
              </w:numPr>
              <w:jc w:val="left"/>
              <w:textAlignment w:val="center"/>
              <w:rPr>
                <w:rFonts w:hint="eastAsia" w:ascii="宋体" w:hAnsi="宋体" w:cs="宋体"/>
                <w:color w:val="000000" w:themeColor="text1"/>
                <w:kern w:val="0"/>
                <w:sz w:val="22"/>
                <w:lang w:bidi="ar"/>
                <w14:textFill>
                  <w14:solidFill>
                    <w14:schemeClr w14:val="tx1"/>
                  </w14:solidFill>
                </w14:textFill>
              </w:rPr>
            </w:pPr>
            <w:r>
              <w:rPr>
                <w:rFonts w:hint="eastAsia" w:ascii="宋体" w:hAnsi="宋体" w:cs="宋体"/>
                <w:color w:val="000000" w:themeColor="text1"/>
                <w:kern w:val="0"/>
                <w:sz w:val="22"/>
                <w:lang w:bidi="ar"/>
                <w14:textFill>
                  <w14:solidFill>
                    <w14:schemeClr w14:val="tx1"/>
                  </w14:solidFill>
                </w14:textFill>
              </w:rPr>
              <w:t>3.柜体采用一级冷轧钢板（SPCCT）经CNC机压成形、焊接制作，表面经环氧树脂粉体涂装处理（SEFA级别喷涂），外门板1.0 mm、内门板1.0 mm、门板加强梁1.0 mm、抽屉1.0 mm、合页内固定板1.0 mm、层板 1.0 mm、活动维修背板0.9 mm、外围板1.0 mm、底板1.0 mm、上横梁 1.0 mm、调整脚支撑板3.0 mm、滑轨支撑梁1.0 mm；柜门为双包结构，内附防噪填充；每个包层都是先喷涂再包合，不会因局部的破损而导致内部的损伤；抽屉：为四面抽墙一体成型式设计并，抽头为双层结构，内具隔音材质；层板：可以上下调节；维修背板：采用可拆装式设计，以方便管线安装维护；水槽台的挡水条：同台面材料，高100mm（±1.5%），台面外侧上缘采用圆弧或斜边不刮手处理；合页：采用厚2.0mm及以上编号304#不锈钢材质，开启角度≥180度，5节式，确保每个合页的同一性，承重可达到55kg，1200mm高度以下的柜子采用2个合页，超过1200mm高度柜子则采用3个合页，用6个不锈钢螺丝来固定每个合页；滑轨：抽屉采用厚2.0mm及以上钢制高承载导轨，为冷轧钢板模具冲压成型制作，通过焊接与抽屉连为一体，然后与抽屉本体一起使用环氧树酯粉末静电喷涂表面。自闭结构设计，当抽屉关到末端时有自闭功能，滑轨抽屉能抽出至少330mm；抽屉的滚轮采用尼龙包边的滚球轴承，不得使用二节或三节导轨；把手：采用304不锈钢 “C”型把手，把手须以不锈钢螺丝固定，抽屉宽度超过600mm及以上时应配置两只把手；地脚：镀锌钢地脚，可根据室内地坪适当调整柜体0-35mm的高度；门扣组：采用塑料材质的滚轮，不锈钢材质的滚轮支架，须以不锈钢螺丝与柜体及门板固定；层板支撑扣：采用厚1.2mm及以上的钢板镀锌或不锈钢材质；螺丝：除有特别说明者外，合页安装处为平头普通螺钉，304不锈钢材质，其它部位为钢质尖头镀锌自攻螺丝。活动轮：采用医用级高承重，高稳定性活动轮，带刹车。结构及性能要求：落地式结构，柜体深度≥520mm；高度(含调整脚及台面厚度) 除有特别说明外，为850mm (±2%)；实验台空位不大于650mm；所有底柜双开门间无中央垂直支柱阻挡。柜体内有层板上下调节孔，每个底柜设活动层板一只，层板宽度与底柜内宽度相当，不得于两侧有各超过3mm的间隙；服务通道：中央桌背对背框架中间空档及靠边桌框架与墙面中间空档有一个服务通道距离，用来布设电、水、气管路，隐藏设计；所有钣金的表面接缝均应满焊，焊接处均应打磨平整以保持为连续的平滑表面；所有部件不得于安装现场焊接加工，以避免破坏表面环氧树脂涂层；所有框架单元应配备4个镀锌钢螺杆调整脚，以支撑框架及调节水平，框架底部离地板距离应不少于5mm以隔离地面潮气；座位空间：依据图纸及相关说明所示，于操作台台框架间配置座位空间；装饰封板：依图纸说明所示，柜体内部后方，背对背柜体中间空档外侧及靠边桌柜体与墙面中间空档外侧，须使用钢制装饰封板遮盖，封板的颜色及表面处理应与柜体相同；所有装饰封板为可拆装式设计，其组装螺丝应以孔塞遮蔽不可外露。</w:t>
            </w:r>
          </w:p>
          <w:p w14:paraId="664C4894">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4.</w:t>
            </w:r>
            <w:r>
              <w:rPr>
                <w:rFonts w:hint="eastAsia" w:ascii="宋体" w:hAnsi="宋体" w:cs="宋体"/>
                <w:color w:val="000000" w:themeColor="text1"/>
                <w:kern w:val="0"/>
                <w:sz w:val="22"/>
                <w:szCs w:val="22"/>
                <w:lang w:bidi="ar"/>
                <w14:textFill>
                  <w14:solidFill>
                    <w14:schemeClr w14:val="tx1"/>
                  </w14:solidFill>
                </w14:textFill>
              </w:rPr>
              <w:t xml:space="preserve"> 含3个插座及插座盒，规格：220V10A；5孔面，含2.5平方台面内电线及保护。需要220V16A的插座，提供220V16A的插座，插座总数量不变。86型五孔多功能座，220V/10A、220V/16A等；需通过拔出插头所需的力合格，温升符合要求， 绝缘材料的耐非正常热合格，耐燃和耐电痕化检测；钢制插座盒采用壁厚1.2mm冷轧钢管冲压而成，再表面表面经磷化、酸洗、环氧树脂粉末烤漆处理，化学防锈处理，无突出漆块，光洁亮丽，抗强酸强碱性能突出。</w:t>
            </w:r>
          </w:p>
        </w:tc>
        <w:tc>
          <w:tcPr>
            <w:tcW w:w="500" w:type="dxa"/>
            <w:tcBorders>
              <w:top w:val="single" w:color="000000" w:sz="4" w:space="0"/>
              <w:left w:val="single" w:color="000000" w:sz="4" w:space="0"/>
              <w:bottom w:val="single" w:color="000000" w:sz="4" w:space="0"/>
              <w:right w:val="single" w:color="000000" w:sz="4" w:space="0"/>
            </w:tcBorders>
            <w:vAlign w:val="center"/>
          </w:tcPr>
          <w:p w14:paraId="17893AFF">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vAlign w:val="center"/>
          </w:tcPr>
          <w:p w14:paraId="06A90B54">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台</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1E243BF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705344" behindDoc="0" locked="0" layoutInCell="1" allowOverlap="1">
                  <wp:simplePos x="0" y="0"/>
                  <wp:positionH relativeFrom="column">
                    <wp:posOffset>424815</wp:posOffset>
                  </wp:positionH>
                  <wp:positionV relativeFrom="paragraph">
                    <wp:posOffset>156210</wp:posOffset>
                  </wp:positionV>
                  <wp:extent cx="1069975" cy="783590"/>
                  <wp:effectExtent l="0" t="0" r="15875" b="16510"/>
                  <wp:wrapNone/>
                  <wp:docPr id="44" name="图片_151"/>
                  <wp:cNvGraphicFramePr/>
                  <a:graphic xmlns:a="http://schemas.openxmlformats.org/drawingml/2006/main">
                    <a:graphicData uri="http://schemas.openxmlformats.org/drawingml/2006/picture">
                      <pic:pic xmlns:pic="http://schemas.openxmlformats.org/drawingml/2006/picture">
                        <pic:nvPicPr>
                          <pic:cNvPr id="44" name="图片_151"/>
                          <pic:cNvPicPr/>
                        </pic:nvPicPr>
                        <pic:blipFill>
                          <a:blip r:embed="rId50"/>
                          <a:stretch>
                            <a:fillRect/>
                          </a:stretch>
                        </pic:blipFill>
                        <pic:spPr>
                          <a:xfrm>
                            <a:off x="0" y="0"/>
                            <a:ext cx="1069975" cy="783590"/>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6F1CE072">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35F47AA8">
        <w:tblPrEx>
          <w:tblCellMar>
            <w:top w:w="0" w:type="dxa"/>
            <w:left w:w="108" w:type="dxa"/>
            <w:bottom w:w="0" w:type="dxa"/>
            <w:right w:w="108" w:type="dxa"/>
          </w:tblCellMar>
        </w:tblPrEx>
        <w:trPr>
          <w:trHeight w:val="699"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1964955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2</w:t>
            </w:r>
          </w:p>
        </w:tc>
        <w:tc>
          <w:tcPr>
            <w:tcW w:w="2757" w:type="dxa"/>
            <w:tcBorders>
              <w:top w:val="single" w:color="000000" w:sz="4" w:space="0"/>
              <w:left w:val="single" w:color="000000" w:sz="4" w:space="0"/>
              <w:bottom w:val="single" w:color="000000" w:sz="4" w:space="0"/>
              <w:right w:val="single" w:color="000000" w:sz="4" w:space="0"/>
            </w:tcBorders>
            <w:vAlign w:val="center"/>
          </w:tcPr>
          <w:p w14:paraId="42C295B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水龙头＋水槽</w:t>
            </w:r>
          </w:p>
        </w:tc>
        <w:tc>
          <w:tcPr>
            <w:tcW w:w="5770" w:type="dxa"/>
            <w:tcBorders>
              <w:top w:val="single" w:color="000000" w:sz="4" w:space="0"/>
              <w:left w:val="single" w:color="000000" w:sz="4" w:space="0"/>
              <w:bottom w:val="single" w:color="000000" w:sz="4" w:space="0"/>
              <w:right w:val="single" w:color="000000" w:sz="4" w:space="0"/>
            </w:tcBorders>
            <w:vAlign w:val="center"/>
          </w:tcPr>
          <w:p w14:paraId="3DF70053">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水槽采用全新PP料及色母料，无碳酸钙成分；规格：约810*410*300mm；下水口与水槽一体注塑成型，水槽内壁无缩印，四边平整，水槽壁厚≤5mm；为防止水槽中间或四周有积液，槽体底部有导流线。</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鹅颈式实验室专用优质化验水嘴：要求防酸碱、防锈、防虹吸、防阻塞，表面环氧树脂喷涂。出水嘴为铜质瓷芯，高头，便于多用途使用，可拆卸清洗阻塞。出水嘴可拆卸，内有成型螺纹，可方便连接循环等特殊用水水管。</w:t>
            </w:r>
          </w:p>
          <w:p w14:paraId="47D43E61">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b/>
                <w:bCs/>
                <w:kern w:val="0"/>
                <w:szCs w:val="21"/>
                <w:lang w:bidi="ar"/>
              </w:rPr>
              <w:t>★投标文件中提供由国家确定的认证机构出具的、处于有效期之内的节能（节水）产品认证证书复印件加盖供应商公章。</w:t>
            </w:r>
          </w:p>
        </w:tc>
        <w:tc>
          <w:tcPr>
            <w:tcW w:w="500" w:type="dxa"/>
            <w:tcBorders>
              <w:top w:val="single" w:color="000000" w:sz="4" w:space="0"/>
              <w:left w:val="single" w:color="000000" w:sz="4" w:space="0"/>
              <w:bottom w:val="single" w:color="000000" w:sz="4" w:space="0"/>
              <w:right w:val="single" w:color="000000" w:sz="4" w:space="0"/>
            </w:tcBorders>
            <w:vAlign w:val="center"/>
          </w:tcPr>
          <w:p w14:paraId="3469DAFE">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500" w:type="dxa"/>
            <w:tcBorders>
              <w:top w:val="single" w:color="000000" w:sz="4" w:space="0"/>
              <w:left w:val="single" w:color="000000" w:sz="4" w:space="0"/>
              <w:bottom w:val="single" w:color="000000" w:sz="4" w:space="0"/>
              <w:right w:val="single" w:color="000000" w:sz="4" w:space="0"/>
            </w:tcBorders>
            <w:vAlign w:val="center"/>
          </w:tcPr>
          <w:p w14:paraId="5C030E40">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7C468E2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704320" behindDoc="0" locked="0" layoutInCell="1" allowOverlap="1">
                  <wp:simplePos x="0" y="0"/>
                  <wp:positionH relativeFrom="column">
                    <wp:posOffset>762000</wp:posOffset>
                  </wp:positionH>
                  <wp:positionV relativeFrom="paragraph">
                    <wp:posOffset>-227965</wp:posOffset>
                  </wp:positionV>
                  <wp:extent cx="377190" cy="647700"/>
                  <wp:effectExtent l="0" t="0" r="3810" b="0"/>
                  <wp:wrapNone/>
                  <wp:docPr id="47" name="图片_2"/>
                  <wp:cNvGraphicFramePr/>
                  <a:graphic xmlns:a="http://schemas.openxmlformats.org/drawingml/2006/main">
                    <a:graphicData uri="http://schemas.openxmlformats.org/drawingml/2006/picture">
                      <pic:pic xmlns:pic="http://schemas.openxmlformats.org/drawingml/2006/picture">
                        <pic:nvPicPr>
                          <pic:cNvPr id="47" name="图片_2"/>
                          <pic:cNvPicPr/>
                        </pic:nvPicPr>
                        <pic:blipFill>
                          <a:blip r:embed="rId67"/>
                          <a:stretch>
                            <a:fillRect/>
                          </a:stretch>
                        </pic:blipFill>
                        <pic:spPr>
                          <a:xfrm>
                            <a:off x="0" y="0"/>
                            <a:ext cx="377190" cy="647700"/>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39C782DF">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25A1A154">
        <w:tblPrEx>
          <w:tblCellMar>
            <w:top w:w="0" w:type="dxa"/>
            <w:left w:w="108" w:type="dxa"/>
            <w:bottom w:w="0" w:type="dxa"/>
            <w:right w:w="108" w:type="dxa"/>
          </w:tblCellMar>
        </w:tblPrEx>
        <w:trPr>
          <w:trHeight w:val="4594"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7F124A1B">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3</w:t>
            </w:r>
          </w:p>
        </w:tc>
        <w:tc>
          <w:tcPr>
            <w:tcW w:w="2757" w:type="dxa"/>
            <w:tcBorders>
              <w:top w:val="single" w:color="000000" w:sz="4" w:space="0"/>
              <w:left w:val="single" w:color="000000" w:sz="4" w:space="0"/>
              <w:bottom w:val="single" w:color="000000" w:sz="4" w:space="0"/>
              <w:right w:val="single" w:color="000000" w:sz="4" w:space="0"/>
            </w:tcBorders>
            <w:vAlign w:val="center"/>
          </w:tcPr>
          <w:p w14:paraId="7BB1EE2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仪器柜</w:t>
            </w:r>
          </w:p>
        </w:tc>
        <w:tc>
          <w:tcPr>
            <w:tcW w:w="5770" w:type="dxa"/>
            <w:tcBorders>
              <w:top w:val="single" w:color="000000" w:sz="4" w:space="0"/>
              <w:left w:val="single" w:color="000000" w:sz="4" w:space="0"/>
              <w:bottom w:val="single" w:color="000000" w:sz="4" w:space="0"/>
              <w:right w:val="single" w:color="000000" w:sz="4" w:space="0"/>
            </w:tcBorders>
            <w:vAlign w:val="center"/>
          </w:tcPr>
          <w:p w14:paraId="740A7A93">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1.规格：约1000×500×2000mm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2.柜体材质：为全钢结构，板材采用1.0mm厚优质钢板为基材，全自动压模成型；表面经磷化、酸洗、环氧树脂粉末烤漆处理，化学防锈处理，无突出漆块，光洁亮丽，抗强酸强碱性能突出。</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3.门板：采用上玻璃门下钢制门；</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4.玻璃门：采用优质冷轧钢板，表面经过去锈、磷化、喷砂、环氧树脂粉体烤漆处理，具有抗酸碱和耐高温特性，中间镶嵌玻璃。</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5.钢制门：采用优质冷轧钢板，表面经过去锈、磷化、喷砂、环氧树脂粉体烤漆处理，具有抗酸碱和耐高温特性，对开门。</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6.拉手：采用不锈钢拉手，外形美观大方，设计人性化。</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7.可调脚：采用橡胶模具一次成型地脚，可调节高度30-50mm。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带锁，带标签卡。</w:t>
            </w:r>
          </w:p>
        </w:tc>
        <w:tc>
          <w:tcPr>
            <w:tcW w:w="500" w:type="dxa"/>
            <w:tcBorders>
              <w:top w:val="single" w:color="000000" w:sz="4" w:space="0"/>
              <w:left w:val="single" w:color="000000" w:sz="4" w:space="0"/>
              <w:bottom w:val="single" w:color="000000" w:sz="4" w:space="0"/>
              <w:right w:val="single" w:color="000000" w:sz="4" w:space="0"/>
            </w:tcBorders>
            <w:vAlign w:val="center"/>
          </w:tcPr>
          <w:p w14:paraId="510D57F5">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7</w:t>
            </w:r>
          </w:p>
        </w:tc>
        <w:tc>
          <w:tcPr>
            <w:tcW w:w="500" w:type="dxa"/>
            <w:tcBorders>
              <w:top w:val="single" w:color="000000" w:sz="4" w:space="0"/>
              <w:left w:val="single" w:color="000000" w:sz="4" w:space="0"/>
              <w:bottom w:val="single" w:color="000000" w:sz="4" w:space="0"/>
              <w:right w:val="single" w:color="000000" w:sz="4" w:space="0"/>
            </w:tcBorders>
            <w:vAlign w:val="center"/>
          </w:tcPr>
          <w:p w14:paraId="07F423E7">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组</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3C121CDA">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703296" behindDoc="0" locked="0" layoutInCell="1" allowOverlap="1">
                  <wp:simplePos x="0" y="0"/>
                  <wp:positionH relativeFrom="column">
                    <wp:posOffset>576580</wp:posOffset>
                  </wp:positionH>
                  <wp:positionV relativeFrom="paragraph">
                    <wp:posOffset>95250</wp:posOffset>
                  </wp:positionV>
                  <wp:extent cx="647700" cy="1098550"/>
                  <wp:effectExtent l="0" t="0" r="0" b="0"/>
                  <wp:wrapNone/>
                  <wp:docPr id="45" name="图片_148"/>
                  <wp:cNvGraphicFramePr/>
                  <a:graphic xmlns:a="http://schemas.openxmlformats.org/drawingml/2006/main">
                    <a:graphicData uri="http://schemas.openxmlformats.org/drawingml/2006/picture">
                      <pic:pic xmlns:pic="http://schemas.openxmlformats.org/drawingml/2006/picture">
                        <pic:nvPicPr>
                          <pic:cNvPr id="45" name="图片_148"/>
                          <pic:cNvPicPr/>
                        </pic:nvPicPr>
                        <pic:blipFill>
                          <a:blip r:embed="rId49"/>
                          <a:stretch>
                            <a:fillRect/>
                          </a:stretch>
                        </pic:blipFill>
                        <pic:spPr>
                          <a:xfrm>
                            <a:off x="0" y="0"/>
                            <a:ext cx="647700" cy="1098550"/>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1DE9990F">
            <w:pPr>
              <w:widowControl/>
              <w:jc w:val="center"/>
              <w:textAlignment w:val="center"/>
              <w:rPr>
                <w:rFonts w:hint="eastAsia" w:ascii="宋体" w:hAnsi="宋体" w:cs="宋体"/>
                <w:color w:val="000000" w:themeColor="text1"/>
                <w:kern w:val="0"/>
                <w:sz w:val="22"/>
                <w:szCs w:val="22"/>
                <w:bdr w:val="single" w:color="000000" w:sz="4" w:space="0"/>
                <w:lang w:bidi="ar"/>
                <w14:textFill>
                  <w14:solidFill>
                    <w14:schemeClr w14:val="tx1"/>
                  </w14:solidFill>
                </w14:textFill>
              </w:rPr>
            </w:pPr>
          </w:p>
        </w:tc>
      </w:tr>
      <w:tr w14:paraId="46EB3FF7">
        <w:tblPrEx>
          <w:tblCellMar>
            <w:top w:w="0" w:type="dxa"/>
            <w:left w:w="108" w:type="dxa"/>
            <w:bottom w:w="0" w:type="dxa"/>
            <w:right w:w="108" w:type="dxa"/>
          </w:tblCellMar>
        </w:tblPrEx>
        <w:trPr>
          <w:trHeight w:val="540" w:hRule="atLeast"/>
        </w:trPr>
        <w:tc>
          <w:tcPr>
            <w:tcW w:w="13372" w:type="dxa"/>
            <w:gridSpan w:val="6"/>
            <w:tcBorders>
              <w:top w:val="single" w:color="000000" w:sz="4" w:space="0"/>
              <w:left w:val="single" w:color="000000" w:sz="4" w:space="0"/>
              <w:bottom w:val="single" w:color="000000" w:sz="4" w:space="0"/>
              <w:right w:val="single" w:color="000000" w:sz="4" w:space="0"/>
            </w:tcBorders>
            <w:vAlign w:val="center"/>
          </w:tcPr>
          <w:p w14:paraId="44B6D4EE">
            <w:pPr>
              <w:jc w:val="center"/>
              <w:rPr>
                <w:rFonts w:hint="eastAsia" w:ascii="新宋体" w:hAnsi="新宋体" w:eastAsia="新宋体" w:cs="新宋体"/>
                <w:b/>
                <w:bCs/>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（九）生物仪器室</w:t>
            </w:r>
          </w:p>
        </w:tc>
        <w:tc>
          <w:tcPr>
            <w:tcW w:w="1150" w:type="dxa"/>
            <w:tcBorders>
              <w:top w:val="single" w:color="000000" w:sz="4" w:space="0"/>
              <w:left w:val="single" w:color="000000" w:sz="4" w:space="0"/>
              <w:bottom w:val="single" w:color="000000" w:sz="4" w:space="0"/>
              <w:right w:val="single" w:color="000000" w:sz="4" w:space="0"/>
            </w:tcBorders>
            <w:vAlign w:val="center"/>
          </w:tcPr>
          <w:p w14:paraId="351377E4">
            <w:pPr>
              <w:jc w:val="center"/>
              <w:rPr>
                <w:rFonts w:hint="eastAsia" w:ascii="新宋体" w:hAnsi="新宋体" w:eastAsia="新宋体" w:cs="新宋体"/>
                <w:b/>
                <w:bCs/>
                <w:color w:val="000000" w:themeColor="text1"/>
                <w:kern w:val="0"/>
                <w:sz w:val="22"/>
                <w:szCs w:val="22"/>
                <w:lang w:bidi="ar"/>
                <w14:textFill>
                  <w14:solidFill>
                    <w14:schemeClr w14:val="tx1"/>
                  </w14:solidFill>
                </w14:textFill>
              </w:rPr>
            </w:pPr>
          </w:p>
        </w:tc>
      </w:tr>
      <w:tr w14:paraId="3E9CAE29">
        <w:tblPrEx>
          <w:tblCellMar>
            <w:top w:w="0" w:type="dxa"/>
            <w:left w:w="108" w:type="dxa"/>
            <w:bottom w:w="0" w:type="dxa"/>
            <w:right w:w="108" w:type="dxa"/>
          </w:tblCellMar>
        </w:tblPrEx>
        <w:trPr>
          <w:trHeight w:val="495"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4A01D446">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2757" w:type="dxa"/>
            <w:tcBorders>
              <w:top w:val="single" w:color="000000" w:sz="4" w:space="0"/>
              <w:left w:val="single" w:color="000000" w:sz="4" w:space="0"/>
              <w:bottom w:val="single" w:color="000000" w:sz="4" w:space="0"/>
              <w:right w:val="single" w:color="000000" w:sz="4" w:space="0"/>
            </w:tcBorders>
            <w:vAlign w:val="center"/>
          </w:tcPr>
          <w:p w14:paraId="433970B3">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仪器柜</w:t>
            </w:r>
          </w:p>
        </w:tc>
        <w:tc>
          <w:tcPr>
            <w:tcW w:w="5770" w:type="dxa"/>
            <w:tcBorders>
              <w:top w:val="single" w:color="000000" w:sz="4" w:space="0"/>
              <w:left w:val="single" w:color="000000" w:sz="4" w:space="0"/>
              <w:bottom w:val="single" w:color="000000" w:sz="4" w:space="0"/>
              <w:right w:val="single" w:color="000000" w:sz="4" w:space="0"/>
            </w:tcBorders>
            <w:vAlign w:val="center"/>
          </w:tcPr>
          <w:p w14:paraId="0DA552C1">
            <w:pPr>
              <w:widowControl/>
              <w:jc w:val="left"/>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1.规格：约1000×500×2000mm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2.柜体材质：为全钢结构，板材采用1.0mm厚优质钢板为基材，全自动压模成型；表面经磷化、酸洗、环氧树脂粉末烤漆处理，化学防锈处理，无突出漆块，光洁亮丽，抗强酸强碱性能突出。</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3.门板：采用上玻璃门下钢制门；</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4.玻璃门：采用优质冷轧钢板，表面经过去锈、磷化、喷砂、环氧树脂粉体烤漆处理，具有抗酸碱和耐高温特性，中间镶嵌玻璃。</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5.钢制门：采用优质冷轧钢板，表面经过去锈、磷化、喷砂、环氧树脂粉体烤漆处理，具有抗酸碱和耐高温特性，对开门。</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6.拉手：采用不锈钢拉手，外形美观大方，设计人性化。</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7.可调脚：采用橡胶模具一次成型地脚，可调节高度30-50mm。</w:t>
            </w:r>
            <w:r>
              <w:rPr>
                <w:rFonts w:hint="eastAsia" w:ascii="宋体" w:hAnsi="宋体" w:cs="宋体"/>
                <w:color w:val="000000" w:themeColor="text1"/>
                <w:kern w:val="0"/>
                <w:sz w:val="22"/>
                <w:szCs w:val="22"/>
                <w:lang w:bidi="ar"/>
                <w14:textFill>
                  <w14:solidFill>
                    <w14:schemeClr w14:val="tx1"/>
                  </w14:solidFill>
                </w14:textFill>
              </w:rPr>
              <w:br w:type="textWrapping"/>
            </w:r>
            <w:r>
              <w:rPr>
                <w:rFonts w:hint="eastAsia" w:ascii="宋体" w:hAnsi="宋体" w:cs="宋体"/>
                <w:color w:val="000000" w:themeColor="text1"/>
                <w:kern w:val="0"/>
                <w:sz w:val="22"/>
                <w:szCs w:val="22"/>
                <w:lang w:bidi="ar"/>
                <w14:textFill>
                  <w14:solidFill>
                    <w14:schemeClr w14:val="tx1"/>
                  </w14:solidFill>
                </w14:textFill>
              </w:rPr>
              <w:t>带锁，带标签卡。</w:t>
            </w:r>
          </w:p>
        </w:tc>
        <w:tc>
          <w:tcPr>
            <w:tcW w:w="500" w:type="dxa"/>
            <w:tcBorders>
              <w:top w:val="single" w:color="000000" w:sz="4" w:space="0"/>
              <w:left w:val="single" w:color="000000" w:sz="4" w:space="0"/>
              <w:bottom w:val="single" w:color="000000" w:sz="4" w:space="0"/>
              <w:right w:val="single" w:color="000000" w:sz="4" w:space="0"/>
            </w:tcBorders>
            <w:vAlign w:val="center"/>
          </w:tcPr>
          <w:p w14:paraId="1A6473C8">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18</w:t>
            </w:r>
          </w:p>
        </w:tc>
        <w:tc>
          <w:tcPr>
            <w:tcW w:w="500" w:type="dxa"/>
            <w:tcBorders>
              <w:top w:val="single" w:color="000000" w:sz="4" w:space="0"/>
              <w:left w:val="single" w:color="000000" w:sz="4" w:space="0"/>
              <w:bottom w:val="single" w:color="000000" w:sz="4" w:space="0"/>
              <w:right w:val="single" w:color="000000" w:sz="4" w:space="0"/>
            </w:tcBorders>
            <w:vAlign w:val="center"/>
          </w:tcPr>
          <w:p w14:paraId="1ABA85F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组</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00B13091">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bdr w:val="single" w:color="000000" w:sz="4" w:space="0"/>
                <w:lang w:bidi="ar"/>
                <w14:textFill>
                  <w14:solidFill>
                    <w14:schemeClr w14:val="tx1"/>
                  </w14:solidFill>
                </w14:textFill>
              </w:rPr>
              <w:drawing>
                <wp:anchor distT="0" distB="0" distL="114300" distR="114300" simplePos="0" relativeHeight="251687936" behindDoc="0" locked="0" layoutInCell="1" allowOverlap="1">
                  <wp:simplePos x="0" y="0"/>
                  <wp:positionH relativeFrom="column">
                    <wp:posOffset>647700</wp:posOffset>
                  </wp:positionH>
                  <wp:positionV relativeFrom="paragraph">
                    <wp:posOffset>104775</wp:posOffset>
                  </wp:positionV>
                  <wp:extent cx="647700" cy="1098550"/>
                  <wp:effectExtent l="0" t="0" r="0" b="0"/>
                  <wp:wrapNone/>
                  <wp:docPr id="51" name="图片_158"/>
                  <wp:cNvGraphicFramePr/>
                  <a:graphic xmlns:a="http://schemas.openxmlformats.org/drawingml/2006/main">
                    <a:graphicData uri="http://schemas.openxmlformats.org/drawingml/2006/picture">
                      <pic:pic xmlns:pic="http://schemas.openxmlformats.org/drawingml/2006/picture">
                        <pic:nvPicPr>
                          <pic:cNvPr id="51" name="图片_158"/>
                          <pic:cNvPicPr/>
                        </pic:nvPicPr>
                        <pic:blipFill>
                          <a:blip r:embed="rId49"/>
                          <a:stretch>
                            <a:fillRect/>
                          </a:stretch>
                        </pic:blipFill>
                        <pic:spPr>
                          <a:xfrm>
                            <a:off x="0" y="0"/>
                            <a:ext cx="647700" cy="1098550"/>
                          </a:xfrm>
                          <a:prstGeom prst="rect">
                            <a:avLst/>
                          </a:prstGeom>
                          <a:noFill/>
                          <a:ln>
                            <a:noFill/>
                          </a:ln>
                        </pic:spPr>
                      </pic:pic>
                    </a:graphicData>
                  </a:graphic>
                </wp:anchor>
              </w:drawing>
            </w: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28A0DF21">
            <w:pPr>
              <w:widowControl/>
              <w:jc w:val="center"/>
              <w:textAlignment w:val="center"/>
              <w:rPr>
                <w:rFonts w:hint="eastAsia" w:ascii="宋体" w:hAnsi="宋体" w:cs="宋体"/>
                <w:color w:val="000000" w:themeColor="text1"/>
                <w:sz w:val="22"/>
                <w:szCs w:val="22"/>
                <w14:textFill>
                  <w14:solidFill>
                    <w14:schemeClr w14:val="tx1"/>
                  </w14:solidFill>
                </w14:textFill>
              </w:rPr>
            </w:pPr>
          </w:p>
        </w:tc>
      </w:tr>
      <w:tr w14:paraId="699E591B">
        <w:tblPrEx>
          <w:tblCellMar>
            <w:top w:w="0" w:type="dxa"/>
            <w:left w:w="108" w:type="dxa"/>
            <w:bottom w:w="0" w:type="dxa"/>
            <w:right w:w="108" w:type="dxa"/>
          </w:tblCellMar>
        </w:tblPrEx>
        <w:trPr>
          <w:trHeight w:val="495" w:hRule="atLeast"/>
        </w:trPr>
        <w:tc>
          <w:tcPr>
            <w:tcW w:w="14522" w:type="dxa"/>
            <w:gridSpan w:val="7"/>
            <w:tcBorders>
              <w:top w:val="single" w:color="000000" w:sz="4" w:space="0"/>
              <w:left w:val="single" w:color="000000" w:sz="4" w:space="0"/>
              <w:bottom w:val="single" w:color="000000" w:sz="4" w:space="0"/>
              <w:right w:val="single" w:color="000000" w:sz="4" w:space="0"/>
            </w:tcBorders>
            <w:noWrap/>
            <w:vAlign w:val="center"/>
          </w:tcPr>
          <w:p w14:paraId="1BD23094">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新宋体" w:hAnsi="新宋体" w:eastAsia="新宋体" w:cs="新宋体"/>
                <w:b/>
                <w:bCs/>
                <w:color w:val="000000" w:themeColor="text1"/>
                <w:kern w:val="0"/>
                <w:sz w:val="22"/>
                <w:szCs w:val="22"/>
                <w:lang w:bidi="ar"/>
                <w14:textFill>
                  <w14:solidFill>
                    <w14:schemeClr w14:val="tx1"/>
                  </w14:solidFill>
                </w14:textFill>
              </w:rPr>
              <w:t>（十）实验室数据管理</w:t>
            </w:r>
          </w:p>
        </w:tc>
      </w:tr>
      <w:tr w14:paraId="3E9CF300">
        <w:tblPrEx>
          <w:tblCellMar>
            <w:top w:w="0" w:type="dxa"/>
            <w:left w:w="108" w:type="dxa"/>
            <w:bottom w:w="0" w:type="dxa"/>
            <w:right w:w="108" w:type="dxa"/>
          </w:tblCellMar>
        </w:tblPrEx>
        <w:trPr>
          <w:trHeight w:val="495" w:hRule="atLeast"/>
        </w:trPr>
        <w:tc>
          <w:tcPr>
            <w:tcW w:w="500" w:type="dxa"/>
            <w:tcBorders>
              <w:top w:val="single" w:color="000000" w:sz="4" w:space="0"/>
              <w:left w:val="single" w:color="000000" w:sz="4" w:space="0"/>
              <w:bottom w:val="single" w:color="000000" w:sz="4" w:space="0"/>
              <w:right w:val="single" w:color="000000" w:sz="4" w:space="0"/>
            </w:tcBorders>
            <w:noWrap/>
            <w:vAlign w:val="center"/>
          </w:tcPr>
          <w:p w14:paraId="7ACD5B9D">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1</w:t>
            </w:r>
          </w:p>
        </w:tc>
        <w:tc>
          <w:tcPr>
            <w:tcW w:w="2757" w:type="dxa"/>
            <w:tcBorders>
              <w:top w:val="single" w:color="000000" w:sz="4" w:space="0"/>
              <w:left w:val="single" w:color="000000" w:sz="4" w:space="0"/>
              <w:bottom w:val="single" w:color="000000" w:sz="4" w:space="0"/>
              <w:right w:val="single" w:color="000000" w:sz="4" w:space="0"/>
            </w:tcBorders>
            <w:vAlign w:val="center"/>
          </w:tcPr>
          <w:p w14:paraId="33408B13">
            <w:pPr>
              <w:widowControl/>
              <w:jc w:val="center"/>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实验室数据备份管理装置</w:t>
            </w:r>
          </w:p>
        </w:tc>
        <w:tc>
          <w:tcPr>
            <w:tcW w:w="5770" w:type="dxa"/>
            <w:tcBorders>
              <w:top w:val="single" w:color="000000" w:sz="4" w:space="0"/>
              <w:left w:val="single" w:color="000000" w:sz="4" w:space="0"/>
              <w:bottom w:val="single" w:color="000000" w:sz="4" w:space="0"/>
              <w:right w:val="single" w:color="000000" w:sz="4" w:space="0"/>
            </w:tcBorders>
            <w:vAlign w:val="center"/>
          </w:tcPr>
          <w:p w14:paraId="4E242740">
            <w:pPr>
              <w:widowControl/>
              <w:textAlignment w:val="center"/>
              <w:rPr>
                <w:rFonts w:hint="eastAsia" w:ascii="新宋体" w:hAnsi="新宋体" w:eastAsia="新宋体" w:cs="新宋体"/>
                <w:color w:val="000000" w:themeColor="text1"/>
                <w:sz w:val="22"/>
                <w:szCs w:val="22"/>
                <w14:textFill>
                  <w14:solidFill>
                    <w14:schemeClr w14:val="tx1"/>
                  </w14:solidFill>
                </w14:textFill>
              </w:rPr>
            </w:pPr>
            <w:r>
              <w:rPr>
                <w:rFonts w:hint="eastAsia" w:ascii="新宋体" w:hAnsi="新宋体" w:eastAsia="新宋体" w:cs="新宋体"/>
                <w:color w:val="000000" w:themeColor="text1"/>
                <w:kern w:val="0"/>
                <w:sz w:val="22"/>
                <w:szCs w:val="22"/>
                <w:lang w:bidi="ar"/>
                <w14:textFill>
                  <w14:solidFill>
                    <w14:schemeClr w14:val="tx1"/>
                  </w14:solidFill>
                </w14:textFill>
              </w:rPr>
              <w:t>1.自动备份管理系统功能：</w:t>
            </w:r>
            <w:r>
              <w:rPr>
                <w:rFonts w:hint="eastAsia" w:ascii="新宋体" w:hAnsi="新宋体" w:eastAsia="新宋体" w:cs="新宋体"/>
                <w:color w:val="000000" w:themeColor="text1"/>
                <w:kern w:val="0"/>
                <w:sz w:val="22"/>
                <w:szCs w:val="22"/>
                <w:lang w:bidi="ar"/>
                <w14:textFill>
                  <w14:solidFill>
                    <w14:schemeClr w14:val="tx1"/>
                  </w14:solidFill>
                </w14:textFill>
              </w:rPr>
              <w:br w:type="textWrapping"/>
            </w:r>
            <w:r>
              <w:rPr>
                <w:rFonts w:hint="eastAsia" w:ascii="新宋体" w:hAnsi="新宋体" w:eastAsia="新宋体" w:cs="新宋体"/>
                <w:color w:val="000000" w:themeColor="text1"/>
                <w:kern w:val="0"/>
                <w:sz w:val="22"/>
                <w:szCs w:val="22"/>
                <w:lang w:bidi="ar"/>
                <w14:textFill>
                  <w14:solidFill>
                    <w14:schemeClr w14:val="tx1"/>
                  </w14:solidFill>
                </w14:textFill>
              </w:rPr>
              <w:t xml:space="preserve">智能收集：全网络进行指定数据的收集，强制抓取备份； 原目录存储：所有数据都是根据终端目录存储，方便查阅； 防卸载：防止常规性卸载； 虚拟删除; 终端可删除相关已备份文件，管理端可查看相关文件; 隐藏客户端: 对于备份有抵触的员工可隐藏客户端; 自动清理:可在空间不足的情况下设定自动清理前期文件; 用户报告:可按照时间整体查询或单独查询员工的工作进展; 一键恢复:文件损毁或者电脑格式化，都可按照原目录进行恢复; </w:t>
            </w:r>
            <w:r>
              <w:rPr>
                <w:rFonts w:hint="eastAsia" w:ascii="新宋体" w:hAnsi="新宋体" w:eastAsia="新宋体" w:cs="新宋体"/>
                <w:color w:val="000000" w:themeColor="text1"/>
                <w:kern w:val="0"/>
                <w:sz w:val="22"/>
                <w:szCs w:val="22"/>
                <w:lang w:bidi="ar"/>
                <w14:textFill>
                  <w14:solidFill>
                    <w14:schemeClr w14:val="tx1"/>
                  </w14:solidFill>
                </w14:textFill>
              </w:rPr>
              <w:br w:type="textWrapping"/>
            </w:r>
            <w:r>
              <w:rPr>
                <w:rFonts w:hint="eastAsia" w:ascii="新宋体" w:hAnsi="新宋体" w:eastAsia="新宋体" w:cs="新宋体"/>
                <w:color w:val="000000" w:themeColor="text1"/>
                <w:kern w:val="0"/>
                <w:sz w:val="22"/>
                <w:szCs w:val="22"/>
                <w:lang w:bidi="ar"/>
                <w14:textFill>
                  <w14:solidFill>
                    <w14:schemeClr w14:val="tx1"/>
                  </w14:solidFill>
                </w14:textFill>
              </w:rPr>
              <w:t>2.配置:可搭建共享文件夹，分权限管控; 全格式支持：word，excel，ppt，CAD,TXT,MP3,MP4等格式都支持，并且可自定义任何格式；备份、全盘备份：装机后可进行终端全盘备份；自动编辑备份：设定格式文件在终端编辑、保存、退出就会强制备份； 指定目录备份：可针对指定的目录做定期备份； 手动上传备份：老师可进行手动上传需要备份的文件； 离线备份：带电脑在外的文件更改保存、退出后，回到单位内网也会备份。 版本列表、编辑就备：只要打开指定文件，编辑保存退出就会强制备份； 版本清晰：文件编辑保存后会自动生成新版本，历史版本可查看； 一键回滚：历史版本可一键回滚到最新版本； 增量备份：新版本只会备份新增的部分，节省空间大小。 消息中心、消息提醒; 未在期限范围内备份的会预警，其他如空间已满，客户端卸载等都会报警;  自动提示: 盒子有独立显示屏，有问题自动提示。</w:t>
            </w:r>
            <w:r>
              <w:rPr>
                <w:rFonts w:hint="eastAsia" w:ascii="新宋体" w:hAnsi="新宋体" w:eastAsia="新宋体" w:cs="新宋体"/>
                <w:color w:val="000000" w:themeColor="text1"/>
                <w:kern w:val="0"/>
                <w:sz w:val="22"/>
                <w:szCs w:val="22"/>
                <w:lang w:bidi="ar"/>
                <w14:textFill>
                  <w14:solidFill>
                    <w14:schemeClr w14:val="tx1"/>
                  </w14:solidFill>
                </w14:textFill>
              </w:rPr>
              <w:br w:type="textWrapping"/>
            </w:r>
          </w:p>
        </w:tc>
        <w:tc>
          <w:tcPr>
            <w:tcW w:w="500" w:type="dxa"/>
            <w:tcBorders>
              <w:top w:val="single" w:color="000000" w:sz="4" w:space="0"/>
              <w:left w:val="single" w:color="000000" w:sz="4" w:space="0"/>
              <w:bottom w:val="single" w:color="000000" w:sz="4" w:space="0"/>
              <w:right w:val="single" w:color="000000" w:sz="4" w:space="0"/>
            </w:tcBorders>
            <w:vAlign w:val="center"/>
          </w:tcPr>
          <w:p w14:paraId="5C02A9CD">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4</w:t>
            </w:r>
          </w:p>
        </w:tc>
        <w:tc>
          <w:tcPr>
            <w:tcW w:w="500" w:type="dxa"/>
            <w:tcBorders>
              <w:top w:val="single" w:color="000000" w:sz="4" w:space="0"/>
              <w:left w:val="single" w:color="000000" w:sz="4" w:space="0"/>
              <w:bottom w:val="single" w:color="000000" w:sz="4" w:space="0"/>
              <w:right w:val="single" w:color="000000" w:sz="4" w:space="0"/>
            </w:tcBorders>
            <w:vAlign w:val="center"/>
          </w:tcPr>
          <w:p w14:paraId="6D38F85C">
            <w:pPr>
              <w:widowControl/>
              <w:jc w:val="center"/>
              <w:textAlignment w:val="center"/>
              <w:rPr>
                <w:rFonts w:hint="eastAsia"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lang w:bidi="ar"/>
                <w14:textFill>
                  <w14:solidFill>
                    <w14:schemeClr w14:val="tx1"/>
                  </w14:solidFill>
                </w14:textFill>
              </w:rPr>
              <w:t>套</w:t>
            </w:r>
          </w:p>
        </w:tc>
        <w:tc>
          <w:tcPr>
            <w:tcW w:w="3345" w:type="dxa"/>
            <w:tcBorders>
              <w:top w:val="single" w:color="000000" w:sz="4" w:space="0"/>
              <w:left w:val="single" w:color="000000" w:sz="4" w:space="0"/>
              <w:bottom w:val="single" w:color="000000" w:sz="4" w:space="0"/>
              <w:right w:val="single" w:color="000000" w:sz="4" w:space="0"/>
            </w:tcBorders>
            <w:noWrap/>
            <w:vAlign w:val="center"/>
          </w:tcPr>
          <w:p w14:paraId="3D9CC7ED">
            <w:pPr>
              <w:widowControl/>
              <w:jc w:val="center"/>
              <w:textAlignment w:val="center"/>
              <w:rPr>
                <w:rFonts w:hint="eastAsia" w:ascii="宋体" w:hAnsi="宋体" w:cs="宋体"/>
                <w:color w:val="000000" w:themeColor="text1"/>
                <w:sz w:val="22"/>
                <w:szCs w:val="22"/>
                <w14:textFill>
                  <w14:solidFill>
                    <w14:schemeClr w14:val="tx1"/>
                  </w14:solidFill>
                </w14:textFill>
              </w:rPr>
            </w:pPr>
          </w:p>
        </w:tc>
        <w:tc>
          <w:tcPr>
            <w:tcW w:w="1150" w:type="dxa"/>
            <w:tcBorders>
              <w:top w:val="single" w:color="000000" w:sz="4" w:space="0"/>
              <w:left w:val="single" w:color="000000" w:sz="4" w:space="0"/>
              <w:bottom w:val="single" w:color="000000" w:sz="4" w:space="0"/>
              <w:right w:val="single" w:color="000000" w:sz="4" w:space="0"/>
            </w:tcBorders>
            <w:noWrap/>
            <w:vAlign w:val="center"/>
          </w:tcPr>
          <w:p w14:paraId="42AE9528">
            <w:pPr>
              <w:widowControl/>
              <w:jc w:val="center"/>
              <w:textAlignment w:val="center"/>
              <w:rPr>
                <w:rFonts w:hint="eastAsia" w:ascii="宋体" w:hAnsi="宋体" w:cs="宋体"/>
                <w:color w:val="000000" w:themeColor="text1"/>
                <w:sz w:val="22"/>
                <w:szCs w:val="22"/>
                <w14:textFill>
                  <w14:solidFill>
                    <w14:schemeClr w14:val="tx1"/>
                  </w14:solidFill>
                </w14:textFill>
              </w:rPr>
            </w:pPr>
          </w:p>
        </w:tc>
      </w:tr>
    </w:tbl>
    <w:p w14:paraId="26232E2E">
      <w:pPr>
        <w:spacing w:line="440" w:lineRule="exact"/>
        <w:jc w:val="left"/>
        <w:rPr>
          <w:rFonts w:hint="eastAsia" w:ascii="宋体" w:hAnsi="宋体"/>
          <w:b/>
          <w:color w:val="FF0000"/>
          <w:szCs w:val="21"/>
        </w:rPr>
        <w:sectPr>
          <w:footerReference r:id="rId8" w:type="default"/>
          <w:pgSz w:w="16840" w:h="11907" w:orient="landscape"/>
          <w:pgMar w:top="1474" w:right="1276" w:bottom="1474" w:left="1242" w:header="720" w:footer="720" w:gutter="0"/>
          <w:cols w:space="720" w:num="1"/>
          <w:docGrid w:linePitch="285" w:charSpace="0"/>
        </w:sectPr>
      </w:pPr>
    </w:p>
    <w:p w14:paraId="2EAF52C2">
      <w:pPr>
        <w:spacing w:line="440" w:lineRule="exact"/>
        <w:jc w:val="left"/>
        <w:rPr>
          <w:rFonts w:hint="eastAsia" w:ascii="宋体" w:hAnsi="宋体"/>
          <w:b/>
          <w:szCs w:val="21"/>
        </w:rPr>
      </w:pPr>
      <w:r>
        <w:rPr>
          <w:rFonts w:hint="eastAsia" w:ascii="宋体" w:hAnsi="宋体"/>
          <w:b/>
          <w:szCs w:val="21"/>
        </w:rPr>
        <w:t>三、样品清单</w:t>
      </w:r>
    </w:p>
    <w:tbl>
      <w:tblPr>
        <w:tblStyle w:val="45"/>
        <w:tblW w:w="0" w:type="auto"/>
        <w:tblInd w:w="-3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3345"/>
        <w:gridCol w:w="1331"/>
        <w:gridCol w:w="4080"/>
      </w:tblGrid>
      <w:tr w14:paraId="6813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 w:type="dxa"/>
          </w:tcPr>
          <w:p w14:paraId="1706B139">
            <w:pPr>
              <w:spacing w:line="440" w:lineRule="exact"/>
              <w:jc w:val="center"/>
              <w:rPr>
                <w:rFonts w:hint="eastAsia" w:ascii="宋体" w:hAnsi="宋体" w:cs="宋体"/>
              </w:rPr>
            </w:pPr>
            <w:r>
              <w:rPr>
                <w:rFonts w:hint="eastAsia" w:ascii="宋体" w:hAnsi="宋体" w:cs="宋体"/>
              </w:rPr>
              <w:t>序号</w:t>
            </w:r>
          </w:p>
        </w:tc>
        <w:tc>
          <w:tcPr>
            <w:tcW w:w="5610" w:type="dxa"/>
          </w:tcPr>
          <w:p w14:paraId="76C99BE4">
            <w:pPr>
              <w:spacing w:line="440" w:lineRule="exact"/>
              <w:jc w:val="center"/>
              <w:rPr>
                <w:rFonts w:hint="eastAsia" w:ascii="宋体" w:hAnsi="宋体" w:cs="宋体"/>
              </w:rPr>
            </w:pPr>
            <w:r>
              <w:rPr>
                <w:rFonts w:hint="eastAsia" w:ascii="宋体" w:hAnsi="宋体" w:cs="宋体"/>
              </w:rPr>
              <w:t>名称</w:t>
            </w:r>
          </w:p>
        </w:tc>
        <w:tc>
          <w:tcPr>
            <w:tcW w:w="2011" w:type="dxa"/>
            <w:vAlign w:val="center"/>
          </w:tcPr>
          <w:p w14:paraId="2F6E5EE8">
            <w:pPr>
              <w:keepLines/>
              <w:widowControl/>
              <w:spacing w:line="228" w:lineRule="auto"/>
              <w:jc w:val="center"/>
              <w:textAlignment w:val="center"/>
              <w:rPr>
                <w:rFonts w:hint="eastAsia" w:ascii="宋体" w:hAnsi="宋体" w:cs="宋体"/>
              </w:rPr>
            </w:pPr>
            <w:r>
              <w:rPr>
                <w:rFonts w:hint="eastAsia" w:ascii="宋体" w:hAnsi="宋体" w:cs="宋体"/>
                <w:b/>
                <w:bCs/>
                <w:kern w:val="0"/>
                <w:sz w:val="24"/>
                <w:lang w:bidi="ar"/>
              </w:rPr>
              <w:t>数量</w:t>
            </w:r>
          </w:p>
        </w:tc>
        <w:tc>
          <w:tcPr>
            <w:tcW w:w="5890" w:type="dxa"/>
            <w:vAlign w:val="center"/>
          </w:tcPr>
          <w:p w14:paraId="383BC578">
            <w:pPr>
              <w:keepLines/>
              <w:widowControl/>
              <w:spacing w:line="228" w:lineRule="auto"/>
              <w:jc w:val="center"/>
              <w:textAlignment w:val="center"/>
              <w:rPr>
                <w:rFonts w:hint="eastAsia" w:ascii="宋体" w:hAnsi="宋体" w:cs="宋体"/>
              </w:rPr>
            </w:pPr>
            <w:r>
              <w:rPr>
                <w:rFonts w:hint="eastAsia" w:ascii="宋体" w:hAnsi="宋体" w:cs="宋体"/>
                <w:b/>
                <w:bCs/>
                <w:kern w:val="0"/>
                <w:sz w:val="24"/>
                <w:lang w:bidi="ar"/>
              </w:rPr>
              <w:t>规格长*宽*高（mm）</w:t>
            </w:r>
          </w:p>
        </w:tc>
      </w:tr>
      <w:tr w14:paraId="7895C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 w:type="dxa"/>
          </w:tcPr>
          <w:p w14:paraId="4BA0DE3F">
            <w:pPr>
              <w:spacing w:line="440" w:lineRule="exact"/>
              <w:jc w:val="center"/>
              <w:rPr>
                <w:rFonts w:hint="eastAsia" w:ascii="宋体" w:hAnsi="宋体" w:cs="宋体"/>
              </w:rPr>
            </w:pPr>
            <w:r>
              <w:rPr>
                <w:rFonts w:hint="eastAsia" w:ascii="宋体" w:hAnsi="宋体" w:cs="宋体"/>
              </w:rPr>
              <w:t>1</w:t>
            </w:r>
          </w:p>
        </w:tc>
        <w:tc>
          <w:tcPr>
            <w:tcW w:w="5610" w:type="dxa"/>
          </w:tcPr>
          <w:p w14:paraId="757AEBDA">
            <w:pPr>
              <w:spacing w:line="440" w:lineRule="exact"/>
              <w:jc w:val="center"/>
              <w:rPr>
                <w:rFonts w:hint="eastAsia" w:ascii="宋体" w:hAnsi="宋体" w:cs="宋体"/>
                <w:kern w:val="0"/>
                <w:sz w:val="22"/>
                <w:szCs w:val="22"/>
                <w:lang w:bidi="ar"/>
              </w:rPr>
            </w:pPr>
            <w:r>
              <w:rPr>
                <w:rFonts w:hint="eastAsia" w:ascii="宋体" w:hAnsi="宋体" w:cs="宋体"/>
                <w:kern w:val="0"/>
                <w:sz w:val="22"/>
                <w:szCs w:val="22"/>
                <w:lang w:bidi="ar"/>
              </w:rPr>
              <w:t>教师实验课椅</w:t>
            </w:r>
          </w:p>
        </w:tc>
        <w:tc>
          <w:tcPr>
            <w:tcW w:w="2011" w:type="dxa"/>
          </w:tcPr>
          <w:p w14:paraId="07B709A7">
            <w:pPr>
              <w:spacing w:line="440" w:lineRule="exact"/>
              <w:jc w:val="center"/>
              <w:rPr>
                <w:rFonts w:hint="eastAsia" w:ascii="宋体" w:hAnsi="宋体" w:cs="宋体"/>
                <w:kern w:val="0"/>
                <w:sz w:val="22"/>
                <w:szCs w:val="22"/>
                <w:lang w:bidi="ar"/>
              </w:rPr>
            </w:pPr>
            <w:r>
              <w:rPr>
                <w:rFonts w:hint="eastAsia" w:ascii="宋体" w:hAnsi="宋体" w:cs="宋体"/>
                <w:kern w:val="0"/>
                <w:sz w:val="22"/>
                <w:szCs w:val="22"/>
                <w:lang w:bidi="ar"/>
              </w:rPr>
              <w:t>1</w:t>
            </w:r>
          </w:p>
        </w:tc>
        <w:tc>
          <w:tcPr>
            <w:tcW w:w="5890" w:type="dxa"/>
          </w:tcPr>
          <w:p w14:paraId="13F9FE19">
            <w:pPr>
              <w:spacing w:line="440" w:lineRule="exact"/>
              <w:jc w:val="center"/>
              <w:rPr>
                <w:rFonts w:hint="eastAsia" w:ascii="宋体" w:hAnsi="宋体" w:cs="宋体"/>
                <w:kern w:val="0"/>
                <w:sz w:val="22"/>
                <w:szCs w:val="22"/>
                <w:lang w:bidi="ar"/>
              </w:rPr>
            </w:pPr>
            <w:r>
              <w:rPr>
                <w:rFonts w:hint="eastAsia" w:ascii="宋体" w:hAnsi="宋体" w:cs="宋体"/>
                <w:kern w:val="0"/>
                <w:sz w:val="22"/>
                <w:szCs w:val="22"/>
                <w:lang w:bidi="ar"/>
              </w:rPr>
              <w:t xml:space="preserve">约380*400*800mm </w:t>
            </w:r>
          </w:p>
        </w:tc>
      </w:tr>
      <w:tr w14:paraId="10ED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 w:type="dxa"/>
          </w:tcPr>
          <w:p w14:paraId="243D6775">
            <w:pPr>
              <w:spacing w:line="440" w:lineRule="exact"/>
              <w:jc w:val="center"/>
              <w:rPr>
                <w:rFonts w:hint="eastAsia" w:ascii="宋体" w:hAnsi="宋体" w:cs="宋体"/>
              </w:rPr>
            </w:pPr>
            <w:r>
              <w:rPr>
                <w:rFonts w:hint="eastAsia" w:ascii="宋体" w:hAnsi="宋体" w:cs="宋体"/>
              </w:rPr>
              <w:t>2</w:t>
            </w:r>
          </w:p>
        </w:tc>
        <w:tc>
          <w:tcPr>
            <w:tcW w:w="5610" w:type="dxa"/>
          </w:tcPr>
          <w:p w14:paraId="62B6BC8F">
            <w:pPr>
              <w:spacing w:line="440" w:lineRule="exact"/>
              <w:jc w:val="center"/>
              <w:rPr>
                <w:rFonts w:hint="eastAsia" w:ascii="宋体" w:hAnsi="宋体" w:cs="宋体"/>
                <w:kern w:val="0"/>
                <w:sz w:val="22"/>
                <w:szCs w:val="22"/>
                <w:lang w:bidi="ar"/>
              </w:rPr>
            </w:pPr>
            <w:r>
              <w:rPr>
                <w:rFonts w:hint="eastAsia" w:ascii="宋体" w:hAnsi="宋体" w:cs="宋体"/>
                <w:kern w:val="0"/>
                <w:sz w:val="22"/>
                <w:szCs w:val="22"/>
                <w:lang w:bidi="ar"/>
              </w:rPr>
              <w:t>生物学生专用实践设备</w:t>
            </w:r>
          </w:p>
        </w:tc>
        <w:tc>
          <w:tcPr>
            <w:tcW w:w="2011" w:type="dxa"/>
          </w:tcPr>
          <w:p w14:paraId="176C979D">
            <w:pPr>
              <w:spacing w:line="440" w:lineRule="exact"/>
              <w:jc w:val="center"/>
              <w:rPr>
                <w:rFonts w:hint="eastAsia" w:ascii="宋体" w:hAnsi="宋体" w:cs="宋体"/>
                <w:kern w:val="0"/>
                <w:sz w:val="22"/>
                <w:szCs w:val="22"/>
                <w:lang w:bidi="ar"/>
              </w:rPr>
            </w:pPr>
            <w:r>
              <w:rPr>
                <w:rFonts w:hint="eastAsia" w:ascii="宋体" w:hAnsi="宋体" w:cs="宋体"/>
                <w:kern w:val="0"/>
                <w:sz w:val="22"/>
                <w:szCs w:val="22"/>
                <w:lang w:bidi="ar"/>
              </w:rPr>
              <w:t>1</w:t>
            </w:r>
          </w:p>
        </w:tc>
        <w:tc>
          <w:tcPr>
            <w:tcW w:w="5890" w:type="dxa"/>
          </w:tcPr>
          <w:p w14:paraId="3C011776">
            <w:pPr>
              <w:spacing w:line="440" w:lineRule="exact"/>
              <w:jc w:val="center"/>
              <w:rPr>
                <w:rFonts w:hint="eastAsia" w:ascii="宋体" w:hAnsi="宋体" w:cs="宋体"/>
                <w:kern w:val="0"/>
                <w:sz w:val="22"/>
                <w:szCs w:val="22"/>
                <w:lang w:bidi="ar"/>
              </w:rPr>
            </w:pPr>
            <w:r>
              <w:rPr>
                <w:rFonts w:hint="eastAsia" w:ascii="宋体" w:hAnsi="宋体" w:cs="宋体"/>
                <w:kern w:val="0"/>
                <w:sz w:val="22"/>
                <w:szCs w:val="22"/>
                <w:lang w:bidi="ar"/>
              </w:rPr>
              <w:t>约1200*600*780mm</w:t>
            </w:r>
          </w:p>
        </w:tc>
      </w:tr>
      <w:tr w14:paraId="7A931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 w:type="dxa"/>
          </w:tcPr>
          <w:p w14:paraId="0E73E8E4">
            <w:pPr>
              <w:spacing w:line="440" w:lineRule="exact"/>
              <w:jc w:val="center"/>
              <w:rPr>
                <w:rFonts w:hint="eastAsia" w:ascii="宋体" w:hAnsi="宋体" w:cs="宋体"/>
              </w:rPr>
            </w:pPr>
            <w:r>
              <w:rPr>
                <w:rFonts w:hint="eastAsia" w:ascii="宋体" w:hAnsi="宋体" w:cs="宋体"/>
              </w:rPr>
              <w:t>3</w:t>
            </w:r>
          </w:p>
        </w:tc>
        <w:tc>
          <w:tcPr>
            <w:tcW w:w="5610" w:type="dxa"/>
          </w:tcPr>
          <w:p w14:paraId="0FBA246F">
            <w:pPr>
              <w:spacing w:line="440" w:lineRule="exact"/>
              <w:jc w:val="center"/>
              <w:rPr>
                <w:rFonts w:hint="eastAsia" w:ascii="宋体" w:hAnsi="宋体" w:cs="宋体"/>
                <w:kern w:val="0"/>
                <w:sz w:val="22"/>
                <w:szCs w:val="22"/>
                <w:lang w:bidi="ar"/>
              </w:rPr>
            </w:pPr>
            <w:r>
              <w:rPr>
                <w:rFonts w:hint="eastAsia" w:ascii="宋体" w:hAnsi="宋体" w:cs="宋体"/>
                <w:kern w:val="0"/>
                <w:sz w:val="22"/>
                <w:szCs w:val="22"/>
                <w:lang w:bidi="ar"/>
              </w:rPr>
              <w:t>实验凳</w:t>
            </w:r>
          </w:p>
        </w:tc>
        <w:tc>
          <w:tcPr>
            <w:tcW w:w="2011" w:type="dxa"/>
          </w:tcPr>
          <w:p w14:paraId="7314733D">
            <w:pPr>
              <w:spacing w:line="440" w:lineRule="exact"/>
              <w:jc w:val="center"/>
              <w:rPr>
                <w:rFonts w:hint="eastAsia" w:ascii="宋体" w:hAnsi="宋体" w:cs="宋体"/>
                <w:kern w:val="0"/>
                <w:sz w:val="22"/>
                <w:szCs w:val="22"/>
                <w:lang w:bidi="ar"/>
              </w:rPr>
            </w:pPr>
            <w:r>
              <w:rPr>
                <w:rFonts w:hint="eastAsia" w:ascii="宋体" w:hAnsi="宋体" w:cs="宋体"/>
                <w:kern w:val="0"/>
                <w:sz w:val="22"/>
                <w:szCs w:val="22"/>
                <w:lang w:bidi="ar"/>
              </w:rPr>
              <w:t>1</w:t>
            </w:r>
          </w:p>
        </w:tc>
        <w:tc>
          <w:tcPr>
            <w:tcW w:w="5890" w:type="dxa"/>
          </w:tcPr>
          <w:p w14:paraId="7295DED9">
            <w:pPr>
              <w:spacing w:line="440" w:lineRule="exact"/>
              <w:jc w:val="center"/>
              <w:rPr>
                <w:rFonts w:hint="eastAsia" w:ascii="宋体" w:hAnsi="宋体" w:cs="宋体"/>
                <w:kern w:val="0"/>
                <w:sz w:val="22"/>
                <w:szCs w:val="22"/>
                <w:lang w:bidi="ar"/>
              </w:rPr>
            </w:pPr>
            <w:r>
              <w:rPr>
                <w:rFonts w:hint="eastAsia" w:ascii="宋体" w:hAnsi="宋体" w:cs="宋体"/>
                <w:kern w:val="0"/>
                <w:sz w:val="22"/>
                <w:szCs w:val="22"/>
                <w:lang w:bidi="ar"/>
              </w:rPr>
              <w:t>约420(直径）*450（高)mm</w:t>
            </w:r>
          </w:p>
        </w:tc>
      </w:tr>
      <w:tr w14:paraId="3CADC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 w:type="dxa"/>
          </w:tcPr>
          <w:p w14:paraId="77C1EE39">
            <w:pPr>
              <w:spacing w:line="440" w:lineRule="exact"/>
              <w:jc w:val="center"/>
              <w:rPr>
                <w:rFonts w:hint="eastAsia" w:ascii="宋体" w:hAnsi="宋体" w:cs="宋体"/>
              </w:rPr>
            </w:pPr>
            <w:r>
              <w:rPr>
                <w:rFonts w:hint="eastAsia" w:ascii="宋体" w:hAnsi="宋体" w:cs="宋体"/>
              </w:rPr>
              <w:t>4</w:t>
            </w:r>
          </w:p>
        </w:tc>
        <w:tc>
          <w:tcPr>
            <w:tcW w:w="5610" w:type="dxa"/>
          </w:tcPr>
          <w:p w14:paraId="65DD0A80">
            <w:pPr>
              <w:spacing w:line="440" w:lineRule="exact"/>
              <w:jc w:val="center"/>
              <w:rPr>
                <w:rFonts w:hint="eastAsia" w:ascii="宋体" w:hAnsi="宋体" w:cs="宋体"/>
                <w:kern w:val="0"/>
                <w:sz w:val="22"/>
                <w:szCs w:val="22"/>
                <w:lang w:bidi="ar"/>
              </w:rPr>
            </w:pPr>
            <w:r>
              <w:rPr>
                <w:rFonts w:hint="eastAsia" w:ascii="宋体" w:hAnsi="宋体" w:cs="宋体"/>
                <w:kern w:val="0"/>
                <w:sz w:val="22"/>
                <w:szCs w:val="22"/>
                <w:lang w:bidi="ar"/>
              </w:rPr>
              <w:t>能量的主题实验箱</w:t>
            </w:r>
          </w:p>
        </w:tc>
        <w:tc>
          <w:tcPr>
            <w:tcW w:w="2011" w:type="dxa"/>
          </w:tcPr>
          <w:p w14:paraId="6BE8ABD6">
            <w:pPr>
              <w:spacing w:line="440" w:lineRule="exact"/>
              <w:jc w:val="center"/>
              <w:rPr>
                <w:rFonts w:hint="eastAsia" w:ascii="宋体" w:hAnsi="宋体" w:cs="宋体"/>
                <w:kern w:val="0"/>
                <w:sz w:val="22"/>
                <w:szCs w:val="22"/>
                <w:lang w:bidi="ar"/>
              </w:rPr>
            </w:pPr>
            <w:r>
              <w:rPr>
                <w:rFonts w:hint="eastAsia" w:ascii="宋体" w:hAnsi="宋体" w:cs="宋体"/>
                <w:kern w:val="0"/>
                <w:sz w:val="22"/>
                <w:szCs w:val="22"/>
                <w:lang w:bidi="ar"/>
              </w:rPr>
              <w:t>1</w:t>
            </w:r>
          </w:p>
        </w:tc>
        <w:tc>
          <w:tcPr>
            <w:tcW w:w="5890" w:type="dxa"/>
          </w:tcPr>
          <w:p w14:paraId="58151AB1">
            <w:pPr>
              <w:spacing w:line="440" w:lineRule="exact"/>
              <w:jc w:val="center"/>
              <w:rPr>
                <w:rFonts w:hint="eastAsia" w:ascii="宋体" w:hAnsi="宋体" w:cs="宋体"/>
                <w:kern w:val="0"/>
                <w:sz w:val="22"/>
                <w:szCs w:val="22"/>
                <w:lang w:bidi="ar"/>
              </w:rPr>
            </w:pPr>
            <w:r>
              <w:rPr>
                <w:rFonts w:hint="eastAsia" w:ascii="宋体" w:hAnsi="宋体" w:cs="宋体"/>
                <w:kern w:val="0"/>
                <w:sz w:val="22"/>
                <w:szCs w:val="22"/>
                <w:lang w:bidi="ar"/>
              </w:rPr>
              <w:t>约530*350*165mm</w:t>
            </w:r>
          </w:p>
        </w:tc>
      </w:tr>
    </w:tbl>
    <w:p w14:paraId="727D8B18">
      <w:pPr>
        <w:spacing w:line="440" w:lineRule="exact"/>
        <w:jc w:val="left"/>
        <w:rPr>
          <w:rFonts w:hint="eastAsia" w:ascii="宋体" w:hAnsi="宋体"/>
          <w:b/>
          <w:szCs w:val="21"/>
        </w:rPr>
      </w:pPr>
      <w:r>
        <w:rPr>
          <w:rFonts w:hint="eastAsia" w:ascii="宋体" w:hAnsi="宋体"/>
          <w:b/>
          <w:szCs w:val="21"/>
        </w:rPr>
        <w:t>四、需提供的证明材料汇总表</w:t>
      </w:r>
    </w:p>
    <w:p w14:paraId="554E07E3">
      <w:pPr>
        <w:spacing w:line="440" w:lineRule="exact"/>
        <w:ind w:firstLine="422" w:firstLineChars="200"/>
        <w:jc w:val="left"/>
        <w:rPr>
          <w:rFonts w:hint="eastAsia" w:ascii="宋体" w:hAnsi="宋体"/>
          <w:b/>
          <w:szCs w:val="21"/>
        </w:rPr>
      </w:pPr>
      <w:r>
        <w:rPr>
          <w:rFonts w:hint="eastAsia" w:ascii="宋体" w:hAnsi="宋体"/>
          <w:b/>
          <w:szCs w:val="21"/>
        </w:rPr>
        <w:t>（1）生物实验室</w:t>
      </w:r>
    </w:p>
    <w:tbl>
      <w:tblPr>
        <w:tblStyle w:val="44"/>
        <w:tblW w:w="0" w:type="auto"/>
        <w:tblInd w:w="-348" w:type="dxa"/>
        <w:tblLayout w:type="autofit"/>
        <w:tblCellMar>
          <w:top w:w="0" w:type="dxa"/>
          <w:left w:w="108" w:type="dxa"/>
          <w:bottom w:w="0" w:type="dxa"/>
          <w:right w:w="108" w:type="dxa"/>
        </w:tblCellMar>
      </w:tblPr>
      <w:tblGrid>
        <w:gridCol w:w="484"/>
        <w:gridCol w:w="1524"/>
        <w:gridCol w:w="6472"/>
        <w:gridCol w:w="1043"/>
      </w:tblGrid>
      <w:tr w14:paraId="5FC65407">
        <w:tblPrEx>
          <w:tblCellMar>
            <w:top w:w="0" w:type="dxa"/>
            <w:left w:w="108" w:type="dxa"/>
            <w:bottom w:w="0" w:type="dxa"/>
            <w:right w:w="108" w:type="dxa"/>
          </w:tblCellMar>
        </w:tblPrEx>
        <w:trPr>
          <w:trHeight w:val="508"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2D916629">
            <w:pPr>
              <w:widowControl/>
              <w:spacing w:line="300" w:lineRule="exact"/>
              <w:jc w:val="center"/>
              <w:textAlignment w:val="center"/>
              <w:rPr>
                <w:rFonts w:hint="eastAsia" w:ascii="宋体" w:hAnsi="宋体" w:cs="宋体"/>
                <w:b/>
                <w:szCs w:val="21"/>
              </w:rPr>
            </w:pPr>
            <w:r>
              <w:rPr>
                <w:rFonts w:hint="eastAsia" w:ascii="宋体" w:hAnsi="宋体" w:cs="宋体"/>
                <w:b/>
                <w:szCs w:val="21"/>
              </w:rPr>
              <w:t>序号</w:t>
            </w:r>
          </w:p>
        </w:tc>
        <w:tc>
          <w:tcPr>
            <w:tcW w:w="1524" w:type="dxa"/>
            <w:tcBorders>
              <w:top w:val="single" w:color="000000" w:sz="4" w:space="0"/>
              <w:left w:val="single" w:color="000000" w:sz="4" w:space="0"/>
              <w:bottom w:val="single" w:color="000000" w:sz="4" w:space="0"/>
              <w:right w:val="single" w:color="000000" w:sz="4" w:space="0"/>
            </w:tcBorders>
            <w:vAlign w:val="center"/>
          </w:tcPr>
          <w:p w14:paraId="3E08EC71">
            <w:pPr>
              <w:widowControl/>
              <w:spacing w:line="300" w:lineRule="exact"/>
              <w:jc w:val="center"/>
              <w:textAlignment w:val="center"/>
              <w:rPr>
                <w:rFonts w:hint="eastAsia" w:ascii="宋体" w:hAnsi="宋体" w:cs="宋体"/>
                <w:b/>
                <w:szCs w:val="21"/>
              </w:rPr>
            </w:pPr>
            <w:r>
              <w:rPr>
                <w:rFonts w:hint="eastAsia" w:ascii="宋体" w:hAnsi="宋体" w:cs="宋体"/>
                <w:b/>
                <w:szCs w:val="21"/>
              </w:rPr>
              <w:t>设备名称</w:t>
            </w:r>
          </w:p>
        </w:tc>
        <w:tc>
          <w:tcPr>
            <w:tcW w:w="6472" w:type="dxa"/>
            <w:tcBorders>
              <w:top w:val="single" w:color="000000" w:sz="4" w:space="0"/>
              <w:left w:val="single" w:color="000000" w:sz="4" w:space="0"/>
              <w:bottom w:val="single" w:color="000000" w:sz="4" w:space="0"/>
              <w:right w:val="single" w:color="000000" w:sz="4" w:space="0"/>
            </w:tcBorders>
            <w:vAlign w:val="center"/>
          </w:tcPr>
          <w:p w14:paraId="776371B5">
            <w:pPr>
              <w:widowControl/>
              <w:spacing w:line="300" w:lineRule="exact"/>
              <w:jc w:val="center"/>
              <w:textAlignment w:val="center"/>
              <w:rPr>
                <w:rFonts w:hint="eastAsia" w:ascii="宋体" w:hAnsi="宋体" w:cs="宋体"/>
                <w:b/>
                <w:szCs w:val="21"/>
              </w:rPr>
            </w:pPr>
            <w:r>
              <w:rPr>
                <w:rFonts w:hint="eastAsia" w:ascii="宋体" w:hAnsi="宋体" w:cs="宋体"/>
                <w:b/>
                <w:szCs w:val="21"/>
              </w:rPr>
              <w:t>检测内容及证明材料</w:t>
            </w:r>
          </w:p>
        </w:tc>
        <w:tc>
          <w:tcPr>
            <w:tcW w:w="1043" w:type="dxa"/>
            <w:tcBorders>
              <w:top w:val="single" w:color="000000" w:sz="4" w:space="0"/>
              <w:left w:val="single" w:color="000000" w:sz="4" w:space="0"/>
              <w:bottom w:val="single" w:color="000000" w:sz="4" w:space="0"/>
              <w:right w:val="single" w:color="000000" w:sz="4" w:space="0"/>
            </w:tcBorders>
            <w:vAlign w:val="center"/>
          </w:tcPr>
          <w:p w14:paraId="3D0E119C">
            <w:pPr>
              <w:widowControl/>
              <w:spacing w:line="300" w:lineRule="exact"/>
              <w:jc w:val="center"/>
              <w:textAlignment w:val="center"/>
              <w:rPr>
                <w:rFonts w:hint="eastAsia" w:ascii="宋体" w:hAnsi="宋体" w:cs="宋体"/>
                <w:b/>
                <w:szCs w:val="21"/>
              </w:rPr>
            </w:pPr>
            <w:r>
              <w:rPr>
                <w:rFonts w:hint="eastAsia" w:ascii="宋体" w:hAnsi="宋体" w:cs="宋体"/>
                <w:b/>
                <w:szCs w:val="21"/>
              </w:rPr>
              <w:t>证明材料所在投标文件页码</w:t>
            </w:r>
          </w:p>
        </w:tc>
      </w:tr>
      <w:tr w14:paraId="523C099B">
        <w:tblPrEx>
          <w:tblCellMar>
            <w:top w:w="0" w:type="dxa"/>
            <w:left w:w="108" w:type="dxa"/>
            <w:bottom w:w="0" w:type="dxa"/>
            <w:right w:w="108" w:type="dxa"/>
          </w:tblCellMar>
        </w:tblPrEx>
        <w:trPr>
          <w:trHeight w:val="508"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56927FE3">
            <w:pPr>
              <w:widowControl/>
              <w:jc w:val="center"/>
              <w:textAlignment w:val="center"/>
              <w:rPr>
                <w:rFonts w:hint="eastAsia" w:ascii="宋体" w:hAnsi="宋体" w:cs="宋体"/>
                <w:bCs/>
                <w:kern w:val="0"/>
                <w:szCs w:val="21"/>
                <w:lang w:bidi="ar"/>
              </w:rPr>
            </w:pPr>
            <w:r>
              <w:rPr>
                <w:rFonts w:hint="eastAsia" w:ascii="宋体" w:hAnsi="宋体" w:eastAsia="宋体" w:cs="宋体"/>
                <w:color w:val="auto"/>
                <w:kern w:val="0"/>
                <w:sz w:val="22"/>
                <w:szCs w:val="22"/>
                <w:lang w:bidi="ar"/>
              </w:rPr>
              <w:t>3</w:t>
            </w:r>
          </w:p>
        </w:tc>
        <w:tc>
          <w:tcPr>
            <w:tcW w:w="1524" w:type="dxa"/>
            <w:tcBorders>
              <w:top w:val="single" w:color="000000" w:sz="4" w:space="0"/>
              <w:left w:val="single" w:color="000000" w:sz="4" w:space="0"/>
              <w:bottom w:val="single" w:color="000000" w:sz="4" w:space="0"/>
              <w:right w:val="single" w:color="000000" w:sz="4" w:space="0"/>
            </w:tcBorders>
            <w:vAlign w:val="center"/>
          </w:tcPr>
          <w:p w14:paraId="4D40FE28">
            <w:pPr>
              <w:widowControl/>
              <w:jc w:val="center"/>
              <w:textAlignment w:val="center"/>
              <w:rPr>
                <w:rFonts w:hint="eastAsia" w:ascii="宋体" w:hAnsi="宋体" w:cs="宋体"/>
                <w:kern w:val="0"/>
                <w:sz w:val="22"/>
                <w:szCs w:val="22"/>
                <w:lang w:bidi="ar"/>
              </w:rPr>
            </w:pPr>
            <w:r>
              <w:rPr>
                <w:rFonts w:hint="eastAsia" w:ascii="宋体" w:hAnsi="宋体" w:eastAsia="宋体" w:cs="宋体"/>
                <w:color w:val="auto"/>
                <w:kern w:val="0"/>
                <w:sz w:val="22"/>
                <w:szCs w:val="22"/>
                <w:lang w:bidi="ar"/>
              </w:rPr>
              <w:t>教师水龙头＋水槽</w:t>
            </w:r>
          </w:p>
        </w:tc>
        <w:tc>
          <w:tcPr>
            <w:tcW w:w="6472" w:type="dxa"/>
            <w:tcBorders>
              <w:top w:val="single" w:color="000000" w:sz="4" w:space="0"/>
              <w:left w:val="single" w:color="000000" w:sz="4" w:space="0"/>
              <w:bottom w:val="single" w:color="000000" w:sz="4" w:space="0"/>
              <w:right w:val="single" w:color="000000" w:sz="4" w:space="0"/>
            </w:tcBorders>
            <w:vAlign w:val="center"/>
          </w:tcPr>
          <w:p w14:paraId="51632470">
            <w:pPr>
              <w:widowControl/>
              <w:spacing w:line="300" w:lineRule="exact"/>
              <w:textAlignment w:val="center"/>
              <w:rPr>
                <w:rFonts w:hint="eastAsia" w:ascii="宋体" w:hAnsi="宋体" w:cs="宋体"/>
                <w:b/>
                <w:bCs/>
                <w:kern w:val="0"/>
                <w:szCs w:val="21"/>
                <w:lang w:bidi="ar"/>
              </w:rPr>
            </w:pPr>
            <w:r>
              <w:rPr>
                <w:rFonts w:hint="eastAsia" w:ascii="宋体" w:hAnsi="宋体" w:cs="宋体"/>
                <w:b/>
                <w:bCs/>
                <w:color w:val="auto"/>
                <w:kern w:val="0"/>
                <w:szCs w:val="21"/>
                <w:lang w:bidi="ar"/>
              </w:rPr>
              <w:t>★投标文件中提供由国家确定的认证机构出具的、处于有效期之内的节能（节水）产品认证证书复印件加盖供应商公章。</w:t>
            </w:r>
          </w:p>
        </w:tc>
        <w:tc>
          <w:tcPr>
            <w:tcW w:w="1043" w:type="dxa"/>
            <w:tcBorders>
              <w:top w:val="single" w:color="000000" w:sz="4" w:space="0"/>
              <w:left w:val="single" w:color="000000" w:sz="4" w:space="0"/>
              <w:bottom w:val="single" w:color="000000" w:sz="4" w:space="0"/>
              <w:right w:val="single" w:color="000000" w:sz="4" w:space="0"/>
            </w:tcBorders>
            <w:vAlign w:val="center"/>
          </w:tcPr>
          <w:p w14:paraId="6379C9B5">
            <w:pPr>
              <w:widowControl/>
              <w:spacing w:line="300" w:lineRule="exact"/>
              <w:textAlignment w:val="center"/>
              <w:rPr>
                <w:rFonts w:hint="eastAsia" w:ascii="宋体" w:hAnsi="宋体" w:cs="宋体"/>
                <w:b/>
                <w:bCs/>
                <w:kern w:val="0"/>
                <w:szCs w:val="21"/>
                <w:lang w:bidi="ar"/>
              </w:rPr>
            </w:pPr>
          </w:p>
        </w:tc>
      </w:tr>
      <w:tr w14:paraId="43E992D7">
        <w:tblPrEx>
          <w:tblCellMar>
            <w:top w:w="0" w:type="dxa"/>
            <w:left w:w="108" w:type="dxa"/>
            <w:bottom w:w="0" w:type="dxa"/>
            <w:right w:w="108" w:type="dxa"/>
          </w:tblCellMar>
        </w:tblPrEx>
        <w:trPr>
          <w:trHeight w:val="508" w:hRule="atLeast"/>
        </w:trPr>
        <w:tc>
          <w:tcPr>
            <w:tcW w:w="484" w:type="dxa"/>
            <w:tcBorders>
              <w:top w:val="single" w:color="000000" w:sz="4" w:space="0"/>
              <w:left w:val="single" w:color="000000" w:sz="4" w:space="0"/>
              <w:bottom w:val="single" w:color="000000" w:sz="4" w:space="0"/>
              <w:right w:val="single" w:color="000000" w:sz="4" w:space="0"/>
            </w:tcBorders>
            <w:vAlign w:val="center"/>
          </w:tcPr>
          <w:p w14:paraId="64496BE1">
            <w:pPr>
              <w:widowControl/>
              <w:spacing w:line="300" w:lineRule="exact"/>
              <w:jc w:val="center"/>
              <w:textAlignment w:val="center"/>
              <w:rPr>
                <w:rFonts w:hint="eastAsia" w:ascii="宋体" w:hAnsi="宋体" w:cs="宋体"/>
                <w:kern w:val="0"/>
                <w:sz w:val="22"/>
                <w:szCs w:val="22"/>
                <w:lang w:bidi="ar"/>
              </w:rPr>
            </w:pPr>
            <w:r>
              <w:rPr>
                <w:rFonts w:hint="eastAsia" w:ascii="宋体" w:hAnsi="宋体" w:cs="宋体"/>
                <w:bCs/>
                <w:color w:val="auto"/>
                <w:kern w:val="0"/>
                <w:szCs w:val="21"/>
                <w:lang w:bidi="ar"/>
              </w:rPr>
              <w:t>4</w:t>
            </w:r>
          </w:p>
        </w:tc>
        <w:tc>
          <w:tcPr>
            <w:tcW w:w="1524" w:type="dxa"/>
            <w:tcBorders>
              <w:top w:val="single" w:color="000000" w:sz="4" w:space="0"/>
              <w:left w:val="single" w:color="000000" w:sz="4" w:space="0"/>
              <w:bottom w:val="single" w:color="000000" w:sz="4" w:space="0"/>
              <w:right w:val="single" w:color="000000" w:sz="4" w:space="0"/>
            </w:tcBorders>
            <w:vAlign w:val="center"/>
          </w:tcPr>
          <w:p w14:paraId="6FBC7824">
            <w:pPr>
              <w:widowControl/>
              <w:spacing w:line="300" w:lineRule="exact"/>
              <w:jc w:val="center"/>
              <w:textAlignment w:val="center"/>
              <w:rPr>
                <w:rFonts w:hint="eastAsia" w:ascii="宋体" w:hAnsi="宋体" w:cs="宋体"/>
                <w:kern w:val="0"/>
                <w:sz w:val="22"/>
                <w:szCs w:val="22"/>
                <w:lang w:bidi="ar"/>
              </w:rPr>
            </w:pPr>
            <w:r>
              <w:rPr>
                <w:rFonts w:hint="eastAsia" w:ascii="宋体" w:hAnsi="宋体" w:eastAsia="宋体" w:cs="宋体"/>
                <w:color w:val="auto"/>
                <w:kern w:val="0"/>
                <w:sz w:val="22"/>
                <w:szCs w:val="22"/>
                <w:lang w:bidi="ar"/>
              </w:rPr>
              <w:t>生物学生专用实践设备</w:t>
            </w:r>
          </w:p>
        </w:tc>
        <w:tc>
          <w:tcPr>
            <w:tcW w:w="6472" w:type="dxa"/>
            <w:tcBorders>
              <w:top w:val="single" w:color="000000" w:sz="4" w:space="0"/>
              <w:left w:val="single" w:color="000000" w:sz="4" w:space="0"/>
              <w:bottom w:val="single" w:color="000000" w:sz="4" w:space="0"/>
              <w:right w:val="single" w:color="000000" w:sz="4" w:space="0"/>
            </w:tcBorders>
            <w:vAlign w:val="center"/>
          </w:tcPr>
          <w:p w14:paraId="6F763EAB">
            <w:pPr>
              <w:widowControl/>
              <w:jc w:val="left"/>
              <w:textAlignment w:val="center"/>
              <w:rPr>
                <w:rStyle w:val="194"/>
                <w:rFonts w:hint="default"/>
                <w:color w:val="auto"/>
                <w:lang w:bidi="ar"/>
              </w:rPr>
            </w:pPr>
            <w:r>
              <w:rPr>
                <w:rStyle w:val="194"/>
                <w:rFonts w:hint="default"/>
                <w:color w:val="auto"/>
                <w:lang w:bidi="ar"/>
              </w:rPr>
              <w:t>▲2.1桌面性能：陶瓷台面吸水率要求：依据GB/T3810.3-2016检测标准，检测结果平均值0.031%,单个值0.027%~0.035%。</w:t>
            </w:r>
          </w:p>
          <w:p w14:paraId="0E53B912">
            <w:pPr>
              <w:widowControl/>
              <w:spacing w:line="300" w:lineRule="exact"/>
              <w:textAlignment w:val="center"/>
              <w:rPr>
                <w:rFonts w:hint="eastAsia" w:ascii="宋体" w:hAnsi="宋体" w:cs="宋体"/>
                <w:b/>
                <w:bCs/>
                <w:kern w:val="0"/>
                <w:szCs w:val="21"/>
                <w:lang w:bidi="ar"/>
              </w:rPr>
            </w:pPr>
            <w:r>
              <w:rPr>
                <w:rFonts w:hint="eastAsia" w:ascii="宋体" w:hAnsi="宋体" w:cs="宋体"/>
                <w:b/>
                <w:bCs/>
                <w:color w:val="auto"/>
                <w:kern w:val="0"/>
                <w:szCs w:val="21"/>
                <w:lang w:bidi="ar"/>
              </w:rPr>
              <w:t>提供具备CMA或CNAS标识的第三方检测机构出具</w:t>
            </w:r>
            <w:r>
              <w:rPr>
                <w:rFonts w:hint="eastAsia" w:ascii="宋体" w:hAnsi="宋体" w:eastAsia="宋体" w:cs="宋体"/>
                <w:color w:val="auto"/>
                <w:kern w:val="0"/>
                <w:sz w:val="22"/>
                <w:szCs w:val="22"/>
                <w:lang w:bidi="ar"/>
              </w:rPr>
              <w:t>的</w:t>
            </w:r>
            <w:r>
              <w:rPr>
                <w:rFonts w:hint="eastAsia" w:ascii="宋体" w:hAnsi="宋体"/>
                <w:b/>
                <w:bCs/>
                <w:color w:val="auto"/>
                <w:kern w:val="0"/>
              </w:rPr>
              <w:t>检测报告复印件加盖供应商公章</w:t>
            </w:r>
            <w:r>
              <w:rPr>
                <w:rFonts w:hint="eastAsia" w:ascii="宋体" w:hAnsi="宋体" w:eastAsia="宋体" w:cs="宋体"/>
                <w:color w:val="auto"/>
                <w:kern w:val="0"/>
                <w:sz w:val="22"/>
                <w:szCs w:val="22"/>
                <w:lang w:bidi="ar"/>
              </w:rPr>
              <w:t>。</w:t>
            </w:r>
          </w:p>
        </w:tc>
        <w:tc>
          <w:tcPr>
            <w:tcW w:w="1043" w:type="dxa"/>
            <w:tcBorders>
              <w:top w:val="single" w:color="000000" w:sz="4" w:space="0"/>
              <w:left w:val="single" w:color="000000" w:sz="4" w:space="0"/>
              <w:bottom w:val="single" w:color="000000" w:sz="4" w:space="0"/>
              <w:right w:val="single" w:color="000000" w:sz="4" w:space="0"/>
            </w:tcBorders>
            <w:vAlign w:val="center"/>
          </w:tcPr>
          <w:p w14:paraId="1419FC1D">
            <w:pPr>
              <w:widowControl/>
              <w:spacing w:line="300" w:lineRule="exact"/>
              <w:textAlignment w:val="center"/>
              <w:rPr>
                <w:rFonts w:hint="eastAsia" w:ascii="宋体" w:hAnsi="宋体" w:cs="宋体"/>
                <w:b/>
                <w:bCs/>
                <w:kern w:val="0"/>
                <w:szCs w:val="21"/>
                <w:lang w:bidi="ar"/>
              </w:rPr>
            </w:pPr>
          </w:p>
        </w:tc>
      </w:tr>
      <w:tr w14:paraId="4A1C85E1">
        <w:tblPrEx>
          <w:tblCellMar>
            <w:top w:w="0" w:type="dxa"/>
            <w:left w:w="108" w:type="dxa"/>
            <w:bottom w:w="0" w:type="dxa"/>
            <w:right w:w="108" w:type="dxa"/>
          </w:tblCellMar>
        </w:tblPrEx>
        <w:trPr>
          <w:trHeight w:val="508" w:hRule="atLeast"/>
        </w:trPr>
        <w:tc>
          <w:tcPr>
            <w:tcW w:w="483" w:type="dxa"/>
            <w:tcBorders>
              <w:top w:val="single" w:color="000000" w:sz="4" w:space="0"/>
              <w:left w:val="single" w:color="000000" w:sz="4" w:space="0"/>
              <w:bottom w:val="single" w:color="000000" w:sz="4" w:space="0"/>
              <w:right w:val="single" w:color="000000" w:sz="4" w:space="0"/>
            </w:tcBorders>
            <w:vAlign w:val="center"/>
          </w:tcPr>
          <w:p w14:paraId="72B325AF">
            <w:pPr>
              <w:widowControl/>
              <w:jc w:val="center"/>
              <w:textAlignment w:val="center"/>
              <w:rPr>
                <w:rFonts w:hint="eastAsia" w:ascii="宋体" w:hAnsi="宋体" w:cs="宋体"/>
                <w:bCs/>
                <w:kern w:val="0"/>
                <w:szCs w:val="21"/>
                <w:lang w:bidi="ar"/>
              </w:rPr>
            </w:pPr>
            <w:r>
              <w:rPr>
                <w:rFonts w:hint="eastAsia" w:ascii="宋体" w:hAnsi="宋体" w:eastAsia="宋体" w:cs="宋体"/>
                <w:color w:val="auto"/>
                <w:kern w:val="0"/>
                <w:sz w:val="22"/>
                <w:szCs w:val="22"/>
                <w:lang w:bidi="ar"/>
              </w:rPr>
              <w:t>5</w:t>
            </w:r>
          </w:p>
        </w:tc>
        <w:tc>
          <w:tcPr>
            <w:tcW w:w="1524" w:type="dxa"/>
            <w:tcBorders>
              <w:top w:val="single" w:color="000000" w:sz="4" w:space="0"/>
              <w:left w:val="single" w:color="000000" w:sz="4" w:space="0"/>
              <w:bottom w:val="single" w:color="000000" w:sz="4" w:space="0"/>
              <w:right w:val="single" w:color="000000" w:sz="4" w:space="0"/>
            </w:tcBorders>
            <w:vAlign w:val="center"/>
          </w:tcPr>
          <w:p w14:paraId="5DB993C6">
            <w:pPr>
              <w:widowControl/>
              <w:jc w:val="center"/>
              <w:textAlignment w:val="center"/>
              <w:rPr>
                <w:rFonts w:hint="eastAsia" w:ascii="宋体" w:hAnsi="宋体" w:cs="宋体"/>
                <w:kern w:val="0"/>
                <w:sz w:val="22"/>
                <w:szCs w:val="22"/>
                <w:lang w:bidi="ar"/>
              </w:rPr>
            </w:pPr>
            <w:r>
              <w:rPr>
                <w:rFonts w:hint="eastAsia" w:ascii="宋体" w:hAnsi="宋体" w:eastAsia="宋体" w:cs="宋体"/>
                <w:color w:val="auto"/>
                <w:kern w:val="0"/>
                <w:sz w:val="22"/>
                <w:szCs w:val="22"/>
                <w:lang w:bidi="ar"/>
              </w:rPr>
              <w:t>学生三联高低位龙头</w:t>
            </w:r>
          </w:p>
        </w:tc>
        <w:tc>
          <w:tcPr>
            <w:tcW w:w="6472" w:type="dxa"/>
            <w:tcBorders>
              <w:top w:val="single" w:color="000000" w:sz="4" w:space="0"/>
              <w:left w:val="single" w:color="000000" w:sz="4" w:space="0"/>
              <w:bottom w:val="single" w:color="000000" w:sz="4" w:space="0"/>
              <w:right w:val="single" w:color="000000" w:sz="4" w:space="0"/>
            </w:tcBorders>
            <w:vAlign w:val="center"/>
          </w:tcPr>
          <w:p w14:paraId="0EB891B1">
            <w:pPr>
              <w:widowControl/>
              <w:spacing w:line="300" w:lineRule="exact"/>
              <w:textAlignment w:val="center"/>
              <w:rPr>
                <w:rFonts w:hint="eastAsia" w:ascii="宋体" w:hAnsi="宋体" w:cs="宋体"/>
                <w:b/>
                <w:bCs/>
                <w:kern w:val="0"/>
                <w:szCs w:val="21"/>
                <w:lang w:bidi="ar"/>
              </w:rPr>
            </w:pPr>
            <w:r>
              <w:rPr>
                <w:rFonts w:hint="eastAsia" w:ascii="宋体" w:hAnsi="宋体" w:cs="宋体"/>
                <w:b/>
                <w:bCs/>
                <w:color w:val="auto"/>
                <w:kern w:val="0"/>
                <w:szCs w:val="21"/>
                <w:lang w:bidi="ar"/>
              </w:rPr>
              <w:t>★投标文件中提供由国家确定的认证机构出具的、处于有效期之内的节能（节水）产品认证证书复印件加盖供应商公章。</w:t>
            </w:r>
          </w:p>
        </w:tc>
        <w:tc>
          <w:tcPr>
            <w:tcW w:w="1043" w:type="dxa"/>
            <w:tcBorders>
              <w:top w:val="single" w:color="000000" w:sz="4" w:space="0"/>
              <w:left w:val="single" w:color="000000" w:sz="4" w:space="0"/>
              <w:bottom w:val="single" w:color="000000" w:sz="4" w:space="0"/>
              <w:right w:val="single" w:color="000000" w:sz="4" w:space="0"/>
            </w:tcBorders>
            <w:vAlign w:val="center"/>
          </w:tcPr>
          <w:p w14:paraId="59B9DB3C">
            <w:pPr>
              <w:widowControl/>
              <w:spacing w:line="300" w:lineRule="exact"/>
              <w:textAlignment w:val="center"/>
              <w:rPr>
                <w:rFonts w:hint="eastAsia" w:ascii="宋体" w:hAnsi="宋体" w:cs="宋体"/>
                <w:b/>
                <w:bCs/>
                <w:kern w:val="0"/>
                <w:szCs w:val="21"/>
                <w:lang w:bidi="ar"/>
              </w:rPr>
            </w:pPr>
          </w:p>
        </w:tc>
      </w:tr>
      <w:tr w14:paraId="2F797E93">
        <w:tblPrEx>
          <w:tblCellMar>
            <w:top w:w="0" w:type="dxa"/>
            <w:left w:w="108" w:type="dxa"/>
            <w:bottom w:w="0" w:type="dxa"/>
            <w:right w:w="108" w:type="dxa"/>
          </w:tblCellMar>
        </w:tblPrEx>
        <w:trPr>
          <w:trHeight w:val="395"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4348F6F5">
            <w:pPr>
              <w:widowControl/>
              <w:spacing w:line="300" w:lineRule="exact"/>
              <w:jc w:val="center"/>
              <w:textAlignment w:val="center"/>
              <w:rPr>
                <w:rFonts w:hint="eastAsia" w:ascii="宋体" w:hAnsi="宋体" w:cs="宋体"/>
                <w:bCs/>
                <w:szCs w:val="21"/>
              </w:rPr>
            </w:pPr>
            <w:r>
              <w:rPr>
                <w:rFonts w:hint="eastAsia" w:ascii="宋体" w:hAnsi="宋体" w:cs="宋体"/>
                <w:bCs/>
                <w:kern w:val="0"/>
                <w:szCs w:val="21"/>
                <w:lang w:bidi="ar"/>
              </w:rPr>
              <w:t>12</w:t>
            </w:r>
          </w:p>
        </w:tc>
        <w:tc>
          <w:tcPr>
            <w:tcW w:w="1524" w:type="dxa"/>
            <w:tcBorders>
              <w:top w:val="single" w:color="000000" w:sz="4" w:space="0"/>
              <w:left w:val="single" w:color="000000" w:sz="4" w:space="0"/>
              <w:bottom w:val="single" w:color="000000" w:sz="4" w:space="0"/>
              <w:right w:val="single" w:color="000000" w:sz="4" w:space="0"/>
            </w:tcBorders>
            <w:vAlign w:val="center"/>
          </w:tcPr>
          <w:p w14:paraId="6136F642">
            <w:pPr>
              <w:widowControl/>
              <w:spacing w:line="300" w:lineRule="exact"/>
              <w:jc w:val="center"/>
              <w:textAlignment w:val="center"/>
              <w:rPr>
                <w:rFonts w:hint="eastAsia" w:ascii="宋体" w:hAnsi="宋体" w:cs="宋体"/>
                <w:bCs/>
                <w:color w:val="auto"/>
                <w:szCs w:val="21"/>
              </w:rPr>
            </w:pPr>
            <w:r>
              <w:rPr>
                <w:rFonts w:hint="eastAsia" w:ascii="宋体" w:hAnsi="宋体" w:cs="宋体"/>
                <w:color w:val="auto"/>
                <w:kern w:val="0"/>
                <w:sz w:val="22"/>
                <w:szCs w:val="22"/>
                <w:lang w:bidi="ar"/>
              </w:rPr>
              <w:t>实验凳</w:t>
            </w:r>
          </w:p>
        </w:tc>
        <w:tc>
          <w:tcPr>
            <w:tcW w:w="6472" w:type="dxa"/>
            <w:tcBorders>
              <w:top w:val="single" w:color="000000" w:sz="4" w:space="0"/>
              <w:left w:val="single" w:color="000000" w:sz="4" w:space="0"/>
              <w:bottom w:val="single" w:color="000000" w:sz="4" w:space="0"/>
              <w:right w:val="single" w:color="000000" w:sz="4" w:space="0"/>
            </w:tcBorders>
            <w:vAlign w:val="center"/>
          </w:tcPr>
          <w:p w14:paraId="14923957">
            <w:pPr>
              <w:tabs>
                <w:tab w:val="left" w:pos="312"/>
              </w:tabs>
              <w:rPr>
                <w:rFonts w:hint="eastAsia" w:ascii="宋体" w:hAnsi="宋体"/>
                <w:color w:val="auto"/>
                <w:szCs w:val="21"/>
              </w:rPr>
            </w:pPr>
            <w:r>
              <w:rPr>
                <w:rFonts w:hint="eastAsia" w:ascii="宋体" w:hAnsi="宋体" w:cs="宋体"/>
                <w:color w:val="auto"/>
                <w:kern w:val="0"/>
                <w:szCs w:val="21"/>
                <w:lang w:bidi="ar"/>
              </w:rPr>
              <w:t>▲5.依据GB/T3325-2024金属家具通用技术条件，对形状和位置公差、金属件外观、塑料件外观、配件和活动件外观、可触及区域外观、产品表面理化性能-金属喷漆（塑）涂层、椅凳类稳定性、椅凳类强度进行检测，结果判定符合。</w:t>
            </w:r>
          </w:p>
          <w:p w14:paraId="48AE7FA5">
            <w:pPr>
              <w:widowControl/>
              <w:spacing w:line="300" w:lineRule="exact"/>
              <w:textAlignment w:val="center"/>
              <w:rPr>
                <w:rFonts w:hint="eastAsia" w:ascii="宋体" w:hAnsi="宋体" w:cs="宋体"/>
                <w:bCs/>
                <w:color w:val="auto"/>
                <w:szCs w:val="21"/>
              </w:rPr>
            </w:pPr>
            <w:r>
              <w:rPr>
                <w:rFonts w:hint="eastAsia" w:ascii="宋体" w:hAnsi="宋体" w:cs="宋体"/>
                <w:b/>
                <w:bCs/>
                <w:color w:val="auto"/>
                <w:kern w:val="0"/>
                <w:szCs w:val="21"/>
                <w:lang w:bidi="ar"/>
              </w:rPr>
              <w:t>提供具备CMA或CNAS标识的第三方检测机构出具</w:t>
            </w:r>
            <w:r>
              <w:rPr>
                <w:rFonts w:hint="eastAsia" w:ascii="宋体" w:hAnsi="宋体" w:cs="宋体"/>
                <w:color w:val="auto"/>
                <w:kern w:val="0"/>
                <w:szCs w:val="21"/>
                <w:lang w:bidi="ar"/>
              </w:rPr>
              <w:t>的</w:t>
            </w:r>
            <w:r>
              <w:rPr>
                <w:rFonts w:hint="eastAsia" w:ascii="宋体" w:hAnsi="宋体"/>
                <w:b/>
                <w:bCs/>
                <w:color w:val="auto"/>
                <w:kern w:val="0"/>
                <w:szCs w:val="21"/>
              </w:rPr>
              <w:t>检测报告复印件加盖供应商公章</w:t>
            </w:r>
            <w:r>
              <w:rPr>
                <w:rFonts w:hint="eastAsia" w:ascii="宋体" w:hAnsi="宋体" w:cs="宋体"/>
                <w:color w:val="auto"/>
                <w:kern w:val="0"/>
                <w:szCs w:val="21"/>
                <w:lang w:bidi="ar"/>
              </w:rPr>
              <w:t>。</w:t>
            </w:r>
          </w:p>
        </w:tc>
        <w:tc>
          <w:tcPr>
            <w:tcW w:w="1043" w:type="dxa"/>
            <w:tcBorders>
              <w:top w:val="single" w:color="000000" w:sz="4" w:space="0"/>
              <w:left w:val="single" w:color="000000" w:sz="4" w:space="0"/>
              <w:bottom w:val="single" w:color="000000" w:sz="4" w:space="0"/>
              <w:right w:val="single" w:color="000000" w:sz="4" w:space="0"/>
            </w:tcBorders>
            <w:vAlign w:val="center"/>
          </w:tcPr>
          <w:p w14:paraId="6963A9E4">
            <w:pPr>
              <w:widowControl/>
              <w:spacing w:line="300" w:lineRule="exact"/>
              <w:textAlignment w:val="center"/>
              <w:rPr>
                <w:rFonts w:hint="eastAsia" w:ascii="宋体" w:hAnsi="宋体" w:cs="宋体"/>
                <w:b/>
                <w:bCs/>
                <w:kern w:val="0"/>
                <w:szCs w:val="21"/>
                <w:lang w:bidi="ar"/>
              </w:rPr>
            </w:pPr>
          </w:p>
        </w:tc>
      </w:tr>
      <w:tr w14:paraId="3D1712FB">
        <w:tblPrEx>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vAlign w:val="center"/>
          </w:tcPr>
          <w:p w14:paraId="62F992B6">
            <w:pPr>
              <w:widowControl/>
              <w:spacing w:line="300" w:lineRule="exact"/>
              <w:jc w:val="center"/>
              <w:textAlignment w:val="center"/>
              <w:rPr>
                <w:rFonts w:hint="eastAsia" w:ascii="宋体" w:hAnsi="宋体" w:cs="宋体"/>
                <w:bCs/>
                <w:szCs w:val="21"/>
              </w:rPr>
            </w:pPr>
            <w:r>
              <w:rPr>
                <w:rFonts w:hint="eastAsia" w:ascii="宋体" w:hAnsi="宋体" w:cs="宋体"/>
                <w:kern w:val="0"/>
                <w:sz w:val="22"/>
                <w:szCs w:val="22"/>
                <w:lang w:bidi="ar"/>
              </w:rPr>
              <w:t>17</w:t>
            </w:r>
          </w:p>
        </w:tc>
        <w:tc>
          <w:tcPr>
            <w:tcW w:w="1524" w:type="dxa"/>
            <w:tcBorders>
              <w:top w:val="single" w:color="000000" w:sz="4" w:space="0"/>
              <w:left w:val="single" w:color="000000" w:sz="4" w:space="0"/>
              <w:bottom w:val="single" w:color="000000" w:sz="4" w:space="0"/>
              <w:right w:val="single" w:color="000000" w:sz="4" w:space="0"/>
            </w:tcBorders>
            <w:vAlign w:val="center"/>
          </w:tcPr>
          <w:p w14:paraId="1B7E2AA2">
            <w:pPr>
              <w:widowControl/>
              <w:spacing w:line="300" w:lineRule="exact"/>
              <w:jc w:val="center"/>
              <w:textAlignment w:val="center"/>
              <w:rPr>
                <w:rFonts w:hint="eastAsia" w:ascii="宋体" w:hAnsi="宋体" w:cs="宋体"/>
                <w:bCs/>
                <w:szCs w:val="21"/>
              </w:rPr>
            </w:pPr>
            <w:r>
              <w:rPr>
                <w:rFonts w:hint="eastAsia" w:ascii="宋体" w:hAnsi="宋体" w:cs="宋体"/>
                <w:kern w:val="0"/>
                <w:sz w:val="22"/>
                <w:szCs w:val="22"/>
                <w:lang w:bidi="ar"/>
              </w:rPr>
              <w:t>仪器柜</w:t>
            </w:r>
          </w:p>
        </w:tc>
        <w:tc>
          <w:tcPr>
            <w:tcW w:w="6472" w:type="dxa"/>
            <w:tcBorders>
              <w:top w:val="single" w:color="000000" w:sz="4" w:space="0"/>
              <w:left w:val="single" w:color="000000" w:sz="4" w:space="0"/>
              <w:bottom w:val="single" w:color="000000" w:sz="4" w:space="0"/>
              <w:right w:val="single" w:color="000000" w:sz="4" w:space="0"/>
            </w:tcBorders>
            <w:vAlign w:val="center"/>
          </w:tcPr>
          <w:p w14:paraId="52364C83">
            <w:pPr>
              <w:widowControl/>
              <w:jc w:val="left"/>
              <w:textAlignment w:val="center"/>
              <w:rPr>
                <w:rFonts w:hint="eastAsia" w:ascii="宋体" w:hAnsi="宋体" w:cs="宋体"/>
                <w:kern w:val="0"/>
                <w:sz w:val="22"/>
                <w:szCs w:val="22"/>
                <w:lang w:bidi="ar"/>
              </w:rPr>
            </w:pPr>
            <w:r>
              <w:rPr>
                <w:rFonts w:hint="eastAsia" w:ascii="宋体" w:hAnsi="宋体" w:cs="宋体"/>
                <w:kern w:val="0"/>
                <w:sz w:val="22"/>
                <w:szCs w:val="22"/>
                <w:lang w:bidi="ar"/>
              </w:rPr>
              <w:t>▲金属涂层面测试依据检测方法GB/T10125-2021标准，盐雾试验后，被测区域无明显变化，结果判定符合；</w:t>
            </w:r>
          </w:p>
          <w:p w14:paraId="08221842">
            <w:pPr>
              <w:widowControl/>
              <w:numPr>
                <w:ilvl w:val="255"/>
                <w:numId w:val="0"/>
              </w:numPr>
              <w:jc w:val="left"/>
              <w:textAlignment w:val="center"/>
              <w:rPr>
                <w:rFonts w:hint="eastAsia" w:ascii="宋体" w:hAnsi="宋体" w:cs="宋体"/>
                <w:kern w:val="0"/>
                <w:sz w:val="22"/>
                <w:szCs w:val="22"/>
                <w:lang w:bidi="ar"/>
              </w:rPr>
            </w:pPr>
            <w:r>
              <w:rPr>
                <w:rFonts w:hint="eastAsia" w:ascii="宋体" w:hAnsi="宋体" w:cs="宋体"/>
                <w:kern w:val="0"/>
                <w:sz w:val="22"/>
                <w:szCs w:val="22"/>
                <w:lang w:bidi="ar"/>
              </w:rPr>
              <w:t>▲金属涂层面测试依据检测方法GB/T1768-2006标准， 耐磨性试验后，结果判定符合。</w:t>
            </w:r>
          </w:p>
          <w:p w14:paraId="1F094736">
            <w:pPr>
              <w:widowControl/>
              <w:spacing w:line="300" w:lineRule="exact"/>
              <w:textAlignment w:val="center"/>
              <w:rPr>
                <w:rFonts w:hint="eastAsia" w:ascii="宋体" w:hAnsi="宋体" w:cs="宋体"/>
                <w:bCs/>
                <w:szCs w:val="21"/>
              </w:rPr>
            </w:pPr>
            <w:r>
              <w:rPr>
                <w:rFonts w:hint="eastAsia" w:ascii="宋体" w:hAnsi="宋体" w:cs="宋体"/>
                <w:b/>
                <w:bCs/>
                <w:kern w:val="0"/>
                <w:szCs w:val="21"/>
                <w:lang w:bidi="ar"/>
              </w:rPr>
              <w:t>提供具备CMA或CNAS标识的第三方检测机构出具</w:t>
            </w:r>
            <w:r>
              <w:rPr>
                <w:rFonts w:hint="eastAsia" w:ascii="宋体" w:hAnsi="宋体" w:cs="宋体"/>
                <w:kern w:val="0"/>
                <w:sz w:val="22"/>
                <w:szCs w:val="22"/>
                <w:lang w:bidi="ar"/>
              </w:rPr>
              <w:t>的检测报告</w:t>
            </w:r>
            <w:r>
              <w:rPr>
                <w:rFonts w:hint="eastAsia" w:ascii="宋体" w:hAnsi="宋体"/>
                <w:b/>
                <w:bCs/>
                <w:kern w:val="0"/>
              </w:rPr>
              <w:t>检测报告复印件加盖供应商公章</w:t>
            </w:r>
            <w:r>
              <w:rPr>
                <w:rFonts w:hint="eastAsia" w:ascii="宋体" w:hAnsi="宋体" w:cs="宋体"/>
                <w:kern w:val="0"/>
                <w:sz w:val="22"/>
                <w:szCs w:val="22"/>
                <w:lang w:bidi="ar"/>
              </w:rPr>
              <w:t>。</w:t>
            </w:r>
          </w:p>
        </w:tc>
        <w:tc>
          <w:tcPr>
            <w:tcW w:w="1043" w:type="dxa"/>
            <w:tcBorders>
              <w:top w:val="single" w:color="000000" w:sz="4" w:space="0"/>
              <w:left w:val="single" w:color="000000" w:sz="4" w:space="0"/>
              <w:bottom w:val="single" w:color="000000" w:sz="4" w:space="0"/>
              <w:right w:val="single" w:color="000000" w:sz="4" w:space="0"/>
            </w:tcBorders>
            <w:vAlign w:val="center"/>
          </w:tcPr>
          <w:p w14:paraId="41FDB50A">
            <w:pPr>
              <w:widowControl/>
              <w:spacing w:line="300" w:lineRule="exact"/>
              <w:textAlignment w:val="center"/>
              <w:rPr>
                <w:rFonts w:hint="eastAsia" w:ascii="宋体" w:hAnsi="宋体" w:cs="宋体"/>
                <w:b/>
                <w:bCs/>
                <w:kern w:val="0"/>
                <w:szCs w:val="21"/>
                <w:lang w:bidi="ar"/>
              </w:rPr>
            </w:pPr>
          </w:p>
        </w:tc>
      </w:tr>
    </w:tbl>
    <w:p w14:paraId="393FF290">
      <w:pPr>
        <w:spacing w:line="440" w:lineRule="exact"/>
        <w:ind w:firstLine="422" w:firstLineChars="200"/>
        <w:jc w:val="left"/>
        <w:rPr>
          <w:rFonts w:hint="eastAsia" w:ascii="宋体" w:hAnsi="宋体"/>
          <w:b/>
          <w:szCs w:val="21"/>
        </w:rPr>
      </w:pPr>
      <w:r>
        <w:rPr>
          <w:rFonts w:hint="eastAsia" w:ascii="宋体" w:hAnsi="宋体"/>
          <w:b/>
          <w:szCs w:val="21"/>
        </w:rPr>
        <w:t>（2）小学科学、初中化学共用实验室</w:t>
      </w:r>
    </w:p>
    <w:tbl>
      <w:tblPr>
        <w:tblStyle w:val="44"/>
        <w:tblW w:w="0" w:type="auto"/>
        <w:tblInd w:w="-348" w:type="dxa"/>
        <w:tblLayout w:type="autofit"/>
        <w:tblCellMar>
          <w:top w:w="0" w:type="dxa"/>
          <w:left w:w="108" w:type="dxa"/>
          <w:bottom w:w="0" w:type="dxa"/>
          <w:right w:w="108" w:type="dxa"/>
        </w:tblCellMar>
      </w:tblPr>
      <w:tblGrid>
        <w:gridCol w:w="513"/>
        <w:gridCol w:w="1480"/>
        <w:gridCol w:w="6487"/>
        <w:gridCol w:w="1043"/>
      </w:tblGrid>
      <w:tr w14:paraId="0158DE9F">
        <w:tblPrEx>
          <w:tblCellMar>
            <w:top w:w="0" w:type="dxa"/>
            <w:left w:w="108" w:type="dxa"/>
            <w:bottom w:w="0" w:type="dxa"/>
            <w:right w:w="108" w:type="dxa"/>
          </w:tblCellMar>
        </w:tblPrEx>
        <w:trPr>
          <w:trHeight w:val="20" w:hRule="atLeast"/>
        </w:trPr>
        <w:tc>
          <w:tcPr>
            <w:tcW w:w="513" w:type="dxa"/>
            <w:tcBorders>
              <w:top w:val="single" w:color="000000" w:sz="4" w:space="0"/>
              <w:left w:val="single" w:color="000000" w:sz="4" w:space="0"/>
              <w:bottom w:val="single" w:color="000000" w:sz="4" w:space="0"/>
              <w:right w:val="single" w:color="000000" w:sz="4" w:space="0"/>
            </w:tcBorders>
            <w:vAlign w:val="center"/>
          </w:tcPr>
          <w:p w14:paraId="65494DCF">
            <w:pPr>
              <w:widowControl/>
              <w:jc w:val="center"/>
              <w:textAlignment w:val="center"/>
              <w:rPr>
                <w:rFonts w:hint="eastAsia" w:ascii="宋体" w:hAnsi="宋体" w:cs="宋体"/>
                <w:bCs/>
                <w:szCs w:val="21"/>
              </w:rPr>
            </w:pPr>
            <w:r>
              <w:rPr>
                <w:rFonts w:hint="eastAsia" w:ascii="宋体" w:hAnsi="宋体" w:cs="宋体"/>
                <w:kern w:val="0"/>
                <w:sz w:val="22"/>
                <w:szCs w:val="22"/>
                <w:lang w:bidi="ar"/>
              </w:rPr>
              <w:t>5</w:t>
            </w:r>
          </w:p>
        </w:tc>
        <w:tc>
          <w:tcPr>
            <w:tcW w:w="1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3AF3B0">
            <w:pPr>
              <w:widowControl/>
              <w:jc w:val="center"/>
              <w:textAlignment w:val="center"/>
              <w:rPr>
                <w:rFonts w:hint="eastAsia" w:ascii="宋体" w:hAnsi="宋体" w:cs="宋体"/>
                <w:bCs/>
                <w:szCs w:val="21"/>
              </w:rPr>
            </w:pPr>
            <w:r>
              <w:rPr>
                <w:rFonts w:hint="eastAsia" w:ascii="宋体" w:hAnsi="宋体" w:cs="宋体"/>
                <w:kern w:val="0"/>
                <w:sz w:val="22"/>
                <w:szCs w:val="22"/>
                <w:lang w:bidi="ar"/>
              </w:rPr>
              <w:t>三联高低位龙头</w:t>
            </w:r>
          </w:p>
        </w:tc>
        <w:tc>
          <w:tcPr>
            <w:tcW w:w="64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A37996">
            <w:pPr>
              <w:widowControl/>
              <w:spacing w:line="300" w:lineRule="exact"/>
              <w:textAlignment w:val="center"/>
              <w:rPr>
                <w:rFonts w:hint="eastAsia" w:ascii="宋体" w:hAnsi="宋体" w:cs="宋体"/>
                <w:bCs/>
                <w:kern w:val="0"/>
                <w:szCs w:val="21"/>
                <w:lang w:bidi="ar"/>
              </w:rPr>
            </w:pPr>
            <w:r>
              <w:rPr>
                <w:rFonts w:hint="eastAsia" w:ascii="宋体" w:hAnsi="宋体" w:cs="宋体"/>
                <w:b/>
                <w:bCs/>
                <w:kern w:val="0"/>
                <w:szCs w:val="21"/>
                <w:lang w:bidi="ar"/>
              </w:rPr>
              <w:t>★投标文件中提供由国家确定的认证机构出具的、处于有效期之内的节能（节水）产品认证证书复印件加盖供应商公章。</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C3061">
            <w:pPr>
              <w:widowControl/>
              <w:spacing w:line="300" w:lineRule="exact"/>
              <w:textAlignment w:val="center"/>
              <w:rPr>
                <w:rFonts w:hint="eastAsia" w:ascii="宋体" w:hAnsi="宋体" w:cs="宋体"/>
                <w:b/>
                <w:bCs/>
                <w:kern w:val="0"/>
                <w:szCs w:val="21"/>
                <w:lang w:bidi="ar"/>
              </w:rPr>
            </w:pPr>
          </w:p>
        </w:tc>
      </w:tr>
      <w:tr w14:paraId="157B6C03">
        <w:tblPrEx>
          <w:tblCellMar>
            <w:top w:w="0" w:type="dxa"/>
            <w:left w:w="108" w:type="dxa"/>
            <w:bottom w:w="0" w:type="dxa"/>
            <w:right w:w="108" w:type="dxa"/>
          </w:tblCellMar>
        </w:tblPrEx>
        <w:trPr>
          <w:trHeight w:val="20" w:hRule="atLeast"/>
        </w:trPr>
        <w:tc>
          <w:tcPr>
            <w:tcW w:w="513" w:type="dxa"/>
            <w:tcBorders>
              <w:top w:val="single" w:color="000000" w:sz="4" w:space="0"/>
              <w:left w:val="single" w:color="000000" w:sz="4" w:space="0"/>
              <w:bottom w:val="single" w:color="000000" w:sz="4" w:space="0"/>
              <w:right w:val="single" w:color="000000" w:sz="4" w:space="0"/>
            </w:tcBorders>
            <w:vAlign w:val="center"/>
          </w:tcPr>
          <w:p w14:paraId="49612405">
            <w:pPr>
              <w:widowControl/>
              <w:jc w:val="center"/>
              <w:textAlignment w:val="center"/>
              <w:rPr>
                <w:rFonts w:hint="eastAsia" w:ascii="宋体" w:hAnsi="宋体" w:cs="宋体"/>
                <w:bCs/>
                <w:szCs w:val="21"/>
              </w:rPr>
            </w:pPr>
            <w:r>
              <w:rPr>
                <w:rFonts w:hint="eastAsia" w:ascii="宋体" w:hAnsi="宋体" w:cs="宋体"/>
                <w:kern w:val="0"/>
                <w:sz w:val="22"/>
                <w:szCs w:val="22"/>
                <w:lang w:bidi="ar"/>
              </w:rPr>
              <w:t>10</w:t>
            </w:r>
          </w:p>
        </w:tc>
        <w:tc>
          <w:tcPr>
            <w:tcW w:w="1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AFBEBE">
            <w:pPr>
              <w:widowControl/>
              <w:jc w:val="center"/>
              <w:textAlignment w:val="center"/>
              <w:rPr>
                <w:rFonts w:hint="eastAsia" w:ascii="宋体" w:hAnsi="宋体" w:cs="宋体"/>
                <w:bCs/>
                <w:szCs w:val="21"/>
              </w:rPr>
            </w:pPr>
            <w:r>
              <w:rPr>
                <w:rFonts w:hint="eastAsia" w:ascii="宋体" w:hAnsi="宋体" w:cs="宋体"/>
                <w:kern w:val="0"/>
                <w:sz w:val="22"/>
                <w:szCs w:val="22"/>
                <w:lang w:bidi="ar"/>
              </w:rPr>
              <w:t>洗眼器</w:t>
            </w:r>
          </w:p>
        </w:tc>
        <w:tc>
          <w:tcPr>
            <w:tcW w:w="64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545AF">
            <w:pPr>
              <w:widowControl/>
              <w:jc w:val="left"/>
              <w:textAlignment w:val="center"/>
              <w:rPr>
                <w:rFonts w:hint="eastAsia" w:ascii="宋体" w:hAnsi="宋体" w:cs="宋体"/>
                <w:kern w:val="0"/>
                <w:sz w:val="22"/>
                <w:szCs w:val="22"/>
                <w:lang w:bidi="ar"/>
              </w:rPr>
            </w:pPr>
            <w:r>
              <w:rPr>
                <w:rFonts w:hint="eastAsia" w:ascii="宋体" w:hAnsi="宋体" w:cs="宋体"/>
                <w:kern w:val="0"/>
                <w:sz w:val="22"/>
                <w:szCs w:val="22"/>
                <w:lang w:bidi="ar"/>
              </w:rPr>
              <w:t>▲2.依据GB/T 11170-2008标准，对管件进行不锈钢材质的元素含量检测，其中硅（Si）含量≥0.3%、镍（Ni）含量≥8%。</w:t>
            </w:r>
          </w:p>
          <w:p w14:paraId="41BF0911">
            <w:pPr>
              <w:widowControl/>
              <w:spacing w:line="300" w:lineRule="exact"/>
              <w:textAlignment w:val="center"/>
              <w:rPr>
                <w:rFonts w:hint="eastAsia" w:ascii="宋体" w:hAnsi="宋体" w:cs="宋体"/>
                <w:bCs/>
                <w:kern w:val="0"/>
                <w:szCs w:val="21"/>
                <w:lang w:bidi="ar"/>
              </w:rPr>
            </w:pPr>
            <w:r>
              <w:rPr>
                <w:rFonts w:hint="eastAsia" w:ascii="宋体" w:hAnsi="宋体" w:cs="宋体"/>
                <w:b/>
                <w:bCs/>
                <w:kern w:val="0"/>
                <w:szCs w:val="21"/>
                <w:lang w:bidi="ar"/>
              </w:rPr>
              <w:t>提供具备CMA或CNAS标识的第三方检测机构出具</w:t>
            </w:r>
            <w:r>
              <w:rPr>
                <w:rFonts w:hint="eastAsia" w:ascii="宋体" w:hAnsi="宋体" w:cs="宋体"/>
                <w:kern w:val="0"/>
                <w:sz w:val="22"/>
                <w:szCs w:val="22"/>
                <w:lang w:bidi="ar"/>
              </w:rPr>
              <w:t>的</w:t>
            </w:r>
            <w:r>
              <w:rPr>
                <w:rFonts w:hint="eastAsia" w:ascii="宋体" w:hAnsi="宋体"/>
                <w:b/>
                <w:bCs/>
                <w:kern w:val="0"/>
              </w:rPr>
              <w:t>检测报告复印件加盖供应商公章</w:t>
            </w:r>
            <w:r>
              <w:rPr>
                <w:rFonts w:hint="eastAsia" w:ascii="宋体" w:hAnsi="宋体" w:cs="宋体"/>
                <w:kern w:val="0"/>
                <w:sz w:val="22"/>
                <w:szCs w:val="22"/>
                <w:lang w:bidi="ar"/>
              </w:rPr>
              <w:t>。</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CB9762">
            <w:pPr>
              <w:widowControl/>
              <w:spacing w:line="300" w:lineRule="exact"/>
              <w:textAlignment w:val="center"/>
              <w:rPr>
                <w:rFonts w:hint="eastAsia" w:ascii="宋体" w:hAnsi="宋体" w:cs="宋体"/>
                <w:b/>
                <w:bCs/>
                <w:kern w:val="0"/>
                <w:szCs w:val="21"/>
                <w:lang w:bidi="ar"/>
              </w:rPr>
            </w:pPr>
          </w:p>
        </w:tc>
      </w:tr>
      <w:tr w14:paraId="6484330A">
        <w:tblPrEx>
          <w:tblCellMar>
            <w:top w:w="0" w:type="dxa"/>
            <w:left w:w="108" w:type="dxa"/>
            <w:bottom w:w="0" w:type="dxa"/>
            <w:right w:w="108" w:type="dxa"/>
          </w:tblCellMar>
        </w:tblPrEx>
        <w:trPr>
          <w:trHeight w:val="20" w:hRule="atLeast"/>
        </w:trPr>
        <w:tc>
          <w:tcPr>
            <w:tcW w:w="513" w:type="dxa"/>
            <w:tcBorders>
              <w:top w:val="single" w:color="000000" w:sz="4" w:space="0"/>
              <w:left w:val="single" w:color="000000" w:sz="4" w:space="0"/>
              <w:bottom w:val="single" w:color="000000" w:sz="4" w:space="0"/>
              <w:right w:val="single" w:color="000000" w:sz="4" w:space="0"/>
            </w:tcBorders>
            <w:vAlign w:val="center"/>
          </w:tcPr>
          <w:p w14:paraId="3AEB67A9">
            <w:pPr>
              <w:widowControl/>
              <w:jc w:val="center"/>
              <w:textAlignment w:val="center"/>
              <w:rPr>
                <w:rFonts w:hint="eastAsia" w:ascii="宋体" w:hAnsi="宋体" w:cs="宋体"/>
                <w:kern w:val="0"/>
                <w:sz w:val="22"/>
                <w:szCs w:val="22"/>
                <w:lang w:bidi="ar"/>
              </w:rPr>
            </w:pPr>
            <w:r>
              <w:rPr>
                <w:rFonts w:hint="eastAsia" w:ascii="宋体" w:hAnsi="宋体" w:cs="宋体"/>
                <w:kern w:val="0"/>
                <w:sz w:val="22"/>
                <w:szCs w:val="22"/>
                <w:lang w:bidi="ar"/>
              </w:rPr>
              <w:t>15</w:t>
            </w:r>
          </w:p>
        </w:tc>
        <w:tc>
          <w:tcPr>
            <w:tcW w:w="1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F49D8D">
            <w:pPr>
              <w:widowControl/>
              <w:jc w:val="center"/>
              <w:textAlignment w:val="center"/>
              <w:rPr>
                <w:rFonts w:hint="eastAsia" w:ascii="宋体" w:hAnsi="宋体" w:cs="宋体"/>
                <w:kern w:val="0"/>
                <w:sz w:val="22"/>
                <w:szCs w:val="22"/>
                <w:lang w:bidi="ar"/>
              </w:rPr>
            </w:pPr>
            <w:r>
              <w:rPr>
                <w:rFonts w:hint="eastAsia" w:ascii="宋体" w:hAnsi="宋体" w:cs="宋体"/>
                <w:kern w:val="0"/>
                <w:sz w:val="22"/>
                <w:szCs w:val="22"/>
                <w:lang w:bidi="ar"/>
              </w:rPr>
              <w:t>顶装智能系统总控柜</w:t>
            </w:r>
          </w:p>
        </w:tc>
        <w:tc>
          <w:tcPr>
            <w:tcW w:w="64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4D1E4A">
            <w:pPr>
              <w:widowControl/>
              <w:spacing w:line="300" w:lineRule="exact"/>
              <w:textAlignment w:val="center"/>
              <w:rPr>
                <w:rFonts w:hint="eastAsia" w:ascii="宋体" w:hAnsi="宋体" w:cs="宋体"/>
                <w:b/>
                <w:bCs/>
                <w:kern w:val="0"/>
                <w:szCs w:val="21"/>
                <w:lang w:bidi="ar"/>
              </w:rPr>
            </w:pPr>
            <w:r>
              <w:rPr>
                <w:rFonts w:hint="eastAsia" w:ascii="宋体" w:hAnsi="宋体" w:cs="宋体"/>
                <w:kern w:val="0"/>
                <w:sz w:val="22"/>
                <w:szCs w:val="22"/>
                <w:lang w:bidi="ar"/>
              </w:rPr>
              <w:t>▲智能系统控制柜：</w:t>
            </w:r>
            <w:r>
              <w:rPr>
                <w:rFonts w:hint="eastAsia" w:ascii="宋体" w:hAnsi="宋体" w:cs="宋体"/>
                <w:kern w:val="0"/>
                <w:sz w:val="22"/>
                <w:szCs w:val="22"/>
                <w:lang w:bidi="ar"/>
              </w:rPr>
              <w:br w:type="textWrapping"/>
            </w:r>
            <w:r>
              <w:rPr>
                <w:rFonts w:hint="eastAsia" w:ascii="宋体" w:hAnsi="宋体" w:cs="宋体"/>
                <w:kern w:val="0"/>
                <w:sz w:val="22"/>
                <w:szCs w:val="22"/>
                <w:lang w:bidi="ar"/>
              </w:rPr>
              <w:t>（1）检测依据为GB/T 4208-2017《外壳防护等级(IP代码)》，检测内容:</w:t>
            </w:r>
            <w:r>
              <w:rPr>
                <w:rFonts w:hint="eastAsia" w:ascii="宋体" w:hAnsi="宋体" w:cs="宋体"/>
                <w:kern w:val="0"/>
                <w:sz w:val="22"/>
                <w:szCs w:val="22"/>
                <w:lang w:bidi="ar"/>
              </w:rPr>
              <w:br w:type="textWrapping"/>
            </w:r>
            <w:r>
              <w:rPr>
                <w:rFonts w:hint="eastAsia" w:ascii="宋体" w:hAnsi="宋体" w:cs="宋体"/>
                <w:kern w:val="0"/>
                <w:sz w:val="22"/>
                <w:szCs w:val="22"/>
                <w:lang w:bidi="ar"/>
              </w:rPr>
              <w:t>1、外壳防护等级(IP4X)</w:t>
            </w:r>
            <w:r>
              <w:rPr>
                <w:rFonts w:hint="eastAsia" w:ascii="宋体" w:hAnsi="宋体" w:cs="宋体"/>
                <w:kern w:val="0"/>
                <w:sz w:val="22"/>
                <w:szCs w:val="22"/>
                <w:lang w:bidi="ar"/>
              </w:rPr>
              <w:br w:type="textWrapping"/>
            </w:r>
            <w:r>
              <w:rPr>
                <w:rFonts w:hint="eastAsia" w:ascii="宋体" w:hAnsi="宋体" w:cs="宋体"/>
                <w:kern w:val="0"/>
                <w:sz w:val="22"/>
                <w:szCs w:val="22"/>
                <w:lang w:bidi="ar"/>
              </w:rPr>
              <w:t>外壳防护等级试验(IP4X)直径1.0mm的试验金属线，不得进入外壳，与带电部件保持足够间隙。测试结果为：合格</w:t>
            </w:r>
            <w:r>
              <w:rPr>
                <w:rFonts w:hint="eastAsia" w:ascii="宋体" w:hAnsi="宋体" w:cs="宋体"/>
                <w:kern w:val="0"/>
                <w:sz w:val="22"/>
                <w:szCs w:val="22"/>
                <w:lang w:bidi="ar"/>
              </w:rPr>
              <w:br w:type="textWrapping"/>
            </w:r>
            <w:r>
              <w:rPr>
                <w:rFonts w:hint="eastAsia" w:ascii="宋体" w:hAnsi="宋体" w:cs="宋体"/>
                <w:kern w:val="0"/>
                <w:sz w:val="22"/>
                <w:szCs w:val="22"/>
                <w:lang w:bidi="ar"/>
              </w:rPr>
              <w:t>2、外壳防护等级(IPX1)</w:t>
            </w:r>
            <w:r>
              <w:rPr>
                <w:rFonts w:hint="eastAsia" w:ascii="宋体" w:hAnsi="宋体" w:cs="宋体"/>
                <w:kern w:val="0"/>
                <w:sz w:val="22"/>
                <w:szCs w:val="22"/>
                <w:lang w:bidi="ar"/>
              </w:rPr>
              <w:br w:type="textWrapping"/>
            </w:r>
            <w:r>
              <w:rPr>
                <w:rFonts w:hint="eastAsia" w:ascii="宋体" w:hAnsi="宋体" w:cs="宋体"/>
                <w:kern w:val="0"/>
                <w:sz w:val="22"/>
                <w:szCs w:val="22"/>
                <w:lang w:bidi="ar"/>
              </w:rPr>
              <w:t>外壳防护等级试验(IPX1)试验用设备应能在外壳整个面上产生均匀水流。外壳置于转速为1r/min的转台上,偏心距(转台轴线与试样轴线的距离)大约为100mm。外壳在滴水箱下面置于正常工作位置,滴水箱底部应大于俯视图面。除安装在墙上或天花板上的设备外,被试外壳的支承物应比外壳底部小。水流量:1m/min试验进行 10 min。设备不应进水。如果进水,应不足以影响设备的正常操作或破坏安全性。测试结果为：合格</w:t>
            </w:r>
            <w:r>
              <w:rPr>
                <w:rFonts w:hint="eastAsia" w:ascii="宋体" w:hAnsi="宋体" w:cs="宋体"/>
                <w:kern w:val="0"/>
                <w:sz w:val="22"/>
                <w:szCs w:val="22"/>
                <w:lang w:bidi="ar"/>
              </w:rPr>
              <w:br w:type="textWrapping"/>
            </w:r>
            <w:r>
              <w:rPr>
                <w:rFonts w:hint="eastAsia" w:ascii="宋体" w:hAnsi="宋体" w:cs="宋体"/>
                <w:kern w:val="0"/>
                <w:sz w:val="22"/>
                <w:szCs w:val="22"/>
                <w:lang w:bidi="ar"/>
              </w:rPr>
              <w:t>（2）检测依据为GB/T 17626.2-2018《电磁兼容 试验和测量技术 静电放电抗扰度试验》检测内容：静电放电抗扰度。测试结果为：合格</w:t>
            </w:r>
            <w:r>
              <w:rPr>
                <w:rFonts w:hint="eastAsia" w:ascii="宋体" w:hAnsi="宋体" w:cs="宋体"/>
                <w:kern w:val="0"/>
                <w:sz w:val="22"/>
                <w:szCs w:val="22"/>
                <w:lang w:bidi="ar"/>
              </w:rPr>
              <w:br w:type="textWrapping"/>
            </w:r>
            <w:r>
              <w:rPr>
                <w:rFonts w:hint="eastAsia" w:ascii="宋体" w:hAnsi="宋体" w:cs="宋体"/>
                <w:b/>
                <w:bCs/>
                <w:kern w:val="0"/>
                <w:szCs w:val="21"/>
                <w:lang w:bidi="ar"/>
              </w:rPr>
              <w:t>提供具备CMA或CNAS标识的第三方检测机构出具</w:t>
            </w:r>
            <w:r>
              <w:rPr>
                <w:rFonts w:hint="eastAsia" w:ascii="宋体" w:hAnsi="宋体" w:cs="宋体"/>
                <w:kern w:val="0"/>
                <w:sz w:val="22"/>
                <w:szCs w:val="22"/>
                <w:lang w:bidi="ar"/>
              </w:rPr>
              <w:t>的</w:t>
            </w:r>
            <w:r>
              <w:rPr>
                <w:rFonts w:hint="eastAsia" w:ascii="宋体" w:hAnsi="宋体"/>
                <w:b/>
                <w:bCs/>
                <w:kern w:val="0"/>
              </w:rPr>
              <w:t>检测报告复印件加盖供应商公章</w:t>
            </w:r>
            <w:r>
              <w:rPr>
                <w:rFonts w:hint="eastAsia" w:ascii="宋体" w:hAnsi="宋体" w:cs="宋体"/>
                <w:kern w:val="0"/>
                <w:sz w:val="22"/>
                <w:szCs w:val="22"/>
                <w:lang w:bidi="ar"/>
              </w:rPr>
              <w:t>。</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8FBE4B">
            <w:pPr>
              <w:widowControl/>
              <w:spacing w:line="300" w:lineRule="exact"/>
              <w:textAlignment w:val="center"/>
              <w:rPr>
                <w:rFonts w:hint="eastAsia" w:ascii="宋体" w:hAnsi="宋体" w:cs="宋体"/>
                <w:kern w:val="0"/>
                <w:sz w:val="22"/>
                <w:szCs w:val="22"/>
                <w:lang w:bidi="ar"/>
              </w:rPr>
            </w:pPr>
          </w:p>
        </w:tc>
      </w:tr>
      <w:tr w14:paraId="57B144AE">
        <w:tblPrEx>
          <w:tblCellMar>
            <w:top w:w="0" w:type="dxa"/>
            <w:left w:w="108" w:type="dxa"/>
            <w:bottom w:w="0" w:type="dxa"/>
            <w:right w:w="108" w:type="dxa"/>
          </w:tblCellMar>
        </w:tblPrEx>
        <w:trPr>
          <w:trHeight w:val="20" w:hRule="atLeast"/>
        </w:trPr>
        <w:tc>
          <w:tcPr>
            <w:tcW w:w="513" w:type="dxa"/>
            <w:tcBorders>
              <w:top w:val="single" w:color="000000" w:sz="4" w:space="0"/>
              <w:left w:val="single" w:color="000000" w:sz="4" w:space="0"/>
              <w:bottom w:val="single" w:color="000000" w:sz="4" w:space="0"/>
              <w:right w:val="single" w:color="000000" w:sz="4" w:space="0"/>
            </w:tcBorders>
            <w:vAlign w:val="center"/>
          </w:tcPr>
          <w:p w14:paraId="3EA6E0C6">
            <w:pPr>
              <w:widowControl/>
              <w:jc w:val="center"/>
              <w:textAlignment w:val="center"/>
              <w:rPr>
                <w:rFonts w:hint="eastAsia" w:ascii="宋体" w:hAnsi="宋体" w:cs="宋体"/>
                <w:kern w:val="0"/>
                <w:sz w:val="22"/>
                <w:szCs w:val="22"/>
                <w:lang w:bidi="ar"/>
              </w:rPr>
            </w:pPr>
            <w:r>
              <w:rPr>
                <w:rFonts w:hint="eastAsia" w:ascii="宋体" w:hAnsi="宋体" w:cs="宋体"/>
                <w:kern w:val="0"/>
                <w:sz w:val="22"/>
                <w:szCs w:val="22"/>
                <w:lang w:bidi="ar"/>
              </w:rPr>
              <w:t>18</w:t>
            </w:r>
          </w:p>
        </w:tc>
        <w:tc>
          <w:tcPr>
            <w:tcW w:w="1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09D31D">
            <w:pPr>
              <w:widowControl/>
              <w:jc w:val="center"/>
              <w:textAlignment w:val="center"/>
              <w:rPr>
                <w:rFonts w:hint="eastAsia" w:ascii="宋体" w:hAnsi="宋体" w:cs="宋体"/>
                <w:kern w:val="0"/>
                <w:sz w:val="22"/>
                <w:szCs w:val="22"/>
                <w:lang w:bidi="ar"/>
              </w:rPr>
            </w:pPr>
            <w:r>
              <w:rPr>
                <w:rFonts w:hint="eastAsia" w:ascii="宋体" w:hAnsi="宋体" w:cs="宋体"/>
                <w:kern w:val="0"/>
                <w:sz w:val="22"/>
                <w:szCs w:val="22"/>
                <w:lang w:bidi="ar"/>
              </w:rPr>
              <w:t>APP控制模块</w:t>
            </w:r>
          </w:p>
        </w:tc>
        <w:tc>
          <w:tcPr>
            <w:tcW w:w="64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F4C871">
            <w:pPr>
              <w:widowControl/>
              <w:jc w:val="left"/>
              <w:textAlignment w:val="center"/>
              <w:rPr>
                <w:rFonts w:hint="eastAsia" w:ascii="宋体" w:hAnsi="宋体" w:cs="宋体"/>
                <w:kern w:val="0"/>
                <w:sz w:val="22"/>
                <w:szCs w:val="22"/>
                <w:lang w:bidi="ar"/>
              </w:rPr>
            </w:pPr>
            <w:r>
              <w:rPr>
                <w:rFonts w:hint="eastAsia" w:ascii="宋体" w:hAnsi="宋体" w:cs="宋体"/>
                <w:kern w:val="0"/>
                <w:sz w:val="22"/>
                <w:szCs w:val="22"/>
                <w:lang w:bidi="ar"/>
              </w:rPr>
              <w:t>▲5.1内部导线连接：1.连接后无应力，检验结果合格。2.接地端子为黄绿双色线，检验结果合格。</w:t>
            </w:r>
          </w:p>
          <w:p w14:paraId="2BBA66C7">
            <w:pPr>
              <w:widowControl/>
              <w:jc w:val="left"/>
              <w:textAlignment w:val="center"/>
              <w:rPr>
                <w:rFonts w:hint="eastAsia" w:ascii="宋体" w:hAnsi="宋体" w:cs="宋体"/>
                <w:kern w:val="0"/>
                <w:sz w:val="22"/>
                <w:szCs w:val="22"/>
                <w:lang w:bidi="ar"/>
              </w:rPr>
            </w:pPr>
            <w:r>
              <w:rPr>
                <w:rFonts w:hint="eastAsia" w:ascii="宋体" w:hAnsi="宋体" w:cs="宋体"/>
                <w:kern w:val="0"/>
                <w:sz w:val="22"/>
                <w:szCs w:val="22"/>
                <w:lang w:bidi="ar"/>
              </w:rPr>
              <w:t>3.部件固定牢固，无松动，检验结果合格。                                                                                                                                                                                                                                                                                                                                                                                    ▲5.2 电压设置性能指示性：1.电压按设定值输入确认后，显示和输出应一致，检验结果合格。2.电压设定值与实际输出值的误差应≤10%，检验结果AC:0,DC:0,合格。</w:t>
            </w:r>
          </w:p>
          <w:p w14:paraId="29059DF6">
            <w:pPr>
              <w:widowControl/>
              <w:spacing w:line="300" w:lineRule="exact"/>
              <w:textAlignment w:val="center"/>
              <w:rPr>
                <w:rFonts w:hint="eastAsia" w:ascii="宋体" w:hAnsi="宋体" w:cs="宋体"/>
                <w:kern w:val="0"/>
                <w:sz w:val="22"/>
                <w:szCs w:val="22"/>
                <w:lang w:bidi="ar"/>
              </w:rPr>
            </w:pPr>
            <w:r>
              <w:rPr>
                <w:rFonts w:hint="eastAsia" w:ascii="宋体" w:hAnsi="宋体" w:cs="宋体"/>
                <w:kern w:val="0"/>
                <w:sz w:val="22"/>
                <w:szCs w:val="22"/>
                <w:lang w:bidi="ar"/>
              </w:rPr>
              <w:t xml:space="preserve"> </w:t>
            </w:r>
            <w:r>
              <w:rPr>
                <w:rFonts w:hint="eastAsia" w:ascii="宋体" w:hAnsi="宋体" w:cs="宋体"/>
                <w:b/>
                <w:bCs/>
                <w:kern w:val="0"/>
                <w:szCs w:val="21"/>
                <w:lang w:bidi="ar"/>
              </w:rPr>
              <w:t>提供具备CMA或CNAS标识的第三方检测机构出具</w:t>
            </w:r>
            <w:r>
              <w:rPr>
                <w:rFonts w:hint="eastAsia" w:ascii="宋体" w:hAnsi="宋体" w:cs="宋体"/>
                <w:kern w:val="0"/>
                <w:sz w:val="22"/>
                <w:szCs w:val="22"/>
                <w:lang w:bidi="ar"/>
              </w:rPr>
              <w:t>的</w:t>
            </w:r>
            <w:r>
              <w:rPr>
                <w:rFonts w:hint="eastAsia" w:ascii="宋体" w:hAnsi="宋体"/>
                <w:b/>
                <w:bCs/>
                <w:kern w:val="0"/>
              </w:rPr>
              <w:t>检测报告复印件加盖供应商公章</w:t>
            </w:r>
            <w:r>
              <w:rPr>
                <w:rFonts w:hint="eastAsia" w:ascii="宋体" w:hAnsi="宋体" w:cs="宋体"/>
                <w:kern w:val="0"/>
                <w:sz w:val="22"/>
                <w:szCs w:val="22"/>
                <w:lang w:bidi="ar"/>
              </w:rPr>
              <w:t xml:space="preserve">。 </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89ACA6">
            <w:pPr>
              <w:widowControl/>
              <w:spacing w:line="300" w:lineRule="exact"/>
              <w:textAlignment w:val="center"/>
              <w:rPr>
                <w:rFonts w:hint="eastAsia" w:ascii="宋体" w:hAnsi="宋体" w:cs="宋体"/>
                <w:kern w:val="0"/>
                <w:sz w:val="22"/>
                <w:szCs w:val="22"/>
                <w:lang w:bidi="ar"/>
              </w:rPr>
            </w:pPr>
          </w:p>
        </w:tc>
      </w:tr>
      <w:tr w14:paraId="3FD2F51C">
        <w:tblPrEx>
          <w:tblCellMar>
            <w:top w:w="0" w:type="dxa"/>
            <w:left w:w="108" w:type="dxa"/>
            <w:bottom w:w="0" w:type="dxa"/>
            <w:right w:w="108" w:type="dxa"/>
          </w:tblCellMar>
        </w:tblPrEx>
        <w:trPr>
          <w:trHeight w:val="20" w:hRule="atLeast"/>
        </w:trPr>
        <w:tc>
          <w:tcPr>
            <w:tcW w:w="513" w:type="dxa"/>
            <w:tcBorders>
              <w:top w:val="single" w:color="000000" w:sz="4" w:space="0"/>
              <w:left w:val="single" w:color="000000" w:sz="4" w:space="0"/>
              <w:bottom w:val="single" w:color="000000" w:sz="4" w:space="0"/>
              <w:right w:val="single" w:color="000000" w:sz="4" w:space="0"/>
            </w:tcBorders>
            <w:vAlign w:val="center"/>
          </w:tcPr>
          <w:p w14:paraId="46A4A206">
            <w:pPr>
              <w:widowControl/>
              <w:jc w:val="center"/>
              <w:textAlignment w:val="center"/>
              <w:rPr>
                <w:rFonts w:hint="eastAsia" w:ascii="宋体" w:hAnsi="宋体" w:cs="宋体"/>
                <w:kern w:val="0"/>
                <w:sz w:val="22"/>
                <w:szCs w:val="22"/>
                <w:lang w:bidi="ar"/>
              </w:rPr>
            </w:pPr>
            <w:r>
              <w:rPr>
                <w:rFonts w:hint="eastAsia" w:ascii="宋体" w:hAnsi="宋体" w:cs="宋体"/>
                <w:kern w:val="0"/>
                <w:sz w:val="22"/>
                <w:szCs w:val="22"/>
                <w:lang w:bidi="ar"/>
              </w:rPr>
              <w:t>20</w:t>
            </w:r>
          </w:p>
        </w:tc>
        <w:tc>
          <w:tcPr>
            <w:tcW w:w="1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89FB7">
            <w:pPr>
              <w:widowControl/>
              <w:jc w:val="center"/>
              <w:textAlignment w:val="center"/>
              <w:rPr>
                <w:rFonts w:hint="eastAsia" w:ascii="宋体" w:hAnsi="宋体" w:cs="宋体"/>
                <w:kern w:val="0"/>
                <w:sz w:val="22"/>
                <w:szCs w:val="22"/>
                <w:lang w:bidi="ar"/>
              </w:rPr>
            </w:pPr>
            <w:r>
              <w:rPr>
                <w:rFonts w:hint="eastAsia" w:ascii="宋体" w:hAnsi="宋体" w:cs="宋体"/>
                <w:kern w:val="0"/>
                <w:sz w:val="22"/>
                <w:szCs w:val="22"/>
                <w:lang w:bidi="ar"/>
              </w:rPr>
              <w:t>顶装内主体结构</w:t>
            </w:r>
          </w:p>
        </w:tc>
        <w:tc>
          <w:tcPr>
            <w:tcW w:w="64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43F9A8">
            <w:pPr>
              <w:widowControl/>
              <w:spacing w:line="300" w:lineRule="exact"/>
              <w:textAlignment w:val="center"/>
              <w:rPr>
                <w:rFonts w:hint="eastAsia" w:ascii="宋体" w:hAnsi="宋体" w:cs="宋体"/>
                <w:kern w:val="0"/>
                <w:sz w:val="22"/>
                <w:szCs w:val="22"/>
                <w:lang w:bidi="ar"/>
              </w:rPr>
            </w:pPr>
            <w:r>
              <w:rPr>
                <w:rFonts w:hint="eastAsia" w:ascii="宋体" w:hAnsi="宋体" w:cs="宋体"/>
                <w:kern w:val="0"/>
                <w:sz w:val="22"/>
                <w:szCs w:val="22"/>
                <w:lang w:bidi="ar"/>
              </w:rPr>
              <w:t>▲吊装主舱体</w:t>
            </w:r>
            <w:r>
              <w:rPr>
                <w:rFonts w:hint="eastAsia" w:ascii="宋体" w:hAnsi="宋体" w:cs="宋体"/>
                <w:kern w:val="0"/>
                <w:sz w:val="22"/>
                <w:szCs w:val="22"/>
                <w:lang w:bidi="ar"/>
              </w:rPr>
              <w:br w:type="textWrapping"/>
            </w:r>
            <w:r>
              <w:rPr>
                <w:rFonts w:hint="eastAsia" w:ascii="宋体" w:hAnsi="宋体" w:cs="宋体"/>
                <w:kern w:val="0"/>
                <w:sz w:val="22"/>
                <w:szCs w:val="22"/>
                <w:lang w:bidi="ar"/>
              </w:rPr>
              <w:t>（1）检测依据GB/T 10125-2021《人造气氛腐蚀试验盐雾试验》和GB/T 6461-2002《金属基体上金属和其它无机覆盖层经腐蚀试验后的试样和试件的评级》，检测要求乙酸盐雾试验(105h),经过105h乙酸盐雾试验，外观评级达到10级，检测合格。</w:t>
            </w:r>
            <w:r>
              <w:rPr>
                <w:rFonts w:hint="eastAsia" w:ascii="宋体" w:hAnsi="宋体" w:cs="宋体"/>
                <w:kern w:val="0"/>
                <w:sz w:val="22"/>
                <w:szCs w:val="22"/>
                <w:lang w:bidi="ar"/>
              </w:rPr>
              <w:br w:type="textWrapping"/>
            </w:r>
            <w:r>
              <w:rPr>
                <w:rFonts w:hint="eastAsia" w:ascii="宋体" w:hAnsi="宋体" w:cs="宋体"/>
                <w:kern w:val="0"/>
                <w:sz w:val="22"/>
                <w:szCs w:val="22"/>
                <w:lang w:bidi="ar"/>
              </w:rPr>
              <w:t>（2）检测依据GB/T 40971-2021《家具产品及其材料中禁限用物质测定方法多环芳烃》，检测要求：多环芳烃,苯并[a]芘≤1.0mg/kg,18种多环芳烃 (PAH)总量≤10mg/kg，检测合格。</w:t>
            </w:r>
            <w:r>
              <w:rPr>
                <w:rFonts w:hint="eastAsia" w:ascii="宋体" w:hAnsi="宋体" w:cs="宋体"/>
                <w:kern w:val="0"/>
                <w:sz w:val="22"/>
                <w:szCs w:val="22"/>
                <w:lang w:bidi="ar"/>
              </w:rPr>
              <w:br w:type="textWrapping"/>
            </w:r>
            <w:r>
              <w:rPr>
                <w:rFonts w:hint="eastAsia" w:ascii="宋体" w:hAnsi="宋体" w:cs="宋体"/>
                <w:b/>
                <w:bCs/>
                <w:kern w:val="0"/>
                <w:szCs w:val="21"/>
                <w:lang w:bidi="ar"/>
              </w:rPr>
              <w:t>提供具备CMA或CNAS标识的第三方检测机构出具</w:t>
            </w:r>
            <w:r>
              <w:rPr>
                <w:rFonts w:hint="eastAsia" w:ascii="宋体" w:hAnsi="宋体" w:cs="宋体"/>
                <w:kern w:val="0"/>
                <w:sz w:val="22"/>
                <w:szCs w:val="22"/>
                <w:lang w:bidi="ar"/>
              </w:rPr>
              <w:t>的</w:t>
            </w:r>
            <w:r>
              <w:rPr>
                <w:rFonts w:hint="eastAsia" w:ascii="宋体" w:hAnsi="宋体"/>
                <w:b/>
                <w:bCs/>
                <w:kern w:val="0"/>
              </w:rPr>
              <w:t>检测报告复印件加盖供应商公章</w:t>
            </w:r>
            <w:r>
              <w:rPr>
                <w:rFonts w:hint="eastAsia" w:ascii="宋体" w:hAnsi="宋体" w:cs="宋体"/>
                <w:kern w:val="0"/>
                <w:sz w:val="22"/>
                <w:szCs w:val="22"/>
                <w:lang w:bidi="ar"/>
              </w:rPr>
              <w:t>。</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CD9B7D">
            <w:pPr>
              <w:widowControl/>
              <w:spacing w:line="300" w:lineRule="exact"/>
              <w:textAlignment w:val="center"/>
              <w:rPr>
                <w:rFonts w:hint="eastAsia" w:ascii="宋体" w:hAnsi="宋体" w:cs="宋体"/>
                <w:kern w:val="0"/>
                <w:sz w:val="22"/>
                <w:szCs w:val="22"/>
                <w:lang w:bidi="ar"/>
              </w:rPr>
            </w:pPr>
          </w:p>
        </w:tc>
      </w:tr>
      <w:tr w14:paraId="58991234">
        <w:tblPrEx>
          <w:tblCellMar>
            <w:top w:w="0" w:type="dxa"/>
            <w:left w:w="108" w:type="dxa"/>
            <w:bottom w:w="0" w:type="dxa"/>
            <w:right w:w="108" w:type="dxa"/>
          </w:tblCellMar>
        </w:tblPrEx>
        <w:trPr>
          <w:trHeight w:val="20" w:hRule="atLeast"/>
        </w:trPr>
        <w:tc>
          <w:tcPr>
            <w:tcW w:w="513" w:type="dxa"/>
            <w:tcBorders>
              <w:top w:val="single" w:color="000000" w:sz="4" w:space="0"/>
              <w:left w:val="single" w:color="000000" w:sz="4" w:space="0"/>
              <w:bottom w:val="single" w:color="000000" w:sz="4" w:space="0"/>
              <w:right w:val="single" w:color="000000" w:sz="4" w:space="0"/>
            </w:tcBorders>
            <w:vAlign w:val="center"/>
          </w:tcPr>
          <w:p w14:paraId="1B11FFD3">
            <w:pPr>
              <w:widowControl/>
              <w:jc w:val="center"/>
              <w:textAlignment w:val="center"/>
              <w:rPr>
                <w:rFonts w:hint="eastAsia" w:ascii="宋体" w:hAnsi="宋体" w:cs="宋体"/>
                <w:kern w:val="0"/>
                <w:sz w:val="22"/>
                <w:szCs w:val="22"/>
                <w:lang w:bidi="ar"/>
              </w:rPr>
            </w:pPr>
            <w:r>
              <w:rPr>
                <w:rFonts w:hint="eastAsia" w:ascii="宋体" w:hAnsi="宋体" w:cs="宋体"/>
                <w:kern w:val="0"/>
                <w:sz w:val="22"/>
                <w:szCs w:val="22"/>
                <w:lang w:bidi="ar"/>
              </w:rPr>
              <w:t>22</w:t>
            </w:r>
          </w:p>
        </w:tc>
        <w:tc>
          <w:tcPr>
            <w:tcW w:w="1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901487">
            <w:pPr>
              <w:widowControl/>
              <w:jc w:val="center"/>
              <w:textAlignment w:val="center"/>
              <w:rPr>
                <w:rFonts w:hint="eastAsia" w:ascii="宋体" w:hAnsi="宋体" w:cs="宋体"/>
                <w:kern w:val="0"/>
                <w:sz w:val="22"/>
                <w:szCs w:val="22"/>
                <w:lang w:bidi="ar"/>
              </w:rPr>
            </w:pPr>
            <w:r>
              <w:rPr>
                <w:rFonts w:hint="eastAsia" w:ascii="宋体" w:hAnsi="宋体" w:cs="宋体"/>
                <w:kern w:val="0"/>
                <w:sz w:val="22"/>
                <w:szCs w:val="22"/>
                <w:lang w:bidi="ar"/>
              </w:rPr>
              <w:t>顶装固定支架</w:t>
            </w:r>
          </w:p>
        </w:tc>
        <w:tc>
          <w:tcPr>
            <w:tcW w:w="64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702E79">
            <w:pPr>
              <w:widowControl/>
              <w:spacing w:line="300" w:lineRule="exact"/>
              <w:textAlignment w:val="center"/>
              <w:rPr>
                <w:rFonts w:hint="eastAsia" w:ascii="宋体" w:hAnsi="宋体" w:cs="宋体"/>
                <w:kern w:val="0"/>
                <w:sz w:val="22"/>
                <w:szCs w:val="22"/>
                <w:lang w:bidi="ar"/>
              </w:rPr>
            </w:pPr>
            <w:r>
              <w:rPr>
                <w:rFonts w:hint="eastAsia" w:ascii="宋体" w:hAnsi="宋体" w:cs="宋体"/>
                <w:kern w:val="0"/>
                <w:sz w:val="22"/>
                <w:szCs w:val="22"/>
                <w:lang w:bidi="ar"/>
              </w:rPr>
              <w:t>▲吊装吊架</w:t>
            </w:r>
            <w:r>
              <w:rPr>
                <w:rFonts w:hint="eastAsia" w:ascii="宋体" w:hAnsi="宋体" w:cs="宋体"/>
                <w:kern w:val="0"/>
                <w:sz w:val="22"/>
                <w:szCs w:val="22"/>
                <w:lang w:bidi="ar"/>
              </w:rPr>
              <w:br w:type="textWrapping"/>
            </w:r>
            <w:r>
              <w:rPr>
                <w:rFonts w:hint="eastAsia" w:ascii="宋体" w:hAnsi="宋体" w:cs="宋体"/>
                <w:kern w:val="0"/>
                <w:sz w:val="22"/>
                <w:szCs w:val="22"/>
                <w:lang w:bidi="ar"/>
              </w:rPr>
              <w:t>（1）检测依据为GB/T 6739-2022《色漆和清漆铅笔法测定漆膜硬度》检测要求：包含理化性能,金属喷漆 (塑)涂层 ,硬度,铅笔硬度H,应无塑性变形和/或内聚破坏，检测合格。</w:t>
            </w:r>
            <w:r>
              <w:rPr>
                <w:rFonts w:hint="eastAsia" w:ascii="宋体" w:hAnsi="宋体" w:cs="宋体"/>
                <w:kern w:val="0"/>
                <w:sz w:val="22"/>
                <w:szCs w:val="22"/>
                <w:lang w:bidi="ar"/>
              </w:rPr>
              <w:br w:type="textWrapping"/>
            </w:r>
            <w:r>
              <w:rPr>
                <w:rFonts w:hint="eastAsia" w:ascii="宋体" w:hAnsi="宋体" w:cs="宋体"/>
                <w:kern w:val="0"/>
                <w:sz w:val="22"/>
                <w:szCs w:val="22"/>
                <w:lang w:bidi="ar"/>
              </w:rPr>
              <w:t>（2）检测依据为GB/T 10125-2021《人造气氛腐蚀试验盐雾试验》 和GB/T 6461-2002《金属基体上金属和其它无机覆盖层经腐蚀试验后的试样和试件的评级》检测要求：乙酸盐雾试验(105h)经过105h乙酸盐雾试验，外观评级达到10级，检测合格。</w:t>
            </w:r>
            <w:r>
              <w:rPr>
                <w:rFonts w:hint="eastAsia" w:ascii="宋体" w:hAnsi="宋体" w:cs="宋体"/>
                <w:kern w:val="0"/>
                <w:sz w:val="22"/>
                <w:szCs w:val="22"/>
                <w:lang w:bidi="ar"/>
              </w:rPr>
              <w:br w:type="textWrapping"/>
            </w:r>
            <w:r>
              <w:rPr>
                <w:rFonts w:hint="eastAsia" w:ascii="宋体" w:hAnsi="宋体" w:cs="宋体"/>
                <w:b/>
                <w:bCs/>
                <w:kern w:val="0"/>
                <w:szCs w:val="21"/>
                <w:lang w:bidi="ar"/>
              </w:rPr>
              <w:t>提供具备CMA或CNAS标识的第三方检测机构出具</w:t>
            </w:r>
            <w:r>
              <w:rPr>
                <w:rFonts w:hint="eastAsia" w:ascii="宋体" w:hAnsi="宋体" w:cs="宋体"/>
                <w:kern w:val="0"/>
                <w:sz w:val="22"/>
                <w:szCs w:val="22"/>
                <w:lang w:bidi="ar"/>
              </w:rPr>
              <w:t>的</w:t>
            </w:r>
            <w:r>
              <w:rPr>
                <w:rFonts w:hint="eastAsia" w:ascii="宋体" w:hAnsi="宋体"/>
                <w:b/>
                <w:bCs/>
                <w:kern w:val="0"/>
              </w:rPr>
              <w:t>检测报告复印件加盖供应商公章</w:t>
            </w:r>
            <w:r>
              <w:rPr>
                <w:rFonts w:hint="eastAsia" w:ascii="宋体" w:hAnsi="宋体" w:cs="宋体"/>
                <w:kern w:val="0"/>
                <w:sz w:val="22"/>
                <w:szCs w:val="22"/>
                <w:lang w:bidi="ar"/>
              </w:rPr>
              <w:t>。</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B3B0FA">
            <w:pPr>
              <w:widowControl/>
              <w:spacing w:line="300" w:lineRule="exact"/>
              <w:textAlignment w:val="center"/>
              <w:rPr>
                <w:rFonts w:hint="eastAsia" w:ascii="宋体" w:hAnsi="宋体" w:cs="宋体"/>
                <w:kern w:val="0"/>
                <w:sz w:val="22"/>
                <w:szCs w:val="22"/>
                <w:lang w:bidi="ar"/>
              </w:rPr>
            </w:pPr>
          </w:p>
        </w:tc>
      </w:tr>
      <w:tr w14:paraId="04DF48FD">
        <w:tblPrEx>
          <w:tblCellMar>
            <w:top w:w="0" w:type="dxa"/>
            <w:left w:w="108" w:type="dxa"/>
            <w:bottom w:w="0" w:type="dxa"/>
            <w:right w:w="108" w:type="dxa"/>
          </w:tblCellMar>
        </w:tblPrEx>
        <w:trPr>
          <w:trHeight w:val="20" w:hRule="atLeast"/>
        </w:trPr>
        <w:tc>
          <w:tcPr>
            <w:tcW w:w="513" w:type="dxa"/>
            <w:tcBorders>
              <w:top w:val="single" w:color="000000" w:sz="4" w:space="0"/>
              <w:left w:val="single" w:color="000000" w:sz="4" w:space="0"/>
              <w:bottom w:val="single" w:color="000000" w:sz="4" w:space="0"/>
              <w:right w:val="single" w:color="000000" w:sz="4" w:space="0"/>
            </w:tcBorders>
            <w:vAlign w:val="center"/>
          </w:tcPr>
          <w:p w14:paraId="035C3541">
            <w:pPr>
              <w:widowControl/>
              <w:jc w:val="center"/>
              <w:textAlignment w:val="center"/>
              <w:rPr>
                <w:rFonts w:hint="eastAsia" w:ascii="宋体" w:hAnsi="宋体" w:cs="宋体"/>
                <w:kern w:val="0"/>
                <w:sz w:val="22"/>
                <w:szCs w:val="22"/>
                <w:lang w:bidi="ar"/>
              </w:rPr>
            </w:pPr>
            <w:r>
              <w:rPr>
                <w:rFonts w:hint="eastAsia" w:ascii="宋体" w:hAnsi="宋体" w:cs="宋体"/>
                <w:kern w:val="0"/>
                <w:sz w:val="22"/>
                <w:szCs w:val="22"/>
                <w:lang w:bidi="ar"/>
              </w:rPr>
              <w:t>32</w:t>
            </w:r>
          </w:p>
        </w:tc>
        <w:tc>
          <w:tcPr>
            <w:tcW w:w="1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73A25C">
            <w:pPr>
              <w:widowControl/>
              <w:jc w:val="center"/>
              <w:textAlignment w:val="center"/>
              <w:rPr>
                <w:rFonts w:hint="eastAsia" w:ascii="宋体" w:hAnsi="宋体" w:cs="宋体"/>
                <w:kern w:val="0"/>
                <w:sz w:val="22"/>
                <w:szCs w:val="22"/>
                <w:lang w:bidi="ar"/>
              </w:rPr>
            </w:pPr>
            <w:r>
              <w:rPr>
                <w:rFonts w:hint="eastAsia" w:ascii="宋体" w:hAnsi="宋体" w:cs="宋体"/>
                <w:kern w:val="0"/>
                <w:sz w:val="22"/>
                <w:szCs w:val="22"/>
                <w:lang w:bidi="ar"/>
              </w:rPr>
              <w:t>万向吸风罩一体式集成</w:t>
            </w:r>
          </w:p>
        </w:tc>
        <w:tc>
          <w:tcPr>
            <w:tcW w:w="64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284931">
            <w:pPr>
              <w:widowControl/>
              <w:jc w:val="left"/>
              <w:textAlignment w:val="center"/>
              <w:rPr>
                <w:rFonts w:hint="eastAsia" w:ascii="宋体" w:hAnsi="宋体" w:cs="宋体"/>
                <w:kern w:val="0"/>
                <w:sz w:val="22"/>
                <w:szCs w:val="22"/>
                <w:lang w:bidi="ar"/>
              </w:rPr>
            </w:pPr>
            <w:r>
              <w:rPr>
                <w:rFonts w:hint="eastAsia" w:ascii="宋体" w:hAnsi="宋体" w:cs="宋体"/>
                <w:kern w:val="0"/>
                <w:sz w:val="22"/>
                <w:szCs w:val="22"/>
                <w:lang w:bidi="ar"/>
              </w:rPr>
              <w:t>▲7.依据GB/T11547-2008,耐腐蚀性能：在（30%硫酸）、耐腐蚀（30%氢氧化钠）、耐腐蚀（甲苯）、耐腐蚀（乙醚）在常温下浸泡≥48小时表面无变化；依据GB/T2433.2-2008试验Bb,耐高温：110度1小时表面无变化；</w:t>
            </w:r>
          </w:p>
          <w:p w14:paraId="528C7EE4">
            <w:pPr>
              <w:widowControl/>
              <w:spacing w:line="300" w:lineRule="exact"/>
              <w:textAlignment w:val="center"/>
              <w:rPr>
                <w:rFonts w:hint="eastAsia" w:ascii="宋体" w:hAnsi="宋体" w:cs="宋体"/>
                <w:kern w:val="0"/>
                <w:sz w:val="22"/>
                <w:szCs w:val="22"/>
                <w:lang w:bidi="ar"/>
              </w:rPr>
            </w:pPr>
            <w:r>
              <w:rPr>
                <w:rFonts w:hint="eastAsia" w:ascii="宋体" w:hAnsi="宋体" w:cs="宋体"/>
                <w:b/>
                <w:bCs/>
                <w:kern w:val="0"/>
                <w:szCs w:val="21"/>
                <w:lang w:bidi="ar"/>
              </w:rPr>
              <w:t>提供具备CMA或CNAS标识的第三方检测机构出具</w:t>
            </w:r>
            <w:r>
              <w:rPr>
                <w:rFonts w:hint="eastAsia" w:ascii="宋体" w:hAnsi="宋体" w:cs="宋体"/>
                <w:kern w:val="0"/>
                <w:sz w:val="22"/>
                <w:szCs w:val="22"/>
                <w:lang w:bidi="ar"/>
              </w:rPr>
              <w:t>的</w:t>
            </w:r>
            <w:r>
              <w:rPr>
                <w:rFonts w:hint="eastAsia" w:ascii="宋体" w:hAnsi="宋体"/>
                <w:b/>
                <w:bCs/>
                <w:kern w:val="0"/>
              </w:rPr>
              <w:t>检测报告复印件加盖供应商公章</w:t>
            </w:r>
            <w:r>
              <w:rPr>
                <w:rFonts w:hint="eastAsia" w:ascii="宋体" w:hAnsi="宋体" w:cs="宋体"/>
                <w:kern w:val="0"/>
                <w:sz w:val="22"/>
                <w:szCs w:val="22"/>
                <w:lang w:bidi="ar"/>
              </w:rPr>
              <w:t xml:space="preserve">。   </w:t>
            </w:r>
          </w:p>
        </w:tc>
        <w:tc>
          <w:tcPr>
            <w:tcW w:w="10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ECE377">
            <w:pPr>
              <w:widowControl/>
              <w:spacing w:line="300" w:lineRule="exact"/>
              <w:textAlignment w:val="center"/>
              <w:rPr>
                <w:rFonts w:hint="eastAsia" w:ascii="宋体" w:hAnsi="宋体" w:cs="宋体"/>
                <w:b/>
                <w:bCs/>
                <w:kern w:val="0"/>
                <w:szCs w:val="21"/>
                <w:lang w:bidi="ar"/>
              </w:rPr>
            </w:pPr>
          </w:p>
        </w:tc>
      </w:tr>
    </w:tbl>
    <w:p w14:paraId="04FFD606">
      <w:pPr>
        <w:spacing w:line="440" w:lineRule="exact"/>
        <w:ind w:firstLine="422" w:firstLineChars="200"/>
        <w:jc w:val="left"/>
        <w:rPr>
          <w:rFonts w:hint="eastAsia" w:ascii="宋体" w:hAnsi="宋体"/>
          <w:b/>
          <w:szCs w:val="21"/>
        </w:rPr>
      </w:pPr>
      <w:r>
        <w:rPr>
          <w:rFonts w:hint="eastAsia" w:ascii="宋体" w:hAnsi="宋体"/>
          <w:b/>
          <w:szCs w:val="21"/>
        </w:rPr>
        <w:t>（5）化学仪器室、药品室、危化品室</w:t>
      </w:r>
    </w:p>
    <w:tbl>
      <w:tblPr>
        <w:tblStyle w:val="44"/>
        <w:tblW w:w="0" w:type="auto"/>
        <w:tblInd w:w="-348" w:type="dxa"/>
        <w:tblLayout w:type="autofit"/>
        <w:tblCellMar>
          <w:top w:w="0" w:type="dxa"/>
          <w:left w:w="108" w:type="dxa"/>
          <w:bottom w:w="0" w:type="dxa"/>
          <w:right w:w="108" w:type="dxa"/>
        </w:tblCellMar>
      </w:tblPr>
      <w:tblGrid>
        <w:gridCol w:w="476"/>
        <w:gridCol w:w="1447"/>
        <w:gridCol w:w="6545"/>
        <w:gridCol w:w="1055"/>
      </w:tblGrid>
      <w:tr w14:paraId="022B14DD">
        <w:tblPrEx>
          <w:tblCellMar>
            <w:top w:w="0" w:type="dxa"/>
            <w:left w:w="108" w:type="dxa"/>
            <w:bottom w:w="0" w:type="dxa"/>
            <w:right w:w="108" w:type="dxa"/>
          </w:tblCellMar>
        </w:tblPrEx>
        <w:trPr>
          <w:trHeight w:val="20" w:hRule="atLeast"/>
        </w:trPr>
        <w:tc>
          <w:tcPr>
            <w:tcW w:w="588" w:type="dxa"/>
            <w:tcBorders>
              <w:top w:val="single" w:color="000000" w:sz="4" w:space="0"/>
              <w:left w:val="single" w:color="000000" w:sz="4" w:space="0"/>
              <w:bottom w:val="single" w:color="000000" w:sz="4" w:space="0"/>
              <w:right w:val="single" w:color="000000" w:sz="4" w:space="0"/>
            </w:tcBorders>
            <w:vAlign w:val="center"/>
          </w:tcPr>
          <w:p w14:paraId="65C25BED">
            <w:pPr>
              <w:widowControl/>
              <w:jc w:val="center"/>
              <w:textAlignment w:val="center"/>
              <w:rPr>
                <w:rFonts w:hint="eastAsia" w:ascii="宋体" w:hAnsi="宋体" w:cs="宋体"/>
                <w:kern w:val="0"/>
                <w:sz w:val="22"/>
                <w:szCs w:val="22"/>
                <w:lang w:bidi="ar"/>
              </w:rPr>
            </w:pPr>
            <w:r>
              <w:rPr>
                <w:rFonts w:hint="eastAsia" w:ascii="宋体" w:hAnsi="宋体" w:cs="宋体"/>
                <w:kern w:val="0"/>
                <w:sz w:val="22"/>
                <w:szCs w:val="22"/>
                <w:lang w:bidi="ar"/>
              </w:rPr>
              <w:t>1</w:t>
            </w:r>
          </w:p>
        </w:tc>
        <w:tc>
          <w:tcPr>
            <w:tcW w:w="2205" w:type="dxa"/>
            <w:tcBorders>
              <w:top w:val="single" w:color="000000" w:sz="4" w:space="0"/>
              <w:left w:val="single" w:color="000000" w:sz="4" w:space="0"/>
              <w:bottom w:val="single" w:color="000000" w:sz="4" w:space="0"/>
              <w:right w:val="single" w:color="000000" w:sz="4" w:space="0"/>
            </w:tcBorders>
            <w:vAlign w:val="center"/>
          </w:tcPr>
          <w:p w14:paraId="6C4D7254">
            <w:pPr>
              <w:widowControl/>
              <w:jc w:val="center"/>
              <w:textAlignment w:val="center"/>
              <w:rPr>
                <w:rFonts w:hint="eastAsia" w:ascii="宋体" w:hAnsi="宋体" w:cs="宋体"/>
                <w:kern w:val="0"/>
                <w:sz w:val="22"/>
                <w:szCs w:val="22"/>
                <w:lang w:bidi="ar"/>
              </w:rPr>
            </w:pPr>
            <w:r>
              <w:rPr>
                <w:rFonts w:hint="eastAsia" w:ascii="宋体" w:hAnsi="宋体" w:cs="宋体"/>
                <w:kern w:val="0"/>
                <w:sz w:val="22"/>
                <w:szCs w:val="22"/>
                <w:lang w:bidi="ar"/>
              </w:rPr>
              <w:t>边台承载设备</w:t>
            </w:r>
          </w:p>
        </w:tc>
        <w:tc>
          <w:tcPr>
            <w:tcW w:w="10050" w:type="dxa"/>
            <w:tcBorders>
              <w:top w:val="single" w:color="000000" w:sz="4" w:space="0"/>
              <w:left w:val="single" w:color="000000" w:sz="4" w:space="0"/>
              <w:bottom w:val="single" w:color="000000" w:sz="4" w:space="0"/>
              <w:right w:val="single" w:color="000000" w:sz="4" w:space="0"/>
            </w:tcBorders>
            <w:vAlign w:val="center"/>
          </w:tcPr>
          <w:p w14:paraId="7227FB8C">
            <w:pPr>
              <w:widowControl/>
              <w:jc w:val="left"/>
              <w:textAlignment w:val="center"/>
              <w:rPr>
                <w:rFonts w:hint="eastAsia" w:ascii="宋体" w:hAnsi="宋体" w:cs="宋体"/>
                <w:kern w:val="0"/>
                <w:sz w:val="22"/>
                <w:szCs w:val="22"/>
                <w:lang w:bidi="ar"/>
              </w:rPr>
            </w:pPr>
            <w:r>
              <w:rPr>
                <w:rFonts w:hint="eastAsia" w:ascii="宋体" w:hAnsi="宋体" w:cs="宋体"/>
                <w:kern w:val="0"/>
                <w:sz w:val="22"/>
                <w:szCs w:val="22"/>
                <w:lang w:bidi="ar"/>
              </w:rPr>
              <w:t>▲2.冷轧钢管依据 QB/T 3832-1999(2009)《轻工产品金属镀层腐蚀试验结果的评价》，锈点数：0 ，等级：10级，结论皆符合。</w:t>
            </w:r>
          </w:p>
          <w:p w14:paraId="02EA0D98">
            <w:pPr>
              <w:widowControl/>
              <w:spacing w:line="300" w:lineRule="exact"/>
              <w:textAlignment w:val="center"/>
              <w:rPr>
                <w:rFonts w:hint="eastAsia" w:ascii="宋体" w:hAnsi="宋体" w:cs="宋体"/>
                <w:b/>
                <w:bCs/>
                <w:kern w:val="0"/>
                <w:szCs w:val="21"/>
                <w:lang w:bidi="ar"/>
              </w:rPr>
            </w:pPr>
            <w:r>
              <w:rPr>
                <w:rFonts w:hint="eastAsia" w:ascii="宋体" w:hAnsi="宋体" w:cs="宋体"/>
                <w:b/>
                <w:bCs/>
                <w:kern w:val="0"/>
                <w:szCs w:val="21"/>
                <w:lang w:bidi="ar"/>
              </w:rPr>
              <w:t>提供具备CMA或CNAS标识的第三方检测机构出具</w:t>
            </w:r>
            <w:r>
              <w:rPr>
                <w:rFonts w:hint="eastAsia" w:ascii="宋体" w:hAnsi="宋体" w:cs="宋体"/>
                <w:kern w:val="0"/>
                <w:sz w:val="22"/>
                <w:szCs w:val="22"/>
                <w:lang w:bidi="ar"/>
              </w:rPr>
              <w:t>的</w:t>
            </w:r>
            <w:r>
              <w:rPr>
                <w:rFonts w:hint="eastAsia" w:ascii="宋体" w:hAnsi="宋体"/>
                <w:b/>
                <w:bCs/>
                <w:kern w:val="0"/>
              </w:rPr>
              <w:t>检测报告复印件加盖供应商公章</w:t>
            </w:r>
          </w:p>
        </w:tc>
        <w:tc>
          <w:tcPr>
            <w:tcW w:w="1679" w:type="dxa"/>
            <w:tcBorders>
              <w:top w:val="single" w:color="000000" w:sz="4" w:space="0"/>
              <w:left w:val="single" w:color="000000" w:sz="4" w:space="0"/>
              <w:bottom w:val="single" w:color="000000" w:sz="4" w:space="0"/>
              <w:right w:val="single" w:color="000000" w:sz="4" w:space="0"/>
            </w:tcBorders>
            <w:vAlign w:val="center"/>
          </w:tcPr>
          <w:p w14:paraId="68182AB3">
            <w:pPr>
              <w:widowControl/>
              <w:spacing w:line="300" w:lineRule="exact"/>
              <w:textAlignment w:val="center"/>
              <w:rPr>
                <w:rFonts w:hint="eastAsia" w:ascii="宋体" w:hAnsi="宋体" w:cs="宋体"/>
                <w:b/>
                <w:bCs/>
                <w:kern w:val="0"/>
                <w:szCs w:val="21"/>
                <w:lang w:bidi="ar"/>
              </w:rPr>
            </w:pPr>
          </w:p>
        </w:tc>
      </w:tr>
      <w:tr w14:paraId="3343E4CF">
        <w:tblPrEx>
          <w:tblCellMar>
            <w:top w:w="0" w:type="dxa"/>
            <w:left w:w="108" w:type="dxa"/>
            <w:bottom w:w="0" w:type="dxa"/>
            <w:right w:w="108" w:type="dxa"/>
          </w:tblCellMar>
        </w:tblPrEx>
        <w:trPr>
          <w:trHeight w:val="20" w:hRule="atLeast"/>
        </w:trPr>
        <w:tc>
          <w:tcPr>
            <w:tcW w:w="588" w:type="dxa"/>
            <w:tcBorders>
              <w:top w:val="single" w:color="000000" w:sz="4" w:space="0"/>
              <w:left w:val="single" w:color="000000" w:sz="4" w:space="0"/>
              <w:bottom w:val="single" w:color="000000" w:sz="4" w:space="0"/>
              <w:right w:val="single" w:color="000000" w:sz="4" w:space="0"/>
            </w:tcBorders>
            <w:vAlign w:val="center"/>
          </w:tcPr>
          <w:p w14:paraId="49CC01C1">
            <w:pPr>
              <w:widowControl/>
              <w:jc w:val="center"/>
              <w:textAlignment w:val="center"/>
              <w:rPr>
                <w:rFonts w:hint="eastAsia" w:ascii="宋体" w:hAnsi="宋体" w:cs="宋体"/>
                <w:kern w:val="0"/>
                <w:sz w:val="22"/>
                <w:szCs w:val="22"/>
                <w:lang w:bidi="ar"/>
              </w:rPr>
            </w:pPr>
            <w:r>
              <w:rPr>
                <w:rFonts w:hint="eastAsia" w:ascii="宋体" w:hAnsi="宋体" w:cs="宋体"/>
                <w:kern w:val="0"/>
                <w:sz w:val="22"/>
                <w:szCs w:val="22"/>
                <w:lang w:bidi="ar"/>
              </w:rPr>
              <w:t>2</w:t>
            </w:r>
          </w:p>
        </w:tc>
        <w:tc>
          <w:tcPr>
            <w:tcW w:w="2205" w:type="dxa"/>
            <w:tcBorders>
              <w:top w:val="single" w:color="000000" w:sz="4" w:space="0"/>
              <w:left w:val="single" w:color="000000" w:sz="4" w:space="0"/>
              <w:bottom w:val="single" w:color="000000" w:sz="4" w:space="0"/>
              <w:right w:val="single" w:color="000000" w:sz="4" w:space="0"/>
            </w:tcBorders>
            <w:vAlign w:val="center"/>
          </w:tcPr>
          <w:p w14:paraId="326C2E0C">
            <w:pPr>
              <w:widowControl/>
              <w:jc w:val="center"/>
              <w:textAlignment w:val="center"/>
              <w:rPr>
                <w:rFonts w:hint="eastAsia" w:ascii="宋体" w:hAnsi="宋体" w:cs="宋体"/>
                <w:kern w:val="0"/>
                <w:sz w:val="22"/>
                <w:szCs w:val="22"/>
                <w:lang w:bidi="ar"/>
              </w:rPr>
            </w:pPr>
            <w:r>
              <w:rPr>
                <w:rFonts w:hint="eastAsia" w:ascii="宋体" w:hAnsi="宋体" w:cs="宋体"/>
                <w:kern w:val="0"/>
                <w:sz w:val="22"/>
                <w:szCs w:val="22"/>
                <w:lang w:bidi="ar"/>
              </w:rPr>
              <w:t>水龙头＋水槽</w:t>
            </w:r>
          </w:p>
        </w:tc>
        <w:tc>
          <w:tcPr>
            <w:tcW w:w="10050" w:type="dxa"/>
            <w:tcBorders>
              <w:top w:val="single" w:color="000000" w:sz="4" w:space="0"/>
              <w:left w:val="single" w:color="000000" w:sz="4" w:space="0"/>
              <w:bottom w:val="single" w:color="000000" w:sz="4" w:space="0"/>
              <w:right w:val="single" w:color="000000" w:sz="4" w:space="0"/>
            </w:tcBorders>
            <w:vAlign w:val="center"/>
          </w:tcPr>
          <w:p w14:paraId="7B2F402C">
            <w:pPr>
              <w:widowControl/>
              <w:spacing w:line="300" w:lineRule="exact"/>
              <w:textAlignment w:val="center"/>
              <w:rPr>
                <w:rFonts w:hint="eastAsia" w:ascii="宋体" w:hAnsi="宋体" w:cs="宋体"/>
                <w:b/>
                <w:bCs/>
                <w:kern w:val="0"/>
                <w:szCs w:val="21"/>
                <w:lang w:bidi="ar"/>
              </w:rPr>
            </w:pPr>
            <w:r>
              <w:rPr>
                <w:rFonts w:hint="eastAsia" w:ascii="宋体" w:hAnsi="宋体" w:cs="宋体"/>
                <w:b/>
                <w:bCs/>
                <w:kern w:val="0"/>
                <w:szCs w:val="21"/>
                <w:lang w:bidi="ar"/>
              </w:rPr>
              <w:t>★投标文件中提供由国家确定的认证机构出具的、处于有效期之内的节能（节水）产品认证证书复印件加盖供应商公章。</w:t>
            </w:r>
          </w:p>
        </w:tc>
        <w:tc>
          <w:tcPr>
            <w:tcW w:w="1679" w:type="dxa"/>
            <w:tcBorders>
              <w:top w:val="single" w:color="000000" w:sz="4" w:space="0"/>
              <w:left w:val="single" w:color="000000" w:sz="4" w:space="0"/>
              <w:bottom w:val="single" w:color="000000" w:sz="4" w:space="0"/>
              <w:right w:val="single" w:color="000000" w:sz="4" w:space="0"/>
            </w:tcBorders>
            <w:vAlign w:val="center"/>
          </w:tcPr>
          <w:p w14:paraId="5EBDD291">
            <w:pPr>
              <w:widowControl/>
              <w:spacing w:line="300" w:lineRule="exact"/>
              <w:textAlignment w:val="center"/>
              <w:rPr>
                <w:rFonts w:hint="eastAsia" w:ascii="宋体" w:hAnsi="宋体" w:cs="宋体"/>
                <w:b/>
                <w:bCs/>
                <w:kern w:val="0"/>
                <w:szCs w:val="21"/>
                <w:lang w:bidi="ar"/>
              </w:rPr>
            </w:pPr>
          </w:p>
        </w:tc>
      </w:tr>
    </w:tbl>
    <w:p w14:paraId="4EADB4C3">
      <w:pPr>
        <w:spacing w:line="440" w:lineRule="exact"/>
        <w:ind w:firstLine="422" w:firstLineChars="200"/>
        <w:jc w:val="left"/>
        <w:rPr>
          <w:rFonts w:hint="eastAsia" w:ascii="宋体" w:hAnsi="宋体"/>
          <w:b/>
          <w:szCs w:val="21"/>
        </w:rPr>
      </w:pPr>
      <w:r>
        <w:rPr>
          <w:rFonts w:hint="eastAsia" w:ascii="宋体" w:hAnsi="宋体" w:cs="Times New Roman"/>
          <w:b/>
          <w:color w:val="auto"/>
          <w:szCs w:val="21"/>
          <w:lang w:eastAsia="zh-CN"/>
        </w:rPr>
        <w:t>（</w:t>
      </w:r>
      <w:r>
        <w:rPr>
          <w:rFonts w:hint="eastAsia" w:ascii="宋体" w:hAnsi="宋体" w:cs="Times New Roman"/>
          <w:b/>
          <w:color w:val="auto"/>
          <w:szCs w:val="21"/>
          <w:lang w:val="en-US" w:eastAsia="zh-CN"/>
        </w:rPr>
        <w:t>8</w:t>
      </w:r>
      <w:r>
        <w:rPr>
          <w:rFonts w:hint="eastAsia" w:ascii="宋体" w:hAnsi="宋体" w:cs="Times New Roman"/>
          <w:b/>
          <w:color w:val="auto"/>
          <w:szCs w:val="21"/>
          <w:lang w:eastAsia="zh-CN"/>
        </w:rPr>
        <w:t>）</w:t>
      </w:r>
      <w:r>
        <w:rPr>
          <w:rFonts w:hint="eastAsia" w:asciiTheme="minorEastAsia" w:hAnsiTheme="minorEastAsia" w:eastAsiaTheme="minorEastAsia" w:cstheme="minorEastAsia"/>
          <w:b/>
          <w:bCs/>
          <w:color w:val="000000" w:themeColor="text1"/>
          <w:kern w:val="0"/>
          <w:sz w:val="22"/>
          <w:szCs w:val="22"/>
          <w:lang w:bidi="ar"/>
          <w14:textFill>
            <w14:solidFill>
              <w14:schemeClr w14:val="tx1"/>
            </w14:solidFill>
          </w14:textFill>
        </w:rPr>
        <w:t>物理仪器室</w:t>
      </w:r>
    </w:p>
    <w:tbl>
      <w:tblPr>
        <w:tblStyle w:val="44"/>
        <w:tblW w:w="0" w:type="auto"/>
        <w:tblInd w:w="-348" w:type="dxa"/>
        <w:tblLayout w:type="autofit"/>
        <w:tblCellMar>
          <w:top w:w="0" w:type="dxa"/>
          <w:left w:w="108" w:type="dxa"/>
          <w:bottom w:w="0" w:type="dxa"/>
          <w:right w:w="108" w:type="dxa"/>
        </w:tblCellMar>
      </w:tblPr>
      <w:tblGrid>
        <w:gridCol w:w="486"/>
        <w:gridCol w:w="1538"/>
        <w:gridCol w:w="6403"/>
        <w:gridCol w:w="1096"/>
      </w:tblGrid>
      <w:tr w14:paraId="7FA2101B">
        <w:tblPrEx>
          <w:tblCellMar>
            <w:top w:w="0" w:type="dxa"/>
            <w:left w:w="108" w:type="dxa"/>
            <w:bottom w:w="0" w:type="dxa"/>
            <w:right w:w="108" w:type="dxa"/>
          </w:tblCellMar>
        </w:tblPrEx>
        <w:trPr>
          <w:trHeight w:val="20" w:hRule="atLeast"/>
        </w:trPr>
        <w:tc>
          <w:tcPr>
            <w:tcW w:w="588" w:type="dxa"/>
            <w:tcBorders>
              <w:top w:val="single" w:color="000000" w:sz="4" w:space="0"/>
              <w:left w:val="single" w:color="000000" w:sz="4" w:space="0"/>
              <w:bottom w:val="single" w:color="000000" w:sz="4" w:space="0"/>
              <w:right w:val="single" w:color="000000" w:sz="4" w:space="0"/>
            </w:tcBorders>
            <w:vAlign w:val="center"/>
          </w:tcPr>
          <w:p w14:paraId="78FC7554">
            <w:pPr>
              <w:widowControl/>
              <w:jc w:val="center"/>
              <w:textAlignment w:val="center"/>
              <w:rPr>
                <w:rFonts w:hint="eastAsia" w:ascii="宋体" w:hAnsi="宋体" w:cs="宋体"/>
                <w:bCs/>
                <w:szCs w:val="21"/>
              </w:rPr>
            </w:pPr>
            <w:r>
              <w:rPr>
                <w:rFonts w:hint="eastAsia" w:ascii="宋体" w:hAnsi="宋体" w:cs="宋体"/>
                <w:kern w:val="0"/>
                <w:sz w:val="22"/>
                <w:szCs w:val="22"/>
                <w:lang w:bidi="ar"/>
              </w:rPr>
              <w:t>2</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E0537">
            <w:pPr>
              <w:widowControl/>
              <w:jc w:val="center"/>
              <w:textAlignment w:val="center"/>
              <w:rPr>
                <w:rFonts w:hint="eastAsia" w:ascii="宋体" w:hAnsi="宋体" w:cs="宋体"/>
                <w:bCs/>
                <w:szCs w:val="21"/>
              </w:rPr>
            </w:pPr>
            <w:r>
              <w:rPr>
                <w:rFonts w:hint="eastAsia" w:ascii="宋体" w:hAnsi="宋体" w:cs="宋体"/>
                <w:kern w:val="0"/>
                <w:sz w:val="22"/>
                <w:szCs w:val="22"/>
                <w:lang w:bidi="ar"/>
              </w:rPr>
              <w:t>水龙头＋水槽</w:t>
            </w:r>
          </w:p>
        </w:tc>
        <w:tc>
          <w:tcPr>
            <w:tcW w:w="10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8ABF75">
            <w:pPr>
              <w:widowControl/>
              <w:spacing w:line="300" w:lineRule="exact"/>
              <w:textAlignment w:val="center"/>
              <w:rPr>
                <w:rFonts w:hint="eastAsia" w:ascii="宋体" w:hAnsi="宋体" w:cs="宋体"/>
                <w:bCs/>
                <w:kern w:val="0"/>
                <w:szCs w:val="21"/>
                <w:lang w:bidi="ar"/>
              </w:rPr>
            </w:pPr>
            <w:r>
              <w:rPr>
                <w:rFonts w:hint="eastAsia" w:ascii="宋体" w:hAnsi="宋体" w:cs="宋体"/>
                <w:b/>
                <w:bCs/>
                <w:kern w:val="0"/>
                <w:szCs w:val="21"/>
                <w:lang w:bidi="ar"/>
              </w:rPr>
              <w:t>★投标文件中提供由国家确定的认证机构出具的、处于有效期之内的节能（节水）产品认证证书复印件加盖供应商公章。</w:t>
            </w:r>
          </w:p>
        </w:tc>
        <w:tc>
          <w:tcPr>
            <w:tcW w:w="16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FD95A">
            <w:pPr>
              <w:widowControl/>
              <w:spacing w:line="300" w:lineRule="exact"/>
              <w:textAlignment w:val="center"/>
              <w:rPr>
                <w:rFonts w:hint="eastAsia" w:ascii="宋体" w:hAnsi="宋体" w:cs="宋体"/>
                <w:b/>
                <w:bCs/>
                <w:kern w:val="0"/>
                <w:szCs w:val="21"/>
                <w:lang w:bidi="ar"/>
              </w:rPr>
            </w:pPr>
          </w:p>
        </w:tc>
      </w:tr>
    </w:tbl>
    <w:p w14:paraId="0750E7C7">
      <w:pPr>
        <w:spacing w:before="120" w:beforeLines="50"/>
        <w:ind w:left="-199" w:leftChars="-95"/>
        <w:rPr>
          <w:b/>
          <w:bCs/>
          <w:szCs w:val="20"/>
        </w:rPr>
      </w:pPr>
      <w:r>
        <w:rPr>
          <w:rFonts w:hint="eastAsia"/>
          <w:b/>
          <w:bCs/>
          <w:szCs w:val="20"/>
        </w:rPr>
        <w:t>备注：投标人需对以上材料的真实性负责，证明材料需按照表格要求正确关联所在投标文件页码位置，方便现场评审，如因投标文件编制混乱，导致评审现场专家未能查找到相关资料，后果由投标人自行负责。</w:t>
      </w:r>
    </w:p>
    <w:p w14:paraId="45D87C75">
      <w:pPr>
        <w:tabs>
          <w:tab w:val="left" w:pos="1934"/>
        </w:tabs>
        <w:ind w:firstLine="408"/>
        <w:rPr>
          <w:color w:val="000000" w:themeColor="text1"/>
          <w14:textFill>
            <w14:solidFill>
              <w14:schemeClr w14:val="tx1"/>
            </w14:solidFill>
          </w14:textFill>
        </w:rPr>
      </w:pPr>
    </w:p>
    <w:p w14:paraId="1D2B7311">
      <w:r>
        <w:br w:type="page"/>
      </w:r>
    </w:p>
    <w:p w14:paraId="26EA0F7F">
      <w:pPr>
        <w:pStyle w:val="43"/>
        <w:sectPr>
          <w:pgSz w:w="11907" w:h="16840"/>
          <w:pgMar w:top="1276" w:right="1474" w:bottom="1242" w:left="1474" w:header="720" w:footer="720" w:gutter="0"/>
          <w:cols w:space="720" w:num="1"/>
          <w:docGrid w:linePitch="285" w:charSpace="0"/>
        </w:sectPr>
      </w:pPr>
    </w:p>
    <w:bookmarkEnd w:id="95"/>
    <w:p w14:paraId="7C613713">
      <w:pPr>
        <w:pStyle w:val="43"/>
        <w:ind w:left="143" w:leftChars="68" w:firstLine="0" w:firstLineChars="0"/>
        <w:jc w:val="left"/>
        <w:rPr>
          <w:szCs w:val="21"/>
        </w:rPr>
      </w:pPr>
      <w:bookmarkStart w:id="99" w:name="_Toc460416594"/>
      <w:bookmarkStart w:id="100" w:name="_Toc460857895"/>
    </w:p>
    <w:bookmarkEnd w:id="99"/>
    <w:bookmarkEnd w:id="100"/>
    <w:p w14:paraId="388AE018">
      <w:pPr>
        <w:pStyle w:val="3"/>
        <w:spacing w:before="0" w:after="0" w:line="360" w:lineRule="auto"/>
        <w:jc w:val="center"/>
        <w:rPr>
          <w:sz w:val="30"/>
        </w:rPr>
      </w:pPr>
      <w:bookmarkStart w:id="101" w:name="_Toc24217"/>
      <w:bookmarkStart w:id="102" w:name="_Toc13985"/>
      <w:bookmarkStart w:id="103" w:name="_Toc18"/>
      <w:r>
        <w:rPr>
          <w:rFonts w:hint="eastAsia"/>
          <w:sz w:val="30"/>
        </w:rPr>
        <w:t xml:space="preserve">第四章   </w:t>
      </w:r>
      <w:bookmarkStart w:id="104" w:name="_Toc184308103"/>
      <w:bookmarkEnd w:id="104"/>
      <w:bookmarkStart w:id="105" w:name="_Toc184308074"/>
      <w:bookmarkEnd w:id="105"/>
      <w:bookmarkStart w:id="106" w:name="_Toc184310315"/>
      <w:bookmarkEnd w:id="106"/>
      <w:bookmarkStart w:id="107" w:name="_Toc184312092"/>
      <w:bookmarkEnd w:id="107"/>
      <w:bookmarkStart w:id="108" w:name="_Toc184314458"/>
      <w:bookmarkEnd w:id="108"/>
      <w:bookmarkStart w:id="109" w:name="_Toc184308054"/>
      <w:bookmarkEnd w:id="109"/>
      <w:bookmarkStart w:id="110" w:name="_Toc184313254"/>
      <w:bookmarkEnd w:id="110"/>
      <w:bookmarkStart w:id="111" w:name="_Toc184313278"/>
      <w:bookmarkEnd w:id="111"/>
      <w:bookmarkStart w:id="112" w:name="_Toc184308046"/>
      <w:bookmarkEnd w:id="112"/>
      <w:bookmarkStart w:id="113" w:name="_Toc184310322"/>
      <w:bookmarkEnd w:id="113"/>
      <w:bookmarkStart w:id="114" w:name="_Toc184314457"/>
      <w:bookmarkEnd w:id="114"/>
      <w:bookmarkStart w:id="115" w:name="_Toc184310290"/>
      <w:bookmarkEnd w:id="115"/>
      <w:bookmarkStart w:id="116" w:name="_Toc184310333"/>
      <w:bookmarkEnd w:id="116"/>
      <w:bookmarkStart w:id="117" w:name="_Toc184310340"/>
      <w:bookmarkEnd w:id="117"/>
      <w:bookmarkStart w:id="118" w:name="_Toc184308071"/>
      <w:bookmarkEnd w:id="118"/>
      <w:bookmarkStart w:id="119" w:name="_Toc184314456"/>
      <w:bookmarkEnd w:id="119"/>
      <w:bookmarkStart w:id="120" w:name="_Toc184313283"/>
      <w:bookmarkEnd w:id="120"/>
      <w:bookmarkStart w:id="121" w:name="_Toc184314448"/>
      <w:bookmarkEnd w:id="121"/>
      <w:bookmarkStart w:id="122" w:name="_Toc184310278"/>
      <w:bookmarkEnd w:id="122"/>
      <w:bookmarkStart w:id="123" w:name="_Toc184314411"/>
      <w:bookmarkEnd w:id="123"/>
      <w:bookmarkStart w:id="124" w:name="_Toc184312107"/>
      <w:bookmarkEnd w:id="124"/>
      <w:bookmarkStart w:id="125" w:name="_Toc184314429"/>
      <w:bookmarkEnd w:id="125"/>
      <w:bookmarkStart w:id="126" w:name="_Toc184313265"/>
      <w:bookmarkEnd w:id="126"/>
      <w:bookmarkStart w:id="127" w:name="_Toc184308099"/>
      <w:bookmarkEnd w:id="127"/>
      <w:bookmarkStart w:id="128" w:name="_Toc184308042"/>
      <w:bookmarkEnd w:id="128"/>
      <w:bookmarkStart w:id="129" w:name="_Toc184310341"/>
      <w:bookmarkEnd w:id="129"/>
      <w:bookmarkStart w:id="130" w:name="_Toc184312119"/>
      <w:bookmarkEnd w:id="130"/>
      <w:bookmarkStart w:id="131" w:name="_Toc184313271"/>
      <w:bookmarkEnd w:id="131"/>
      <w:bookmarkStart w:id="132" w:name="_Toc184308092"/>
      <w:bookmarkEnd w:id="132"/>
      <w:bookmarkStart w:id="133" w:name="_Toc184308041"/>
      <w:bookmarkEnd w:id="133"/>
      <w:bookmarkStart w:id="134" w:name="_Toc184312120"/>
      <w:bookmarkEnd w:id="134"/>
      <w:bookmarkStart w:id="135" w:name="_Toc184308039"/>
      <w:bookmarkEnd w:id="135"/>
      <w:bookmarkStart w:id="136" w:name="_Toc184312108"/>
      <w:bookmarkEnd w:id="136"/>
      <w:bookmarkStart w:id="137" w:name="_Toc184308061"/>
      <w:bookmarkEnd w:id="137"/>
      <w:bookmarkStart w:id="138" w:name="_Toc184308108"/>
      <w:bookmarkEnd w:id="138"/>
      <w:bookmarkStart w:id="139" w:name="_Toc184308049"/>
      <w:bookmarkEnd w:id="139"/>
      <w:bookmarkStart w:id="140" w:name="_Toc184310314"/>
      <w:bookmarkEnd w:id="140"/>
      <w:bookmarkStart w:id="141" w:name="_Toc184312083"/>
      <w:bookmarkEnd w:id="141"/>
      <w:bookmarkStart w:id="142" w:name="_Toc184312097"/>
      <w:bookmarkEnd w:id="142"/>
      <w:bookmarkStart w:id="143" w:name="_Toc184312106"/>
      <w:bookmarkEnd w:id="143"/>
      <w:bookmarkStart w:id="144" w:name="_Toc184312081"/>
      <w:bookmarkEnd w:id="144"/>
      <w:bookmarkStart w:id="145" w:name="_Toc184313298"/>
      <w:bookmarkEnd w:id="145"/>
      <w:bookmarkStart w:id="146" w:name="_Toc184310273"/>
      <w:bookmarkEnd w:id="146"/>
      <w:bookmarkStart w:id="147" w:name="_Toc184313264"/>
      <w:bookmarkEnd w:id="147"/>
      <w:bookmarkStart w:id="148" w:name="_Toc184313266"/>
      <w:bookmarkEnd w:id="148"/>
      <w:bookmarkStart w:id="149" w:name="_Toc184310318"/>
      <w:bookmarkEnd w:id="149"/>
      <w:bookmarkStart w:id="150" w:name="_Toc184314475"/>
      <w:bookmarkEnd w:id="150"/>
      <w:bookmarkStart w:id="151" w:name="_Toc184308091"/>
      <w:bookmarkEnd w:id="151"/>
      <w:bookmarkStart w:id="152" w:name="_Toc184313284"/>
      <w:bookmarkEnd w:id="152"/>
      <w:bookmarkStart w:id="153" w:name="_Toc184313310"/>
      <w:bookmarkEnd w:id="153"/>
      <w:bookmarkStart w:id="154" w:name="_Toc184308059"/>
      <w:bookmarkEnd w:id="154"/>
      <w:bookmarkStart w:id="155" w:name="_Toc184314445"/>
      <w:bookmarkEnd w:id="155"/>
      <w:bookmarkStart w:id="156" w:name="_Toc184313289"/>
      <w:bookmarkEnd w:id="156"/>
      <w:bookmarkStart w:id="157" w:name="_Toc184308038"/>
      <w:bookmarkEnd w:id="157"/>
      <w:bookmarkStart w:id="158" w:name="_Toc184312104"/>
      <w:bookmarkEnd w:id="158"/>
      <w:bookmarkStart w:id="159" w:name="_Toc184310328"/>
      <w:bookmarkEnd w:id="159"/>
      <w:bookmarkStart w:id="160" w:name="_Toc184314443"/>
      <w:bookmarkEnd w:id="160"/>
      <w:bookmarkStart w:id="161" w:name="_Toc184308066"/>
      <w:bookmarkEnd w:id="161"/>
      <w:bookmarkStart w:id="162" w:name="_Toc184308076"/>
      <w:bookmarkEnd w:id="162"/>
      <w:bookmarkStart w:id="163" w:name="_Toc184312100"/>
      <w:bookmarkEnd w:id="163"/>
      <w:bookmarkStart w:id="164" w:name="_Toc184313307"/>
      <w:bookmarkEnd w:id="164"/>
      <w:bookmarkStart w:id="165" w:name="_Toc184314446"/>
      <w:bookmarkEnd w:id="165"/>
      <w:bookmarkStart w:id="166" w:name="_Toc184312067"/>
      <w:bookmarkEnd w:id="166"/>
      <w:bookmarkStart w:id="167" w:name="_Toc184312091"/>
      <w:bookmarkEnd w:id="167"/>
      <w:bookmarkStart w:id="168" w:name="_Toc184308047"/>
      <w:bookmarkEnd w:id="168"/>
      <w:bookmarkStart w:id="169" w:name="_Toc184312112"/>
      <w:bookmarkEnd w:id="169"/>
      <w:bookmarkStart w:id="170" w:name="_Toc184314454"/>
      <w:bookmarkEnd w:id="170"/>
      <w:bookmarkStart w:id="171" w:name="_Toc184312136"/>
      <w:bookmarkEnd w:id="171"/>
      <w:bookmarkStart w:id="172" w:name="_Toc184308079"/>
      <w:bookmarkEnd w:id="172"/>
      <w:bookmarkStart w:id="173" w:name="_Toc184314471"/>
      <w:bookmarkEnd w:id="173"/>
      <w:bookmarkStart w:id="174" w:name="_Toc184310307"/>
      <w:bookmarkEnd w:id="174"/>
      <w:bookmarkStart w:id="175" w:name="_Toc184314479"/>
      <w:bookmarkEnd w:id="175"/>
      <w:bookmarkStart w:id="176" w:name="_Toc184308068"/>
      <w:bookmarkEnd w:id="176"/>
      <w:bookmarkStart w:id="177" w:name="_Toc184308040"/>
      <w:bookmarkEnd w:id="177"/>
      <w:bookmarkStart w:id="178" w:name="_Toc184314433"/>
      <w:bookmarkEnd w:id="178"/>
      <w:bookmarkStart w:id="179" w:name="_Toc184310304"/>
      <w:bookmarkEnd w:id="179"/>
      <w:bookmarkStart w:id="180" w:name="_Toc184310344"/>
      <w:bookmarkEnd w:id="180"/>
      <w:bookmarkStart w:id="181" w:name="_Toc184312071"/>
      <w:bookmarkEnd w:id="181"/>
      <w:bookmarkStart w:id="182" w:name="_Toc184310331"/>
      <w:bookmarkEnd w:id="182"/>
      <w:bookmarkStart w:id="183" w:name="_Toc184312082"/>
      <w:bookmarkEnd w:id="183"/>
      <w:bookmarkStart w:id="184" w:name="_Toc184310272"/>
      <w:bookmarkEnd w:id="184"/>
      <w:bookmarkStart w:id="185" w:name="_Toc184312139"/>
      <w:bookmarkEnd w:id="185"/>
      <w:bookmarkStart w:id="186" w:name="_Toc184308056"/>
      <w:bookmarkEnd w:id="186"/>
      <w:bookmarkStart w:id="187" w:name="_Toc184313248"/>
      <w:bookmarkEnd w:id="187"/>
      <w:bookmarkStart w:id="188" w:name="_Toc184310300"/>
      <w:bookmarkEnd w:id="188"/>
      <w:bookmarkStart w:id="189" w:name="_Toc184313249"/>
      <w:bookmarkEnd w:id="189"/>
      <w:bookmarkStart w:id="190" w:name="_Toc184310332"/>
      <w:bookmarkEnd w:id="190"/>
      <w:bookmarkStart w:id="191" w:name="_Toc184313304"/>
      <w:bookmarkEnd w:id="191"/>
      <w:bookmarkStart w:id="192" w:name="_Toc184314435"/>
      <w:bookmarkEnd w:id="192"/>
      <w:bookmarkStart w:id="193" w:name="_Toc184312111"/>
      <w:bookmarkEnd w:id="193"/>
      <w:bookmarkStart w:id="194" w:name="_Toc184313251"/>
      <w:bookmarkEnd w:id="194"/>
      <w:bookmarkStart w:id="195" w:name="_Toc184312102"/>
      <w:bookmarkEnd w:id="195"/>
      <w:bookmarkStart w:id="196" w:name="_Toc184313308"/>
      <w:bookmarkEnd w:id="196"/>
      <w:bookmarkStart w:id="197" w:name="_Toc184308083"/>
      <w:bookmarkEnd w:id="197"/>
      <w:bookmarkStart w:id="198" w:name="_Toc184308082"/>
      <w:bookmarkEnd w:id="198"/>
      <w:bookmarkStart w:id="199" w:name="_Toc184314470"/>
      <w:bookmarkEnd w:id="199"/>
      <w:bookmarkStart w:id="200" w:name="_Toc184308070"/>
      <w:bookmarkEnd w:id="200"/>
      <w:bookmarkStart w:id="201" w:name="_Toc184308080"/>
      <w:bookmarkEnd w:id="201"/>
      <w:bookmarkStart w:id="202" w:name="_Toc184314412"/>
      <w:bookmarkEnd w:id="202"/>
      <w:bookmarkStart w:id="203" w:name="_Toc184308072"/>
      <w:bookmarkEnd w:id="203"/>
      <w:bookmarkStart w:id="204" w:name="_Toc184314477"/>
      <w:bookmarkEnd w:id="204"/>
      <w:bookmarkStart w:id="205" w:name="_Toc184314431"/>
      <w:bookmarkEnd w:id="205"/>
      <w:bookmarkStart w:id="206" w:name="_Toc184313305"/>
      <w:bookmarkEnd w:id="206"/>
      <w:bookmarkStart w:id="207" w:name="_Toc184312077"/>
      <w:bookmarkEnd w:id="207"/>
      <w:bookmarkStart w:id="208" w:name="_Toc184310299"/>
      <w:bookmarkEnd w:id="208"/>
      <w:bookmarkStart w:id="209" w:name="_Toc184313263"/>
      <w:bookmarkEnd w:id="209"/>
      <w:bookmarkStart w:id="210" w:name="_Toc184313294"/>
      <w:bookmarkEnd w:id="210"/>
      <w:bookmarkStart w:id="211" w:name="_Toc184310296"/>
      <w:bookmarkEnd w:id="211"/>
      <w:bookmarkStart w:id="212" w:name="_Toc184314476"/>
      <w:bookmarkEnd w:id="212"/>
      <w:bookmarkStart w:id="213" w:name="_Toc184310313"/>
      <w:bookmarkEnd w:id="213"/>
      <w:bookmarkStart w:id="214" w:name="_Toc184310293"/>
      <w:bookmarkEnd w:id="214"/>
      <w:bookmarkStart w:id="215" w:name="_Toc184314413"/>
      <w:bookmarkEnd w:id="215"/>
      <w:bookmarkStart w:id="216" w:name="_Toc184310326"/>
      <w:bookmarkEnd w:id="216"/>
      <w:bookmarkStart w:id="217" w:name="_Toc184312110"/>
      <w:bookmarkEnd w:id="217"/>
      <w:bookmarkStart w:id="218" w:name="_Toc184312131"/>
      <w:bookmarkEnd w:id="218"/>
      <w:bookmarkStart w:id="219" w:name="_Toc184308055"/>
      <w:bookmarkEnd w:id="219"/>
      <w:bookmarkStart w:id="220" w:name="_Toc184312068"/>
      <w:bookmarkEnd w:id="220"/>
      <w:bookmarkStart w:id="221" w:name="_Toc184314473"/>
      <w:bookmarkEnd w:id="221"/>
      <w:bookmarkStart w:id="222" w:name="_Toc184308098"/>
      <w:bookmarkEnd w:id="222"/>
      <w:bookmarkStart w:id="223" w:name="_Toc184313247"/>
      <w:bookmarkEnd w:id="223"/>
      <w:bookmarkStart w:id="224" w:name="_Toc184312135"/>
      <w:bookmarkEnd w:id="224"/>
      <w:bookmarkStart w:id="225" w:name="_Toc184312074"/>
      <w:bookmarkEnd w:id="225"/>
      <w:bookmarkStart w:id="226" w:name="_Toc184312137"/>
      <w:bookmarkEnd w:id="226"/>
      <w:bookmarkStart w:id="227" w:name="_Toc184313242"/>
      <w:bookmarkEnd w:id="227"/>
      <w:bookmarkStart w:id="228" w:name="_Toc184313291"/>
      <w:bookmarkEnd w:id="228"/>
      <w:bookmarkStart w:id="229" w:name="_Toc184312079"/>
      <w:bookmarkEnd w:id="229"/>
      <w:bookmarkStart w:id="230" w:name="_Toc184312101"/>
      <w:bookmarkEnd w:id="230"/>
      <w:bookmarkStart w:id="231" w:name="_Toc184308058"/>
      <w:bookmarkEnd w:id="231"/>
      <w:bookmarkStart w:id="232" w:name="_Toc184314417"/>
      <w:bookmarkEnd w:id="232"/>
      <w:bookmarkStart w:id="233" w:name="_Toc184310311"/>
      <w:bookmarkEnd w:id="233"/>
      <w:bookmarkStart w:id="234" w:name="_Toc184308081"/>
      <w:bookmarkEnd w:id="234"/>
      <w:bookmarkStart w:id="235" w:name="_Toc184313290"/>
      <w:bookmarkEnd w:id="235"/>
      <w:bookmarkStart w:id="236" w:name="_Toc184313272"/>
      <w:bookmarkEnd w:id="236"/>
      <w:bookmarkStart w:id="237" w:name="_Toc184312075"/>
      <w:bookmarkEnd w:id="237"/>
      <w:bookmarkStart w:id="238" w:name="_Toc184313239"/>
      <w:bookmarkEnd w:id="238"/>
      <w:bookmarkStart w:id="239" w:name="_Toc184314472"/>
      <w:bookmarkEnd w:id="239"/>
      <w:bookmarkStart w:id="240" w:name="_Toc184313269"/>
      <w:bookmarkEnd w:id="240"/>
      <w:bookmarkStart w:id="241" w:name="_Toc184313246"/>
      <w:bookmarkEnd w:id="241"/>
      <w:bookmarkStart w:id="242" w:name="_Toc184313303"/>
      <w:bookmarkEnd w:id="242"/>
      <w:bookmarkStart w:id="243" w:name="_Toc184312125"/>
      <w:bookmarkEnd w:id="243"/>
      <w:bookmarkStart w:id="244" w:name="_Toc184314420"/>
      <w:bookmarkEnd w:id="244"/>
      <w:bookmarkStart w:id="245" w:name="_Toc184310285"/>
      <w:bookmarkEnd w:id="245"/>
      <w:bookmarkStart w:id="246" w:name="_Toc184313282"/>
      <w:bookmarkEnd w:id="246"/>
      <w:bookmarkStart w:id="247" w:name="_Toc184312084"/>
      <w:bookmarkEnd w:id="247"/>
      <w:bookmarkStart w:id="248" w:name="_Toc184312090"/>
      <w:bookmarkEnd w:id="248"/>
      <w:bookmarkStart w:id="249" w:name="_Toc184312095"/>
      <w:bookmarkEnd w:id="249"/>
      <w:bookmarkStart w:id="250" w:name="_Toc184310276"/>
      <w:bookmarkEnd w:id="250"/>
      <w:bookmarkStart w:id="251" w:name="_Toc184314440"/>
      <w:bookmarkEnd w:id="251"/>
      <w:bookmarkStart w:id="252" w:name="_Toc184310337"/>
      <w:bookmarkEnd w:id="252"/>
      <w:bookmarkStart w:id="253" w:name="_Toc184310329"/>
      <w:bookmarkEnd w:id="253"/>
      <w:bookmarkStart w:id="254" w:name="_Toc184313286"/>
      <w:bookmarkEnd w:id="254"/>
      <w:bookmarkStart w:id="255" w:name="_Toc184313274"/>
      <w:bookmarkEnd w:id="255"/>
      <w:bookmarkStart w:id="256" w:name="_Toc184313258"/>
      <w:bookmarkEnd w:id="256"/>
      <w:bookmarkStart w:id="257" w:name="_Toc184314414"/>
      <w:bookmarkEnd w:id="257"/>
      <w:bookmarkStart w:id="258" w:name="_Toc184312076"/>
      <w:bookmarkEnd w:id="258"/>
      <w:bookmarkStart w:id="259" w:name="_Toc184313245"/>
      <w:bookmarkEnd w:id="259"/>
      <w:bookmarkStart w:id="260" w:name="_Toc184310294"/>
      <w:bookmarkEnd w:id="260"/>
      <w:bookmarkStart w:id="261" w:name="_Toc184312086"/>
      <w:bookmarkEnd w:id="261"/>
      <w:bookmarkStart w:id="262" w:name="_Toc184312094"/>
      <w:bookmarkEnd w:id="262"/>
      <w:bookmarkStart w:id="263" w:name="_Toc184310321"/>
      <w:bookmarkEnd w:id="263"/>
      <w:bookmarkStart w:id="264" w:name="_Toc184310323"/>
      <w:bookmarkEnd w:id="264"/>
      <w:bookmarkStart w:id="265" w:name="_Toc184310292"/>
      <w:bookmarkEnd w:id="265"/>
      <w:bookmarkStart w:id="266" w:name="_Toc184313309"/>
      <w:bookmarkEnd w:id="266"/>
      <w:bookmarkStart w:id="267" w:name="_Toc184308063"/>
      <w:bookmarkEnd w:id="267"/>
      <w:bookmarkStart w:id="268" w:name="_Toc184310312"/>
      <w:bookmarkEnd w:id="268"/>
      <w:bookmarkStart w:id="269" w:name="_Toc184313301"/>
      <w:bookmarkEnd w:id="269"/>
      <w:bookmarkStart w:id="270" w:name="_Toc184314482"/>
      <w:bookmarkEnd w:id="270"/>
      <w:bookmarkStart w:id="271" w:name="_Toc184313293"/>
      <w:bookmarkEnd w:id="271"/>
      <w:bookmarkStart w:id="272" w:name="_Toc184308044"/>
      <w:bookmarkEnd w:id="272"/>
      <w:bookmarkStart w:id="273" w:name="_Toc184312073"/>
      <w:bookmarkEnd w:id="273"/>
      <w:bookmarkStart w:id="274" w:name="_Toc184313255"/>
      <w:bookmarkEnd w:id="274"/>
      <w:bookmarkStart w:id="275" w:name="_Toc184308048"/>
      <w:bookmarkEnd w:id="275"/>
      <w:bookmarkStart w:id="276" w:name="_Toc184314424"/>
      <w:bookmarkEnd w:id="276"/>
      <w:bookmarkStart w:id="277" w:name="_Toc184313306"/>
      <w:bookmarkEnd w:id="277"/>
      <w:bookmarkStart w:id="278" w:name="_Toc184312130"/>
      <w:bookmarkEnd w:id="278"/>
      <w:bookmarkStart w:id="279" w:name="_Toc184313259"/>
      <w:bookmarkEnd w:id="279"/>
      <w:bookmarkStart w:id="280" w:name="_Toc184314426"/>
      <w:bookmarkEnd w:id="280"/>
      <w:bookmarkStart w:id="281" w:name="_Toc184314463"/>
      <w:bookmarkEnd w:id="281"/>
      <w:bookmarkStart w:id="282" w:name="_Toc184308102"/>
      <w:bookmarkEnd w:id="282"/>
      <w:bookmarkStart w:id="283" w:name="_Toc184308104"/>
      <w:bookmarkEnd w:id="283"/>
      <w:bookmarkStart w:id="284" w:name="_Toc184313257"/>
      <w:bookmarkEnd w:id="284"/>
      <w:bookmarkStart w:id="285" w:name="_Toc184312124"/>
      <w:bookmarkEnd w:id="285"/>
      <w:bookmarkStart w:id="286" w:name="_Toc184308093"/>
      <w:bookmarkEnd w:id="286"/>
      <w:bookmarkStart w:id="287" w:name="_Toc184308053"/>
      <w:bookmarkEnd w:id="287"/>
      <w:bookmarkStart w:id="288" w:name="_Toc184314439"/>
      <w:bookmarkEnd w:id="288"/>
      <w:bookmarkStart w:id="289" w:name="_Toc184310286"/>
      <w:bookmarkEnd w:id="289"/>
      <w:bookmarkStart w:id="290" w:name="_Toc184314444"/>
      <w:bookmarkEnd w:id="290"/>
      <w:bookmarkStart w:id="291" w:name="_Toc184310338"/>
      <w:bookmarkEnd w:id="291"/>
      <w:bookmarkStart w:id="292" w:name="_Toc184313244"/>
      <w:bookmarkEnd w:id="292"/>
      <w:bookmarkStart w:id="293" w:name="_Toc184314418"/>
      <w:bookmarkEnd w:id="293"/>
      <w:bookmarkStart w:id="294" w:name="_Toc184314451"/>
      <w:bookmarkEnd w:id="294"/>
      <w:bookmarkStart w:id="295" w:name="_Toc184310284"/>
      <w:bookmarkEnd w:id="295"/>
      <w:bookmarkStart w:id="296" w:name="_Toc184313240"/>
      <w:bookmarkEnd w:id="296"/>
      <w:bookmarkStart w:id="297" w:name="_Toc184312127"/>
      <w:bookmarkEnd w:id="297"/>
      <w:bookmarkStart w:id="298" w:name="_Toc184313281"/>
      <w:bookmarkEnd w:id="298"/>
      <w:bookmarkStart w:id="299" w:name="_Toc184312132"/>
      <w:bookmarkEnd w:id="299"/>
      <w:bookmarkStart w:id="300" w:name="_Toc184312116"/>
      <w:bookmarkEnd w:id="300"/>
      <w:bookmarkStart w:id="301" w:name="_Toc184308073"/>
      <w:bookmarkEnd w:id="301"/>
      <w:bookmarkStart w:id="302" w:name="_Toc184314442"/>
      <w:bookmarkEnd w:id="302"/>
      <w:bookmarkStart w:id="303" w:name="_Toc184310342"/>
      <w:bookmarkEnd w:id="303"/>
      <w:bookmarkStart w:id="304" w:name="_Toc184312129"/>
      <w:bookmarkEnd w:id="304"/>
      <w:bookmarkStart w:id="305" w:name="_Toc184308036"/>
      <w:bookmarkEnd w:id="305"/>
      <w:bookmarkStart w:id="306" w:name="_Toc184310330"/>
      <w:bookmarkEnd w:id="306"/>
      <w:bookmarkStart w:id="307" w:name="_Toc184314460"/>
      <w:bookmarkEnd w:id="307"/>
      <w:bookmarkStart w:id="308" w:name="_Toc184308062"/>
      <w:bookmarkEnd w:id="308"/>
      <w:bookmarkStart w:id="309" w:name="_Toc184314428"/>
      <w:bookmarkEnd w:id="309"/>
      <w:bookmarkStart w:id="310" w:name="_Toc184308043"/>
      <w:bookmarkEnd w:id="310"/>
      <w:bookmarkStart w:id="311" w:name="_Toc184312078"/>
      <w:bookmarkEnd w:id="311"/>
      <w:bookmarkStart w:id="312" w:name="_Toc184314453"/>
      <w:bookmarkEnd w:id="312"/>
      <w:bookmarkStart w:id="313" w:name="_Toc184314474"/>
      <w:bookmarkEnd w:id="313"/>
      <w:bookmarkStart w:id="314" w:name="_Toc184314466"/>
      <w:bookmarkEnd w:id="314"/>
      <w:bookmarkStart w:id="315" w:name="_Toc184314434"/>
      <w:bookmarkEnd w:id="315"/>
      <w:bookmarkStart w:id="316" w:name="_Toc184312113"/>
      <w:bookmarkEnd w:id="316"/>
      <w:bookmarkStart w:id="317" w:name="_Toc184310325"/>
      <w:bookmarkEnd w:id="317"/>
      <w:bookmarkStart w:id="318" w:name="_Toc184308086"/>
      <w:bookmarkEnd w:id="318"/>
      <w:bookmarkStart w:id="319" w:name="_Toc184314422"/>
      <w:bookmarkEnd w:id="319"/>
      <w:bookmarkStart w:id="320" w:name="_Toc184312109"/>
      <w:bookmarkEnd w:id="320"/>
      <w:bookmarkStart w:id="321" w:name="_Toc184313268"/>
      <w:bookmarkEnd w:id="321"/>
      <w:bookmarkStart w:id="322" w:name="_Toc184313275"/>
      <w:bookmarkEnd w:id="322"/>
      <w:bookmarkStart w:id="323" w:name="_Toc184313288"/>
      <w:bookmarkEnd w:id="323"/>
      <w:bookmarkStart w:id="324" w:name="_Toc184313300"/>
      <w:bookmarkEnd w:id="324"/>
      <w:bookmarkStart w:id="325" w:name="_Toc184312122"/>
      <w:bookmarkEnd w:id="325"/>
      <w:bookmarkStart w:id="326" w:name="_Toc184308067"/>
      <w:bookmarkEnd w:id="326"/>
      <w:bookmarkStart w:id="327" w:name="_Toc184308097"/>
      <w:bookmarkEnd w:id="327"/>
      <w:bookmarkStart w:id="328" w:name="_Toc184308106"/>
      <w:bookmarkEnd w:id="328"/>
      <w:bookmarkStart w:id="329" w:name="_Toc184313297"/>
      <w:bookmarkEnd w:id="329"/>
      <w:bookmarkStart w:id="330" w:name="_Toc184313250"/>
      <w:bookmarkEnd w:id="330"/>
      <w:bookmarkStart w:id="331" w:name="_Toc184312114"/>
      <w:bookmarkEnd w:id="331"/>
      <w:bookmarkStart w:id="332" w:name="_Toc184308087"/>
      <w:bookmarkEnd w:id="332"/>
      <w:bookmarkStart w:id="333" w:name="_Toc184314421"/>
      <w:bookmarkEnd w:id="333"/>
      <w:bookmarkStart w:id="334" w:name="_Toc184313241"/>
      <w:bookmarkEnd w:id="334"/>
      <w:bookmarkStart w:id="335" w:name="_Toc184310280"/>
      <w:bookmarkEnd w:id="335"/>
      <w:bookmarkStart w:id="336" w:name="_Toc184310306"/>
      <w:bookmarkEnd w:id="336"/>
      <w:bookmarkStart w:id="337" w:name="_Toc184313260"/>
      <w:bookmarkEnd w:id="337"/>
      <w:bookmarkStart w:id="338" w:name="_Toc184314437"/>
      <w:bookmarkEnd w:id="338"/>
      <w:bookmarkStart w:id="339" w:name="_Toc184308090"/>
      <w:bookmarkEnd w:id="339"/>
      <w:bookmarkStart w:id="340" w:name="_Toc184313292"/>
      <w:bookmarkEnd w:id="340"/>
      <w:bookmarkStart w:id="341" w:name="_Toc184314449"/>
      <w:bookmarkEnd w:id="341"/>
      <w:bookmarkStart w:id="342" w:name="_Toc184312096"/>
      <w:bookmarkEnd w:id="342"/>
      <w:bookmarkStart w:id="343" w:name="_Toc184310303"/>
      <w:bookmarkEnd w:id="343"/>
      <w:bookmarkStart w:id="344" w:name="_Toc184310339"/>
      <w:bookmarkEnd w:id="344"/>
      <w:bookmarkStart w:id="345" w:name="_Toc184308084"/>
      <w:bookmarkEnd w:id="345"/>
      <w:bookmarkStart w:id="346" w:name="_Toc184314478"/>
      <w:bookmarkEnd w:id="346"/>
      <w:bookmarkStart w:id="347" w:name="_Toc184308105"/>
      <w:bookmarkEnd w:id="347"/>
      <w:bookmarkStart w:id="348" w:name="_Toc184310310"/>
      <w:bookmarkEnd w:id="348"/>
      <w:bookmarkStart w:id="349" w:name="_Toc184310327"/>
      <w:bookmarkEnd w:id="349"/>
      <w:bookmarkStart w:id="350" w:name="_Toc184314410"/>
      <w:bookmarkEnd w:id="350"/>
      <w:bookmarkStart w:id="351" w:name="_Toc184314447"/>
      <w:bookmarkEnd w:id="351"/>
      <w:bookmarkStart w:id="352" w:name="_Toc184313262"/>
      <w:bookmarkEnd w:id="352"/>
      <w:bookmarkStart w:id="353" w:name="_Toc184310305"/>
      <w:bookmarkEnd w:id="353"/>
      <w:bookmarkStart w:id="354" w:name="_Toc184313277"/>
      <w:bookmarkEnd w:id="354"/>
      <w:bookmarkStart w:id="355" w:name="_Toc184314432"/>
      <w:bookmarkEnd w:id="355"/>
      <w:bookmarkStart w:id="356" w:name="_Toc184313243"/>
      <w:bookmarkEnd w:id="356"/>
      <w:bookmarkStart w:id="357" w:name="_Toc184312099"/>
      <w:bookmarkEnd w:id="357"/>
      <w:bookmarkStart w:id="358" w:name="_Toc184314415"/>
      <w:bookmarkEnd w:id="358"/>
      <w:bookmarkStart w:id="359" w:name="_Toc184314468"/>
      <w:bookmarkEnd w:id="359"/>
      <w:bookmarkStart w:id="360" w:name="_Toc184314461"/>
      <w:bookmarkEnd w:id="360"/>
      <w:bookmarkStart w:id="361" w:name="_Toc184313253"/>
      <w:bookmarkEnd w:id="361"/>
      <w:bookmarkStart w:id="362" w:name="_Toc184308096"/>
      <w:bookmarkEnd w:id="362"/>
      <w:bookmarkStart w:id="363" w:name="_Toc184310319"/>
      <w:bookmarkEnd w:id="363"/>
      <w:bookmarkStart w:id="364" w:name="_Toc184308101"/>
      <w:bookmarkEnd w:id="364"/>
      <w:bookmarkStart w:id="365" w:name="_Toc184310302"/>
      <w:bookmarkEnd w:id="365"/>
      <w:bookmarkStart w:id="366" w:name="_Toc184312123"/>
      <w:bookmarkEnd w:id="366"/>
      <w:bookmarkStart w:id="367" w:name="_Toc184308069"/>
      <w:bookmarkEnd w:id="367"/>
      <w:bookmarkStart w:id="368" w:name="_Toc184310317"/>
      <w:bookmarkEnd w:id="368"/>
      <w:bookmarkStart w:id="369" w:name="_Toc184312098"/>
      <w:bookmarkEnd w:id="369"/>
      <w:bookmarkStart w:id="370" w:name="_Toc184308089"/>
      <w:bookmarkEnd w:id="370"/>
      <w:bookmarkStart w:id="371" w:name="_Toc184314459"/>
      <w:bookmarkEnd w:id="371"/>
      <w:bookmarkStart w:id="372" w:name="_Toc184310277"/>
      <w:bookmarkEnd w:id="372"/>
      <w:bookmarkStart w:id="373" w:name="_Toc184308095"/>
      <w:bookmarkEnd w:id="373"/>
      <w:bookmarkStart w:id="374" w:name="_Toc184310274"/>
      <w:bookmarkEnd w:id="374"/>
      <w:bookmarkStart w:id="375" w:name="_Toc184310288"/>
      <w:bookmarkEnd w:id="375"/>
      <w:bookmarkStart w:id="376" w:name="_Toc184310289"/>
      <w:bookmarkEnd w:id="376"/>
      <w:bookmarkStart w:id="377" w:name="_Toc184310287"/>
      <w:bookmarkEnd w:id="377"/>
      <w:bookmarkStart w:id="378" w:name="_Toc184314438"/>
      <w:bookmarkEnd w:id="378"/>
      <w:bookmarkStart w:id="379" w:name="_Toc184312105"/>
      <w:bookmarkEnd w:id="379"/>
      <w:bookmarkStart w:id="380" w:name="_Toc184312103"/>
      <w:bookmarkEnd w:id="380"/>
      <w:bookmarkStart w:id="381" w:name="_Toc184308100"/>
      <w:bookmarkEnd w:id="381"/>
      <w:bookmarkStart w:id="382" w:name="_Toc184314455"/>
      <w:bookmarkEnd w:id="382"/>
      <w:bookmarkStart w:id="383" w:name="_Toc184313273"/>
      <w:bookmarkEnd w:id="383"/>
      <w:bookmarkStart w:id="384" w:name="_Toc184314450"/>
      <w:bookmarkEnd w:id="384"/>
      <w:bookmarkStart w:id="385" w:name="_Toc184310335"/>
      <w:bookmarkEnd w:id="385"/>
      <w:bookmarkStart w:id="386" w:name="_Toc184312138"/>
      <w:bookmarkEnd w:id="386"/>
      <w:bookmarkStart w:id="387" w:name="_Toc184310309"/>
      <w:bookmarkEnd w:id="387"/>
      <w:bookmarkStart w:id="388" w:name="_Toc184314423"/>
      <w:bookmarkEnd w:id="388"/>
      <w:bookmarkStart w:id="389" w:name="_Toc184312093"/>
      <w:bookmarkEnd w:id="389"/>
      <w:bookmarkStart w:id="390" w:name="_Toc184310275"/>
      <w:bookmarkEnd w:id="390"/>
      <w:bookmarkStart w:id="391" w:name="_Toc184308078"/>
      <w:bookmarkEnd w:id="391"/>
      <w:bookmarkStart w:id="392" w:name="_Toc184314430"/>
      <w:bookmarkEnd w:id="392"/>
      <w:bookmarkStart w:id="393" w:name="_Toc184314480"/>
      <w:bookmarkEnd w:id="393"/>
      <w:bookmarkStart w:id="394" w:name="_Toc184310336"/>
      <w:bookmarkEnd w:id="394"/>
      <w:bookmarkStart w:id="395" w:name="_Toc184314481"/>
      <w:bookmarkEnd w:id="395"/>
      <w:bookmarkStart w:id="396" w:name="_Toc184308075"/>
      <w:bookmarkEnd w:id="396"/>
      <w:bookmarkStart w:id="397" w:name="_Toc184312069"/>
      <w:bookmarkEnd w:id="397"/>
      <w:bookmarkStart w:id="398" w:name="_Toc184313280"/>
      <w:bookmarkEnd w:id="398"/>
      <w:bookmarkStart w:id="399" w:name="_Toc184310297"/>
      <w:bookmarkEnd w:id="399"/>
      <w:bookmarkStart w:id="400" w:name="_Toc184314441"/>
      <w:bookmarkEnd w:id="400"/>
      <w:bookmarkStart w:id="401" w:name="_Toc184313261"/>
      <w:bookmarkEnd w:id="401"/>
      <w:bookmarkStart w:id="402" w:name="_Toc184313276"/>
      <w:bookmarkEnd w:id="402"/>
      <w:bookmarkStart w:id="403" w:name="_Toc184310282"/>
      <w:bookmarkEnd w:id="403"/>
      <w:bookmarkStart w:id="404" w:name="_Toc184313279"/>
      <w:bookmarkEnd w:id="404"/>
      <w:bookmarkStart w:id="405" w:name="_Toc184313267"/>
      <w:bookmarkEnd w:id="405"/>
      <w:bookmarkStart w:id="406" w:name="_Toc184308057"/>
      <w:bookmarkEnd w:id="406"/>
      <w:bookmarkStart w:id="407" w:name="_Toc184312080"/>
      <w:bookmarkEnd w:id="407"/>
      <w:bookmarkStart w:id="408" w:name="_Toc184313302"/>
      <w:bookmarkEnd w:id="408"/>
      <w:bookmarkStart w:id="409" w:name="_Toc184313285"/>
      <w:bookmarkEnd w:id="409"/>
      <w:bookmarkStart w:id="410" w:name="_Toc184308088"/>
      <w:bookmarkEnd w:id="410"/>
      <w:bookmarkStart w:id="411" w:name="_Toc184308065"/>
      <w:bookmarkEnd w:id="411"/>
      <w:bookmarkStart w:id="412" w:name="_Toc184310291"/>
      <w:bookmarkEnd w:id="412"/>
      <w:bookmarkStart w:id="413" w:name="_Toc184312133"/>
      <w:bookmarkEnd w:id="413"/>
      <w:bookmarkStart w:id="414" w:name="_Toc184314425"/>
      <w:bookmarkEnd w:id="414"/>
      <w:bookmarkStart w:id="415" w:name="_Toc184308060"/>
      <w:bookmarkEnd w:id="415"/>
      <w:bookmarkStart w:id="416" w:name="_Toc184310334"/>
      <w:bookmarkEnd w:id="416"/>
      <w:bookmarkStart w:id="417" w:name="_Toc184312072"/>
      <w:bookmarkEnd w:id="417"/>
      <w:bookmarkStart w:id="418" w:name="_Toc184308085"/>
      <w:bookmarkEnd w:id="418"/>
      <w:bookmarkStart w:id="419" w:name="_Toc184312115"/>
      <w:bookmarkEnd w:id="419"/>
      <w:bookmarkStart w:id="420" w:name="_Toc184310324"/>
      <w:bookmarkEnd w:id="420"/>
      <w:bookmarkStart w:id="421" w:name="_Toc184313256"/>
      <w:bookmarkEnd w:id="421"/>
      <w:bookmarkStart w:id="422" w:name="_Toc184312118"/>
      <w:bookmarkEnd w:id="422"/>
      <w:bookmarkStart w:id="423" w:name="_Toc184312089"/>
      <w:bookmarkEnd w:id="423"/>
      <w:bookmarkStart w:id="424" w:name="_Toc184312085"/>
      <w:bookmarkEnd w:id="424"/>
      <w:bookmarkStart w:id="425" w:name="_Toc184310279"/>
      <w:bookmarkEnd w:id="425"/>
      <w:bookmarkStart w:id="426" w:name="_Toc184308045"/>
      <w:bookmarkEnd w:id="426"/>
      <w:bookmarkStart w:id="427" w:name="_Toc184314416"/>
      <w:bookmarkEnd w:id="427"/>
      <w:bookmarkStart w:id="428" w:name="_Toc184313270"/>
      <w:bookmarkEnd w:id="428"/>
      <w:bookmarkStart w:id="429" w:name="_Toc184312087"/>
      <w:bookmarkEnd w:id="429"/>
      <w:bookmarkStart w:id="430" w:name="_Toc184314464"/>
      <w:bookmarkEnd w:id="430"/>
      <w:bookmarkStart w:id="431" w:name="_Toc184313295"/>
      <w:bookmarkEnd w:id="431"/>
      <w:bookmarkStart w:id="432" w:name="_Toc184314419"/>
      <w:bookmarkEnd w:id="432"/>
      <w:bookmarkStart w:id="433" w:name="_Toc184310281"/>
      <w:bookmarkEnd w:id="433"/>
      <w:bookmarkStart w:id="434" w:name="_Toc184312117"/>
      <w:bookmarkEnd w:id="434"/>
      <w:bookmarkStart w:id="435" w:name="_Toc184313296"/>
      <w:bookmarkEnd w:id="435"/>
      <w:bookmarkStart w:id="436" w:name="_Toc184310316"/>
      <w:bookmarkEnd w:id="436"/>
      <w:bookmarkStart w:id="437" w:name="_Toc184313299"/>
      <w:bookmarkEnd w:id="437"/>
      <w:bookmarkStart w:id="438" w:name="_Toc184308037"/>
      <w:bookmarkEnd w:id="438"/>
      <w:bookmarkStart w:id="439" w:name="_Toc184308052"/>
      <w:bookmarkEnd w:id="439"/>
      <w:bookmarkStart w:id="440" w:name="_Toc184308051"/>
      <w:bookmarkEnd w:id="440"/>
      <w:bookmarkStart w:id="441" w:name="_Toc184310295"/>
      <w:bookmarkEnd w:id="441"/>
      <w:bookmarkStart w:id="442" w:name="_Toc184314462"/>
      <w:bookmarkEnd w:id="442"/>
      <w:bookmarkStart w:id="443" w:name="_Toc184313287"/>
      <w:bookmarkEnd w:id="443"/>
      <w:bookmarkStart w:id="444" w:name="_Toc184308094"/>
      <w:bookmarkEnd w:id="444"/>
      <w:bookmarkStart w:id="445" w:name="_Toc184313238"/>
      <w:bookmarkEnd w:id="445"/>
      <w:bookmarkStart w:id="446" w:name="_Toc184314465"/>
      <w:bookmarkEnd w:id="446"/>
      <w:bookmarkStart w:id="447" w:name="_Toc184314469"/>
      <w:bookmarkEnd w:id="447"/>
      <w:bookmarkStart w:id="448" w:name="_Toc184310301"/>
      <w:bookmarkEnd w:id="448"/>
      <w:bookmarkStart w:id="449" w:name="_Toc184314452"/>
      <w:bookmarkEnd w:id="449"/>
      <w:bookmarkStart w:id="450" w:name="_Toc184308107"/>
      <w:bookmarkEnd w:id="450"/>
      <w:bookmarkStart w:id="451" w:name="_Toc184312128"/>
      <w:bookmarkEnd w:id="451"/>
      <w:bookmarkStart w:id="452" w:name="_Toc184314436"/>
      <w:bookmarkEnd w:id="452"/>
      <w:bookmarkStart w:id="453" w:name="_Toc184312088"/>
      <w:bookmarkEnd w:id="453"/>
      <w:bookmarkStart w:id="454" w:name="_Toc184313252"/>
      <w:bookmarkEnd w:id="454"/>
      <w:bookmarkStart w:id="455" w:name="_Toc184314427"/>
      <w:bookmarkEnd w:id="455"/>
      <w:bookmarkStart w:id="456" w:name="_Toc184312121"/>
      <w:bookmarkEnd w:id="456"/>
      <w:bookmarkStart w:id="457" w:name="_Toc184310298"/>
      <w:bookmarkEnd w:id="457"/>
      <w:bookmarkStart w:id="458" w:name="_Toc184308050"/>
      <w:bookmarkEnd w:id="458"/>
      <w:bookmarkStart w:id="459" w:name="_Toc184312126"/>
      <w:bookmarkEnd w:id="459"/>
      <w:bookmarkStart w:id="460" w:name="_Toc184308077"/>
      <w:bookmarkEnd w:id="460"/>
      <w:bookmarkStart w:id="461" w:name="_Toc184310283"/>
      <w:bookmarkEnd w:id="461"/>
      <w:bookmarkStart w:id="462" w:name="_Toc184312134"/>
      <w:bookmarkEnd w:id="462"/>
      <w:bookmarkStart w:id="463" w:name="_Toc184312070"/>
      <w:bookmarkEnd w:id="463"/>
      <w:bookmarkStart w:id="464" w:name="_Toc184314467"/>
      <w:bookmarkEnd w:id="464"/>
      <w:bookmarkStart w:id="465" w:name="_Toc184310308"/>
      <w:bookmarkEnd w:id="465"/>
      <w:bookmarkStart w:id="466" w:name="_Toc184308064"/>
      <w:bookmarkEnd w:id="466"/>
      <w:bookmarkStart w:id="467" w:name="_Toc184310320"/>
      <w:bookmarkEnd w:id="467"/>
      <w:bookmarkStart w:id="468" w:name="_Toc184310343"/>
      <w:bookmarkEnd w:id="468"/>
      <w:r>
        <w:rPr>
          <w:rFonts w:hint="eastAsia"/>
          <w:sz w:val="30"/>
        </w:rPr>
        <w:t>评标办法</w:t>
      </w:r>
      <w:bookmarkEnd w:id="101"/>
      <w:bookmarkEnd w:id="102"/>
      <w:bookmarkEnd w:id="103"/>
    </w:p>
    <w:p w14:paraId="42C3CCDD">
      <w:pPr>
        <w:snapToGrid w:val="0"/>
        <w:spacing w:line="0" w:lineRule="atLeast"/>
        <w:jc w:val="center"/>
        <w:outlineLvl w:val="0"/>
        <w:rPr>
          <w:rFonts w:ascii="Arial" w:hAnsi="Arial" w:cs="宋体"/>
          <w:b/>
          <w:sz w:val="28"/>
          <w:szCs w:val="28"/>
        </w:rPr>
      </w:pPr>
      <w:bookmarkStart w:id="469" w:name="_Toc7471"/>
      <w:bookmarkStart w:id="470" w:name="_Toc4206"/>
      <w:bookmarkStart w:id="471" w:name="_Toc2169"/>
      <w:bookmarkStart w:id="472" w:name="_Toc32156"/>
      <w:r>
        <w:rPr>
          <w:rFonts w:hint="eastAsia" w:ascii="Arial" w:hAnsi="Arial" w:cs="宋体"/>
          <w:b/>
          <w:sz w:val="28"/>
          <w:szCs w:val="28"/>
        </w:rPr>
        <w:t>评标办法前附表</w:t>
      </w:r>
      <w:bookmarkEnd w:id="469"/>
      <w:bookmarkEnd w:id="470"/>
      <w:bookmarkEnd w:id="471"/>
      <w:bookmarkEnd w:id="472"/>
    </w:p>
    <w:tbl>
      <w:tblPr>
        <w:tblStyle w:val="44"/>
        <w:tblpPr w:leftFromText="180" w:rightFromText="180" w:vertAnchor="text" w:horzAnchor="page" w:tblpX="1514" w:tblpY="408"/>
        <w:tblOverlap w:val="never"/>
        <w:tblW w:w="495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1353"/>
        <w:gridCol w:w="6293"/>
        <w:gridCol w:w="790"/>
      </w:tblGrid>
      <w:tr w14:paraId="65B5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blHeader/>
        </w:trPr>
        <w:tc>
          <w:tcPr>
            <w:tcW w:w="4570" w:type="pct"/>
            <w:gridSpan w:val="3"/>
            <w:tcBorders>
              <w:top w:val="single" w:color="auto" w:sz="4" w:space="0"/>
              <w:left w:val="single" w:color="auto" w:sz="2" w:space="0"/>
              <w:bottom w:val="single" w:color="auto" w:sz="2" w:space="0"/>
              <w:right w:val="single" w:color="auto" w:sz="2" w:space="0"/>
            </w:tcBorders>
            <w:vAlign w:val="center"/>
          </w:tcPr>
          <w:p w14:paraId="6C971373">
            <w:pPr>
              <w:tabs>
                <w:tab w:val="left" w:pos="602"/>
              </w:tabs>
              <w:spacing w:line="0" w:lineRule="atLeast"/>
              <w:jc w:val="center"/>
              <w:rPr>
                <w:rFonts w:hint="eastAsia" w:ascii="宋体" w:hAnsi="宋体"/>
                <w:b/>
                <w:spacing w:val="-4"/>
                <w:sz w:val="22"/>
                <w:szCs w:val="22"/>
              </w:rPr>
            </w:pPr>
            <w:r>
              <w:rPr>
                <w:rFonts w:ascii="宋体" w:hAnsi="宋体"/>
                <w:b/>
                <w:spacing w:val="-4"/>
                <w:sz w:val="22"/>
                <w:szCs w:val="22"/>
              </w:rPr>
              <w:t>评分内容</w:t>
            </w:r>
          </w:p>
        </w:tc>
        <w:tc>
          <w:tcPr>
            <w:tcW w:w="429" w:type="pct"/>
            <w:tcBorders>
              <w:top w:val="single" w:color="auto" w:sz="4" w:space="0"/>
              <w:left w:val="single" w:color="auto" w:sz="2" w:space="0"/>
              <w:bottom w:val="single" w:color="auto" w:sz="2" w:space="0"/>
              <w:right w:val="single" w:color="auto" w:sz="2" w:space="0"/>
            </w:tcBorders>
            <w:vAlign w:val="center"/>
          </w:tcPr>
          <w:p w14:paraId="7AD20275">
            <w:pPr>
              <w:spacing w:line="0" w:lineRule="atLeast"/>
              <w:jc w:val="center"/>
              <w:rPr>
                <w:rFonts w:hint="eastAsia" w:ascii="宋体" w:hAnsi="宋体"/>
                <w:b/>
                <w:spacing w:val="-4"/>
                <w:sz w:val="22"/>
                <w:szCs w:val="22"/>
              </w:rPr>
            </w:pPr>
            <w:r>
              <w:rPr>
                <w:rFonts w:ascii="宋体" w:hAnsi="宋体"/>
                <w:b/>
                <w:spacing w:val="-4"/>
                <w:sz w:val="22"/>
                <w:szCs w:val="22"/>
              </w:rPr>
              <w:t>分值</w:t>
            </w:r>
          </w:p>
        </w:tc>
      </w:tr>
      <w:tr w14:paraId="00A06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416" w:type="pct"/>
            <w:vMerge w:val="restart"/>
            <w:tcBorders>
              <w:top w:val="single" w:color="auto" w:sz="4" w:space="0"/>
              <w:left w:val="single" w:color="auto" w:sz="2" w:space="0"/>
              <w:right w:val="single" w:color="auto" w:sz="4" w:space="0"/>
            </w:tcBorders>
            <w:textDirection w:val="tbRlV"/>
            <w:vAlign w:val="center"/>
          </w:tcPr>
          <w:p w14:paraId="758DAE58">
            <w:pPr>
              <w:spacing w:line="0" w:lineRule="atLeast"/>
              <w:ind w:left="113" w:right="113"/>
              <w:jc w:val="center"/>
              <w:rPr>
                <w:rFonts w:hint="eastAsia" w:ascii="宋体" w:hAnsi="宋体"/>
                <w:bCs/>
                <w:sz w:val="22"/>
                <w:szCs w:val="22"/>
              </w:rPr>
            </w:pPr>
            <w:r>
              <w:rPr>
                <w:rFonts w:ascii="宋体" w:hAnsi="宋体"/>
                <w:b/>
                <w:sz w:val="22"/>
                <w:szCs w:val="22"/>
              </w:rPr>
              <w:t>商务技术分</w:t>
            </w:r>
            <w:r>
              <w:rPr>
                <w:rFonts w:hint="eastAsia" w:ascii="宋体" w:hAnsi="宋体"/>
                <w:b/>
                <w:sz w:val="22"/>
                <w:szCs w:val="22"/>
              </w:rPr>
              <w:t>60</w:t>
            </w:r>
            <w:r>
              <w:rPr>
                <w:rFonts w:ascii="宋体" w:hAnsi="宋体"/>
                <w:b/>
                <w:sz w:val="22"/>
                <w:szCs w:val="22"/>
              </w:rPr>
              <w:t>分</w:t>
            </w:r>
          </w:p>
        </w:tc>
        <w:tc>
          <w:tcPr>
            <w:tcW w:w="735" w:type="pct"/>
            <w:tcBorders>
              <w:top w:val="single" w:color="auto" w:sz="4" w:space="0"/>
              <w:left w:val="single" w:color="auto" w:sz="2" w:space="0"/>
              <w:bottom w:val="single" w:color="auto" w:sz="2" w:space="0"/>
              <w:right w:val="single" w:color="auto" w:sz="4" w:space="0"/>
            </w:tcBorders>
            <w:vAlign w:val="center"/>
          </w:tcPr>
          <w:p w14:paraId="1D12E817">
            <w:pPr>
              <w:tabs>
                <w:tab w:val="left" w:pos="5129"/>
              </w:tabs>
              <w:spacing w:line="0" w:lineRule="atLeast"/>
              <w:jc w:val="center"/>
              <w:rPr>
                <w:rFonts w:ascii="宋体" w:hAnsi="宋体"/>
                <w:b w:val="0"/>
                <w:bCs/>
                <w:sz w:val="21"/>
                <w:szCs w:val="21"/>
              </w:rPr>
            </w:pPr>
            <w:r>
              <w:rPr>
                <w:rFonts w:hint="eastAsia" w:ascii="宋体" w:hAnsi="宋体"/>
                <w:b w:val="0"/>
                <w:bCs/>
                <w:sz w:val="21"/>
                <w:szCs w:val="21"/>
                <w:lang w:val="en-US" w:eastAsia="zh-CN"/>
              </w:rPr>
              <w:t>采购</w:t>
            </w:r>
            <w:r>
              <w:rPr>
                <w:rFonts w:ascii="宋体" w:hAnsi="宋体"/>
                <w:b w:val="0"/>
                <w:bCs/>
                <w:sz w:val="21"/>
                <w:szCs w:val="21"/>
              </w:rPr>
              <w:t>需求</w:t>
            </w:r>
          </w:p>
          <w:p w14:paraId="0BBB7692">
            <w:pPr>
              <w:tabs>
                <w:tab w:val="left" w:pos="5129"/>
              </w:tabs>
              <w:spacing w:line="0" w:lineRule="atLeast"/>
              <w:jc w:val="center"/>
              <w:rPr>
                <w:rFonts w:hint="eastAsia" w:ascii="宋体" w:hAnsi="宋体"/>
                <w:b/>
                <w:sz w:val="20"/>
                <w:szCs w:val="20"/>
              </w:rPr>
            </w:pPr>
            <w:r>
              <w:rPr>
                <w:rFonts w:ascii="宋体" w:hAnsi="宋体"/>
                <w:b w:val="0"/>
                <w:bCs/>
                <w:sz w:val="21"/>
                <w:szCs w:val="21"/>
              </w:rPr>
              <w:t>响应</w:t>
            </w:r>
          </w:p>
        </w:tc>
        <w:tc>
          <w:tcPr>
            <w:tcW w:w="3418" w:type="pct"/>
            <w:tcBorders>
              <w:top w:val="single" w:color="auto" w:sz="4" w:space="0"/>
              <w:left w:val="single" w:color="auto" w:sz="4" w:space="0"/>
              <w:bottom w:val="single" w:color="auto" w:sz="2" w:space="0"/>
              <w:right w:val="single" w:color="auto" w:sz="2" w:space="0"/>
            </w:tcBorders>
            <w:vAlign w:val="center"/>
          </w:tcPr>
          <w:p w14:paraId="31C0658E">
            <w:pPr>
              <w:tabs>
                <w:tab w:val="left" w:pos="5129"/>
              </w:tabs>
              <w:spacing w:line="0" w:lineRule="atLeast"/>
              <w:jc w:val="left"/>
              <w:rPr>
                <w:rFonts w:hint="eastAsia" w:ascii="宋体" w:hAnsi="宋体"/>
                <w:b/>
                <w:sz w:val="22"/>
                <w:szCs w:val="22"/>
              </w:rPr>
            </w:pPr>
            <w:r>
              <w:rPr>
                <w:rFonts w:ascii="宋体" w:hAnsi="宋体"/>
                <w:b/>
                <w:sz w:val="22"/>
                <w:szCs w:val="22"/>
              </w:rPr>
              <w:t>完全响应招标文件第</w:t>
            </w:r>
            <w:r>
              <w:rPr>
                <w:rFonts w:hint="eastAsia" w:ascii="宋体" w:hAnsi="宋体"/>
                <w:b/>
                <w:sz w:val="22"/>
                <w:szCs w:val="22"/>
              </w:rPr>
              <w:t>三</w:t>
            </w:r>
            <w:r>
              <w:rPr>
                <w:rFonts w:ascii="宋体" w:hAnsi="宋体"/>
                <w:b/>
                <w:sz w:val="22"/>
                <w:szCs w:val="22"/>
              </w:rPr>
              <w:t>章“采购需求”所有指标的得</w:t>
            </w:r>
            <w:r>
              <w:rPr>
                <w:rFonts w:hint="eastAsia" w:ascii="宋体" w:hAnsi="宋体"/>
                <w:b/>
                <w:sz w:val="22"/>
                <w:szCs w:val="22"/>
              </w:rPr>
              <w:t>15</w:t>
            </w:r>
            <w:r>
              <w:rPr>
                <w:rFonts w:ascii="宋体" w:hAnsi="宋体"/>
                <w:b/>
                <w:sz w:val="22"/>
                <w:szCs w:val="22"/>
              </w:rPr>
              <w:t>分。</w:t>
            </w:r>
          </w:p>
          <w:p w14:paraId="3D04BA00">
            <w:pPr>
              <w:tabs>
                <w:tab w:val="left" w:pos="5129"/>
              </w:tabs>
              <w:spacing w:line="0" w:lineRule="atLeast"/>
              <w:jc w:val="left"/>
              <w:rPr>
                <w:rFonts w:hint="eastAsia" w:ascii="宋体" w:hAnsi="宋体"/>
                <w:bCs/>
                <w:sz w:val="22"/>
                <w:szCs w:val="22"/>
              </w:rPr>
            </w:pPr>
            <w:r>
              <w:rPr>
                <w:rFonts w:ascii="宋体" w:hAnsi="宋体"/>
                <w:bCs/>
                <w:sz w:val="22"/>
                <w:szCs w:val="22"/>
              </w:rPr>
              <w:t>每负偏离一项标“▲”指标的扣1分</w:t>
            </w:r>
            <w:r>
              <w:rPr>
                <w:rFonts w:hint="eastAsia" w:ascii="宋体" w:hAnsi="宋体"/>
                <w:bCs/>
                <w:sz w:val="22"/>
                <w:szCs w:val="22"/>
              </w:rPr>
              <w:t>，</w:t>
            </w:r>
            <w:r>
              <w:rPr>
                <w:rFonts w:ascii="宋体" w:hAnsi="宋体"/>
                <w:bCs/>
                <w:sz w:val="22"/>
                <w:szCs w:val="22"/>
              </w:rPr>
              <w:t>负偏离一项一般条款扣</w:t>
            </w:r>
            <w:r>
              <w:rPr>
                <w:rFonts w:hint="eastAsia" w:ascii="宋体" w:hAnsi="宋体"/>
                <w:bCs/>
                <w:sz w:val="22"/>
                <w:szCs w:val="22"/>
              </w:rPr>
              <w:t>0.5</w:t>
            </w:r>
            <w:r>
              <w:rPr>
                <w:rFonts w:ascii="宋体" w:hAnsi="宋体"/>
                <w:bCs/>
                <w:sz w:val="22"/>
                <w:szCs w:val="22"/>
              </w:rPr>
              <w:t>分</w:t>
            </w:r>
            <w:r>
              <w:rPr>
                <w:rFonts w:hint="eastAsia" w:ascii="宋体" w:hAnsi="宋体"/>
                <w:bCs/>
                <w:sz w:val="22"/>
                <w:szCs w:val="22"/>
              </w:rPr>
              <w:t>，</w:t>
            </w:r>
            <w:r>
              <w:rPr>
                <w:rFonts w:ascii="宋体" w:hAnsi="宋体"/>
                <w:bCs/>
                <w:sz w:val="22"/>
                <w:szCs w:val="22"/>
              </w:rPr>
              <w:t>负偏离实质性条款标“</w:t>
            </w:r>
            <w:r>
              <w:rPr>
                <w:rFonts w:hint="eastAsia" w:ascii="宋体" w:hAnsi="宋体"/>
                <w:bCs/>
                <w:sz w:val="22"/>
                <w:szCs w:val="22"/>
              </w:rPr>
              <w:t>★</w:t>
            </w:r>
            <w:r>
              <w:rPr>
                <w:rFonts w:ascii="宋体" w:hAnsi="宋体"/>
                <w:bCs/>
                <w:sz w:val="22"/>
                <w:szCs w:val="22"/>
              </w:rPr>
              <w:t>”的，作无效投标处理。</w:t>
            </w:r>
            <w:r>
              <w:rPr>
                <w:rFonts w:hint="eastAsia" w:ascii="宋体" w:hAnsi="宋体"/>
                <w:bCs/>
                <w:sz w:val="22"/>
                <w:szCs w:val="22"/>
              </w:rPr>
              <w:t>本项最高15分，得分</w:t>
            </w:r>
            <w:r>
              <w:rPr>
                <w:rFonts w:hint="eastAsia" w:ascii="宋体" w:hAnsi="宋体"/>
                <w:bCs/>
                <w:sz w:val="22"/>
                <w:szCs w:val="22"/>
                <w:lang w:val="en-US" w:eastAsia="zh-CN"/>
              </w:rPr>
              <w:t>扣至</w:t>
            </w:r>
            <w:r>
              <w:rPr>
                <w:rFonts w:hint="eastAsia" w:ascii="宋体" w:hAnsi="宋体"/>
                <w:bCs/>
                <w:sz w:val="22"/>
                <w:szCs w:val="22"/>
              </w:rPr>
              <w:t>零分</w:t>
            </w:r>
            <w:r>
              <w:rPr>
                <w:rFonts w:hint="eastAsia" w:ascii="宋体" w:hAnsi="宋体"/>
                <w:bCs/>
                <w:sz w:val="22"/>
                <w:szCs w:val="22"/>
                <w:lang w:val="en-US" w:eastAsia="zh-CN"/>
              </w:rPr>
              <w:t>及以下</w:t>
            </w:r>
            <w:r>
              <w:rPr>
                <w:rFonts w:hint="eastAsia" w:ascii="宋体" w:hAnsi="宋体"/>
                <w:bCs/>
                <w:sz w:val="22"/>
                <w:szCs w:val="22"/>
              </w:rPr>
              <w:t>的作无效标处理。</w:t>
            </w:r>
          </w:p>
        </w:tc>
        <w:tc>
          <w:tcPr>
            <w:tcW w:w="429" w:type="pct"/>
            <w:tcBorders>
              <w:top w:val="single" w:color="auto" w:sz="4" w:space="0"/>
              <w:left w:val="single" w:color="auto" w:sz="2" w:space="0"/>
              <w:bottom w:val="single" w:color="auto" w:sz="2" w:space="0"/>
              <w:right w:val="single" w:color="auto" w:sz="2" w:space="0"/>
            </w:tcBorders>
            <w:vAlign w:val="center"/>
          </w:tcPr>
          <w:p w14:paraId="79605B6D">
            <w:pPr>
              <w:tabs>
                <w:tab w:val="left" w:pos="5129"/>
              </w:tabs>
              <w:spacing w:line="0" w:lineRule="atLeast"/>
              <w:jc w:val="center"/>
              <w:rPr>
                <w:rFonts w:hint="eastAsia" w:ascii="宋体" w:hAnsi="宋体"/>
                <w:bCs/>
                <w:sz w:val="22"/>
                <w:szCs w:val="22"/>
              </w:rPr>
            </w:pPr>
            <w:r>
              <w:rPr>
                <w:rFonts w:hint="eastAsia" w:ascii="宋体" w:hAnsi="宋体"/>
                <w:bCs/>
                <w:sz w:val="22"/>
                <w:szCs w:val="22"/>
              </w:rPr>
              <w:t>15</w:t>
            </w:r>
          </w:p>
        </w:tc>
      </w:tr>
      <w:tr w14:paraId="3534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8" w:hRule="atLeast"/>
          <w:tblHeader/>
        </w:trPr>
        <w:tc>
          <w:tcPr>
            <w:tcW w:w="416" w:type="pct"/>
            <w:vMerge w:val="continue"/>
            <w:tcBorders>
              <w:left w:val="single" w:color="auto" w:sz="2" w:space="0"/>
              <w:right w:val="single" w:color="auto" w:sz="4" w:space="0"/>
            </w:tcBorders>
          </w:tcPr>
          <w:p w14:paraId="24535DB4">
            <w:pPr>
              <w:tabs>
                <w:tab w:val="left" w:pos="5129"/>
              </w:tabs>
              <w:spacing w:line="0" w:lineRule="atLeast"/>
              <w:jc w:val="center"/>
              <w:rPr>
                <w:rFonts w:hint="eastAsia" w:ascii="宋体" w:hAnsi="宋体"/>
                <w:bCs/>
                <w:sz w:val="22"/>
                <w:szCs w:val="22"/>
              </w:rPr>
            </w:pPr>
          </w:p>
        </w:tc>
        <w:tc>
          <w:tcPr>
            <w:tcW w:w="735" w:type="pct"/>
            <w:vMerge w:val="restart"/>
            <w:tcBorders>
              <w:top w:val="single" w:color="auto" w:sz="4" w:space="0"/>
              <w:left w:val="single" w:color="auto" w:sz="2" w:space="0"/>
              <w:right w:val="single" w:color="auto" w:sz="4" w:space="0"/>
            </w:tcBorders>
            <w:vAlign w:val="center"/>
          </w:tcPr>
          <w:p w14:paraId="2D3E9244">
            <w:pPr>
              <w:tabs>
                <w:tab w:val="left" w:pos="5129"/>
              </w:tabs>
              <w:spacing w:line="0" w:lineRule="atLeast"/>
              <w:jc w:val="center"/>
              <w:rPr>
                <w:rFonts w:hint="eastAsia" w:ascii="宋体" w:hAnsi="宋体"/>
                <w:b w:val="0"/>
                <w:bCs/>
                <w:sz w:val="21"/>
                <w:szCs w:val="21"/>
              </w:rPr>
            </w:pPr>
            <w:r>
              <w:rPr>
                <w:rFonts w:ascii="宋体" w:hAnsi="宋体"/>
                <w:b w:val="0"/>
                <w:bCs/>
                <w:sz w:val="21"/>
                <w:szCs w:val="21"/>
              </w:rPr>
              <w:t>项目实施</w:t>
            </w:r>
          </w:p>
          <w:p w14:paraId="547E11CE">
            <w:pPr>
              <w:tabs>
                <w:tab w:val="left" w:pos="5129"/>
              </w:tabs>
              <w:spacing w:line="0" w:lineRule="atLeast"/>
              <w:jc w:val="center"/>
              <w:rPr>
                <w:rFonts w:hint="eastAsia" w:ascii="宋体" w:hAnsi="宋体"/>
                <w:bCs/>
                <w:sz w:val="20"/>
                <w:szCs w:val="20"/>
              </w:rPr>
            </w:pPr>
            <w:r>
              <w:rPr>
                <w:rFonts w:ascii="宋体" w:hAnsi="宋体"/>
                <w:b w:val="0"/>
                <w:bCs/>
                <w:sz w:val="21"/>
                <w:szCs w:val="21"/>
              </w:rPr>
              <w:t>方案</w:t>
            </w:r>
          </w:p>
        </w:tc>
        <w:tc>
          <w:tcPr>
            <w:tcW w:w="3418" w:type="pct"/>
            <w:tcBorders>
              <w:top w:val="single" w:color="auto" w:sz="4" w:space="0"/>
              <w:left w:val="single" w:color="auto" w:sz="4" w:space="0"/>
              <w:bottom w:val="single" w:color="auto" w:sz="2" w:space="0"/>
              <w:right w:val="single" w:color="auto" w:sz="2" w:space="0"/>
            </w:tcBorders>
            <w:vAlign w:val="center"/>
          </w:tcPr>
          <w:p w14:paraId="037DFEE4">
            <w:pPr>
              <w:spacing w:line="0" w:lineRule="atLeast"/>
              <w:rPr>
                <w:rFonts w:hint="eastAsia" w:ascii="宋体" w:hAnsi="宋体"/>
                <w:b/>
                <w:kern w:val="0"/>
                <w:sz w:val="22"/>
                <w:szCs w:val="22"/>
              </w:rPr>
            </w:pPr>
            <w:r>
              <w:rPr>
                <w:rFonts w:ascii="宋体" w:hAnsi="宋体"/>
                <w:b/>
                <w:kern w:val="0"/>
                <w:sz w:val="22"/>
                <w:szCs w:val="22"/>
              </w:rPr>
              <w:t>供货方案</w:t>
            </w:r>
            <w:r>
              <w:rPr>
                <w:rFonts w:hint="eastAsia" w:ascii="宋体" w:hAnsi="宋体"/>
                <w:b/>
                <w:kern w:val="0"/>
                <w:sz w:val="22"/>
                <w:szCs w:val="22"/>
              </w:rPr>
              <w:t>（4分）</w:t>
            </w:r>
            <w:r>
              <w:rPr>
                <w:rFonts w:ascii="宋体" w:hAnsi="宋体"/>
                <w:b/>
                <w:kern w:val="0"/>
                <w:sz w:val="22"/>
                <w:szCs w:val="22"/>
              </w:rPr>
              <w:t>：</w:t>
            </w:r>
          </w:p>
          <w:p w14:paraId="13A833F8">
            <w:pPr>
              <w:spacing w:line="0" w:lineRule="atLeast"/>
              <w:rPr>
                <w:rFonts w:hint="eastAsia" w:ascii="宋体" w:hAnsi="宋体"/>
                <w:bCs/>
                <w:kern w:val="0"/>
                <w:sz w:val="22"/>
                <w:szCs w:val="22"/>
              </w:rPr>
            </w:pPr>
            <w:r>
              <w:rPr>
                <w:rFonts w:hint="eastAsia" w:ascii="宋体" w:hAnsi="宋体"/>
                <w:bCs/>
                <w:kern w:val="0"/>
                <w:sz w:val="22"/>
                <w:szCs w:val="22"/>
              </w:rPr>
              <w:t xml:space="preserve">供应商提供的对本项目的供货方案，由评审委员会进行综合评议： </w:t>
            </w:r>
          </w:p>
          <w:p w14:paraId="36DE5AFB">
            <w:pPr>
              <w:spacing w:line="0" w:lineRule="atLeast"/>
              <w:rPr>
                <w:rFonts w:hint="eastAsia" w:ascii="宋体" w:hAnsi="宋体"/>
                <w:bCs/>
                <w:kern w:val="0"/>
                <w:sz w:val="22"/>
                <w:szCs w:val="22"/>
              </w:rPr>
            </w:pPr>
            <w:r>
              <w:rPr>
                <w:rFonts w:hint="eastAsia" w:ascii="宋体" w:hAnsi="宋体" w:cs="宋体"/>
                <w:bCs/>
                <w:kern w:val="0"/>
                <w:sz w:val="22"/>
                <w:szCs w:val="22"/>
              </w:rPr>
              <w:t>①</w:t>
            </w:r>
            <w:r>
              <w:rPr>
                <w:rFonts w:hint="eastAsia" w:ascii="宋体" w:hAnsi="宋体"/>
                <w:bCs/>
                <w:kern w:val="0"/>
                <w:sz w:val="22"/>
                <w:szCs w:val="22"/>
              </w:rPr>
              <w:t xml:space="preserve">供货流程要点明确，供货实施步骤清晰具体，考虑周全，完全满足采购需求的得3.1-4.0分； </w:t>
            </w:r>
          </w:p>
          <w:p w14:paraId="0B551745">
            <w:pPr>
              <w:spacing w:line="0" w:lineRule="atLeast"/>
              <w:rPr>
                <w:rFonts w:hint="eastAsia" w:ascii="宋体" w:hAnsi="宋体"/>
                <w:bCs/>
                <w:kern w:val="0"/>
                <w:sz w:val="22"/>
                <w:szCs w:val="22"/>
              </w:rPr>
            </w:pPr>
            <w:r>
              <w:rPr>
                <w:rFonts w:hint="eastAsia" w:ascii="宋体" w:hAnsi="宋体" w:cs="宋体"/>
                <w:bCs/>
                <w:kern w:val="0"/>
                <w:sz w:val="22"/>
                <w:szCs w:val="22"/>
              </w:rPr>
              <w:t>②</w:t>
            </w:r>
            <w:r>
              <w:rPr>
                <w:rFonts w:hint="eastAsia" w:ascii="宋体" w:hAnsi="宋体"/>
                <w:bCs/>
                <w:kern w:val="0"/>
                <w:sz w:val="22"/>
                <w:szCs w:val="22"/>
              </w:rPr>
              <w:t xml:space="preserve">供货流程要点较明确，实施步骤较清晰详细，与学校最终建设目标相互对应的得2.1-3.0分； </w:t>
            </w:r>
          </w:p>
          <w:p w14:paraId="5A6A5B80">
            <w:pPr>
              <w:spacing w:line="0" w:lineRule="atLeast"/>
              <w:rPr>
                <w:rFonts w:hint="eastAsia" w:ascii="宋体" w:hAnsi="宋体"/>
                <w:bCs/>
                <w:kern w:val="0"/>
                <w:sz w:val="22"/>
                <w:szCs w:val="22"/>
              </w:rPr>
            </w:pPr>
            <w:r>
              <w:rPr>
                <w:rFonts w:hint="eastAsia" w:ascii="宋体" w:hAnsi="宋体"/>
                <w:bCs/>
                <w:kern w:val="0"/>
                <w:sz w:val="22"/>
                <w:szCs w:val="22"/>
              </w:rPr>
              <w:t xml:space="preserve">③供货方案存在缺项、漏项，内容较为片面，可能会影响项目最终建设目标的得0-2.0分； </w:t>
            </w:r>
          </w:p>
          <w:p w14:paraId="3D452880">
            <w:pPr>
              <w:spacing w:line="0" w:lineRule="atLeast"/>
              <w:rPr>
                <w:rFonts w:hint="eastAsia" w:ascii="宋体" w:hAnsi="宋体"/>
                <w:bCs/>
                <w:sz w:val="22"/>
                <w:szCs w:val="22"/>
              </w:rPr>
            </w:pPr>
            <w:r>
              <w:rPr>
                <w:rFonts w:hint="eastAsia" w:ascii="宋体" w:hAnsi="宋体"/>
                <w:bCs/>
                <w:kern w:val="0"/>
                <w:sz w:val="22"/>
                <w:szCs w:val="22"/>
              </w:rPr>
              <w:t>未提供不得分。</w:t>
            </w:r>
          </w:p>
        </w:tc>
        <w:tc>
          <w:tcPr>
            <w:tcW w:w="429" w:type="pct"/>
            <w:tcBorders>
              <w:top w:val="single" w:color="auto" w:sz="4" w:space="0"/>
              <w:left w:val="single" w:color="auto" w:sz="2" w:space="0"/>
              <w:bottom w:val="single" w:color="auto" w:sz="2" w:space="0"/>
              <w:right w:val="single" w:color="auto" w:sz="2" w:space="0"/>
            </w:tcBorders>
            <w:vAlign w:val="center"/>
          </w:tcPr>
          <w:p w14:paraId="212F78AA">
            <w:pPr>
              <w:tabs>
                <w:tab w:val="left" w:pos="5129"/>
              </w:tabs>
              <w:spacing w:line="0" w:lineRule="atLeast"/>
              <w:jc w:val="center"/>
              <w:rPr>
                <w:rFonts w:hint="eastAsia" w:ascii="宋体" w:hAnsi="宋体"/>
                <w:bCs/>
                <w:sz w:val="22"/>
                <w:szCs w:val="22"/>
              </w:rPr>
            </w:pPr>
            <w:r>
              <w:rPr>
                <w:rFonts w:hint="eastAsia" w:ascii="宋体" w:hAnsi="宋体"/>
                <w:bCs/>
                <w:sz w:val="22"/>
                <w:szCs w:val="22"/>
              </w:rPr>
              <w:t>4</w:t>
            </w:r>
          </w:p>
        </w:tc>
      </w:tr>
      <w:tr w14:paraId="0A5EF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3" w:hRule="atLeast"/>
          <w:tblHeader/>
        </w:trPr>
        <w:tc>
          <w:tcPr>
            <w:tcW w:w="416" w:type="pct"/>
            <w:vMerge w:val="continue"/>
            <w:tcBorders>
              <w:left w:val="single" w:color="auto" w:sz="2" w:space="0"/>
              <w:right w:val="single" w:color="auto" w:sz="4" w:space="0"/>
            </w:tcBorders>
          </w:tcPr>
          <w:p w14:paraId="46BB66BC">
            <w:pPr>
              <w:tabs>
                <w:tab w:val="left" w:pos="5129"/>
              </w:tabs>
              <w:spacing w:line="0" w:lineRule="atLeast"/>
              <w:jc w:val="center"/>
              <w:rPr>
                <w:rFonts w:hint="eastAsia" w:ascii="宋体" w:hAnsi="宋体"/>
                <w:bCs/>
                <w:sz w:val="22"/>
                <w:szCs w:val="22"/>
              </w:rPr>
            </w:pPr>
          </w:p>
        </w:tc>
        <w:tc>
          <w:tcPr>
            <w:tcW w:w="735" w:type="pct"/>
            <w:vMerge w:val="continue"/>
            <w:tcBorders>
              <w:left w:val="single" w:color="auto" w:sz="2" w:space="0"/>
              <w:right w:val="single" w:color="auto" w:sz="4" w:space="0"/>
            </w:tcBorders>
            <w:vAlign w:val="center"/>
          </w:tcPr>
          <w:p w14:paraId="1E61053A">
            <w:pPr>
              <w:tabs>
                <w:tab w:val="left" w:pos="5129"/>
              </w:tabs>
              <w:spacing w:line="0" w:lineRule="atLeast"/>
              <w:jc w:val="left"/>
              <w:rPr>
                <w:rFonts w:hint="eastAsia" w:ascii="宋体" w:hAnsi="宋体"/>
                <w:bCs/>
                <w:sz w:val="20"/>
                <w:szCs w:val="20"/>
              </w:rPr>
            </w:pPr>
          </w:p>
        </w:tc>
        <w:tc>
          <w:tcPr>
            <w:tcW w:w="3418" w:type="pct"/>
            <w:tcBorders>
              <w:top w:val="single" w:color="auto" w:sz="4" w:space="0"/>
              <w:left w:val="single" w:color="auto" w:sz="4" w:space="0"/>
              <w:right w:val="single" w:color="auto" w:sz="2" w:space="0"/>
            </w:tcBorders>
            <w:vAlign w:val="center"/>
          </w:tcPr>
          <w:p w14:paraId="0B124E20">
            <w:pPr>
              <w:spacing w:line="0" w:lineRule="atLeast"/>
              <w:rPr>
                <w:rFonts w:hint="eastAsia" w:ascii="宋体" w:hAnsi="宋体"/>
                <w:b/>
                <w:kern w:val="0"/>
                <w:sz w:val="22"/>
                <w:szCs w:val="22"/>
              </w:rPr>
            </w:pPr>
            <w:r>
              <w:rPr>
                <w:rFonts w:hint="eastAsia" w:ascii="宋体" w:hAnsi="宋体"/>
                <w:b/>
                <w:kern w:val="0"/>
                <w:sz w:val="22"/>
                <w:szCs w:val="22"/>
              </w:rPr>
              <w:t>项目总体实施方案（6分）</w:t>
            </w:r>
            <w:r>
              <w:rPr>
                <w:rFonts w:ascii="宋体" w:hAnsi="宋体"/>
                <w:b/>
                <w:kern w:val="0"/>
                <w:sz w:val="22"/>
                <w:szCs w:val="22"/>
              </w:rPr>
              <w:t>：</w:t>
            </w:r>
          </w:p>
          <w:p w14:paraId="584BE31C">
            <w:pPr>
              <w:spacing w:line="0" w:lineRule="atLeast"/>
              <w:rPr>
                <w:rFonts w:hint="eastAsia" w:ascii="宋体" w:hAnsi="宋体"/>
                <w:bCs/>
                <w:kern w:val="0"/>
                <w:sz w:val="22"/>
                <w:szCs w:val="22"/>
              </w:rPr>
            </w:pPr>
            <w:r>
              <w:rPr>
                <w:rFonts w:hint="eastAsia" w:ascii="宋体" w:hAnsi="宋体"/>
                <w:bCs/>
                <w:kern w:val="0"/>
                <w:sz w:val="22"/>
                <w:szCs w:val="22"/>
              </w:rPr>
              <w:t xml:space="preserve">供应商对本项目提供的具体的安装、调试验收的计划及方案，由评审委员会进行综合评议： </w:t>
            </w:r>
          </w:p>
          <w:p w14:paraId="72549FEE">
            <w:pPr>
              <w:spacing w:line="0" w:lineRule="atLeast"/>
              <w:rPr>
                <w:rFonts w:hint="eastAsia" w:ascii="宋体" w:hAnsi="宋体"/>
                <w:bCs/>
                <w:kern w:val="0"/>
                <w:sz w:val="22"/>
                <w:szCs w:val="22"/>
              </w:rPr>
            </w:pPr>
            <w:r>
              <w:rPr>
                <w:rFonts w:hint="eastAsia" w:ascii="宋体" w:hAnsi="宋体" w:cs="宋体"/>
                <w:bCs/>
                <w:kern w:val="0"/>
                <w:sz w:val="22"/>
                <w:szCs w:val="22"/>
              </w:rPr>
              <w:t>①</w:t>
            </w:r>
            <w:r>
              <w:rPr>
                <w:rFonts w:hint="eastAsia" w:ascii="宋体" w:hAnsi="宋体"/>
                <w:bCs/>
                <w:kern w:val="0"/>
                <w:sz w:val="22"/>
                <w:szCs w:val="22"/>
              </w:rPr>
              <w:t xml:space="preserve">安装、调试、验收的计划及方案能全面覆盖项目总体需求目标清晰，安装、调试、验收方案明确、描述详尽具体能够充分满足学校需求的得4.1-6.0分； </w:t>
            </w:r>
          </w:p>
          <w:p w14:paraId="338869D8">
            <w:pPr>
              <w:spacing w:line="0" w:lineRule="atLeast"/>
              <w:rPr>
                <w:rFonts w:hint="eastAsia" w:ascii="宋体" w:hAnsi="宋体"/>
                <w:bCs/>
                <w:kern w:val="0"/>
                <w:sz w:val="22"/>
                <w:szCs w:val="22"/>
              </w:rPr>
            </w:pPr>
            <w:r>
              <w:rPr>
                <w:rFonts w:hint="eastAsia" w:ascii="宋体" w:hAnsi="宋体"/>
                <w:bCs/>
                <w:kern w:val="0"/>
                <w:sz w:val="22"/>
                <w:szCs w:val="22"/>
              </w:rPr>
              <w:t xml:space="preserve">②安装、调试、验收方案基本能覆盖项目总体需求，调理较为清晰、描述较为全面具体、基本满足采购人需求的得 3.1-4.0分； </w:t>
            </w:r>
          </w:p>
          <w:p w14:paraId="13514B07">
            <w:pPr>
              <w:spacing w:line="0" w:lineRule="atLeast"/>
              <w:rPr>
                <w:rFonts w:hint="eastAsia" w:ascii="宋体" w:hAnsi="宋体"/>
                <w:bCs/>
                <w:kern w:val="0"/>
                <w:sz w:val="22"/>
                <w:szCs w:val="22"/>
              </w:rPr>
            </w:pPr>
            <w:r>
              <w:rPr>
                <w:rFonts w:hint="eastAsia" w:ascii="宋体" w:hAnsi="宋体"/>
                <w:bCs/>
                <w:kern w:val="0"/>
                <w:sz w:val="22"/>
                <w:szCs w:val="22"/>
              </w:rPr>
              <w:t>③对采购需求理解性一般，目标思路基本清晰、实施方案描述较为简单的得2.1-3.0分。</w:t>
            </w:r>
          </w:p>
          <w:p w14:paraId="30B810EE">
            <w:pPr>
              <w:spacing w:line="0" w:lineRule="atLeast"/>
              <w:rPr>
                <w:rFonts w:hint="eastAsia" w:ascii="宋体" w:hAnsi="宋体"/>
                <w:bCs/>
                <w:kern w:val="0"/>
                <w:sz w:val="22"/>
                <w:szCs w:val="22"/>
              </w:rPr>
            </w:pPr>
            <w:r>
              <w:rPr>
                <w:rFonts w:hint="eastAsia" w:ascii="宋体" w:hAnsi="宋体"/>
                <w:bCs/>
                <w:kern w:val="0"/>
                <w:sz w:val="22"/>
                <w:szCs w:val="22"/>
              </w:rPr>
              <w:t>④对采购需求理解较为肤浅，目标思路较为混乱，方案描述较为片面的得0-2.0分。</w:t>
            </w:r>
          </w:p>
          <w:p w14:paraId="206E3595">
            <w:pPr>
              <w:spacing w:line="0" w:lineRule="atLeast"/>
              <w:rPr>
                <w:rFonts w:hint="eastAsia" w:ascii="宋体" w:hAnsi="宋体"/>
                <w:bCs/>
                <w:kern w:val="0"/>
                <w:sz w:val="22"/>
                <w:szCs w:val="22"/>
              </w:rPr>
            </w:pPr>
            <w:r>
              <w:rPr>
                <w:rFonts w:hint="eastAsia" w:ascii="宋体" w:hAnsi="宋体"/>
                <w:bCs/>
                <w:kern w:val="0"/>
                <w:sz w:val="22"/>
                <w:szCs w:val="22"/>
              </w:rPr>
              <w:t>未提供不得分。</w:t>
            </w:r>
          </w:p>
        </w:tc>
        <w:tc>
          <w:tcPr>
            <w:tcW w:w="429" w:type="pct"/>
            <w:tcBorders>
              <w:top w:val="single" w:color="auto" w:sz="4" w:space="0"/>
              <w:left w:val="single" w:color="auto" w:sz="2" w:space="0"/>
              <w:right w:val="single" w:color="auto" w:sz="2" w:space="0"/>
            </w:tcBorders>
            <w:vAlign w:val="center"/>
          </w:tcPr>
          <w:p w14:paraId="3F0A54AB">
            <w:pPr>
              <w:tabs>
                <w:tab w:val="left" w:pos="5129"/>
              </w:tabs>
              <w:spacing w:line="0" w:lineRule="atLeast"/>
              <w:jc w:val="center"/>
              <w:rPr>
                <w:rFonts w:hint="eastAsia" w:ascii="宋体" w:hAnsi="宋体"/>
                <w:bCs/>
                <w:sz w:val="22"/>
                <w:szCs w:val="22"/>
              </w:rPr>
            </w:pPr>
            <w:r>
              <w:rPr>
                <w:rFonts w:hint="eastAsia" w:ascii="宋体" w:hAnsi="宋体"/>
                <w:bCs/>
                <w:sz w:val="22"/>
                <w:szCs w:val="22"/>
              </w:rPr>
              <w:t>6</w:t>
            </w:r>
          </w:p>
        </w:tc>
      </w:tr>
      <w:tr w14:paraId="2AFF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3" w:hRule="atLeast"/>
          <w:tblHeader/>
        </w:trPr>
        <w:tc>
          <w:tcPr>
            <w:tcW w:w="416" w:type="pct"/>
            <w:vMerge w:val="continue"/>
            <w:tcBorders>
              <w:left w:val="single" w:color="auto" w:sz="2" w:space="0"/>
              <w:right w:val="single" w:color="auto" w:sz="4" w:space="0"/>
            </w:tcBorders>
          </w:tcPr>
          <w:p w14:paraId="796F95F7">
            <w:pPr>
              <w:tabs>
                <w:tab w:val="left" w:pos="5129"/>
              </w:tabs>
              <w:spacing w:line="0" w:lineRule="atLeast"/>
              <w:jc w:val="center"/>
              <w:rPr>
                <w:rFonts w:hint="eastAsia" w:ascii="宋体" w:hAnsi="宋体"/>
                <w:bCs/>
                <w:sz w:val="22"/>
                <w:szCs w:val="22"/>
              </w:rPr>
            </w:pPr>
          </w:p>
        </w:tc>
        <w:tc>
          <w:tcPr>
            <w:tcW w:w="735" w:type="pct"/>
            <w:vMerge w:val="continue"/>
            <w:tcBorders>
              <w:left w:val="single" w:color="auto" w:sz="2" w:space="0"/>
              <w:right w:val="single" w:color="auto" w:sz="4" w:space="0"/>
            </w:tcBorders>
            <w:vAlign w:val="center"/>
          </w:tcPr>
          <w:p w14:paraId="48D92F46">
            <w:pPr>
              <w:tabs>
                <w:tab w:val="left" w:pos="5129"/>
              </w:tabs>
              <w:spacing w:line="0" w:lineRule="atLeast"/>
              <w:jc w:val="left"/>
              <w:rPr>
                <w:rFonts w:hint="eastAsia" w:ascii="宋体" w:hAnsi="宋体"/>
                <w:bCs/>
                <w:sz w:val="20"/>
                <w:szCs w:val="20"/>
              </w:rPr>
            </w:pPr>
          </w:p>
        </w:tc>
        <w:tc>
          <w:tcPr>
            <w:tcW w:w="3418" w:type="pct"/>
            <w:tcBorders>
              <w:top w:val="single" w:color="auto" w:sz="4" w:space="0"/>
              <w:left w:val="single" w:color="auto" w:sz="4" w:space="0"/>
              <w:right w:val="single" w:color="auto" w:sz="2" w:space="0"/>
            </w:tcBorders>
            <w:vAlign w:val="center"/>
          </w:tcPr>
          <w:p w14:paraId="4EF764B9">
            <w:pPr>
              <w:spacing w:line="0" w:lineRule="atLeast"/>
              <w:rPr>
                <w:rFonts w:hint="eastAsia" w:ascii="宋体" w:hAnsi="宋体"/>
                <w:b/>
                <w:kern w:val="0"/>
                <w:sz w:val="22"/>
                <w:szCs w:val="22"/>
              </w:rPr>
            </w:pPr>
            <w:r>
              <w:rPr>
                <w:rFonts w:hint="eastAsia" w:ascii="宋体" w:hAnsi="宋体"/>
                <w:b/>
                <w:kern w:val="0"/>
                <w:sz w:val="22"/>
                <w:szCs w:val="22"/>
              </w:rPr>
              <w:t>项目实施人员方案(3分)</w:t>
            </w:r>
          </w:p>
          <w:p w14:paraId="03DFF450">
            <w:pPr>
              <w:spacing w:line="0" w:lineRule="atLeast"/>
              <w:rPr>
                <w:rFonts w:hint="eastAsia" w:ascii="宋体" w:hAnsi="宋体"/>
                <w:bCs/>
                <w:kern w:val="0"/>
                <w:sz w:val="22"/>
                <w:szCs w:val="22"/>
              </w:rPr>
            </w:pPr>
            <w:r>
              <w:rPr>
                <w:rFonts w:ascii="宋体" w:hAnsi="宋体"/>
                <w:bCs/>
                <w:kern w:val="0"/>
                <w:sz w:val="22"/>
                <w:szCs w:val="22"/>
              </w:rPr>
              <w:t>根据供应商提供的</w:t>
            </w:r>
            <w:r>
              <w:rPr>
                <w:rFonts w:hint="eastAsia" w:ascii="宋体" w:hAnsi="宋体"/>
                <w:bCs/>
                <w:kern w:val="0"/>
                <w:sz w:val="22"/>
                <w:szCs w:val="22"/>
              </w:rPr>
              <w:t>拟投入本项目实施人员方案，进行评议</w:t>
            </w:r>
            <w:r>
              <w:rPr>
                <w:rFonts w:ascii="宋体" w:hAnsi="宋体"/>
                <w:bCs/>
                <w:kern w:val="0"/>
                <w:sz w:val="22"/>
                <w:szCs w:val="22"/>
              </w:rPr>
              <w:t>：</w:t>
            </w:r>
          </w:p>
          <w:p w14:paraId="41AC5224">
            <w:pPr>
              <w:spacing w:line="0" w:lineRule="atLeast"/>
              <w:rPr>
                <w:rFonts w:hint="eastAsia" w:ascii="宋体" w:hAnsi="宋体"/>
                <w:bCs/>
                <w:kern w:val="0"/>
                <w:sz w:val="22"/>
                <w:szCs w:val="22"/>
              </w:rPr>
            </w:pPr>
            <w:r>
              <w:rPr>
                <w:rFonts w:hint="eastAsia" w:ascii="宋体" w:hAnsi="宋体" w:cs="宋体"/>
                <w:bCs/>
                <w:kern w:val="0"/>
                <w:sz w:val="22"/>
                <w:szCs w:val="22"/>
              </w:rPr>
              <w:t>①</w:t>
            </w:r>
            <w:r>
              <w:rPr>
                <w:rFonts w:ascii="宋体" w:hAnsi="宋体"/>
                <w:bCs/>
                <w:kern w:val="0"/>
                <w:sz w:val="22"/>
                <w:szCs w:val="22"/>
              </w:rPr>
              <w:t>人员的组织架构</w:t>
            </w:r>
            <w:r>
              <w:rPr>
                <w:rFonts w:hint="eastAsia" w:ascii="宋体" w:hAnsi="宋体"/>
                <w:bCs/>
                <w:kern w:val="0"/>
                <w:sz w:val="22"/>
                <w:szCs w:val="22"/>
              </w:rPr>
              <w:t>、</w:t>
            </w:r>
            <w:r>
              <w:rPr>
                <w:rFonts w:ascii="宋体" w:hAnsi="宋体"/>
                <w:bCs/>
                <w:kern w:val="0"/>
                <w:sz w:val="22"/>
                <w:szCs w:val="22"/>
              </w:rPr>
              <w:t>岗位设置</w:t>
            </w:r>
            <w:r>
              <w:rPr>
                <w:rFonts w:hint="eastAsia" w:ascii="宋体" w:hAnsi="宋体"/>
                <w:bCs/>
                <w:kern w:val="0"/>
                <w:sz w:val="22"/>
                <w:szCs w:val="22"/>
              </w:rPr>
              <w:t>是否科学合理，与本项目相匹配进行评议（</w:t>
            </w:r>
            <w:r>
              <w:rPr>
                <w:rFonts w:hint="eastAsia" w:ascii="宋体" w:hAnsi="宋体" w:cs="仿宋"/>
                <w:bCs/>
                <w:sz w:val="22"/>
                <w:szCs w:val="22"/>
              </w:rPr>
              <w:t>0-1）</w:t>
            </w:r>
            <w:r>
              <w:rPr>
                <w:rFonts w:hint="eastAsia" w:ascii="宋体" w:hAnsi="宋体"/>
                <w:bCs/>
                <w:kern w:val="0"/>
                <w:sz w:val="22"/>
                <w:szCs w:val="22"/>
              </w:rPr>
              <w:t>；</w:t>
            </w:r>
          </w:p>
          <w:p w14:paraId="0AD807F2">
            <w:pPr>
              <w:spacing w:line="0" w:lineRule="atLeast"/>
              <w:rPr>
                <w:rFonts w:hint="eastAsia" w:ascii="宋体" w:hAnsi="宋体"/>
                <w:bCs/>
                <w:kern w:val="0"/>
                <w:sz w:val="22"/>
                <w:szCs w:val="22"/>
              </w:rPr>
            </w:pPr>
            <w:r>
              <w:rPr>
                <w:rFonts w:hint="eastAsia" w:ascii="宋体" w:hAnsi="宋体" w:cs="宋体"/>
                <w:bCs/>
                <w:kern w:val="0"/>
                <w:sz w:val="22"/>
                <w:szCs w:val="22"/>
              </w:rPr>
              <w:t>②</w:t>
            </w:r>
            <w:r>
              <w:rPr>
                <w:rFonts w:ascii="宋体" w:hAnsi="宋体"/>
                <w:bCs/>
                <w:kern w:val="0"/>
                <w:sz w:val="22"/>
                <w:szCs w:val="22"/>
              </w:rPr>
              <w:t>人员数量</w:t>
            </w:r>
            <w:r>
              <w:rPr>
                <w:rFonts w:hint="eastAsia" w:ascii="宋体" w:hAnsi="宋体"/>
                <w:bCs/>
                <w:kern w:val="0"/>
                <w:sz w:val="22"/>
                <w:szCs w:val="22"/>
              </w:rPr>
              <w:t>、</w:t>
            </w:r>
            <w:r>
              <w:rPr>
                <w:rFonts w:ascii="宋体" w:hAnsi="宋体"/>
                <w:bCs/>
                <w:kern w:val="0"/>
                <w:sz w:val="22"/>
                <w:szCs w:val="22"/>
              </w:rPr>
              <w:t>分工</w:t>
            </w:r>
            <w:r>
              <w:rPr>
                <w:rFonts w:hint="eastAsia" w:ascii="宋体" w:hAnsi="宋体"/>
                <w:bCs/>
                <w:kern w:val="0"/>
                <w:sz w:val="22"/>
                <w:szCs w:val="22"/>
              </w:rPr>
              <w:t>是否满足本项目需求，分工细致、人员配备齐全进行评议（</w:t>
            </w:r>
            <w:r>
              <w:rPr>
                <w:rFonts w:hint="eastAsia" w:ascii="宋体" w:hAnsi="宋体" w:cs="仿宋"/>
                <w:bCs/>
                <w:sz w:val="22"/>
                <w:szCs w:val="22"/>
              </w:rPr>
              <w:t>0-1）</w:t>
            </w:r>
            <w:r>
              <w:rPr>
                <w:rFonts w:hint="eastAsia" w:ascii="宋体" w:hAnsi="宋体"/>
                <w:bCs/>
                <w:kern w:val="0"/>
                <w:sz w:val="22"/>
                <w:szCs w:val="22"/>
              </w:rPr>
              <w:t>；</w:t>
            </w:r>
          </w:p>
          <w:p w14:paraId="1CB592BA">
            <w:pPr>
              <w:spacing w:line="0" w:lineRule="atLeast"/>
              <w:rPr>
                <w:rFonts w:hint="eastAsia" w:ascii="宋体" w:hAnsi="宋体"/>
                <w:bCs/>
                <w:kern w:val="0"/>
                <w:sz w:val="22"/>
                <w:szCs w:val="22"/>
              </w:rPr>
            </w:pPr>
            <w:r>
              <w:rPr>
                <w:rFonts w:hint="eastAsia" w:ascii="宋体" w:hAnsi="宋体" w:cs="宋体"/>
                <w:bCs/>
                <w:kern w:val="0"/>
                <w:sz w:val="22"/>
                <w:szCs w:val="22"/>
              </w:rPr>
              <w:t>③</w:t>
            </w:r>
            <w:r>
              <w:rPr>
                <w:rFonts w:ascii="宋体" w:hAnsi="宋体"/>
                <w:bCs/>
                <w:kern w:val="0"/>
                <w:sz w:val="22"/>
                <w:szCs w:val="22"/>
              </w:rPr>
              <w:t>人员经验</w:t>
            </w:r>
            <w:r>
              <w:rPr>
                <w:rFonts w:hint="eastAsia" w:ascii="宋体" w:hAnsi="宋体"/>
                <w:bCs/>
                <w:kern w:val="0"/>
                <w:sz w:val="22"/>
                <w:szCs w:val="22"/>
              </w:rPr>
              <w:t>是否丰富</w:t>
            </w:r>
            <w:r>
              <w:rPr>
                <w:rFonts w:ascii="宋体" w:hAnsi="宋体"/>
                <w:bCs/>
                <w:kern w:val="0"/>
                <w:sz w:val="22"/>
                <w:szCs w:val="22"/>
              </w:rPr>
              <w:t>、整体素质及技术能力</w:t>
            </w:r>
            <w:r>
              <w:rPr>
                <w:rFonts w:hint="eastAsia" w:ascii="宋体" w:hAnsi="宋体"/>
                <w:bCs/>
                <w:kern w:val="0"/>
                <w:sz w:val="22"/>
                <w:szCs w:val="22"/>
              </w:rPr>
              <w:t>满足本项目需求进行评议（</w:t>
            </w:r>
            <w:r>
              <w:rPr>
                <w:rFonts w:hint="eastAsia" w:ascii="宋体" w:hAnsi="宋体" w:cs="仿宋"/>
                <w:bCs/>
                <w:sz w:val="22"/>
                <w:szCs w:val="22"/>
              </w:rPr>
              <w:t>0-1）</w:t>
            </w:r>
            <w:r>
              <w:rPr>
                <w:rFonts w:ascii="宋体" w:hAnsi="宋体"/>
                <w:bCs/>
                <w:kern w:val="0"/>
                <w:sz w:val="22"/>
                <w:szCs w:val="22"/>
              </w:rPr>
              <w:t>。</w:t>
            </w:r>
          </w:p>
          <w:p w14:paraId="7CCAABCE">
            <w:pPr>
              <w:spacing w:line="0" w:lineRule="atLeast"/>
              <w:rPr>
                <w:rFonts w:hint="eastAsia" w:ascii="宋体" w:hAnsi="宋体"/>
                <w:bCs/>
                <w:kern w:val="0"/>
                <w:sz w:val="22"/>
                <w:szCs w:val="22"/>
              </w:rPr>
            </w:pPr>
            <w:r>
              <w:rPr>
                <w:rFonts w:hint="eastAsia" w:ascii="宋体" w:hAnsi="宋体"/>
                <w:bCs/>
                <w:kern w:val="0"/>
                <w:sz w:val="22"/>
                <w:szCs w:val="22"/>
              </w:rPr>
              <w:t>未提供不得分。</w:t>
            </w:r>
          </w:p>
        </w:tc>
        <w:tc>
          <w:tcPr>
            <w:tcW w:w="429" w:type="pct"/>
            <w:tcBorders>
              <w:top w:val="single" w:color="auto" w:sz="4" w:space="0"/>
              <w:left w:val="single" w:color="auto" w:sz="2" w:space="0"/>
              <w:right w:val="single" w:color="auto" w:sz="2" w:space="0"/>
            </w:tcBorders>
            <w:vAlign w:val="center"/>
          </w:tcPr>
          <w:p w14:paraId="062DED8F">
            <w:pPr>
              <w:tabs>
                <w:tab w:val="left" w:pos="5129"/>
              </w:tabs>
              <w:spacing w:line="0" w:lineRule="atLeast"/>
              <w:jc w:val="center"/>
              <w:rPr>
                <w:rFonts w:hint="eastAsia" w:ascii="宋体" w:hAnsi="宋体"/>
                <w:bCs/>
                <w:sz w:val="22"/>
                <w:szCs w:val="22"/>
              </w:rPr>
            </w:pPr>
            <w:r>
              <w:rPr>
                <w:rFonts w:hint="eastAsia" w:ascii="宋体" w:hAnsi="宋体"/>
                <w:bCs/>
                <w:sz w:val="22"/>
                <w:szCs w:val="22"/>
              </w:rPr>
              <w:t>3</w:t>
            </w:r>
          </w:p>
        </w:tc>
      </w:tr>
      <w:tr w14:paraId="7D4F4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0" w:hRule="atLeast"/>
          <w:tblHeader/>
        </w:trPr>
        <w:tc>
          <w:tcPr>
            <w:tcW w:w="416" w:type="pct"/>
            <w:vMerge w:val="continue"/>
            <w:tcBorders>
              <w:left w:val="single" w:color="auto" w:sz="2" w:space="0"/>
              <w:right w:val="single" w:color="auto" w:sz="4" w:space="0"/>
            </w:tcBorders>
          </w:tcPr>
          <w:p w14:paraId="1B7444A7">
            <w:pPr>
              <w:tabs>
                <w:tab w:val="left" w:pos="5129"/>
              </w:tabs>
              <w:spacing w:line="0" w:lineRule="atLeast"/>
              <w:jc w:val="center"/>
              <w:rPr>
                <w:rFonts w:hint="eastAsia" w:ascii="宋体" w:hAnsi="宋体"/>
                <w:bCs/>
                <w:sz w:val="22"/>
                <w:szCs w:val="22"/>
              </w:rPr>
            </w:pPr>
          </w:p>
        </w:tc>
        <w:tc>
          <w:tcPr>
            <w:tcW w:w="735" w:type="pct"/>
            <w:tcBorders>
              <w:top w:val="single" w:color="auto" w:sz="4" w:space="0"/>
              <w:left w:val="single" w:color="auto" w:sz="2" w:space="0"/>
              <w:right w:val="single" w:color="auto" w:sz="4" w:space="0"/>
            </w:tcBorders>
            <w:vAlign w:val="center"/>
          </w:tcPr>
          <w:p w14:paraId="567A7F14">
            <w:pPr>
              <w:tabs>
                <w:tab w:val="left" w:pos="5129"/>
              </w:tabs>
              <w:spacing w:line="0" w:lineRule="atLeast"/>
              <w:jc w:val="center"/>
              <w:rPr>
                <w:rFonts w:hint="eastAsia" w:ascii="宋体" w:hAnsi="宋体"/>
                <w:b w:val="0"/>
                <w:bCs/>
                <w:sz w:val="21"/>
                <w:szCs w:val="21"/>
                <w:lang w:val="zh-CN"/>
              </w:rPr>
            </w:pPr>
            <w:r>
              <w:rPr>
                <w:rFonts w:ascii="宋体" w:hAnsi="宋体"/>
                <w:b w:val="0"/>
                <w:bCs/>
                <w:sz w:val="21"/>
                <w:szCs w:val="21"/>
              </w:rPr>
              <w:t>样品</w:t>
            </w:r>
          </w:p>
        </w:tc>
        <w:tc>
          <w:tcPr>
            <w:tcW w:w="3418" w:type="pct"/>
            <w:tcBorders>
              <w:top w:val="single" w:color="auto" w:sz="4" w:space="0"/>
              <w:left w:val="single" w:color="auto" w:sz="4" w:space="0"/>
              <w:right w:val="single" w:color="auto" w:sz="2" w:space="0"/>
            </w:tcBorders>
          </w:tcPr>
          <w:p w14:paraId="3469F5E3">
            <w:pPr>
              <w:spacing w:line="0" w:lineRule="atLeast"/>
              <w:rPr>
                <w:rFonts w:hint="eastAsia" w:ascii="宋体" w:hAnsi="宋体"/>
                <w:b/>
                <w:kern w:val="0"/>
                <w:sz w:val="22"/>
                <w:szCs w:val="22"/>
              </w:rPr>
            </w:pPr>
            <w:r>
              <w:rPr>
                <w:rFonts w:ascii="宋体" w:hAnsi="宋体"/>
                <w:b/>
                <w:kern w:val="0"/>
                <w:sz w:val="22"/>
                <w:szCs w:val="22"/>
              </w:rPr>
              <w:t>根据供应商提供的</w:t>
            </w:r>
            <w:r>
              <w:rPr>
                <w:rFonts w:hint="eastAsia" w:ascii="宋体" w:hAnsi="宋体"/>
                <w:b/>
                <w:kern w:val="0"/>
                <w:sz w:val="22"/>
                <w:szCs w:val="22"/>
              </w:rPr>
              <w:t>样品进行评议，未提供样品的对应样品项不得分（15分）：</w:t>
            </w:r>
          </w:p>
          <w:p w14:paraId="600AD436">
            <w:pPr>
              <w:pStyle w:val="68"/>
              <w:numPr>
                <w:ilvl w:val="0"/>
                <w:numId w:val="0"/>
              </w:numPr>
              <w:spacing w:line="0" w:lineRule="atLeast"/>
              <w:jc w:val="left"/>
              <w:rPr>
                <w:rFonts w:hint="eastAsia" w:ascii="宋体" w:hAnsi="宋体"/>
                <w:bCs/>
                <w:kern w:val="0"/>
                <w:sz w:val="22"/>
              </w:rPr>
            </w:pPr>
            <w:r>
              <w:rPr>
                <w:rFonts w:hint="eastAsia" w:ascii="宋体" w:hAnsi="宋体" w:cs="宋体"/>
                <w:bCs/>
                <w:kern w:val="0"/>
                <w:sz w:val="22"/>
              </w:rPr>
              <w:t>①</w:t>
            </w:r>
            <w:r>
              <w:rPr>
                <w:rFonts w:hint="eastAsia" w:ascii="宋体" w:hAnsi="宋体"/>
                <w:bCs/>
                <w:kern w:val="0"/>
                <w:sz w:val="22"/>
              </w:rPr>
              <w:t>“</w:t>
            </w:r>
            <w:r>
              <w:rPr>
                <w:rFonts w:hint="eastAsia" w:ascii="宋体" w:hAnsi="宋体" w:cs="宋体"/>
                <w:b/>
                <w:color w:val="000000" w:themeColor="text1"/>
                <w:kern w:val="0"/>
                <w:sz w:val="22"/>
                <w:lang w:bidi="ar"/>
                <w14:textFill>
                  <w14:solidFill>
                    <w14:schemeClr w14:val="tx1"/>
                  </w14:solidFill>
                </w14:textFill>
              </w:rPr>
              <w:t>生物学生专用实践设备</w:t>
            </w:r>
            <w:r>
              <w:rPr>
                <w:rFonts w:hint="eastAsia" w:ascii="宋体" w:hAnsi="宋体"/>
                <w:b/>
                <w:kern w:val="0"/>
                <w:sz w:val="22"/>
              </w:rPr>
              <w:t>”成品样品的实际呈现情况（5分）</w:t>
            </w:r>
            <w:r>
              <w:rPr>
                <w:rFonts w:hint="eastAsia" w:ascii="宋体" w:hAnsi="宋体"/>
                <w:bCs/>
                <w:kern w:val="0"/>
                <w:sz w:val="22"/>
              </w:rPr>
              <w:t>：从样品与技术参数、尺寸的匹配度、工艺水平（0-2）、材质优劣外观美观度（0-2）、细节完善及安全性（0-1）进行评议</w:t>
            </w:r>
            <w:r>
              <w:rPr>
                <w:rFonts w:hint="eastAsia" w:ascii="宋体" w:hAnsi="宋体"/>
                <w:bCs/>
                <w:sz w:val="22"/>
              </w:rPr>
              <w:t>。</w:t>
            </w:r>
          </w:p>
          <w:p w14:paraId="1A7C1827">
            <w:pPr>
              <w:pStyle w:val="68"/>
              <w:numPr>
                <w:ilvl w:val="0"/>
                <w:numId w:val="0"/>
              </w:numPr>
              <w:spacing w:line="0" w:lineRule="atLeast"/>
              <w:rPr>
                <w:rFonts w:hint="eastAsia" w:ascii="宋体" w:hAnsi="宋体"/>
                <w:bCs/>
                <w:kern w:val="0"/>
                <w:sz w:val="22"/>
              </w:rPr>
            </w:pPr>
            <w:r>
              <w:rPr>
                <w:rFonts w:hint="eastAsia" w:ascii="宋体" w:hAnsi="宋体" w:cs="宋体"/>
                <w:bCs/>
                <w:kern w:val="0"/>
                <w:sz w:val="22"/>
              </w:rPr>
              <w:t>②</w:t>
            </w:r>
            <w:r>
              <w:rPr>
                <w:rFonts w:ascii="宋体" w:hAnsi="宋体"/>
                <w:b/>
                <w:kern w:val="0"/>
                <w:sz w:val="22"/>
              </w:rPr>
              <w:t>“</w:t>
            </w:r>
            <w:r>
              <w:rPr>
                <w:rFonts w:hint="eastAsia" w:ascii="宋体" w:hAnsi="宋体" w:cs="宋体"/>
                <w:b/>
                <w:color w:val="000000" w:themeColor="text1"/>
                <w:kern w:val="0"/>
                <w:sz w:val="22"/>
                <w:lang w:bidi="ar"/>
                <w14:textFill>
                  <w14:solidFill>
                    <w14:schemeClr w14:val="tx1"/>
                  </w14:solidFill>
                </w14:textFill>
              </w:rPr>
              <w:t>教师实验课椅、实验凳</w:t>
            </w:r>
            <w:r>
              <w:rPr>
                <w:rFonts w:ascii="宋体" w:hAnsi="宋体"/>
                <w:b/>
                <w:kern w:val="0"/>
                <w:sz w:val="22"/>
              </w:rPr>
              <w:t>”</w:t>
            </w:r>
            <w:r>
              <w:rPr>
                <w:rFonts w:hint="eastAsia" w:ascii="宋体" w:hAnsi="宋体"/>
                <w:b/>
                <w:kern w:val="0"/>
                <w:sz w:val="22"/>
              </w:rPr>
              <w:t>成品样品的实际呈现情况（5分）</w:t>
            </w:r>
            <w:r>
              <w:rPr>
                <w:rFonts w:hint="eastAsia" w:ascii="宋体" w:hAnsi="宋体"/>
                <w:bCs/>
                <w:kern w:val="0"/>
                <w:sz w:val="22"/>
              </w:rPr>
              <w:t>：从样品与技术参数、尺寸的匹配度（0-2）、工艺水平（0-1）、材质优劣外观美观度（0-1）、细节完善、座椅舒适性（0-1）进行评议</w:t>
            </w:r>
            <w:r>
              <w:rPr>
                <w:rFonts w:hint="eastAsia" w:ascii="宋体" w:hAnsi="宋体"/>
                <w:bCs/>
                <w:sz w:val="22"/>
              </w:rPr>
              <w:t>。</w:t>
            </w:r>
          </w:p>
          <w:p w14:paraId="25B73F4D">
            <w:pPr>
              <w:pStyle w:val="68"/>
              <w:numPr>
                <w:ilvl w:val="0"/>
                <w:numId w:val="0"/>
              </w:numPr>
              <w:spacing w:line="0" w:lineRule="atLeast"/>
              <w:rPr>
                <w:rFonts w:hint="eastAsia" w:ascii="宋体" w:hAnsi="宋体"/>
                <w:bCs/>
                <w:sz w:val="22"/>
              </w:rPr>
            </w:pPr>
            <w:r>
              <w:rPr>
                <w:rFonts w:hint="eastAsia" w:ascii="宋体" w:hAnsi="宋体" w:cs="宋体"/>
                <w:bCs/>
                <w:kern w:val="0"/>
                <w:sz w:val="22"/>
              </w:rPr>
              <w:t>③</w:t>
            </w:r>
            <w:r>
              <w:rPr>
                <w:rFonts w:ascii="宋体" w:hAnsi="宋体"/>
                <w:b/>
                <w:kern w:val="0"/>
                <w:sz w:val="22"/>
              </w:rPr>
              <w:t>“</w:t>
            </w:r>
            <w:r>
              <w:rPr>
                <w:rFonts w:hint="eastAsia" w:ascii="宋体" w:hAnsi="宋体"/>
                <w:b/>
                <w:kern w:val="0"/>
                <w:sz w:val="22"/>
              </w:rPr>
              <w:t>能量的主题实验箱</w:t>
            </w:r>
            <w:r>
              <w:rPr>
                <w:rFonts w:ascii="宋体" w:hAnsi="宋体"/>
                <w:b/>
                <w:kern w:val="0"/>
                <w:sz w:val="22"/>
              </w:rPr>
              <w:t>”</w:t>
            </w:r>
            <w:r>
              <w:rPr>
                <w:rFonts w:hint="eastAsia" w:ascii="宋体" w:hAnsi="宋体"/>
                <w:b/>
                <w:kern w:val="0"/>
                <w:sz w:val="22"/>
              </w:rPr>
              <w:t>成品样品实际呈现情况（5分）</w:t>
            </w:r>
            <w:r>
              <w:rPr>
                <w:rFonts w:hint="eastAsia" w:ascii="宋体" w:hAnsi="宋体"/>
                <w:bCs/>
                <w:kern w:val="0"/>
                <w:sz w:val="22"/>
              </w:rPr>
              <w:t>：从样品与材质优劣、提供实验箱样品，电池盒符合尺寸要求，负极采用用弹簧触点；单刀开关和小灯座符合尺寸要求，侧面有原理标识进行评议</w:t>
            </w:r>
            <w:r>
              <w:rPr>
                <w:rFonts w:hint="eastAsia" w:ascii="宋体" w:hAnsi="宋体" w:cs="仿宋"/>
                <w:bCs/>
                <w:sz w:val="22"/>
              </w:rPr>
              <w:t>（0-5）</w:t>
            </w:r>
            <w:r>
              <w:rPr>
                <w:rFonts w:hint="eastAsia" w:ascii="宋体" w:hAnsi="宋体"/>
                <w:bCs/>
                <w:sz w:val="22"/>
              </w:rPr>
              <w:t>。</w:t>
            </w:r>
          </w:p>
          <w:p w14:paraId="02042A1E">
            <w:pPr>
              <w:pStyle w:val="68"/>
              <w:numPr>
                <w:ilvl w:val="0"/>
                <w:numId w:val="0"/>
              </w:numPr>
              <w:spacing w:line="0" w:lineRule="atLeast"/>
              <w:rPr>
                <w:rFonts w:hint="eastAsia" w:ascii="宋体" w:hAnsi="宋体"/>
                <w:bCs/>
                <w:sz w:val="22"/>
              </w:rPr>
            </w:pPr>
            <w:r>
              <w:rPr>
                <w:rFonts w:hint="eastAsia" w:ascii="宋体" w:hAnsi="宋体"/>
                <w:bCs/>
                <w:sz w:val="22"/>
              </w:rPr>
              <w:t>样品提供不全对应样品分不得。</w:t>
            </w:r>
          </w:p>
        </w:tc>
        <w:tc>
          <w:tcPr>
            <w:tcW w:w="429" w:type="pct"/>
            <w:tcBorders>
              <w:top w:val="single" w:color="auto" w:sz="4" w:space="0"/>
              <w:left w:val="single" w:color="auto" w:sz="2" w:space="0"/>
              <w:right w:val="single" w:color="auto" w:sz="2" w:space="0"/>
            </w:tcBorders>
            <w:vAlign w:val="center"/>
          </w:tcPr>
          <w:p w14:paraId="74D07CC3">
            <w:pPr>
              <w:tabs>
                <w:tab w:val="left" w:pos="5129"/>
              </w:tabs>
              <w:spacing w:line="0" w:lineRule="atLeast"/>
              <w:jc w:val="center"/>
              <w:rPr>
                <w:rFonts w:hint="eastAsia" w:ascii="宋体" w:hAnsi="宋体"/>
                <w:bCs/>
                <w:sz w:val="22"/>
                <w:szCs w:val="22"/>
              </w:rPr>
            </w:pPr>
            <w:r>
              <w:rPr>
                <w:rFonts w:hint="eastAsia" w:ascii="宋体" w:hAnsi="宋体"/>
                <w:bCs/>
                <w:sz w:val="22"/>
                <w:szCs w:val="22"/>
              </w:rPr>
              <w:t>15</w:t>
            </w:r>
          </w:p>
        </w:tc>
      </w:tr>
      <w:tr w14:paraId="1A1B5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tblHeader/>
        </w:trPr>
        <w:tc>
          <w:tcPr>
            <w:tcW w:w="416" w:type="pct"/>
            <w:vMerge w:val="continue"/>
            <w:tcBorders>
              <w:left w:val="single" w:color="auto" w:sz="2" w:space="0"/>
              <w:right w:val="single" w:color="auto" w:sz="4" w:space="0"/>
            </w:tcBorders>
          </w:tcPr>
          <w:p w14:paraId="65D93714">
            <w:pPr>
              <w:tabs>
                <w:tab w:val="left" w:pos="5129"/>
              </w:tabs>
              <w:spacing w:line="0" w:lineRule="atLeast"/>
              <w:jc w:val="center"/>
              <w:rPr>
                <w:rFonts w:hint="eastAsia" w:ascii="宋体" w:hAnsi="宋体"/>
                <w:bCs/>
                <w:sz w:val="22"/>
                <w:szCs w:val="22"/>
              </w:rPr>
            </w:pPr>
          </w:p>
        </w:tc>
        <w:tc>
          <w:tcPr>
            <w:tcW w:w="735" w:type="pct"/>
            <w:tcBorders>
              <w:left w:val="single" w:color="auto" w:sz="2" w:space="0"/>
              <w:right w:val="single" w:color="auto" w:sz="4" w:space="0"/>
            </w:tcBorders>
            <w:vAlign w:val="center"/>
          </w:tcPr>
          <w:p w14:paraId="5922F06D">
            <w:pPr>
              <w:tabs>
                <w:tab w:val="left" w:pos="5129"/>
              </w:tabs>
              <w:spacing w:line="0" w:lineRule="atLeast"/>
              <w:jc w:val="center"/>
              <w:rPr>
                <w:rFonts w:hint="eastAsia" w:ascii="宋体" w:hAnsi="宋体"/>
                <w:b w:val="0"/>
                <w:bCs/>
                <w:sz w:val="21"/>
                <w:szCs w:val="21"/>
              </w:rPr>
            </w:pPr>
            <w:r>
              <w:rPr>
                <w:rFonts w:hint="eastAsia" w:ascii="宋体" w:hAnsi="宋体"/>
                <w:b w:val="0"/>
                <w:bCs/>
                <w:sz w:val="21"/>
                <w:szCs w:val="21"/>
              </w:rPr>
              <w:t>核心产品设计方案及生产工艺</w:t>
            </w:r>
          </w:p>
        </w:tc>
        <w:tc>
          <w:tcPr>
            <w:tcW w:w="3418" w:type="pct"/>
            <w:tcBorders>
              <w:top w:val="single" w:color="auto" w:sz="4" w:space="0"/>
              <w:left w:val="single" w:color="auto" w:sz="4" w:space="0"/>
              <w:right w:val="single" w:color="auto" w:sz="2" w:space="0"/>
            </w:tcBorders>
          </w:tcPr>
          <w:p w14:paraId="2C6E7099">
            <w:pPr>
              <w:spacing w:line="0" w:lineRule="atLeast"/>
              <w:rPr>
                <w:rFonts w:hint="eastAsia" w:ascii="宋体" w:hAnsi="宋体"/>
                <w:b/>
                <w:kern w:val="0"/>
                <w:sz w:val="22"/>
                <w:szCs w:val="22"/>
              </w:rPr>
            </w:pPr>
            <w:r>
              <w:rPr>
                <w:rFonts w:hint="eastAsia" w:ascii="宋体" w:hAnsi="宋体"/>
                <w:b/>
                <w:kern w:val="0"/>
                <w:sz w:val="22"/>
                <w:szCs w:val="22"/>
              </w:rPr>
              <w:t>根据“核心产品”净气型易燃品毒害品储存柜（H1960*W900*D510mm）的生产技术图纸及技术方案进行比较评议包括（4分）：</w:t>
            </w:r>
          </w:p>
          <w:p w14:paraId="23E25FBF">
            <w:pPr>
              <w:spacing w:line="0" w:lineRule="atLeast"/>
              <w:rPr>
                <w:rFonts w:hint="eastAsia" w:ascii="宋体" w:hAnsi="宋体"/>
                <w:bCs/>
                <w:kern w:val="0"/>
                <w:sz w:val="22"/>
                <w:szCs w:val="22"/>
              </w:rPr>
            </w:pPr>
            <w:r>
              <w:rPr>
                <w:rFonts w:hint="eastAsia" w:ascii="宋体" w:hAnsi="宋体"/>
                <w:bCs/>
                <w:kern w:val="0"/>
                <w:sz w:val="22"/>
                <w:szCs w:val="22"/>
              </w:rPr>
              <w:t>（1）产品的结构组成及总体布局（产品结构组成，总体详细技术图纸及工作原理图）；</w:t>
            </w:r>
          </w:p>
          <w:p w14:paraId="3E7FE4C6">
            <w:pPr>
              <w:spacing w:line="0" w:lineRule="atLeast"/>
              <w:rPr>
                <w:rFonts w:hint="eastAsia" w:ascii="宋体" w:hAnsi="宋体"/>
                <w:bCs/>
                <w:kern w:val="0"/>
                <w:sz w:val="22"/>
                <w:szCs w:val="22"/>
              </w:rPr>
            </w:pPr>
            <w:r>
              <w:rPr>
                <w:rFonts w:hint="eastAsia" w:ascii="宋体" w:hAnsi="宋体"/>
                <w:bCs/>
                <w:kern w:val="0"/>
                <w:sz w:val="22"/>
                <w:szCs w:val="22"/>
              </w:rPr>
              <w:t>（2）产品的工艺及零部件选型（工艺技术、生产方法、工艺流程等方案及主要零部件选型分析说明）；</w:t>
            </w:r>
          </w:p>
          <w:p w14:paraId="4B785739">
            <w:pPr>
              <w:spacing w:line="0" w:lineRule="atLeast"/>
              <w:rPr>
                <w:rFonts w:hint="eastAsia" w:ascii="宋体" w:hAnsi="宋体"/>
                <w:bCs/>
                <w:kern w:val="0"/>
                <w:sz w:val="22"/>
                <w:szCs w:val="22"/>
              </w:rPr>
            </w:pPr>
            <w:r>
              <w:rPr>
                <w:rFonts w:hint="eastAsia" w:ascii="宋体" w:hAnsi="宋体"/>
                <w:bCs/>
                <w:kern w:val="0"/>
                <w:sz w:val="22"/>
                <w:szCs w:val="22"/>
              </w:rPr>
              <w:t>（3）产品的设计说明（产品采用的关键技术，技术实现途径）。</w:t>
            </w:r>
          </w:p>
          <w:p w14:paraId="62B6F0A2">
            <w:pPr>
              <w:spacing w:line="0" w:lineRule="atLeast"/>
              <w:rPr>
                <w:rFonts w:hint="eastAsia" w:ascii="宋体" w:hAnsi="宋体"/>
                <w:bCs/>
                <w:kern w:val="0"/>
                <w:sz w:val="22"/>
                <w:szCs w:val="22"/>
              </w:rPr>
            </w:pPr>
            <w:r>
              <w:rPr>
                <w:rFonts w:hint="eastAsia" w:ascii="宋体" w:hAnsi="宋体" w:cs="宋体"/>
                <w:bCs/>
                <w:kern w:val="0"/>
                <w:sz w:val="22"/>
                <w:szCs w:val="22"/>
              </w:rPr>
              <w:t>①</w:t>
            </w:r>
            <w:r>
              <w:rPr>
                <w:rFonts w:hint="eastAsia" w:ascii="宋体" w:hAnsi="宋体"/>
                <w:bCs/>
                <w:kern w:val="0"/>
                <w:sz w:val="22"/>
                <w:szCs w:val="22"/>
              </w:rPr>
              <w:t>图纸提供齐全，技术方案准确，细节描述完整得3.1-4.0分；</w:t>
            </w:r>
          </w:p>
          <w:p w14:paraId="1F3A6945">
            <w:pPr>
              <w:spacing w:line="0" w:lineRule="atLeast"/>
              <w:rPr>
                <w:rFonts w:hint="eastAsia" w:ascii="宋体" w:hAnsi="宋体"/>
                <w:bCs/>
                <w:kern w:val="0"/>
                <w:sz w:val="22"/>
                <w:szCs w:val="22"/>
              </w:rPr>
            </w:pPr>
            <w:r>
              <w:rPr>
                <w:rFonts w:hint="eastAsia" w:ascii="宋体" w:hAnsi="宋体" w:cs="宋体"/>
                <w:bCs/>
                <w:kern w:val="0"/>
                <w:sz w:val="22"/>
                <w:szCs w:val="22"/>
              </w:rPr>
              <w:t>②</w:t>
            </w:r>
            <w:r>
              <w:rPr>
                <w:rFonts w:hint="eastAsia" w:ascii="宋体" w:hAnsi="宋体"/>
                <w:bCs/>
                <w:kern w:val="0"/>
                <w:sz w:val="22"/>
                <w:szCs w:val="22"/>
              </w:rPr>
              <w:t>图纸提供不够，技术方案不够准确，细节描述不够完整得2.1-3.0分；</w:t>
            </w:r>
          </w:p>
          <w:p w14:paraId="1EE53D8E">
            <w:pPr>
              <w:spacing w:line="0" w:lineRule="atLeast"/>
              <w:rPr>
                <w:rFonts w:hint="eastAsia" w:ascii="宋体" w:hAnsi="宋体"/>
                <w:bCs/>
                <w:kern w:val="0"/>
                <w:sz w:val="22"/>
                <w:szCs w:val="22"/>
              </w:rPr>
            </w:pPr>
            <w:r>
              <w:rPr>
                <w:rFonts w:hint="eastAsia" w:ascii="宋体" w:hAnsi="宋体" w:cs="宋体"/>
                <w:bCs/>
                <w:kern w:val="0"/>
                <w:sz w:val="22"/>
                <w:szCs w:val="22"/>
              </w:rPr>
              <w:t>③</w:t>
            </w:r>
            <w:r>
              <w:rPr>
                <w:rFonts w:hint="eastAsia" w:ascii="宋体" w:hAnsi="宋体"/>
                <w:bCs/>
                <w:kern w:val="0"/>
                <w:sz w:val="22"/>
                <w:szCs w:val="22"/>
              </w:rPr>
              <w:t>图纸提供不符合够，技术方案不准确，细节描述不完整得0-2.0分；</w:t>
            </w:r>
          </w:p>
          <w:p w14:paraId="5B7740FC">
            <w:pPr>
              <w:spacing w:line="0" w:lineRule="atLeast"/>
              <w:rPr>
                <w:rFonts w:hint="eastAsia" w:ascii="宋体" w:hAnsi="宋体"/>
                <w:bCs/>
                <w:kern w:val="0"/>
                <w:sz w:val="22"/>
                <w:szCs w:val="22"/>
                <w:highlight w:val="yellow"/>
              </w:rPr>
            </w:pPr>
            <w:r>
              <w:rPr>
                <w:rFonts w:hint="eastAsia" w:ascii="宋体" w:hAnsi="宋体"/>
                <w:bCs/>
                <w:kern w:val="0"/>
                <w:sz w:val="22"/>
                <w:szCs w:val="22"/>
              </w:rPr>
              <w:t>不提供不得分。</w:t>
            </w:r>
          </w:p>
        </w:tc>
        <w:tc>
          <w:tcPr>
            <w:tcW w:w="429" w:type="pct"/>
            <w:tcBorders>
              <w:top w:val="single" w:color="auto" w:sz="4" w:space="0"/>
              <w:left w:val="single" w:color="auto" w:sz="2" w:space="0"/>
              <w:right w:val="single" w:color="auto" w:sz="2" w:space="0"/>
            </w:tcBorders>
            <w:vAlign w:val="center"/>
          </w:tcPr>
          <w:p w14:paraId="0904D991">
            <w:pPr>
              <w:tabs>
                <w:tab w:val="left" w:pos="5129"/>
              </w:tabs>
              <w:spacing w:line="0" w:lineRule="atLeast"/>
              <w:jc w:val="center"/>
              <w:rPr>
                <w:rFonts w:hint="eastAsia" w:ascii="宋体" w:hAnsi="宋体"/>
                <w:bCs/>
                <w:sz w:val="22"/>
                <w:szCs w:val="22"/>
              </w:rPr>
            </w:pPr>
            <w:bookmarkStart w:id="636" w:name="_GoBack"/>
            <w:bookmarkEnd w:id="636"/>
            <w:r>
              <w:rPr>
                <w:rFonts w:hint="eastAsia" w:ascii="宋体" w:hAnsi="宋体"/>
                <w:bCs/>
                <w:sz w:val="22"/>
                <w:szCs w:val="22"/>
              </w:rPr>
              <w:t>4</w:t>
            </w:r>
          </w:p>
        </w:tc>
      </w:tr>
      <w:tr w14:paraId="1B13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tblHeader/>
        </w:trPr>
        <w:tc>
          <w:tcPr>
            <w:tcW w:w="416" w:type="pct"/>
            <w:vMerge w:val="continue"/>
            <w:tcBorders>
              <w:left w:val="single" w:color="auto" w:sz="2" w:space="0"/>
              <w:right w:val="single" w:color="auto" w:sz="4" w:space="0"/>
            </w:tcBorders>
          </w:tcPr>
          <w:p w14:paraId="25EE5E2F">
            <w:pPr>
              <w:tabs>
                <w:tab w:val="left" w:pos="5129"/>
              </w:tabs>
              <w:spacing w:line="0" w:lineRule="atLeast"/>
              <w:jc w:val="center"/>
              <w:rPr>
                <w:rFonts w:hint="eastAsia" w:ascii="宋体" w:hAnsi="宋体"/>
                <w:bCs/>
                <w:sz w:val="22"/>
                <w:szCs w:val="22"/>
              </w:rPr>
            </w:pPr>
          </w:p>
        </w:tc>
        <w:tc>
          <w:tcPr>
            <w:tcW w:w="735" w:type="pct"/>
            <w:tcBorders>
              <w:top w:val="single" w:color="auto" w:sz="4" w:space="0"/>
              <w:left w:val="single" w:color="auto" w:sz="2" w:space="0"/>
              <w:right w:val="single" w:color="auto" w:sz="4" w:space="0"/>
            </w:tcBorders>
            <w:vAlign w:val="center"/>
          </w:tcPr>
          <w:p w14:paraId="449FEC31">
            <w:pPr>
              <w:tabs>
                <w:tab w:val="left" w:pos="5129"/>
              </w:tabs>
              <w:spacing w:line="0" w:lineRule="atLeast"/>
              <w:jc w:val="center"/>
              <w:rPr>
                <w:rFonts w:hint="eastAsia" w:ascii="宋体" w:hAnsi="宋体"/>
                <w:b w:val="0"/>
                <w:bCs/>
                <w:sz w:val="21"/>
                <w:szCs w:val="21"/>
              </w:rPr>
            </w:pPr>
            <w:r>
              <w:rPr>
                <w:rFonts w:hint="eastAsia" w:ascii="宋体" w:hAnsi="宋体"/>
                <w:b w:val="0"/>
                <w:bCs/>
                <w:sz w:val="21"/>
                <w:szCs w:val="21"/>
              </w:rPr>
              <w:t>质量目标措施安全措施</w:t>
            </w:r>
          </w:p>
        </w:tc>
        <w:tc>
          <w:tcPr>
            <w:tcW w:w="3418" w:type="pct"/>
            <w:tcBorders>
              <w:top w:val="single" w:color="000000" w:sz="4" w:space="0"/>
              <w:left w:val="single" w:color="000000" w:sz="4" w:space="0"/>
              <w:bottom w:val="single" w:color="000000" w:sz="4" w:space="0"/>
              <w:right w:val="single" w:color="000000" w:sz="4" w:space="0"/>
            </w:tcBorders>
            <w:vAlign w:val="center"/>
          </w:tcPr>
          <w:p w14:paraId="4634F9B4">
            <w:pPr>
              <w:spacing w:line="0" w:lineRule="atLeast"/>
              <w:rPr>
                <w:rFonts w:hint="eastAsia" w:ascii="宋体" w:hAnsi="宋体"/>
                <w:b/>
                <w:kern w:val="0"/>
                <w:sz w:val="22"/>
                <w:szCs w:val="22"/>
              </w:rPr>
            </w:pPr>
            <w:r>
              <w:rPr>
                <w:rFonts w:hint="eastAsia" w:ascii="宋体" w:hAnsi="宋体"/>
                <w:b/>
                <w:kern w:val="0"/>
                <w:sz w:val="22"/>
                <w:szCs w:val="22"/>
              </w:rPr>
              <w:t xml:space="preserve">质量保障方案（4分） </w:t>
            </w:r>
          </w:p>
          <w:p w14:paraId="6479CF09">
            <w:pPr>
              <w:tabs>
                <w:tab w:val="left" w:pos="5129"/>
              </w:tabs>
              <w:spacing w:line="0" w:lineRule="atLeast"/>
              <w:jc w:val="left"/>
              <w:rPr>
                <w:rFonts w:hint="eastAsia" w:ascii="宋体" w:hAnsi="宋体"/>
                <w:bCs/>
                <w:sz w:val="22"/>
                <w:szCs w:val="22"/>
              </w:rPr>
            </w:pPr>
            <w:r>
              <w:rPr>
                <w:rFonts w:hint="eastAsia" w:ascii="宋体" w:hAnsi="宋体"/>
                <w:bCs/>
                <w:sz w:val="22"/>
                <w:szCs w:val="22"/>
              </w:rPr>
              <w:t xml:space="preserve">供应商对本项目所提供的质量保障方案（质量控制、项目实施过程中的响应时间等）由评审委员会进行综合评议： </w:t>
            </w:r>
          </w:p>
          <w:p w14:paraId="3008709A">
            <w:pPr>
              <w:tabs>
                <w:tab w:val="left" w:pos="5129"/>
              </w:tabs>
              <w:spacing w:line="0" w:lineRule="atLeast"/>
              <w:jc w:val="left"/>
              <w:rPr>
                <w:rFonts w:hint="eastAsia" w:ascii="宋体" w:hAnsi="宋体"/>
                <w:bCs/>
                <w:sz w:val="22"/>
                <w:szCs w:val="22"/>
              </w:rPr>
            </w:pPr>
            <w:r>
              <w:rPr>
                <w:rFonts w:hint="eastAsia" w:ascii="宋体" w:hAnsi="宋体" w:cs="宋体"/>
                <w:bCs/>
                <w:kern w:val="0"/>
                <w:sz w:val="22"/>
                <w:szCs w:val="22"/>
              </w:rPr>
              <w:t>①</w:t>
            </w:r>
            <w:r>
              <w:rPr>
                <w:rFonts w:hint="eastAsia" w:ascii="宋体" w:hAnsi="宋体"/>
                <w:bCs/>
                <w:sz w:val="22"/>
                <w:szCs w:val="22"/>
              </w:rPr>
              <w:t xml:space="preserve">质量保障措施符合实际情况、与采购需求相互对应，项目实施过程中的响应及时，针对项目实施过程中的各项服务承诺全面具体的得3.1-4.0分； </w:t>
            </w:r>
          </w:p>
          <w:p w14:paraId="4ED47FBD">
            <w:pPr>
              <w:tabs>
                <w:tab w:val="left" w:pos="5129"/>
              </w:tabs>
              <w:spacing w:line="0" w:lineRule="atLeast"/>
              <w:jc w:val="left"/>
              <w:rPr>
                <w:rFonts w:hint="eastAsia" w:ascii="宋体" w:hAnsi="宋体"/>
                <w:bCs/>
                <w:sz w:val="22"/>
                <w:szCs w:val="22"/>
              </w:rPr>
            </w:pPr>
            <w:r>
              <w:rPr>
                <w:rFonts w:hint="eastAsia" w:ascii="宋体" w:hAnsi="宋体" w:cs="宋体"/>
                <w:bCs/>
                <w:kern w:val="0"/>
                <w:sz w:val="22"/>
                <w:szCs w:val="22"/>
              </w:rPr>
              <w:t>②</w:t>
            </w:r>
            <w:r>
              <w:rPr>
                <w:rFonts w:hint="eastAsia" w:ascii="宋体" w:hAnsi="宋体"/>
                <w:bCs/>
                <w:sz w:val="22"/>
                <w:szCs w:val="22"/>
              </w:rPr>
              <w:t xml:space="preserve">质量保障方案内容较为具体，措施适当，基本可行，项目实施过程中的响应时间较为及时，服务承诺与实际需求较为呼应的得2.1-3.0 分； </w:t>
            </w:r>
          </w:p>
          <w:p w14:paraId="49354D8D">
            <w:pPr>
              <w:tabs>
                <w:tab w:val="left" w:pos="5129"/>
              </w:tabs>
              <w:spacing w:line="0" w:lineRule="atLeast"/>
              <w:jc w:val="left"/>
              <w:rPr>
                <w:rFonts w:hint="eastAsia" w:ascii="宋体" w:hAnsi="宋体"/>
                <w:bCs/>
                <w:sz w:val="22"/>
                <w:szCs w:val="22"/>
              </w:rPr>
            </w:pPr>
            <w:r>
              <w:rPr>
                <w:rFonts w:hint="eastAsia" w:ascii="宋体" w:hAnsi="宋体" w:cs="宋体"/>
                <w:bCs/>
                <w:kern w:val="0"/>
                <w:sz w:val="22"/>
                <w:szCs w:val="22"/>
              </w:rPr>
              <w:t>③</w:t>
            </w:r>
            <w:r>
              <w:rPr>
                <w:rFonts w:hint="eastAsia" w:ascii="宋体" w:hAnsi="宋体"/>
                <w:bCs/>
                <w:sz w:val="22"/>
                <w:szCs w:val="22"/>
              </w:rPr>
              <w:t xml:space="preserve">质量保障方案涵盖的各项内容存在一定量的缺项、漏项，响应时间与实际需求存在一定偏离的得0-2.0 分； </w:t>
            </w:r>
          </w:p>
          <w:p w14:paraId="1CECF689">
            <w:pPr>
              <w:tabs>
                <w:tab w:val="left" w:pos="5129"/>
              </w:tabs>
              <w:spacing w:line="0" w:lineRule="atLeast"/>
              <w:jc w:val="left"/>
              <w:rPr>
                <w:rFonts w:hint="eastAsia" w:ascii="宋体" w:hAnsi="宋体"/>
                <w:bCs/>
                <w:sz w:val="22"/>
                <w:szCs w:val="22"/>
              </w:rPr>
            </w:pPr>
            <w:r>
              <w:rPr>
                <w:rFonts w:hint="eastAsia" w:ascii="宋体" w:hAnsi="宋体"/>
                <w:bCs/>
                <w:sz w:val="22"/>
                <w:szCs w:val="22"/>
              </w:rPr>
              <w:t>未提供不得分。</w:t>
            </w:r>
          </w:p>
        </w:tc>
        <w:tc>
          <w:tcPr>
            <w:tcW w:w="429" w:type="pct"/>
            <w:tcBorders>
              <w:top w:val="single" w:color="000000" w:sz="4" w:space="0"/>
              <w:left w:val="single" w:color="000000" w:sz="4" w:space="0"/>
              <w:bottom w:val="single" w:color="000000" w:sz="4" w:space="0"/>
              <w:right w:val="single" w:color="000000" w:sz="4" w:space="0"/>
            </w:tcBorders>
            <w:vAlign w:val="center"/>
          </w:tcPr>
          <w:p w14:paraId="49BAB737">
            <w:pPr>
              <w:tabs>
                <w:tab w:val="left" w:pos="5129"/>
              </w:tabs>
              <w:spacing w:line="0" w:lineRule="atLeast"/>
              <w:jc w:val="center"/>
              <w:rPr>
                <w:rFonts w:hint="eastAsia" w:ascii="宋体" w:hAnsi="宋体"/>
                <w:bCs/>
                <w:sz w:val="22"/>
                <w:szCs w:val="22"/>
              </w:rPr>
            </w:pPr>
            <w:r>
              <w:rPr>
                <w:rFonts w:hint="eastAsia" w:ascii="宋体" w:hAnsi="宋体"/>
                <w:bCs/>
                <w:sz w:val="22"/>
                <w:szCs w:val="22"/>
              </w:rPr>
              <w:t>4</w:t>
            </w:r>
          </w:p>
        </w:tc>
      </w:tr>
      <w:tr w14:paraId="635B9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tblHeader/>
        </w:trPr>
        <w:tc>
          <w:tcPr>
            <w:tcW w:w="416" w:type="pct"/>
            <w:vMerge w:val="continue"/>
            <w:tcBorders>
              <w:left w:val="single" w:color="auto" w:sz="2" w:space="0"/>
              <w:right w:val="single" w:color="auto" w:sz="4" w:space="0"/>
            </w:tcBorders>
          </w:tcPr>
          <w:p w14:paraId="5B80D69A">
            <w:pPr>
              <w:tabs>
                <w:tab w:val="left" w:pos="5129"/>
              </w:tabs>
              <w:spacing w:line="0" w:lineRule="atLeast"/>
              <w:jc w:val="center"/>
              <w:rPr>
                <w:rFonts w:hint="eastAsia" w:ascii="宋体" w:hAnsi="宋体"/>
                <w:bCs/>
                <w:sz w:val="22"/>
                <w:szCs w:val="22"/>
              </w:rPr>
            </w:pPr>
          </w:p>
        </w:tc>
        <w:tc>
          <w:tcPr>
            <w:tcW w:w="735" w:type="pct"/>
            <w:tcBorders>
              <w:top w:val="single" w:color="auto" w:sz="4" w:space="0"/>
              <w:left w:val="single" w:color="auto" w:sz="2" w:space="0"/>
              <w:right w:val="single" w:color="auto" w:sz="4" w:space="0"/>
            </w:tcBorders>
            <w:vAlign w:val="center"/>
          </w:tcPr>
          <w:p w14:paraId="78B5C2EF">
            <w:pPr>
              <w:tabs>
                <w:tab w:val="left" w:pos="5129"/>
              </w:tabs>
              <w:spacing w:line="0" w:lineRule="atLeast"/>
              <w:jc w:val="center"/>
              <w:rPr>
                <w:rFonts w:hint="eastAsia" w:ascii="宋体" w:hAnsi="宋体"/>
                <w:b w:val="0"/>
                <w:bCs/>
                <w:sz w:val="21"/>
                <w:szCs w:val="21"/>
              </w:rPr>
            </w:pPr>
            <w:r>
              <w:rPr>
                <w:rFonts w:hint="eastAsia" w:ascii="宋体" w:hAnsi="宋体"/>
                <w:b w:val="0"/>
                <w:bCs/>
                <w:sz w:val="21"/>
                <w:szCs w:val="21"/>
              </w:rPr>
              <w:t>故障应急处理方案</w:t>
            </w:r>
          </w:p>
        </w:tc>
        <w:tc>
          <w:tcPr>
            <w:tcW w:w="3418" w:type="pct"/>
            <w:tcBorders>
              <w:top w:val="single" w:color="000000" w:sz="4" w:space="0"/>
              <w:left w:val="single" w:color="000000" w:sz="4" w:space="0"/>
              <w:bottom w:val="single" w:color="000000" w:sz="4" w:space="0"/>
              <w:right w:val="single" w:color="000000" w:sz="4" w:space="0"/>
            </w:tcBorders>
            <w:vAlign w:val="center"/>
          </w:tcPr>
          <w:p w14:paraId="700447BA">
            <w:pPr>
              <w:tabs>
                <w:tab w:val="left" w:pos="5129"/>
              </w:tabs>
              <w:spacing w:line="0" w:lineRule="atLeast"/>
              <w:jc w:val="left"/>
              <w:rPr>
                <w:rFonts w:hint="eastAsia" w:ascii="宋体" w:hAnsi="宋体"/>
                <w:bCs/>
                <w:sz w:val="22"/>
                <w:szCs w:val="22"/>
              </w:rPr>
            </w:pPr>
            <w:r>
              <w:rPr>
                <w:rFonts w:hint="eastAsia" w:ascii="宋体" w:hAnsi="宋体"/>
                <w:b/>
                <w:sz w:val="22"/>
                <w:szCs w:val="22"/>
              </w:rPr>
              <w:t>故障应急处理方案（4分）</w:t>
            </w:r>
            <w:r>
              <w:rPr>
                <w:rFonts w:hint="eastAsia" w:ascii="宋体" w:hAnsi="宋体"/>
                <w:bCs/>
                <w:sz w:val="22"/>
                <w:szCs w:val="22"/>
              </w:rPr>
              <w:t xml:space="preserve"> </w:t>
            </w:r>
          </w:p>
          <w:p w14:paraId="6F40A2FA">
            <w:pPr>
              <w:tabs>
                <w:tab w:val="left" w:pos="5129"/>
              </w:tabs>
              <w:spacing w:line="0" w:lineRule="atLeast"/>
              <w:jc w:val="left"/>
              <w:rPr>
                <w:rFonts w:hint="eastAsia" w:ascii="宋体" w:hAnsi="宋体"/>
                <w:bCs/>
                <w:sz w:val="22"/>
                <w:szCs w:val="22"/>
              </w:rPr>
            </w:pPr>
            <w:r>
              <w:rPr>
                <w:rFonts w:hint="eastAsia" w:ascii="宋体" w:hAnsi="宋体"/>
                <w:bCs/>
                <w:sz w:val="22"/>
                <w:szCs w:val="22"/>
              </w:rPr>
              <w:t xml:space="preserve">对后续系统运行环境出现故障或意外情况导致不能正常运行时，供应商所提出的故障应急处理方案，由评标委员会进行综合评议： </w:t>
            </w:r>
          </w:p>
          <w:p w14:paraId="1DB94D21">
            <w:pPr>
              <w:tabs>
                <w:tab w:val="left" w:pos="5129"/>
              </w:tabs>
              <w:spacing w:line="0" w:lineRule="atLeast"/>
              <w:jc w:val="left"/>
              <w:rPr>
                <w:rFonts w:hint="eastAsia" w:ascii="宋体" w:hAnsi="宋体"/>
                <w:bCs/>
                <w:sz w:val="22"/>
                <w:szCs w:val="22"/>
              </w:rPr>
            </w:pPr>
            <w:r>
              <w:rPr>
                <w:rFonts w:hint="eastAsia" w:ascii="宋体" w:hAnsi="宋体" w:cs="宋体"/>
                <w:bCs/>
                <w:kern w:val="0"/>
                <w:sz w:val="22"/>
                <w:szCs w:val="22"/>
              </w:rPr>
              <w:t>①</w:t>
            </w:r>
            <w:r>
              <w:rPr>
                <w:rFonts w:hint="eastAsia" w:ascii="宋体" w:hAnsi="宋体"/>
                <w:bCs/>
                <w:sz w:val="22"/>
                <w:szCs w:val="22"/>
              </w:rPr>
              <w:t xml:space="preserve">故障应急处理方案详实具体、保障性强，与招标需求相对应的得3.1-4.0分； </w:t>
            </w:r>
          </w:p>
          <w:p w14:paraId="68D0ABA6">
            <w:pPr>
              <w:tabs>
                <w:tab w:val="left" w:pos="5129"/>
              </w:tabs>
              <w:spacing w:line="0" w:lineRule="atLeast"/>
              <w:jc w:val="left"/>
              <w:rPr>
                <w:rFonts w:hint="eastAsia" w:ascii="宋体" w:hAnsi="宋体"/>
                <w:bCs/>
                <w:sz w:val="22"/>
                <w:szCs w:val="22"/>
              </w:rPr>
            </w:pPr>
            <w:r>
              <w:rPr>
                <w:rFonts w:hint="eastAsia" w:ascii="宋体" w:hAnsi="宋体" w:cs="宋体"/>
                <w:bCs/>
                <w:kern w:val="0"/>
                <w:sz w:val="22"/>
                <w:szCs w:val="22"/>
              </w:rPr>
              <w:t>②</w:t>
            </w:r>
            <w:r>
              <w:rPr>
                <w:rFonts w:hint="eastAsia" w:ascii="宋体" w:hAnsi="宋体"/>
                <w:bCs/>
                <w:sz w:val="22"/>
                <w:szCs w:val="22"/>
              </w:rPr>
              <w:t>故障应急处理方案保障性较强，考虑较为详实具体的得 2.1-3.0分；</w:t>
            </w:r>
          </w:p>
          <w:p w14:paraId="2855F625">
            <w:pPr>
              <w:tabs>
                <w:tab w:val="left" w:pos="5129"/>
              </w:tabs>
              <w:spacing w:line="0" w:lineRule="atLeast"/>
              <w:jc w:val="left"/>
              <w:rPr>
                <w:rFonts w:hint="eastAsia" w:ascii="宋体" w:hAnsi="宋体"/>
                <w:bCs/>
                <w:sz w:val="22"/>
                <w:szCs w:val="22"/>
              </w:rPr>
            </w:pPr>
            <w:r>
              <w:rPr>
                <w:rFonts w:hint="eastAsia" w:ascii="宋体" w:hAnsi="宋体" w:cs="宋体"/>
                <w:bCs/>
                <w:kern w:val="0"/>
                <w:sz w:val="22"/>
                <w:szCs w:val="22"/>
              </w:rPr>
              <w:t>③</w:t>
            </w:r>
            <w:r>
              <w:rPr>
                <w:rFonts w:hint="eastAsia" w:ascii="宋体" w:hAnsi="宋体"/>
                <w:bCs/>
                <w:sz w:val="22"/>
                <w:szCs w:val="22"/>
              </w:rPr>
              <w:t xml:space="preserve">故障应急处理方案不够完整具体、内容较为片面、与采购人需求存在一定偏差的得0-2.0分； </w:t>
            </w:r>
          </w:p>
          <w:p w14:paraId="04D0A011">
            <w:pPr>
              <w:tabs>
                <w:tab w:val="left" w:pos="5129"/>
              </w:tabs>
              <w:spacing w:line="0" w:lineRule="atLeast"/>
              <w:jc w:val="left"/>
              <w:rPr>
                <w:rFonts w:hint="eastAsia" w:ascii="宋体" w:hAnsi="宋体"/>
                <w:bCs/>
                <w:sz w:val="22"/>
                <w:szCs w:val="22"/>
              </w:rPr>
            </w:pPr>
            <w:r>
              <w:rPr>
                <w:rFonts w:hint="eastAsia" w:ascii="宋体" w:hAnsi="宋体"/>
                <w:bCs/>
                <w:sz w:val="22"/>
                <w:szCs w:val="22"/>
              </w:rPr>
              <w:t>未提供不得分。</w:t>
            </w:r>
          </w:p>
        </w:tc>
        <w:tc>
          <w:tcPr>
            <w:tcW w:w="429" w:type="pct"/>
            <w:tcBorders>
              <w:top w:val="single" w:color="000000" w:sz="4" w:space="0"/>
              <w:left w:val="single" w:color="000000" w:sz="4" w:space="0"/>
              <w:bottom w:val="single" w:color="000000" w:sz="4" w:space="0"/>
              <w:right w:val="single" w:color="000000" w:sz="4" w:space="0"/>
            </w:tcBorders>
            <w:vAlign w:val="center"/>
          </w:tcPr>
          <w:p w14:paraId="52996F9C">
            <w:pPr>
              <w:tabs>
                <w:tab w:val="left" w:pos="5129"/>
              </w:tabs>
              <w:spacing w:line="0" w:lineRule="atLeast"/>
              <w:jc w:val="center"/>
              <w:rPr>
                <w:rFonts w:hint="eastAsia" w:ascii="宋体" w:hAnsi="宋体"/>
                <w:bCs/>
                <w:sz w:val="22"/>
                <w:szCs w:val="22"/>
              </w:rPr>
            </w:pPr>
            <w:r>
              <w:rPr>
                <w:rFonts w:hint="eastAsia" w:ascii="宋体" w:hAnsi="宋体"/>
                <w:bCs/>
                <w:sz w:val="22"/>
                <w:szCs w:val="22"/>
              </w:rPr>
              <w:t>4</w:t>
            </w:r>
          </w:p>
        </w:tc>
      </w:tr>
      <w:tr w14:paraId="0C3C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tblHeader/>
        </w:trPr>
        <w:tc>
          <w:tcPr>
            <w:tcW w:w="416" w:type="pct"/>
            <w:vMerge w:val="continue"/>
            <w:tcBorders>
              <w:left w:val="single" w:color="auto" w:sz="2" w:space="0"/>
              <w:right w:val="single" w:color="auto" w:sz="4" w:space="0"/>
            </w:tcBorders>
          </w:tcPr>
          <w:p w14:paraId="4D0E0CB5">
            <w:pPr>
              <w:tabs>
                <w:tab w:val="left" w:pos="5129"/>
              </w:tabs>
              <w:spacing w:line="0" w:lineRule="atLeast"/>
              <w:jc w:val="center"/>
              <w:rPr>
                <w:rFonts w:hint="eastAsia" w:ascii="宋体" w:hAnsi="宋体"/>
                <w:bCs/>
                <w:sz w:val="22"/>
                <w:szCs w:val="22"/>
              </w:rPr>
            </w:pPr>
          </w:p>
        </w:tc>
        <w:tc>
          <w:tcPr>
            <w:tcW w:w="735" w:type="pct"/>
            <w:tcBorders>
              <w:top w:val="single" w:color="auto" w:sz="4" w:space="0"/>
              <w:left w:val="single" w:color="auto" w:sz="2" w:space="0"/>
              <w:right w:val="single" w:color="auto" w:sz="4" w:space="0"/>
            </w:tcBorders>
            <w:vAlign w:val="center"/>
          </w:tcPr>
          <w:p w14:paraId="2F0A4D0D">
            <w:pPr>
              <w:tabs>
                <w:tab w:val="left" w:pos="5129"/>
              </w:tabs>
              <w:spacing w:line="0" w:lineRule="atLeast"/>
              <w:jc w:val="center"/>
              <w:rPr>
                <w:rFonts w:hint="eastAsia" w:ascii="宋体" w:hAnsi="宋体"/>
                <w:b w:val="0"/>
                <w:bCs/>
                <w:sz w:val="21"/>
                <w:szCs w:val="21"/>
              </w:rPr>
            </w:pPr>
            <w:r>
              <w:rPr>
                <w:rFonts w:hint="eastAsia" w:ascii="宋体" w:hAnsi="宋体"/>
                <w:b w:val="0"/>
                <w:bCs/>
                <w:sz w:val="21"/>
                <w:szCs w:val="21"/>
              </w:rPr>
              <w:t>售后服务体系</w:t>
            </w:r>
          </w:p>
        </w:tc>
        <w:tc>
          <w:tcPr>
            <w:tcW w:w="3418" w:type="pct"/>
            <w:tcBorders>
              <w:top w:val="single" w:color="000000" w:sz="4" w:space="0"/>
              <w:left w:val="single" w:color="000000" w:sz="4" w:space="0"/>
              <w:bottom w:val="single" w:color="000000" w:sz="4" w:space="0"/>
              <w:right w:val="single" w:color="000000" w:sz="4" w:space="0"/>
            </w:tcBorders>
            <w:vAlign w:val="center"/>
          </w:tcPr>
          <w:p w14:paraId="393AC8A2">
            <w:pPr>
              <w:tabs>
                <w:tab w:val="left" w:pos="5129"/>
              </w:tabs>
              <w:spacing w:line="0" w:lineRule="atLeast"/>
              <w:jc w:val="left"/>
              <w:rPr>
                <w:rFonts w:hint="eastAsia" w:ascii="宋体" w:hAnsi="宋体"/>
                <w:b/>
                <w:sz w:val="22"/>
                <w:szCs w:val="22"/>
              </w:rPr>
            </w:pPr>
            <w:r>
              <w:rPr>
                <w:rFonts w:hint="eastAsia" w:ascii="宋体" w:hAnsi="宋体"/>
                <w:b/>
                <w:sz w:val="22"/>
                <w:szCs w:val="22"/>
              </w:rPr>
              <w:t xml:space="preserve">售后服务体系（4分） </w:t>
            </w:r>
          </w:p>
          <w:p w14:paraId="1F2FD1AF">
            <w:pPr>
              <w:tabs>
                <w:tab w:val="left" w:pos="5129"/>
              </w:tabs>
              <w:spacing w:line="0" w:lineRule="atLeast"/>
              <w:jc w:val="left"/>
              <w:rPr>
                <w:rFonts w:hint="eastAsia" w:ascii="宋体" w:hAnsi="宋体"/>
                <w:bCs/>
                <w:sz w:val="22"/>
                <w:szCs w:val="22"/>
              </w:rPr>
            </w:pPr>
            <w:r>
              <w:rPr>
                <w:rFonts w:hint="eastAsia" w:ascii="宋体" w:hAnsi="宋体"/>
                <w:bCs/>
                <w:sz w:val="22"/>
                <w:szCs w:val="22"/>
              </w:rPr>
              <w:t xml:space="preserve">根据供应商提供的售后服务方案，包含但不限于以下内容：售后服务内容、售后服务流程、售后服务规范、售后服务人员规模及能力等进行综合评议： </w:t>
            </w:r>
          </w:p>
          <w:p w14:paraId="088BF075">
            <w:pPr>
              <w:tabs>
                <w:tab w:val="left" w:pos="5129"/>
              </w:tabs>
              <w:spacing w:line="0" w:lineRule="atLeast"/>
              <w:jc w:val="left"/>
              <w:rPr>
                <w:rFonts w:hint="eastAsia" w:ascii="宋体" w:hAnsi="宋体"/>
                <w:bCs/>
                <w:sz w:val="22"/>
                <w:szCs w:val="22"/>
              </w:rPr>
            </w:pPr>
            <w:r>
              <w:rPr>
                <w:rFonts w:hint="eastAsia" w:ascii="宋体" w:hAnsi="宋体" w:cs="宋体"/>
                <w:bCs/>
                <w:kern w:val="0"/>
                <w:sz w:val="22"/>
                <w:szCs w:val="22"/>
              </w:rPr>
              <w:t>①</w:t>
            </w:r>
            <w:r>
              <w:rPr>
                <w:rFonts w:hint="eastAsia" w:ascii="宋体" w:hAnsi="宋体"/>
                <w:bCs/>
                <w:sz w:val="22"/>
                <w:szCs w:val="22"/>
              </w:rPr>
              <w:t xml:space="preserve">服务机构体系完善，服务方案考虑详实具体的得3.1-4.0分； </w:t>
            </w:r>
          </w:p>
          <w:p w14:paraId="7B946FB9">
            <w:pPr>
              <w:tabs>
                <w:tab w:val="left" w:pos="5129"/>
              </w:tabs>
              <w:spacing w:line="0" w:lineRule="atLeast"/>
              <w:jc w:val="left"/>
              <w:rPr>
                <w:rFonts w:hint="eastAsia" w:ascii="宋体" w:hAnsi="宋体"/>
                <w:bCs/>
                <w:sz w:val="22"/>
                <w:szCs w:val="22"/>
              </w:rPr>
            </w:pPr>
            <w:r>
              <w:rPr>
                <w:rFonts w:hint="eastAsia" w:ascii="宋体" w:hAnsi="宋体" w:cs="宋体"/>
                <w:bCs/>
                <w:kern w:val="0"/>
                <w:sz w:val="22"/>
                <w:szCs w:val="22"/>
              </w:rPr>
              <w:t>②</w:t>
            </w:r>
            <w:r>
              <w:rPr>
                <w:rFonts w:hint="eastAsia" w:ascii="宋体" w:hAnsi="宋体"/>
                <w:bCs/>
                <w:sz w:val="22"/>
                <w:szCs w:val="22"/>
              </w:rPr>
              <w:t>服务机构体系较为完善，对后续设备操作起到一定推动性作用的得2.1-3.0分；</w:t>
            </w:r>
          </w:p>
          <w:p w14:paraId="088F0765">
            <w:pPr>
              <w:tabs>
                <w:tab w:val="left" w:pos="5129"/>
              </w:tabs>
              <w:spacing w:line="0" w:lineRule="atLeast"/>
              <w:jc w:val="left"/>
              <w:rPr>
                <w:rFonts w:hint="eastAsia" w:ascii="宋体" w:hAnsi="宋体"/>
                <w:bCs/>
                <w:sz w:val="22"/>
                <w:szCs w:val="22"/>
              </w:rPr>
            </w:pPr>
            <w:r>
              <w:rPr>
                <w:rFonts w:hint="eastAsia" w:ascii="宋体" w:hAnsi="宋体" w:cs="宋体"/>
                <w:bCs/>
                <w:kern w:val="0"/>
                <w:sz w:val="22"/>
                <w:szCs w:val="22"/>
              </w:rPr>
              <w:t>③</w:t>
            </w:r>
            <w:r>
              <w:rPr>
                <w:rFonts w:hint="eastAsia" w:ascii="宋体" w:hAnsi="宋体"/>
                <w:bCs/>
                <w:sz w:val="22"/>
                <w:szCs w:val="22"/>
              </w:rPr>
              <w:t xml:space="preserve">服务体系不够完善、与采购人需求存在偏差，可能影响采购人对后续设备实际操作的得0-2.0分； </w:t>
            </w:r>
          </w:p>
          <w:p w14:paraId="721B527A">
            <w:pPr>
              <w:tabs>
                <w:tab w:val="left" w:pos="5129"/>
              </w:tabs>
              <w:spacing w:line="0" w:lineRule="atLeast"/>
              <w:jc w:val="left"/>
              <w:rPr>
                <w:rFonts w:hint="eastAsia" w:ascii="宋体" w:hAnsi="宋体"/>
                <w:bCs/>
                <w:sz w:val="22"/>
                <w:szCs w:val="22"/>
              </w:rPr>
            </w:pPr>
            <w:r>
              <w:rPr>
                <w:rFonts w:hint="eastAsia" w:ascii="宋体" w:hAnsi="宋体"/>
                <w:bCs/>
                <w:sz w:val="22"/>
                <w:szCs w:val="22"/>
              </w:rPr>
              <w:t>未提供不得分。</w:t>
            </w:r>
          </w:p>
        </w:tc>
        <w:tc>
          <w:tcPr>
            <w:tcW w:w="429" w:type="pct"/>
            <w:tcBorders>
              <w:top w:val="single" w:color="000000" w:sz="4" w:space="0"/>
              <w:left w:val="single" w:color="000000" w:sz="4" w:space="0"/>
              <w:bottom w:val="single" w:color="000000" w:sz="4" w:space="0"/>
              <w:right w:val="single" w:color="000000" w:sz="4" w:space="0"/>
            </w:tcBorders>
            <w:vAlign w:val="center"/>
          </w:tcPr>
          <w:p w14:paraId="1D3819A5">
            <w:pPr>
              <w:tabs>
                <w:tab w:val="left" w:pos="5129"/>
              </w:tabs>
              <w:spacing w:line="0" w:lineRule="atLeast"/>
              <w:jc w:val="center"/>
              <w:rPr>
                <w:rFonts w:hint="eastAsia" w:ascii="宋体" w:hAnsi="宋体"/>
                <w:bCs/>
                <w:sz w:val="22"/>
                <w:szCs w:val="22"/>
              </w:rPr>
            </w:pPr>
            <w:r>
              <w:rPr>
                <w:rFonts w:hint="eastAsia" w:ascii="宋体" w:hAnsi="宋体"/>
                <w:bCs/>
                <w:sz w:val="22"/>
                <w:szCs w:val="22"/>
              </w:rPr>
              <w:t>4</w:t>
            </w:r>
          </w:p>
        </w:tc>
      </w:tr>
      <w:tr w14:paraId="6A98B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4" w:hRule="atLeast"/>
          <w:tblHeader/>
        </w:trPr>
        <w:tc>
          <w:tcPr>
            <w:tcW w:w="416" w:type="pct"/>
            <w:vMerge w:val="continue"/>
            <w:tcBorders>
              <w:left w:val="single" w:color="auto" w:sz="2" w:space="0"/>
              <w:right w:val="single" w:color="auto" w:sz="4" w:space="0"/>
            </w:tcBorders>
          </w:tcPr>
          <w:p w14:paraId="08A91171">
            <w:pPr>
              <w:spacing w:line="0" w:lineRule="atLeast"/>
              <w:jc w:val="center"/>
              <w:rPr>
                <w:rFonts w:hint="eastAsia" w:ascii="宋体" w:hAnsi="宋体"/>
                <w:bCs/>
                <w:sz w:val="22"/>
                <w:szCs w:val="22"/>
              </w:rPr>
            </w:pPr>
          </w:p>
        </w:tc>
        <w:tc>
          <w:tcPr>
            <w:tcW w:w="735" w:type="pct"/>
            <w:tcBorders>
              <w:top w:val="single" w:color="auto" w:sz="2" w:space="0"/>
              <w:left w:val="single" w:color="auto" w:sz="2" w:space="0"/>
              <w:bottom w:val="single" w:color="auto" w:sz="2" w:space="0"/>
              <w:right w:val="single" w:color="auto" w:sz="4" w:space="0"/>
            </w:tcBorders>
            <w:vAlign w:val="center"/>
          </w:tcPr>
          <w:p w14:paraId="590EDF43">
            <w:pPr>
              <w:tabs>
                <w:tab w:val="left" w:pos="5129"/>
              </w:tabs>
              <w:spacing w:line="0" w:lineRule="atLeast"/>
              <w:jc w:val="center"/>
              <w:rPr>
                <w:rFonts w:hint="eastAsia" w:ascii="宋体" w:hAnsi="宋体"/>
                <w:b w:val="0"/>
                <w:bCs/>
                <w:sz w:val="21"/>
                <w:szCs w:val="21"/>
              </w:rPr>
            </w:pPr>
            <w:r>
              <w:rPr>
                <w:rFonts w:hint="eastAsia" w:ascii="宋体" w:hAnsi="宋体"/>
                <w:b w:val="0"/>
                <w:bCs/>
                <w:sz w:val="21"/>
                <w:szCs w:val="21"/>
                <w:lang w:val="zh-CN"/>
              </w:rPr>
              <w:t>政策得分</w:t>
            </w:r>
          </w:p>
        </w:tc>
        <w:tc>
          <w:tcPr>
            <w:tcW w:w="3418" w:type="pct"/>
            <w:tcBorders>
              <w:top w:val="single" w:color="auto" w:sz="2" w:space="0"/>
              <w:left w:val="single" w:color="auto" w:sz="4" w:space="0"/>
              <w:bottom w:val="single" w:color="auto" w:sz="2" w:space="0"/>
              <w:right w:val="single" w:color="auto" w:sz="2" w:space="0"/>
            </w:tcBorders>
            <w:vAlign w:val="center"/>
          </w:tcPr>
          <w:p w14:paraId="2A97E48F">
            <w:pPr>
              <w:spacing w:line="300" w:lineRule="exact"/>
              <w:rPr>
                <w:rFonts w:hint="eastAsia" w:ascii="宋体" w:hAnsi="宋体" w:cs="宋体"/>
                <w:b/>
                <w:bCs/>
                <w:szCs w:val="21"/>
              </w:rPr>
            </w:pPr>
            <w:r>
              <w:rPr>
                <w:rFonts w:hint="eastAsia" w:ascii="宋体" w:hAnsi="宋体" w:cs="宋体"/>
                <w:b/>
                <w:bCs/>
                <w:szCs w:val="21"/>
              </w:rPr>
              <w:t>节能环保加分：（1分）：</w:t>
            </w:r>
          </w:p>
          <w:p w14:paraId="202805E9">
            <w:pPr>
              <w:spacing w:line="300" w:lineRule="exact"/>
              <w:rPr>
                <w:rFonts w:hint="eastAsia" w:ascii="宋体" w:hAnsi="宋体" w:cs="宋体"/>
                <w:szCs w:val="21"/>
              </w:rPr>
            </w:pPr>
            <w:r>
              <w:rPr>
                <w:rFonts w:hint="eastAsia" w:ascii="宋体" w:hAnsi="宋体" w:cs="宋体"/>
                <w:szCs w:val="21"/>
              </w:rPr>
              <w:t>投标产品属于《节能产品政府采购品目清单》范围的且具有国家确定的认证机构出具的、处于有效期之内的节能产品认证证书的得0.5分；</w:t>
            </w:r>
          </w:p>
          <w:p w14:paraId="3A778BD2">
            <w:pPr>
              <w:spacing w:line="300" w:lineRule="exact"/>
              <w:rPr>
                <w:rFonts w:hint="eastAsia" w:ascii="宋体" w:hAnsi="宋体" w:cs="宋体"/>
                <w:szCs w:val="21"/>
              </w:rPr>
            </w:pPr>
            <w:r>
              <w:rPr>
                <w:rFonts w:hint="eastAsia" w:ascii="宋体" w:hAnsi="宋体" w:cs="宋体"/>
                <w:szCs w:val="21"/>
              </w:rPr>
              <w:t>投标产品属于《环境标志产品政府采购品目清单》范围的且具有国家确定的认证机构出具的、处于有效期之内的环境标志产品认证证书的得0.5分。</w:t>
            </w:r>
          </w:p>
          <w:p w14:paraId="173BB868">
            <w:pPr>
              <w:spacing w:line="300" w:lineRule="exact"/>
              <w:rPr>
                <w:rFonts w:hint="eastAsia" w:ascii="宋体" w:hAnsi="宋体" w:cs="宋体"/>
                <w:szCs w:val="21"/>
              </w:rPr>
            </w:pPr>
            <w:r>
              <w:rPr>
                <w:rFonts w:hint="eastAsia" w:ascii="宋体" w:hAnsi="宋体" w:cs="宋体"/>
                <w:szCs w:val="21"/>
              </w:rPr>
              <w:t>注：投标文件中必须同时提供以下资料：</w:t>
            </w:r>
          </w:p>
          <w:p w14:paraId="691E1B56">
            <w:pPr>
              <w:spacing w:line="300" w:lineRule="exact"/>
              <w:rPr>
                <w:rFonts w:hint="eastAsia" w:ascii="宋体" w:hAnsi="宋体" w:cs="宋体"/>
                <w:szCs w:val="21"/>
              </w:rPr>
            </w:pPr>
            <w:r>
              <w:rPr>
                <w:rFonts w:hint="eastAsia" w:ascii="宋体" w:hAnsi="宋体" w:cs="宋体"/>
                <w:szCs w:val="21"/>
              </w:rPr>
              <w:t>（1）提供政府采购品目清单相关内容页（并对相关内容作圈记），采购品目清单详见《关于印发环境标志产品政府采购品目清单的通知》（财库〔2019〕18号）和《关于印发节能产品政府采购品目清单的通知》（财库〔2019〕19号）。</w:t>
            </w:r>
          </w:p>
          <w:p w14:paraId="430B9CDE">
            <w:pPr>
              <w:tabs>
                <w:tab w:val="left" w:pos="5129"/>
              </w:tabs>
              <w:spacing w:line="0" w:lineRule="atLeast"/>
              <w:jc w:val="left"/>
              <w:rPr>
                <w:rFonts w:hint="eastAsia" w:ascii="宋体" w:hAnsi="宋体"/>
                <w:bCs/>
                <w:sz w:val="22"/>
                <w:szCs w:val="22"/>
              </w:rPr>
            </w:pPr>
            <w:r>
              <w:rPr>
                <w:rFonts w:hint="eastAsia" w:ascii="宋体" w:hAnsi="宋体" w:cs="宋体"/>
                <w:szCs w:val="21"/>
              </w:rPr>
              <w:t>（2）《市场监管总局关于发布参与实施政府采购节能产品、环境标志产品认证机构名录的公告》中的认证机构出具的、处于有效期之内的节能产品/环境标志产品认证证书复印件并加盖公章。</w:t>
            </w:r>
          </w:p>
        </w:tc>
        <w:tc>
          <w:tcPr>
            <w:tcW w:w="429" w:type="pct"/>
            <w:tcBorders>
              <w:top w:val="single" w:color="auto" w:sz="2" w:space="0"/>
              <w:left w:val="single" w:color="auto" w:sz="2" w:space="0"/>
              <w:bottom w:val="single" w:color="auto" w:sz="2" w:space="0"/>
              <w:right w:val="single" w:color="auto" w:sz="2" w:space="0"/>
            </w:tcBorders>
            <w:vAlign w:val="center"/>
          </w:tcPr>
          <w:p w14:paraId="2F8DB655">
            <w:pPr>
              <w:tabs>
                <w:tab w:val="left" w:pos="5129"/>
              </w:tabs>
              <w:spacing w:line="0" w:lineRule="atLeast"/>
              <w:jc w:val="center"/>
              <w:rPr>
                <w:rFonts w:hint="eastAsia" w:ascii="宋体" w:hAnsi="宋体"/>
                <w:bCs/>
                <w:sz w:val="22"/>
                <w:szCs w:val="22"/>
              </w:rPr>
            </w:pPr>
            <w:r>
              <w:rPr>
                <w:rFonts w:ascii="宋体" w:hAnsi="宋体"/>
                <w:bCs/>
                <w:sz w:val="22"/>
                <w:szCs w:val="22"/>
              </w:rPr>
              <w:t>1</w:t>
            </w:r>
          </w:p>
        </w:tc>
      </w:tr>
      <w:tr w14:paraId="1723D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6" w:hRule="atLeast"/>
          <w:tblHeader/>
        </w:trPr>
        <w:tc>
          <w:tcPr>
            <w:tcW w:w="416" w:type="pct"/>
            <w:tcBorders>
              <w:left w:val="single" w:color="auto" w:sz="2" w:space="0"/>
              <w:right w:val="single" w:color="auto" w:sz="4" w:space="0"/>
            </w:tcBorders>
            <w:textDirection w:val="tbRlV"/>
          </w:tcPr>
          <w:p w14:paraId="7EEC8D6D">
            <w:pPr>
              <w:spacing w:line="0" w:lineRule="atLeast"/>
              <w:ind w:left="113" w:right="113"/>
              <w:rPr>
                <w:rFonts w:hint="eastAsia" w:ascii="宋体" w:hAnsi="宋体"/>
                <w:bCs/>
                <w:sz w:val="22"/>
                <w:szCs w:val="22"/>
              </w:rPr>
            </w:pPr>
            <w:r>
              <w:rPr>
                <w:rFonts w:hint="eastAsia" w:ascii="宋体" w:hAnsi="宋体" w:cs="宋体"/>
                <w:b/>
                <w:bCs/>
                <w:szCs w:val="21"/>
              </w:rPr>
              <w:t>价格分40分</w:t>
            </w:r>
          </w:p>
        </w:tc>
        <w:tc>
          <w:tcPr>
            <w:tcW w:w="4153" w:type="pct"/>
            <w:gridSpan w:val="2"/>
            <w:tcBorders>
              <w:top w:val="single" w:color="auto" w:sz="2" w:space="0"/>
              <w:left w:val="single" w:color="auto" w:sz="2" w:space="0"/>
              <w:bottom w:val="single" w:color="auto" w:sz="2" w:space="0"/>
              <w:right w:val="single" w:color="auto" w:sz="2" w:space="0"/>
            </w:tcBorders>
            <w:vAlign w:val="center"/>
          </w:tcPr>
          <w:p w14:paraId="53FA917F">
            <w:pPr>
              <w:snapToGrid w:val="0"/>
              <w:spacing w:line="0" w:lineRule="atLeast"/>
              <w:jc w:val="left"/>
              <w:rPr>
                <w:rFonts w:hint="eastAsia" w:ascii="宋体" w:hAnsi="宋体" w:cs="宋体"/>
                <w:szCs w:val="21"/>
                <w:lang w:val="zh-CN"/>
              </w:rPr>
            </w:pPr>
            <w:r>
              <w:rPr>
                <w:rFonts w:hint="eastAsia" w:ascii="宋体" w:hAnsi="宋体" w:cs="宋体"/>
                <w:szCs w:val="21"/>
              </w:rPr>
              <w:t xml:space="preserve">参与评审价格=投标价格-投标价格×本国产品价格扣除率 </w:t>
            </w:r>
          </w:p>
          <w:p w14:paraId="4EAC9B90">
            <w:pPr>
              <w:snapToGrid w:val="0"/>
              <w:spacing w:line="0" w:lineRule="atLeast"/>
              <w:jc w:val="left"/>
              <w:rPr>
                <w:rFonts w:hint="eastAsia" w:ascii="宋体" w:hAnsi="宋体" w:cs="宋体"/>
                <w:szCs w:val="21"/>
                <w:lang w:val="zh-CN"/>
              </w:rPr>
            </w:pPr>
            <w:r>
              <w:rPr>
                <w:rFonts w:hint="eastAsia" w:ascii="宋体" w:hAnsi="宋体" w:cs="宋体"/>
                <w:szCs w:val="21"/>
              </w:rPr>
              <w:t xml:space="preserve">评标基准价=满足采购文件要求且“参与评审的价格”中最低的价格为评标基准价。 </w:t>
            </w:r>
          </w:p>
          <w:p w14:paraId="4ED8C8C4">
            <w:pPr>
              <w:snapToGrid w:val="0"/>
              <w:spacing w:line="0" w:lineRule="atLeast"/>
              <w:jc w:val="left"/>
              <w:rPr>
                <w:rFonts w:hint="eastAsia" w:ascii="宋体" w:hAnsi="宋体" w:cs="宋体"/>
                <w:szCs w:val="21"/>
                <w:lang w:val="zh-CN"/>
              </w:rPr>
            </w:pPr>
            <w:r>
              <w:rPr>
                <w:rFonts w:hint="eastAsia" w:ascii="宋体" w:hAnsi="宋体" w:cs="宋体"/>
                <w:szCs w:val="21"/>
              </w:rPr>
              <w:t xml:space="preserve">基准价得分为满分40 分，其他供应商报价得分计算公式如下： </w:t>
            </w:r>
          </w:p>
          <w:p w14:paraId="6D9ADECB">
            <w:pPr>
              <w:snapToGrid w:val="0"/>
              <w:spacing w:line="0" w:lineRule="atLeast"/>
              <w:jc w:val="left"/>
              <w:rPr>
                <w:rFonts w:hint="eastAsia" w:ascii="宋体" w:hAnsi="宋体" w:cs="宋体"/>
                <w:szCs w:val="21"/>
                <w:lang w:val="zh-CN"/>
              </w:rPr>
            </w:pPr>
            <w:r>
              <w:rPr>
                <w:rFonts w:hint="eastAsia" w:ascii="宋体" w:hAnsi="宋体" w:cs="宋体"/>
                <w:szCs w:val="21"/>
              </w:rPr>
              <w:t>其他供应商报价得分=（评标基准价/参与评审的价格）×40%×100</w:t>
            </w:r>
          </w:p>
          <w:p w14:paraId="6961F88C">
            <w:pPr>
              <w:tabs>
                <w:tab w:val="left" w:pos="5129"/>
              </w:tabs>
              <w:spacing w:line="0" w:lineRule="atLeast"/>
              <w:jc w:val="left"/>
              <w:rPr>
                <w:rFonts w:hint="eastAsia" w:ascii="宋体" w:hAnsi="宋体" w:cs="宋体"/>
                <w:szCs w:val="21"/>
              </w:rPr>
            </w:pPr>
            <w:r>
              <w:rPr>
                <w:rFonts w:hint="eastAsia" w:ascii="宋体" w:hAnsi="宋体" w:cs="宋体"/>
                <w:szCs w:val="21"/>
              </w:rPr>
              <w:t>注：价格得分小数点后保留2位数。</w:t>
            </w:r>
          </w:p>
        </w:tc>
        <w:tc>
          <w:tcPr>
            <w:tcW w:w="429" w:type="pct"/>
            <w:tcBorders>
              <w:top w:val="single" w:color="auto" w:sz="2" w:space="0"/>
              <w:left w:val="single" w:color="auto" w:sz="2" w:space="0"/>
              <w:bottom w:val="single" w:color="auto" w:sz="2" w:space="0"/>
              <w:right w:val="single" w:color="auto" w:sz="2" w:space="0"/>
            </w:tcBorders>
            <w:vAlign w:val="center"/>
          </w:tcPr>
          <w:p w14:paraId="6E88F4CA">
            <w:pPr>
              <w:tabs>
                <w:tab w:val="left" w:pos="5129"/>
              </w:tabs>
              <w:spacing w:line="0" w:lineRule="atLeast"/>
              <w:jc w:val="center"/>
              <w:rPr>
                <w:rFonts w:hint="eastAsia" w:ascii="宋体" w:hAnsi="宋体"/>
                <w:bCs/>
                <w:sz w:val="22"/>
                <w:szCs w:val="22"/>
              </w:rPr>
            </w:pPr>
            <w:r>
              <w:rPr>
                <w:rFonts w:hint="eastAsia" w:ascii="宋体" w:hAnsi="宋体"/>
                <w:bCs/>
                <w:sz w:val="22"/>
                <w:szCs w:val="22"/>
              </w:rPr>
              <w:t>40</w:t>
            </w:r>
          </w:p>
        </w:tc>
      </w:tr>
      <w:tr w14:paraId="55A1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tblHeader/>
        </w:trPr>
        <w:tc>
          <w:tcPr>
            <w:tcW w:w="4570" w:type="pct"/>
            <w:gridSpan w:val="3"/>
            <w:tcBorders>
              <w:left w:val="single" w:color="auto" w:sz="2" w:space="0"/>
              <w:right w:val="single" w:color="auto" w:sz="2" w:space="0"/>
            </w:tcBorders>
            <w:vAlign w:val="center"/>
          </w:tcPr>
          <w:p w14:paraId="545838C2">
            <w:pPr>
              <w:tabs>
                <w:tab w:val="left" w:pos="5129"/>
              </w:tabs>
              <w:spacing w:line="0" w:lineRule="atLeast"/>
              <w:ind w:firstLine="3795" w:firstLineChars="1800"/>
              <w:rPr>
                <w:rFonts w:hint="eastAsia" w:ascii="宋体" w:hAnsi="宋体" w:cs="宋体"/>
                <w:b/>
                <w:bCs/>
                <w:szCs w:val="21"/>
              </w:rPr>
            </w:pPr>
            <w:r>
              <w:rPr>
                <w:rFonts w:hint="eastAsia" w:ascii="宋体" w:hAnsi="宋体" w:cs="宋体"/>
                <w:b/>
                <w:bCs/>
                <w:szCs w:val="21"/>
              </w:rPr>
              <w:t>合计</w:t>
            </w:r>
          </w:p>
        </w:tc>
        <w:tc>
          <w:tcPr>
            <w:tcW w:w="429" w:type="pct"/>
            <w:tcBorders>
              <w:top w:val="single" w:color="auto" w:sz="2" w:space="0"/>
              <w:left w:val="single" w:color="auto" w:sz="2" w:space="0"/>
              <w:bottom w:val="single" w:color="auto" w:sz="2" w:space="0"/>
              <w:right w:val="single" w:color="auto" w:sz="2" w:space="0"/>
            </w:tcBorders>
            <w:vAlign w:val="center"/>
          </w:tcPr>
          <w:p w14:paraId="578648BC">
            <w:pPr>
              <w:tabs>
                <w:tab w:val="left" w:pos="5129"/>
              </w:tabs>
              <w:spacing w:line="0" w:lineRule="atLeast"/>
              <w:jc w:val="center"/>
              <w:rPr>
                <w:rFonts w:hint="eastAsia" w:ascii="宋体" w:hAnsi="宋体"/>
                <w:b/>
                <w:bCs/>
                <w:sz w:val="22"/>
                <w:szCs w:val="22"/>
              </w:rPr>
            </w:pPr>
            <w:r>
              <w:rPr>
                <w:rFonts w:hint="eastAsia" w:ascii="宋体" w:hAnsi="宋体"/>
                <w:b/>
                <w:bCs/>
                <w:sz w:val="22"/>
                <w:szCs w:val="22"/>
              </w:rPr>
              <w:t>100</w:t>
            </w:r>
          </w:p>
        </w:tc>
      </w:tr>
    </w:tbl>
    <w:p w14:paraId="26596506">
      <w:pPr>
        <w:snapToGrid w:val="0"/>
        <w:spacing w:before="120" w:beforeLines="50" w:line="360" w:lineRule="auto"/>
        <w:rPr>
          <w:rFonts w:ascii="Arial" w:hAnsi="Arial" w:cs="宋体"/>
          <w:b/>
          <w:szCs w:val="21"/>
        </w:rPr>
      </w:pPr>
      <w:r>
        <w:rPr>
          <w:rFonts w:hint="eastAsia" w:ascii="Arial" w:hAnsi="Arial" w:cs="宋体"/>
          <w:b/>
          <w:szCs w:val="21"/>
        </w:rPr>
        <w:t>备注：</w:t>
      </w:r>
      <w:r>
        <w:rPr>
          <w:rFonts w:hint="eastAsia" w:ascii="Arial" w:hAnsi="Arial" w:cs="宋体"/>
          <w:bCs/>
          <w:szCs w:val="21"/>
        </w:rPr>
        <w:t>1、</w:t>
      </w:r>
      <w:r>
        <w:rPr>
          <w:rFonts w:hint="eastAsia" w:ascii="Arial" w:hAnsi="Arial" w:cs="宋体"/>
          <w:szCs w:val="21"/>
        </w:rPr>
        <w:t>供应商编制投标文件（商务技术文件部分）时，建议按此目录（序号和内容）提供评标标准相应的商务技术资料。 2、评委在上表设定的分值范围内进行评分（四舍五入保留两位小数），平均分值计算四舍五入保留两位小数。</w:t>
      </w:r>
    </w:p>
    <w:p w14:paraId="4E855525">
      <w:pPr>
        <w:numPr>
          <w:ilvl w:val="0"/>
          <w:numId w:val="34"/>
        </w:numPr>
        <w:snapToGrid w:val="0"/>
        <w:spacing w:before="120" w:beforeLines="50" w:line="360" w:lineRule="auto"/>
        <w:ind w:firstLine="0"/>
        <w:rPr>
          <w:rFonts w:ascii="Arial" w:hAnsi="Arial" w:cs="宋体"/>
          <w:b/>
          <w:szCs w:val="28"/>
        </w:rPr>
      </w:pPr>
      <w:r>
        <w:rPr>
          <w:rFonts w:hint="eastAsia" w:ascii="Arial" w:hAnsi="Arial" w:cs="宋体"/>
          <w:b/>
          <w:sz w:val="32"/>
        </w:rPr>
        <w:br w:type="page"/>
      </w:r>
      <w:r>
        <w:rPr>
          <w:rFonts w:hint="eastAsia" w:ascii="Arial" w:hAnsi="Arial" w:cs="宋体"/>
          <w:b/>
        </w:rPr>
        <w:t>评标方法</w:t>
      </w:r>
    </w:p>
    <w:p w14:paraId="6C204E98">
      <w:pPr>
        <w:snapToGrid w:val="0"/>
        <w:spacing w:line="360" w:lineRule="auto"/>
        <w:ind w:firstLine="413" w:firstLineChars="196"/>
        <w:rPr>
          <w:rFonts w:ascii="Arial" w:hAnsi="Arial" w:cs="宋体"/>
          <w:kern w:val="0"/>
        </w:rPr>
      </w:pPr>
      <w:r>
        <w:rPr>
          <w:rFonts w:hint="eastAsia" w:ascii="Arial" w:hAnsi="Arial" w:cs="宋体"/>
          <w:b/>
          <w:kern w:val="0"/>
        </w:rPr>
        <w:t>1、本项目采用综合评分法。</w:t>
      </w:r>
      <w:r>
        <w:rPr>
          <w:rFonts w:hint="eastAsia" w:ascii="Arial" w:hAnsi="Arial" w:cs="宋体"/>
          <w:kern w:val="0"/>
        </w:rPr>
        <w:t>综合评分法，是指投标文件满足采购文件全部实质性要求，且按照评审因素的量化指标评审得分最高的供应商为中标候选人的评标方法。</w:t>
      </w:r>
    </w:p>
    <w:p w14:paraId="2E741B79">
      <w:pPr>
        <w:numPr>
          <w:ilvl w:val="0"/>
          <w:numId w:val="34"/>
        </w:numPr>
        <w:snapToGrid w:val="0"/>
        <w:spacing w:before="120" w:beforeLines="50" w:line="360" w:lineRule="auto"/>
        <w:ind w:firstLine="0"/>
        <w:rPr>
          <w:rFonts w:ascii="Arial" w:hAnsi="Arial" w:cs="宋体"/>
          <w:b/>
        </w:rPr>
      </w:pPr>
      <w:r>
        <w:rPr>
          <w:rFonts w:hint="eastAsia" w:ascii="Arial" w:hAnsi="Arial" w:cs="宋体"/>
          <w:b/>
        </w:rPr>
        <w:t>评标标准</w:t>
      </w:r>
    </w:p>
    <w:p w14:paraId="374ECD58">
      <w:pPr>
        <w:snapToGrid w:val="0"/>
        <w:spacing w:line="360" w:lineRule="auto"/>
        <w:ind w:firstLine="413" w:firstLineChars="196"/>
        <w:rPr>
          <w:rFonts w:ascii="Arial" w:hAnsi="Arial" w:cs="宋体"/>
          <w:b/>
        </w:rPr>
      </w:pPr>
      <w:r>
        <w:rPr>
          <w:rFonts w:hint="eastAsia" w:ascii="Arial" w:hAnsi="Arial" w:cs="宋体"/>
          <w:b/>
        </w:rPr>
        <w:t>2、评标标准：</w:t>
      </w:r>
      <w:r>
        <w:rPr>
          <w:rFonts w:hint="eastAsia" w:ascii="Arial" w:hAnsi="Arial" w:cs="宋体"/>
          <w:kern w:val="0"/>
        </w:rPr>
        <w:t>见评标办法前附表。</w:t>
      </w:r>
    </w:p>
    <w:p w14:paraId="65288162">
      <w:pPr>
        <w:numPr>
          <w:ilvl w:val="0"/>
          <w:numId w:val="34"/>
        </w:numPr>
        <w:snapToGrid w:val="0"/>
        <w:spacing w:before="120" w:beforeLines="50" w:line="360" w:lineRule="auto"/>
        <w:ind w:firstLine="0"/>
        <w:rPr>
          <w:rFonts w:ascii="Arial" w:hAnsi="Arial" w:cs="宋体"/>
          <w:b/>
        </w:rPr>
      </w:pPr>
      <w:bookmarkStart w:id="473" w:name="_Toc7008"/>
      <w:r>
        <w:rPr>
          <w:rFonts w:hint="eastAsia" w:ascii="Arial" w:hAnsi="Arial" w:cs="宋体"/>
          <w:b/>
        </w:rPr>
        <w:t>评标程序</w:t>
      </w:r>
      <w:bookmarkEnd w:id="473"/>
    </w:p>
    <w:p w14:paraId="5DF87354">
      <w:pPr>
        <w:numPr>
          <w:ilvl w:val="0"/>
          <w:numId w:val="1"/>
        </w:numPr>
        <w:snapToGrid w:val="0"/>
        <w:spacing w:line="360" w:lineRule="auto"/>
        <w:rPr>
          <w:rFonts w:ascii="Arial" w:hAnsi="Arial" w:cs="宋体"/>
          <w:b/>
          <w:kern w:val="0"/>
        </w:rPr>
      </w:pPr>
      <w:r>
        <w:rPr>
          <w:rFonts w:hint="eastAsia" w:ascii="Arial" w:hAnsi="Arial" w:cs="宋体"/>
          <w:b/>
          <w:kern w:val="0"/>
        </w:rPr>
        <w:t>符合性审查。</w:t>
      </w:r>
      <w:r>
        <w:rPr>
          <w:rFonts w:hint="eastAsia" w:ascii="Arial" w:hAnsi="Arial" w:cs="宋体"/>
          <w:bCs/>
          <w:kern w:val="0"/>
        </w:rPr>
        <w:t>评标委员会应当对符合资格的供应商的投标文件进行符合性审查，以确定其是否满足采购文件的实质性要求。不满足采购文件的实质性要求的，投标无效。</w:t>
      </w:r>
    </w:p>
    <w:p w14:paraId="1F6D387B">
      <w:pPr>
        <w:numPr>
          <w:ilvl w:val="0"/>
          <w:numId w:val="1"/>
        </w:numPr>
        <w:snapToGrid w:val="0"/>
        <w:spacing w:line="360" w:lineRule="auto"/>
        <w:rPr>
          <w:rFonts w:ascii="Arial" w:hAnsi="Arial" w:cs="宋体"/>
          <w:b/>
          <w:kern w:val="0"/>
        </w:rPr>
      </w:pPr>
      <w:r>
        <w:rPr>
          <w:rFonts w:hint="eastAsia" w:ascii="Arial" w:hAnsi="Arial" w:cs="宋体"/>
          <w:b/>
          <w:kern w:val="0"/>
        </w:rPr>
        <w:t>比较与评价。</w:t>
      </w:r>
      <w:r>
        <w:rPr>
          <w:rFonts w:hint="eastAsia" w:ascii="Arial" w:hAnsi="Arial" w:cs="宋体"/>
          <w:bCs/>
          <w:kern w:val="0"/>
        </w:rPr>
        <w:t>评标委员会应当按照采购文件中规定的评标方法和标准，对符合性审查合格的投标文件进行商务和技术评估，综合比较与评价。</w:t>
      </w:r>
    </w:p>
    <w:p w14:paraId="3C1C8DCB">
      <w:pPr>
        <w:numPr>
          <w:ilvl w:val="0"/>
          <w:numId w:val="1"/>
        </w:numPr>
        <w:snapToGrid w:val="0"/>
        <w:spacing w:line="360" w:lineRule="auto"/>
        <w:rPr>
          <w:rFonts w:ascii="Arial" w:hAnsi="Arial" w:cs="宋体"/>
          <w:b/>
          <w:kern w:val="0"/>
        </w:rPr>
      </w:pPr>
      <w:r>
        <w:rPr>
          <w:rFonts w:hint="eastAsia" w:ascii="Arial" w:hAnsi="Arial" w:cs="宋体"/>
          <w:b/>
          <w:kern w:val="0"/>
        </w:rPr>
        <w:t>汇总商务技术得分。</w:t>
      </w:r>
      <w:r>
        <w:rPr>
          <w:rFonts w:hint="eastAsia" w:ascii="Arial" w:hAnsi="Arial" w:cs="宋体"/>
          <w:bCs/>
          <w:kern w:val="0"/>
        </w:rPr>
        <w:t>评标委员会各成员应当独立对每个供应商的商务和技术文件进行评价，并汇总商务技术得分情况。</w:t>
      </w:r>
      <w:r>
        <w:rPr>
          <w:rFonts w:hint="eastAsia" w:ascii="Arial" w:hAnsi="Arial"/>
          <w:szCs w:val="21"/>
        </w:rPr>
        <w:t>对明显畸高、畸低的评分（评审小组成员个人主观总评分偏离所有评审小组成员主观总评分平均分30%以上的），评标委员会主任评委应提醒相关评标委员会成员进行复核或书面说明理由，评标委员会成员拒绝说明的，由现场监督员据实记录；评标委员会成员的评审、修改记录应保留原件，随项目其他资料一并存档。评标委员会对需要共同认定的事项存在争议的，按照少数服从多数的原则做出结论。持不同意见的评标委员会成员应当在评审报告上签署不同意见并说明理由，否则视为同意。</w:t>
      </w:r>
    </w:p>
    <w:p w14:paraId="2E7866AF">
      <w:pPr>
        <w:numPr>
          <w:ilvl w:val="0"/>
          <w:numId w:val="1"/>
        </w:numPr>
        <w:snapToGrid w:val="0"/>
        <w:spacing w:line="0" w:lineRule="atLeast"/>
        <w:ind w:left="431" w:hanging="431"/>
        <w:rPr>
          <w:rFonts w:ascii="Arial" w:hAnsi="Arial" w:cs="宋体"/>
          <w:b/>
          <w:kern w:val="0"/>
        </w:rPr>
      </w:pPr>
      <w:r>
        <w:rPr>
          <w:rFonts w:hint="eastAsia" w:ascii="Arial" w:hAnsi="Arial" w:cs="宋体"/>
          <w:b/>
          <w:kern w:val="0"/>
        </w:rPr>
        <w:t>报价评审。</w:t>
      </w:r>
    </w:p>
    <w:p w14:paraId="5C081B6B">
      <w:pPr>
        <w:pStyle w:val="189"/>
        <w:widowControl w:val="0"/>
        <w:snapToGrid w:val="0"/>
        <w:spacing w:before="0" w:line="0" w:lineRule="atLeast"/>
        <w:ind w:left="403" w:firstLine="0" w:firstLineChars="0"/>
        <w:rPr>
          <w:rFonts w:ascii="Arial" w:hAnsi="Arial"/>
          <w:kern w:val="2"/>
          <w:sz w:val="21"/>
          <w:szCs w:val="21"/>
        </w:rPr>
      </w:pPr>
      <w:r>
        <w:rPr>
          <w:rFonts w:hint="eastAsia" w:ascii="Arial" w:hAnsi="Arial"/>
          <w:kern w:val="2"/>
          <w:sz w:val="21"/>
          <w:szCs w:val="21"/>
        </w:rPr>
        <w:t>4.1投标文件报价出现前后不一致的，按照下列规定修正：</w:t>
      </w:r>
    </w:p>
    <w:p w14:paraId="3E10BB87">
      <w:pPr>
        <w:pStyle w:val="189"/>
        <w:widowControl w:val="0"/>
        <w:snapToGrid w:val="0"/>
        <w:spacing w:before="0" w:line="0" w:lineRule="atLeast"/>
        <w:ind w:left="403" w:firstLine="0" w:firstLineChars="0"/>
        <w:rPr>
          <w:rFonts w:ascii="Arial" w:hAnsi="Arial"/>
          <w:kern w:val="2"/>
          <w:sz w:val="21"/>
          <w:szCs w:val="21"/>
        </w:rPr>
      </w:pPr>
      <w:r>
        <w:rPr>
          <w:rFonts w:hint="eastAsia" w:ascii="Arial" w:hAnsi="Arial"/>
          <w:kern w:val="2"/>
          <w:sz w:val="21"/>
          <w:szCs w:val="21"/>
        </w:rPr>
        <w:t>4.1.1投标文件中开标一览表（报价表）内容与投标文件中相应内容不一致的，以开标一览表（报价表）为准；</w:t>
      </w:r>
    </w:p>
    <w:p w14:paraId="22F6F3D9">
      <w:pPr>
        <w:pStyle w:val="189"/>
        <w:widowControl w:val="0"/>
        <w:snapToGrid w:val="0"/>
        <w:spacing w:before="0" w:line="0" w:lineRule="atLeast"/>
        <w:ind w:left="403" w:firstLine="0" w:firstLineChars="0"/>
        <w:rPr>
          <w:rFonts w:ascii="Arial" w:hAnsi="Arial"/>
          <w:kern w:val="2"/>
          <w:sz w:val="21"/>
          <w:szCs w:val="21"/>
        </w:rPr>
      </w:pPr>
      <w:r>
        <w:rPr>
          <w:rFonts w:hint="eastAsia" w:ascii="Arial" w:hAnsi="Arial"/>
          <w:kern w:val="2"/>
          <w:sz w:val="21"/>
          <w:szCs w:val="21"/>
        </w:rPr>
        <w:t>4.1.2大写金额和小写金额不一致的，以大写金额为准；</w:t>
      </w:r>
    </w:p>
    <w:p w14:paraId="76F5A272">
      <w:pPr>
        <w:pStyle w:val="189"/>
        <w:widowControl w:val="0"/>
        <w:snapToGrid w:val="0"/>
        <w:spacing w:before="0" w:line="0" w:lineRule="atLeast"/>
        <w:ind w:left="403" w:firstLine="0" w:firstLineChars="0"/>
        <w:rPr>
          <w:rFonts w:ascii="Arial" w:hAnsi="Arial"/>
          <w:kern w:val="2"/>
          <w:sz w:val="21"/>
          <w:szCs w:val="21"/>
        </w:rPr>
      </w:pPr>
      <w:r>
        <w:rPr>
          <w:rFonts w:hint="eastAsia" w:ascii="Arial" w:hAnsi="Arial"/>
          <w:kern w:val="2"/>
          <w:sz w:val="21"/>
          <w:szCs w:val="21"/>
        </w:rPr>
        <w:t>4.1.3单价金额小数点或者百分比有明显错位的，以开标一览表的总价为准，并修改单价；</w:t>
      </w:r>
    </w:p>
    <w:p w14:paraId="4865EEB8">
      <w:pPr>
        <w:pStyle w:val="189"/>
        <w:widowControl w:val="0"/>
        <w:snapToGrid w:val="0"/>
        <w:spacing w:before="0" w:line="0" w:lineRule="atLeast"/>
        <w:ind w:left="403" w:firstLine="0" w:firstLineChars="0"/>
        <w:rPr>
          <w:rFonts w:ascii="Arial" w:hAnsi="Arial"/>
          <w:kern w:val="2"/>
          <w:sz w:val="21"/>
          <w:szCs w:val="21"/>
        </w:rPr>
      </w:pPr>
      <w:r>
        <w:rPr>
          <w:rFonts w:hint="eastAsia" w:ascii="Arial" w:hAnsi="Arial"/>
          <w:kern w:val="2"/>
          <w:sz w:val="21"/>
          <w:szCs w:val="21"/>
        </w:rPr>
        <w:t>4.1.4总价金额与按单价汇总金额不一致的，以单价金额计算结果为准。</w:t>
      </w:r>
    </w:p>
    <w:p w14:paraId="0983D3B3">
      <w:pPr>
        <w:pStyle w:val="189"/>
        <w:widowControl w:val="0"/>
        <w:snapToGrid w:val="0"/>
        <w:spacing w:before="0" w:line="0" w:lineRule="atLeast"/>
        <w:ind w:left="403" w:firstLine="0" w:firstLineChars="0"/>
        <w:rPr>
          <w:rFonts w:ascii="Arial" w:hAnsi="Arial"/>
          <w:kern w:val="2"/>
          <w:sz w:val="21"/>
          <w:szCs w:val="21"/>
        </w:rPr>
      </w:pPr>
      <w:r>
        <w:rPr>
          <w:rFonts w:hint="eastAsia" w:ascii="Arial" w:hAnsi="Arial"/>
          <w:kern w:val="2"/>
          <w:sz w:val="21"/>
          <w:szCs w:val="21"/>
        </w:rPr>
        <w:t>4.1.5同时出现两种以上不一致的，按照4.1规定的顺序修正。修正后的报价按照财政部第87号令《政府采购货物和服务招标投标管理办法》第五十一条第二款的规定经供应商确认后产生约束力。</w:t>
      </w:r>
    </w:p>
    <w:p w14:paraId="215D3F1D">
      <w:pPr>
        <w:pStyle w:val="189"/>
        <w:widowControl w:val="0"/>
        <w:snapToGrid w:val="0"/>
        <w:spacing w:before="0" w:line="0" w:lineRule="atLeast"/>
        <w:ind w:left="403" w:firstLine="0" w:firstLineChars="0"/>
        <w:rPr>
          <w:rFonts w:ascii="Arial" w:hAnsi="Arial"/>
          <w:kern w:val="2"/>
          <w:sz w:val="21"/>
          <w:szCs w:val="21"/>
        </w:rPr>
      </w:pPr>
      <w:r>
        <w:rPr>
          <w:rFonts w:hint="eastAsia" w:ascii="Arial" w:hAnsi="Arial"/>
          <w:kern w:val="2"/>
          <w:sz w:val="21"/>
          <w:szCs w:val="21"/>
        </w:rPr>
        <w:t>4.1.6浙江政府采购云平台填写的投标报价与浙江政府采购云平台上传的电子投标文件中的投标报价不一致的，以上传的电子投标文件中的投标报价为准。</w:t>
      </w:r>
    </w:p>
    <w:p w14:paraId="114B0126">
      <w:pPr>
        <w:pStyle w:val="189"/>
        <w:widowControl w:val="0"/>
        <w:snapToGrid w:val="0"/>
        <w:spacing w:before="0" w:beforeAutospacing="0" w:after="0" w:afterAutospacing="0"/>
        <w:ind w:left="400" w:firstLine="0" w:firstLineChars="0"/>
        <w:rPr>
          <w:rFonts w:ascii="Arial" w:hAnsi="Arial"/>
          <w:b/>
          <w:bCs/>
          <w:sz w:val="21"/>
          <w:szCs w:val="21"/>
        </w:rPr>
      </w:pPr>
      <w:r>
        <w:rPr>
          <w:rFonts w:hint="eastAsia" w:ascii="Arial" w:hAnsi="Arial"/>
          <w:b/>
          <w:bCs/>
          <w:sz w:val="21"/>
          <w:szCs w:val="21"/>
        </w:rPr>
        <w:t>4.2政府采购异常低价审查</w:t>
      </w:r>
    </w:p>
    <w:p w14:paraId="0577B878">
      <w:pPr>
        <w:pStyle w:val="189"/>
        <w:widowControl w:val="0"/>
        <w:snapToGrid w:val="0"/>
        <w:spacing w:before="0" w:beforeAutospacing="0" w:after="0" w:afterAutospacing="0"/>
        <w:ind w:left="400" w:firstLine="0" w:firstLineChars="0"/>
        <w:rPr>
          <w:rFonts w:ascii="Arial" w:hAnsi="Arial"/>
          <w:sz w:val="21"/>
          <w:szCs w:val="21"/>
        </w:rPr>
      </w:pPr>
      <w:r>
        <w:rPr>
          <w:rFonts w:hint="eastAsia" w:ascii="Arial" w:hAnsi="Arial"/>
          <w:sz w:val="21"/>
          <w:szCs w:val="21"/>
        </w:rPr>
        <w:t>（一）政府采购评审中出现下列情形之一的，评审委员会应当启动异常低价投标（响应）审查程序：</w:t>
      </w:r>
    </w:p>
    <w:p w14:paraId="5CEC86C5">
      <w:pPr>
        <w:pStyle w:val="189"/>
        <w:widowControl w:val="0"/>
        <w:snapToGrid w:val="0"/>
        <w:spacing w:before="0" w:beforeAutospacing="0" w:after="0" w:afterAutospacing="0"/>
        <w:ind w:left="400" w:firstLine="0" w:firstLineChars="0"/>
        <w:rPr>
          <w:rFonts w:ascii="Arial" w:hAnsi="Arial"/>
          <w:sz w:val="21"/>
          <w:szCs w:val="21"/>
        </w:rPr>
      </w:pPr>
      <w:r>
        <w:rPr>
          <w:rFonts w:hint="eastAsia" w:ascii="Arial" w:hAnsi="Arial"/>
          <w:sz w:val="21"/>
          <w:szCs w:val="21"/>
        </w:rPr>
        <w:t>1.投标（响应）报价低于全部通过符合性审查供应商投标（响应）报价平均值50%的，即投标（响应）报价&lt;全部通过符合性审查供应商投标（响应）报价平均值×50%；</w:t>
      </w:r>
    </w:p>
    <w:p w14:paraId="78FB0FBA">
      <w:pPr>
        <w:pStyle w:val="189"/>
        <w:widowControl w:val="0"/>
        <w:snapToGrid w:val="0"/>
        <w:spacing w:before="0" w:beforeAutospacing="0" w:after="0" w:afterAutospacing="0"/>
        <w:ind w:left="400" w:firstLine="0" w:firstLineChars="0"/>
        <w:rPr>
          <w:rFonts w:ascii="Arial" w:hAnsi="Arial"/>
          <w:sz w:val="21"/>
          <w:szCs w:val="21"/>
        </w:rPr>
      </w:pPr>
      <w:r>
        <w:rPr>
          <w:rFonts w:hint="eastAsia" w:ascii="Arial" w:hAnsi="Arial"/>
          <w:sz w:val="21"/>
          <w:szCs w:val="21"/>
        </w:rPr>
        <w:t>2.投标（响应）报价低于通过符合性审查的次低报价供应商投标（响应）报价50%的，即投标（响应）报价&lt;通过符合性审查的次低报价供应商投标（响应）报价×50%；</w:t>
      </w:r>
    </w:p>
    <w:p w14:paraId="52973C71">
      <w:pPr>
        <w:pStyle w:val="189"/>
        <w:widowControl w:val="0"/>
        <w:snapToGrid w:val="0"/>
        <w:spacing w:before="0" w:beforeAutospacing="0" w:after="0" w:afterAutospacing="0"/>
        <w:ind w:left="400" w:firstLine="0" w:firstLineChars="0"/>
        <w:rPr>
          <w:rFonts w:ascii="Arial" w:hAnsi="Arial"/>
          <w:sz w:val="21"/>
          <w:szCs w:val="21"/>
        </w:rPr>
      </w:pPr>
      <w:r>
        <w:rPr>
          <w:rFonts w:hint="eastAsia" w:ascii="Arial" w:hAnsi="Arial"/>
          <w:sz w:val="21"/>
          <w:szCs w:val="21"/>
        </w:rPr>
        <w:t>3.投标（响应）报价低于采购项目最高限价45%的，即投标（响应）报价&lt;采购项目最高限价×45%；</w:t>
      </w:r>
    </w:p>
    <w:p w14:paraId="0EF6AE38">
      <w:pPr>
        <w:pStyle w:val="189"/>
        <w:widowControl w:val="0"/>
        <w:snapToGrid w:val="0"/>
        <w:spacing w:before="0" w:beforeAutospacing="0" w:after="0" w:afterAutospacing="0"/>
        <w:ind w:left="400" w:firstLine="0" w:firstLineChars="0"/>
        <w:rPr>
          <w:rFonts w:ascii="Arial" w:hAnsi="Arial"/>
          <w:sz w:val="21"/>
          <w:szCs w:val="21"/>
        </w:rPr>
      </w:pPr>
      <w:r>
        <w:rPr>
          <w:rFonts w:hint="eastAsia" w:ascii="Arial" w:hAnsi="Arial"/>
          <w:sz w:val="21"/>
          <w:szCs w:val="21"/>
        </w:rPr>
        <w:t>4.评审委员会基于专业判断，认为供应商报价过低，有可能影响产品质量或者不能诚信履约的其他情形。</w:t>
      </w:r>
    </w:p>
    <w:p w14:paraId="288654CA">
      <w:pPr>
        <w:pStyle w:val="189"/>
        <w:widowControl w:val="0"/>
        <w:snapToGrid w:val="0"/>
        <w:spacing w:before="0" w:beforeAutospacing="0" w:after="0" w:afterAutospacing="0"/>
        <w:ind w:left="400" w:firstLine="0" w:firstLineChars="0"/>
        <w:rPr>
          <w:rFonts w:ascii="Arial" w:hAnsi="Arial"/>
          <w:sz w:val="21"/>
          <w:szCs w:val="21"/>
        </w:rPr>
      </w:pPr>
      <w:r>
        <w:rPr>
          <w:rFonts w:hint="eastAsia" w:ascii="Arial" w:hAnsi="Arial"/>
          <w:sz w:val="21"/>
          <w:szCs w:val="21"/>
        </w:rPr>
        <w:t>采购人可以结合具体项目实际情况，提高上述第1项至第3项中启动异常低价投标（响应）审查的数值标准，但是最高不得超过65%。相关法律法规对供应商报价有规定的，从其规定。</w:t>
      </w:r>
    </w:p>
    <w:p w14:paraId="446F96EF">
      <w:pPr>
        <w:pStyle w:val="189"/>
        <w:widowControl w:val="0"/>
        <w:snapToGrid w:val="0"/>
        <w:spacing w:before="0" w:beforeAutospacing="0" w:after="0" w:afterAutospacing="0"/>
        <w:ind w:left="400" w:firstLine="0" w:firstLineChars="0"/>
        <w:rPr>
          <w:rFonts w:ascii="Arial" w:hAnsi="Arial"/>
          <w:sz w:val="21"/>
          <w:szCs w:val="21"/>
        </w:rPr>
      </w:pPr>
      <w:r>
        <w:rPr>
          <w:rFonts w:hint="eastAsia" w:ascii="Arial" w:hAnsi="Arial"/>
          <w:sz w:val="21"/>
          <w:szCs w:val="21"/>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07FE2898">
      <w:pPr>
        <w:pStyle w:val="189"/>
        <w:widowControl w:val="0"/>
        <w:snapToGrid w:val="0"/>
        <w:spacing w:before="0" w:beforeAutospacing="0" w:after="0" w:afterAutospacing="0"/>
        <w:ind w:left="420" w:leftChars="200" w:firstLine="420"/>
        <w:rPr>
          <w:rFonts w:ascii="Arial" w:hAnsi="Arial"/>
          <w:sz w:val="21"/>
          <w:szCs w:val="21"/>
        </w:rPr>
      </w:pPr>
      <w:r>
        <w:rPr>
          <w:rFonts w:hint="eastAsia" w:ascii="Arial" w:hAnsi="Arial"/>
          <w:sz w:val="21"/>
          <w:szCs w:val="21"/>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14:paraId="3C67F38F">
      <w:pPr>
        <w:numPr>
          <w:ilvl w:val="0"/>
          <w:numId w:val="1"/>
        </w:numPr>
        <w:snapToGrid w:val="0"/>
        <w:spacing w:line="360" w:lineRule="auto"/>
        <w:rPr>
          <w:rFonts w:ascii="Arial" w:hAnsi="Arial" w:cs="宋体"/>
          <w:b/>
          <w:kern w:val="0"/>
        </w:rPr>
      </w:pPr>
      <w:r>
        <w:rPr>
          <w:rFonts w:hint="eastAsia" w:ascii="Arial" w:hAnsi="Arial" w:cs="宋体"/>
          <w:b/>
          <w:kern w:val="0"/>
        </w:rPr>
        <w:t>排序与推荐。</w:t>
      </w:r>
      <w:r>
        <w:rPr>
          <w:rFonts w:hint="eastAsia" w:ascii="Arial" w:hAnsi="Arial" w:cs="宋体"/>
          <w:bCs/>
          <w:kern w:val="0"/>
        </w:rPr>
        <w:t>采用综合评分法的，评标结果按评审后得分由高到低顺序推荐一名中标候选人。得分相同的，按投标报价由低到高顺序排列。得分且投标报价相同的并列。投标文件满足采购文件全部实质性要求，且按照评审因素的量化指标评审得分最高的供应商为排名第一的中标候选人</w:t>
      </w:r>
      <w:r>
        <w:rPr>
          <w:rFonts w:hint="eastAsia" w:ascii="Arial" w:hAnsi="Arial"/>
          <w:szCs w:val="21"/>
        </w:rPr>
        <w:t>。</w:t>
      </w:r>
    </w:p>
    <w:p w14:paraId="7AF79275">
      <w:pPr>
        <w:snapToGrid w:val="0"/>
        <w:spacing w:line="360" w:lineRule="auto"/>
        <w:ind w:firstLine="420" w:firstLineChars="200"/>
        <w:rPr>
          <w:rFonts w:ascii="Arial" w:hAnsi="Arial" w:cs="宋体"/>
          <w:kern w:val="0"/>
        </w:rPr>
      </w:pPr>
      <w:r>
        <w:rPr>
          <w:rFonts w:hint="eastAsia" w:ascii="Arial" w:hAnsi="Arial" w:cs="宋体"/>
          <w:bCs/>
          <w:kern w:val="0"/>
        </w:rPr>
        <w:t>多家供应商提供相同品牌产品（单一产品采购项目中的该产品或者非单一产品采购项目的核心产品）且通过资格审查、符合性审查的不同供应商参加同一合同项下投标的，按一家供应商计算，评审后得分最高的同品牌供应商获得中标人推荐资格；评审得</w:t>
      </w:r>
      <w:r>
        <w:rPr>
          <w:rFonts w:hint="eastAsia" w:ascii="Arial" w:hAnsi="Arial" w:cs="宋体"/>
          <w:kern w:val="0"/>
        </w:rPr>
        <w:t>分相同的，采取随机抽取方式确定，其他同品牌供应商不作为中标候选人。</w:t>
      </w:r>
    </w:p>
    <w:p w14:paraId="06BA86B9">
      <w:pPr>
        <w:numPr>
          <w:ilvl w:val="0"/>
          <w:numId w:val="1"/>
        </w:numPr>
        <w:snapToGrid w:val="0"/>
        <w:spacing w:line="360" w:lineRule="auto"/>
        <w:rPr>
          <w:rFonts w:ascii="Arial" w:hAnsi="Arial" w:cs="宋体"/>
          <w:b/>
          <w:kern w:val="0"/>
        </w:rPr>
      </w:pPr>
      <w:r>
        <w:rPr>
          <w:rFonts w:hint="eastAsia" w:ascii="Arial" w:hAnsi="Arial" w:cs="宋体"/>
          <w:b/>
          <w:kern w:val="0"/>
        </w:rPr>
        <w:t>编写评标报告。</w:t>
      </w:r>
      <w:r>
        <w:rPr>
          <w:rFonts w:hint="eastAsia" w:ascii="Arial" w:hAnsi="Arial" w:cs="宋体"/>
          <w:bCs/>
          <w:kern w:val="0"/>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CCF1031">
      <w:pPr>
        <w:numPr>
          <w:ilvl w:val="0"/>
          <w:numId w:val="34"/>
        </w:numPr>
        <w:snapToGrid w:val="0"/>
        <w:spacing w:before="120" w:beforeLines="50" w:line="360" w:lineRule="auto"/>
        <w:ind w:firstLine="0"/>
        <w:rPr>
          <w:rFonts w:ascii="Arial" w:hAnsi="Arial" w:cs="宋体"/>
          <w:b/>
        </w:rPr>
      </w:pPr>
      <w:r>
        <w:rPr>
          <w:rFonts w:hint="eastAsia" w:ascii="Arial" w:hAnsi="Arial" w:cs="宋体"/>
          <w:b/>
        </w:rPr>
        <w:t>评标中的其他事项</w:t>
      </w:r>
    </w:p>
    <w:p w14:paraId="6EAD0F59">
      <w:pPr>
        <w:pStyle w:val="189"/>
        <w:widowControl w:val="0"/>
        <w:numPr>
          <w:ilvl w:val="0"/>
          <w:numId w:val="35"/>
        </w:numPr>
        <w:snapToGrid w:val="0"/>
        <w:spacing w:before="0" w:beforeAutospacing="0" w:after="0" w:afterAutospacing="0"/>
        <w:ind w:firstLineChars="0"/>
        <w:rPr>
          <w:rFonts w:ascii="Arial" w:hAnsi="Arial" w:cs="宋体"/>
          <w:b/>
          <w:sz w:val="21"/>
          <w:szCs w:val="24"/>
        </w:rPr>
      </w:pPr>
      <w:r>
        <w:rPr>
          <w:rFonts w:hint="eastAsia" w:ascii="Arial" w:hAnsi="Arial" w:cs="宋体"/>
          <w:b/>
          <w:sz w:val="21"/>
          <w:szCs w:val="24"/>
        </w:rPr>
        <w:t>供应商澄清、说明或者补正。</w:t>
      </w:r>
      <w:r>
        <w:rPr>
          <w:rFonts w:hint="eastAsia" w:ascii="Arial" w:hAnsi="Arial" w:cs="宋体"/>
          <w:bCs/>
          <w:sz w:val="21"/>
          <w:szCs w:val="24"/>
        </w:rPr>
        <w:t>对于投标文件中含义不明确、同类问题表述不一致或者有明显文字和计算错误的内容需要供应商作出必要的澄清、说明或者补正的，评标委员会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投标文件的范围或者改变投标文件的实质性内容。</w:t>
      </w:r>
    </w:p>
    <w:p w14:paraId="0032CA96">
      <w:pPr>
        <w:pStyle w:val="189"/>
        <w:widowControl w:val="0"/>
        <w:numPr>
          <w:ilvl w:val="0"/>
          <w:numId w:val="35"/>
        </w:numPr>
        <w:snapToGrid w:val="0"/>
        <w:spacing w:before="0" w:beforeAutospacing="0" w:after="0" w:afterAutospacing="0"/>
        <w:ind w:firstLineChars="0"/>
        <w:rPr>
          <w:rFonts w:ascii="Arial" w:hAnsi="Arial" w:cs="宋体"/>
          <w:b/>
          <w:sz w:val="21"/>
          <w:szCs w:val="24"/>
        </w:rPr>
      </w:pPr>
      <w:r>
        <w:rPr>
          <w:rFonts w:hint="eastAsia" w:ascii="Arial" w:hAnsi="Arial" w:cs="宋体"/>
          <w:b/>
          <w:sz w:val="21"/>
          <w:szCs w:val="24"/>
        </w:rPr>
        <w:t>投标无效。有下列情形之一的，投标无效：</w:t>
      </w:r>
    </w:p>
    <w:p w14:paraId="37929CB5">
      <w:pPr>
        <w:numPr>
          <w:ilvl w:val="0"/>
          <w:numId w:val="36"/>
        </w:numPr>
        <w:snapToGrid w:val="0"/>
        <w:spacing w:line="360" w:lineRule="auto"/>
        <w:rPr>
          <w:rFonts w:ascii="Arial" w:hAnsi="Arial" w:cs="宋体"/>
          <w:kern w:val="0"/>
        </w:rPr>
      </w:pPr>
      <w:r>
        <w:rPr>
          <w:rFonts w:hint="eastAsia" w:ascii="Arial" w:hAnsi="Arial" w:cs="宋体"/>
          <w:kern w:val="0"/>
        </w:rPr>
        <w:t>供应商不具备采购文件中规定的资格要求的（供应商未提供有效的资格证明文件的，视为供应商不具备采购文件中规定的资格要求）；</w:t>
      </w:r>
    </w:p>
    <w:p w14:paraId="0E9298C9">
      <w:pPr>
        <w:numPr>
          <w:ilvl w:val="0"/>
          <w:numId w:val="36"/>
        </w:numPr>
        <w:snapToGrid w:val="0"/>
        <w:spacing w:line="360" w:lineRule="auto"/>
        <w:rPr>
          <w:rFonts w:ascii="Arial" w:hAnsi="Arial" w:cs="宋体"/>
          <w:kern w:val="0"/>
        </w:rPr>
      </w:pPr>
      <w:r>
        <w:rPr>
          <w:rFonts w:hint="eastAsia" w:ascii="Arial" w:hAnsi="Arial" w:cs="宋体"/>
          <w:kern w:val="0"/>
        </w:rPr>
        <w:t>投标文件未按照采购文件要求签署、盖章的；</w:t>
      </w:r>
    </w:p>
    <w:p w14:paraId="28FC0E65">
      <w:pPr>
        <w:numPr>
          <w:ilvl w:val="0"/>
          <w:numId w:val="36"/>
        </w:numPr>
        <w:snapToGrid w:val="0"/>
        <w:spacing w:line="360" w:lineRule="auto"/>
        <w:rPr>
          <w:rFonts w:ascii="Arial" w:hAnsi="Arial" w:cs="宋体"/>
          <w:kern w:val="0"/>
        </w:rPr>
      </w:pPr>
      <w:r>
        <w:rPr>
          <w:rFonts w:hint="eastAsia" w:ascii="Arial" w:hAnsi="Arial" w:cs="宋体"/>
          <w:kern w:val="0"/>
        </w:rPr>
        <w:t>采购人拟采购的产品属于政府强制采购的节能产品品目清单范围的，供应商相应的投标产品未获得国家确定的认证机构出具的、处于有效期之内的节能产品认证证书的；</w:t>
      </w:r>
    </w:p>
    <w:p w14:paraId="68C0F515">
      <w:pPr>
        <w:numPr>
          <w:ilvl w:val="0"/>
          <w:numId w:val="36"/>
        </w:numPr>
        <w:snapToGrid w:val="0"/>
        <w:spacing w:line="360" w:lineRule="auto"/>
        <w:rPr>
          <w:rFonts w:ascii="Arial" w:hAnsi="Arial" w:cs="宋体"/>
          <w:kern w:val="0"/>
        </w:rPr>
      </w:pPr>
      <w:r>
        <w:rPr>
          <w:rFonts w:hint="eastAsia" w:ascii="Arial" w:hAnsi="Arial"/>
          <w:szCs w:val="21"/>
        </w:rPr>
        <w:t>未提供或未如实提供投标货物或服务的技术参数或要求，或者投标文件标明的响应或偏离与事实不符的；</w:t>
      </w:r>
    </w:p>
    <w:p w14:paraId="4D870FE7">
      <w:pPr>
        <w:numPr>
          <w:ilvl w:val="0"/>
          <w:numId w:val="36"/>
        </w:numPr>
        <w:snapToGrid w:val="0"/>
        <w:spacing w:line="360" w:lineRule="auto"/>
        <w:rPr>
          <w:rFonts w:ascii="Arial" w:hAnsi="Arial" w:cs="宋体"/>
          <w:kern w:val="0"/>
        </w:rPr>
      </w:pPr>
      <w:r>
        <w:rPr>
          <w:rFonts w:hint="eastAsia" w:ascii="Arial" w:hAnsi="Arial"/>
          <w:szCs w:val="21"/>
        </w:rPr>
        <w:t>投标方案不明确，存在一个或一个以上备选（替代）投标方案的；</w:t>
      </w:r>
    </w:p>
    <w:p w14:paraId="5179F2A0">
      <w:pPr>
        <w:numPr>
          <w:ilvl w:val="0"/>
          <w:numId w:val="36"/>
        </w:numPr>
        <w:snapToGrid w:val="0"/>
        <w:spacing w:line="360" w:lineRule="auto"/>
        <w:rPr>
          <w:rFonts w:ascii="Arial" w:hAnsi="Arial" w:cs="宋体"/>
          <w:kern w:val="0"/>
        </w:rPr>
      </w:pPr>
      <w:r>
        <w:rPr>
          <w:rFonts w:hint="eastAsia" w:ascii="Arial" w:hAnsi="Arial" w:cs="宋体"/>
          <w:szCs w:val="21"/>
        </w:rPr>
        <w:t>明显不符合</w:t>
      </w:r>
      <w:r>
        <w:rPr>
          <w:rFonts w:hint="eastAsia" w:ascii="Arial" w:hAnsi="Arial"/>
          <w:szCs w:val="21"/>
        </w:rPr>
        <w:t>采购文件要求或者与采购文件中标注“★”的条款发生任何负偏离的；</w:t>
      </w:r>
    </w:p>
    <w:p w14:paraId="4E5DB892">
      <w:pPr>
        <w:numPr>
          <w:ilvl w:val="0"/>
          <w:numId w:val="36"/>
        </w:numPr>
        <w:snapToGrid w:val="0"/>
        <w:spacing w:line="360" w:lineRule="auto"/>
        <w:rPr>
          <w:rFonts w:ascii="Arial" w:hAnsi="Arial" w:cs="宋体"/>
          <w:szCs w:val="21"/>
        </w:rPr>
      </w:pPr>
      <w:r>
        <w:rPr>
          <w:rFonts w:hint="eastAsia" w:ascii="Arial" w:hAnsi="Arial" w:cs="宋体"/>
          <w:szCs w:val="21"/>
        </w:rPr>
        <w:t>投标文件中存在采购人不能接受的附加条件的；</w:t>
      </w:r>
    </w:p>
    <w:p w14:paraId="7C7E87B6">
      <w:pPr>
        <w:numPr>
          <w:ilvl w:val="0"/>
          <w:numId w:val="36"/>
        </w:numPr>
        <w:snapToGrid w:val="0"/>
        <w:spacing w:line="360" w:lineRule="auto"/>
        <w:rPr>
          <w:rFonts w:ascii="Arial" w:hAnsi="Arial" w:cs="宋体"/>
          <w:szCs w:val="21"/>
        </w:rPr>
      </w:pPr>
      <w:r>
        <w:rPr>
          <w:rFonts w:hint="eastAsia" w:ascii="Arial" w:hAnsi="Arial"/>
          <w:szCs w:val="21"/>
        </w:rPr>
        <w:t>未按照采购文件规定在投标文件中提供法定代表人签署本人姓名（或印盖本人姓名章）或签署人未提供有效的法定代表人授权委托书且授权委托书填写项目齐全的；</w:t>
      </w:r>
    </w:p>
    <w:p w14:paraId="1D2946AF">
      <w:pPr>
        <w:numPr>
          <w:ilvl w:val="0"/>
          <w:numId w:val="36"/>
        </w:numPr>
        <w:snapToGrid w:val="0"/>
        <w:spacing w:line="360" w:lineRule="auto"/>
        <w:rPr>
          <w:rFonts w:ascii="Arial" w:hAnsi="Arial" w:cs="宋体"/>
          <w:kern w:val="0"/>
        </w:rPr>
      </w:pPr>
      <w:r>
        <w:rPr>
          <w:rFonts w:hint="eastAsia" w:ascii="Arial" w:hAnsi="Arial"/>
          <w:szCs w:val="21"/>
        </w:rPr>
        <w:t>投标文件的实质性内容未使用中文表述、表述不明确、存在前后矛盾、使用计量单位不符合采购文件要求（经评标委员会认定并允许其当场更正的笔误除外）的；</w:t>
      </w:r>
    </w:p>
    <w:p w14:paraId="53895AE6">
      <w:pPr>
        <w:numPr>
          <w:ilvl w:val="0"/>
          <w:numId w:val="36"/>
        </w:numPr>
        <w:snapToGrid w:val="0"/>
        <w:spacing w:line="360" w:lineRule="auto"/>
        <w:rPr>
          <w:rFonts w:ascii="Arial" w:hAnsi="Arial" w:cs="宋体"/>
          <w:kern w:val="0"/>
        </w:rPr>
      </w:pPr>
      <w:r>
        <w:rPr>
          <w:rFonts w:hint="eastAsia" w:ascii="Arial" w:hAnsi="Arial" w:cs="宋体"/>
          <w:kern w:val="0"/>
        </w:rPr>
        <w:t>投标文件中承诺的投标有效期少于采购文件中载明的投标有效期的；</w:t>
      </w:r>
    </w:p>
    <w:p w14:paraId="577113A7">
      <w:pPr>
        <w:numPr>
          <w:ilvl w:val="0"/>
          <w:numId w:val="36"/>
        </w:numPr>
        <w:snapToGrid w:val="0"/>
        <w:spacing w:line="360" w:lineRule="auto"/>
        <w:rPr>
          <w:rFonts w:ascii="Arial" w:hAnsi="Arial" w:cs="宋体"/>
          <w:kern w:val="0"/>
        </w:rPr>
      </w:pPr>
      <w:r>
        <w:rPr>
          <w:rFonts w:hint="eastAsia" w:ascii="Arial" w:hAnsi="Arial" w:cs="宋体"/>
          <w:kern w:val="0"/>
        </w:rPr>
        <w:t>投标报价超过采购文件中规定的预算金额或者最高限价的；</w:t>
      </w:r>
    </w:p>
    <w:p w14:paraId="280BCF4D">
      <w:pPr>
        <w:numPr>
          <w:ilvl w:val="0"/>
          <w:numId w:val="36"/>
        </w:numPr>
        <w:snapToGrid w:val="0"/>
        <w:spacing w:line="360" w:lineRule="auto"/>
        <w:rPr>
          <w:rFonts w:ascii="Arial" w:hAnsi="Arial" w:cs="宋体"/>
          <w:kern w:val="0"/>
        </w:rPr>
      </w:pPr>
      <w:r>
        <w:rPr>
          <w:rFonts w:hint="eastAsia" w:ascii="Arial" w:hAnsi="Arial"/>
          <w:szCs w:val="21"/>
        </w:rPr>
        <w:t>投标报价具有选择性的；</w:t>
      </w:r>
    </w:p>
    <w:p w14:paraId="681C8A72">
      <w:pPr>
        <w:numPr>
          <w:ilvl w:val="0"/>
          <w:numId w:val="36"/>
        </w:numPr>
        <w:snapToGrid w:val="0"/>
        <w:spacing w:line="360" w:lineRule="auto"/>
        <w:rPr>
          <w:rFonts w:ascii="Arial" w:hAnsi="Arial" w:cs="宋体"/>
          <w:kern w:val="0"/>
        </w:rPr>
      </w:pPr>
      <w:r>
        <w:rPr>
          <w:rFonts w:hint="eastAsia" w:ascii="Arial" w:hAnsi="Arial" w:cs="宋体"/>
          <w:szCs w:val="21"/>
        </w:rPr>
        <w:t>经评标委员会评审，</w:t>
      </w:r>
      <w:r>
        <w:rPr>
          <w:rFonts w:hint="eastAsia" w:ascii="Arial" w:hAnsi="Arial"/>
          <w:szCs w:val="21"/>
        </w:rPr>
        <w:t>投标分项报价表中所列内容与技术方案存在重大偏离的或</w:t>
      </w:r>
      <w:r>
        <w:rPr>
          <w:rFonts w:hint="eastAsia" w:ascii="Arial" w:hAnsi="Arial" w:cs="宋体"/>
          <w:szCs w:val="21"/>
        </w:rPr>
        <w:t>投标报价中出现重大缺项、漏项的；</w:t>
      </w:r>
    </w:p>
    <w:p w14:paraId="29F83093">
      <w:pPr>
        <w:numPr>
          <w:ilvl w:val="0"/>
          <w:numId w:val="36"/>
        </w:numPr>
        <w:snapToGrid w:val="0"/>
        <w:spacing w:line="360" w:lineRule="auto"/>
        <w:rPr>
          <w:rFonts w:ascii="Arial" w:hAnsi="Arial" w:cs="宋体"/>
          <w:kern w:val="0"/>
        </w:rPr>
      </w:pPr>
      <w:r>
        <w:rPr>
          <w:rFonts w:hint="eastAsia" w:ascii="Arial" w:hAnsi="Arial" w:cs="宋体"/>
          <w:kern w:val="0"/>
        </w:rPr>
        <w:t>投标报价明显低于其他通过符合性审查供应商的投标报价，有可能影响产品质量或者不能诚信履约的，未能按要求提供书面说明或者提交相关证明材料，不能证明其报价合理性的；</w:t>
      </w:r>
    </w:p>
    <w:p w14:paraId="316C463A">
      <w:pPr>
        <w:numPr>
          <w:ilvl w:val="0"/>
          <w:numId w:val="36"/>
        </w:numPr>
        <w:snapToGrid w:val="0"/>
        <w:spacing w:line="360" w:lineRule="auto"/>
        <w:rPr>
          <w:rFonts w:ascii="Arial" w:hAnsi="Arial" w:cs="宋体"/>
          <w:kern w:val="0"/>
        </w:rPr>
      </w:pPr>
      <w:r>
        <w:rPr>
          <w:rFonts w:hint="eastAsia" w:ascii="Arial" w:hAnsi="Arial" w:cs="宋体"/>
          <w:kern w:val="0"/>
        </w:rPr>
        <w:t>供应商对根据修正原则修正后的投标报价不确认的；</w:t>
      </w:r>
    </w:p>
    <w:p w14:paraId="21CEFC35">
      <w:pPr>
        <w:numPr>
          <w:ilvl w:val="0"/>
          <w:numId w:val="36"/>
        </w:numPr>
        <w:snapToGrid w:val="0"/>
        <w:spacing w:line="360" w:lineRule="auto"/>
        <w:rPr>
          <w:rFonts w:ascii="Arial" w:hAnsi="Arial" w:cs="宋体"/>
          <w:kern w:val="0"/>
        </w:rPr>
      </w:pPr>
      <w:r>
        <w:rPr>
          <w:rFonts w:hint="eastAsia" w:ascii="Arial" w:hAnsi="Arial" w:cs="宋体"/>
          <w:kern w:val="0"/>
        </w:rPr>
        <w:t>供应商提供虚假材料投标的；</w:t>
      </w:r>
    </w:p>
    <w:p w14:paraId="1CAE4EA1">
      <w:pPr>
        <w:numPr>
          <w:ilvl w:val="0"/>
          <w:numId w:val="36"/>
        </w:numPr>
        <w:snapToGrid w:val="0"/>
        <w:spacing w:line="360" w:lineRule="auto"/>
        <w:rPr>
          <w:rFonts w:ascii="Arial" w:hAnsi="Arial" w:cs="宋体"/>
          <w:kern w:val="0"/>
        </w:rPr>
      </w:pPr>
      <w:r>
        <w:rPr>
          <w:rFonts w:hint="eastAsia" w:ascii="Arial" w:hAnsi="Arial" w:cs="宋体"/>
          <w:kern w:val="0"/>
        </w:rPr>
        <w:t>供应商有恶意串通、妨碍其他供应商的竞争行为、损害采购人或者其他供应商的合法权益情形的；</w:t>
      </w:r>
    </w:p>
    <w:p w14:paraId="660B3401">
      <w:pPr>
        <w:numPr>
          <w:ilvl w:val="0"/>
          <w:numId w:val="36"/>
        </w:numPr>
        <w:snapToGrid w:val="0"/>
        <w:spacing w:line="360" w:lineRule="auto"/>
        <w:rPr>
          <w:rFonts w:ascii="Arial" w:hAnsi="Arial" w:cs="宋体"/>
          <w:kern w:val="0"/>
        </w:rPr>
      </w:pPr>
      <w:r>
        <w:rPr>
          <w:rFonts w:hint="eastAsia" w:ascii="Arial" w:hAnsi="Arial" w:cs="宋体"/>
          <w:kern w:val="0"/>
        </w:rPr>
        <w:t>供应商仅提交</w:t>
      </w:r>
      <w:r>
        <w:rPr>
          <w:rFonts w:hint="eastAsia" w:ascii="Arial" w:hAnsi="Arial" w:cs="宋体"/>
          <w:szCs w:val="21"/>
        </w:rPr>
        <w:t>电子</w:t>
      </w:r>
      <w:r>
        <w:rPr>
          <w:rFonts w:hint="eastAsia" w:ascii="Arial" w:hAnsi="Arial" w:cs="宋体"/>
          <w:kern w:val="0"/>
        </w:rPr>
        <w:t>备份投标文件，未在电子交易平台传输递交投标文件的；</w:t>
      </w:r>
    </w:p>
    <w:p w14:paraId="56D6E912">
      <w:pPr>
        <w:numPr>
          <w:ilvl w:val="0"/>
          <w:numId w:val="36"/>
        </w:numPr>
        <w:snapToGrid w:val="0"/>
        <w:spacing w:line="360" w:lineRule="auto"/>
        <w:rPr>
          <w:rFonts w:ascii="Arial" w:hAnsi="Arial" w:cs="宋体"/>
          <w:kern w:val="0"/>
        </w:rPr>
      </w:pPr>
      <w:r>
        <w:rPr>
          <w:rFonts w:hint="eastAsia" w:ascii="Arial" w:hAnsi="Arial"/>
          <w:szCs w:val="21"/>
        </w:rPr>
        <w:t>投标文件的关键内容字迹模糊、无法辨认的，或者投标文件中经修正的内容字迹模糊难以辨认或者修改处未按规定签署、盖章的；</w:t>
      </w:r>
    </w:p>
    <w:p w14:paraId="0DB84829">
      <w:pPr>
        <w:numPr>
          <w:ilvl w:val="0"/>
          <w:numId w:val="36"/>
        </w:numPr>
        <w:snapToGrid w:val="0"/>
        <w:spacing w:line="360" w:lineRule="auto"/>
        <w:rPr>
          <w:rFonts w:ascii="Arial" w:hAnsi="Arial" w:cs="宋体"/>
          <w:szCs w:val="21"/>
        </w:rPr>
      </w:pPr>
      <w:r>
        <w:rPr>
          <w:rFonts w:hint="eastAsia" w:ascii="Arial" w:hAnsi="Arial"/>
          <w:szCs w:val="21"/>
        </w:rPr>
        <w:t>采购需求（技术）响应情况分值扣至0分（或以下）的；</w:t>
      </w:r>
    </w:p>
    <w:p w14:paraId="71B50098">
      <w:pPr>
        <w:numPr>
          <w:ilvl w:val="0"/>
          <w:numId w:val="36"/>
        </w:numPr>
        <w:snapToGrid w:val="0"/>
        <w:spacing w:line="360" w:lineRule="auto"/>
        <w:rPr>
          <w:rFonts w:ascii="Arial" w:hAnsi="Arial" w:cs="宋体"/>
          <w:kern w:val="0"/>
        </w:rPr>
      </w:pPr>
      <w:r>
        <w:rPr>
          <w:rFonts w:hint="eastAsia" w:ascii="Arial" w:hAnsi="Arial" w:cs="宋体"/>
          <w:kern w:val="0"/>
        </w:rPr>
        <w:t>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47E4ADCC">
      <w:pPr>
        <w:numPr>
          <w:ilvl w:val="0"/>
          <w:numId w:val="36"/>
        </w:numPr>
        <w:snapToGrid w:val="0"/>
        <w:spacing w:line="360" w:lineRule="auto"/>
        <w:rPr>
          <w:rFonts w:ascii="Arial" w:hAnsi="Arial" w:cs="宋体"/>
          <w:kern w:val="0"/>
        </w:rPr>
      </w:pPr>
      <w:r>
        <w:rPr>
          <w:rFonts w:hint="eastAsia" w:ascii="Arial" w:hAnsi="Arial" w:cs="宋体"/>
          <w:kern w:val="0"/>
        </w:rPr>
        <w:t>法律、法规、规章（适用本市的）及省级以上规范性文件（适用本市的）规定的其他无效情形。</w:t>
      </w:r>
    </w:p>
    <w:p w14:paraId="2AEC3836">
      <w:pPr>
        <w:pStyle w:val="15"/>
        <w:numPr>
          <w:ilvl w:val="0"/>
          <w:numId w:val="37"/>
        </w:numPr>
        <w:snapToGrid w:val="0"/>
        <w:spacing w:line="360" w:lineRule="auto"/>
        <w:ind w:firstLine="398" w:firstLineChars="196"/>
        <w:rPr>
          <w:rFonts w:ascii="Arial" w:hAnsi="Arial" w:cs="宋体"/>
          <w:b/>
          <w:sz w:val="21"/>
        </w:rPr>
      </w:pPr>
      <w:r>
        <w:rPr>
          <w:rFonts w:hint="eastAsia" w:ascii="Arial" w:hAnsi="Arial" w:cs="宋体"/>
          <w:b/>
          <w:sz w:val="21"/>
        </w:rPr>
        <w:t>废标。</w:t>
      </w:r>
    </w:p>
    <w:p w14:paraId="433545EF">
      <w:pPr>
        <w:pStyle w:val="15"/>
        <w:snapToGrid w:val="0"/>
        <w:spacing w:line="360" w:lineRule="auto"/>
        <w:ind w:firstLine="420"/>
        <w:rPr>
          <w:rFonts w:ascii="Arial" w:hAnsi="Arial" w:cs="宋体"/>
          <w:sz w:val="21"/>
        </w:rPr>
      </w:pPr>
      <w:r>
        <w:rPr>
          <w:rFonts w:hint="eastAsia" w:ascii="Arial" w:hAnsi="Arial" w:cs="宋体"/>
          <w:sz w:val="21"/>
        </w:rPr>
        <w:t>根据《中华人民共和国政府采购法》第三十六条之规定，在采购中，出现下列情形之一的，应予废标：</w:t>
      </w:r>
    </w:p>
    <w:p w14:paraId="6DC8C540">
      <w:pPr>
        <w:pStyle w:val="15"/>
        <w:numPr>
          <w:ilvl w:val="0"/>
          <w:numId w:val="38"/>
        </w:numPr>
        <w:snapToGrid w:val="0"/>
        <w:spacing w:line="360" w:lineRule="auto"/>
        <w:rPr>
          <w:rFonts w:ascii="Arial" w:hAnsi="Arial" w:cs="宋体"/>
          <w:sz w:val="21"/>
        </w:rPr>
      </w:pPr>
      <w:r>
        <w:rPr>
          <w:rFonts w:hint="eastAsia" w:ascii="Arial" w:hAnsi="Arial" w:cs="宋体"/>
          <w:sz w:val="21"/>
        </w:rPr>
        <w:t>符合专业条件的供应商或者对采购文件作实质响应的供应商不足3家的；</w:t>
      </w:r>
    </w:p>
    <w:p w14:paraId="4A4429E0">
      <w:pPr>
        <w:pStyle w:val="15"/>
        <w:numPr>
          <w:ilvl w:val="0"/>
          <w:numId w:val="38"/>
        </w:numPr>
        <w:snapToGrid w:val="0"/>
        <w:spacing w:line="360" w:lineRule="auto"/>
        <w:rPr>
          <w:rFonts w:ascii="Arial" w:hAnsi="Arial" w:cs="宋体"/>
          <w:sz w:val="21"/>
        </w:rPr>
      </w:pPr>
      <w:r>
        <w:rPr>
          <w:rFonts w:hint="eastAsia" w:ascii="Arial" w:hAnsi="Arial" w:cs="宋体"/>
          <w:sz w:val="21"/>
        </w:rPr>
        <w:t>出现影响采购公正的违法、违规行为的；</w:t>
      </w:r>
    </w:p>
    <w:p w14:paraId="34075982">
      <w:pPr>
        <w:pStyle w:val="15"/>
        <w:numPr>
          <w:ilvl w:val="0"/>
          <w:numId w:val="38"/>
        </w:numPr>
        <w:snapToGrid w:val="0"/>
        <w:spacing w:line="360" w:lineRule="auto"/>
        <w:rPr>
          <w:rFonts w:ascii="Arial" w:hAnsi="Arial" w:cs="宋体"/>
          <w:sz w:val="21"/>
        </w:rPr>
      </w:pPr>
      <w:r>
        <w:rPr>
          <w:rFonts w:hint="eastAsia" w:ascii="Arial" w:hAnsi="Arial" w:cs="宋体"/>
          <w:sz w:val="21"/>
        </w:rPr>
        <w:t>供应商的报价均超过了采购预算，采购人不能支付的；</w:t>
      </w:r>
    </w:p>
    <w:p w14:paraId="19018F9E">
      <w:pPr>
        <w:pStyle w:val="15"/>
        <w:numPr>
          <w:ilvl w:val="0"/>
          <w:numId w:val="38"/>
        </w:numPr>
        <w:snapToGrid w:val="0"/>
        <w:spacing w:line="360" w:lineRule="auto"/>
        <w:rPr>
          <w:rFonts w:ascii="Arial" w:hAnsi="Arial" w:cs="宋体"/>
          <w:sz w:val="21"/>
        </w:rPr>
      </w:pPr>
      <w:r>
        <w:rPr>
          <w:rFonts w:hint="eastAsia" w:ascii="Arial" w:hAnsi="Arial" w:cs="宋体"/>
          <w:sz w:val="21"/>
        </w:rPr>
        <w:t>因重大变故，采购任务取消的。</w:t>
      </w:r>
    </w:p>
    <w:p w14:paraId="6BEF6D7F">
      <w:pPr>
        <w:pStyle w:val="15"/>
        <w:snapToGrid w:val="0"/>
        <w:spacing w:line="360" w:lineRule="auto"/>
        <w:ind w:firstLine="420"/>
        <w:rPr>
          <w:rFonts w:ascii="Arial" w:hAnsi="Arial" w:cs="宋体"/>
          <w:sz w:val="21"/>
        </w:rPr>
      </w:pPr>
      <w:r>
        <w:rPr>
          <w:rFonts w:hint="eastAsia" w:ascii="Arial" w:hAnsi="Arial" w:cs="宋体"/>
          <w:sz w:val="21"/>
        </w:rPr>
        <w:t>废标后，采购代理机构应当将废标理由通知所有供应商。</w:t>
      </w:r>
    </w:p>
    <w:p w14:paraId="5B489DD1">
      <w:pPr>
        <w:pStyle w:val="15"/>
        <w:numPr>
          <w:ilvl w:val="0"/>
          <w:numId w:val="37"/>
        </w:numPr>
        <w:snapToGrid w:val="0"/>
        <w:spacing w:line="360" w:lineRule="auto"/>
        <w:ind w:firstLine="398" w:firstLineChars="196"/>
        <w:rPr>
          <w:rFonts w:ascii="Arial" w:hAnsi="Arial" w:cs="宋体"/>
          <w:b/>
          <w:sz w:val="21"/>
        </w:rPr>
      </w:pPr>
      <w:r>
        <w:rPr>
          <w:rFonts w:hint="eastAsia" w:ascii="Arial" w:hAnsi="Arial" w:cs="宋体"/>
          <w:b/>
          <w:sz w:val="21"/>
        </w:rPr>
        <w:t>修改采购文件，重新组织采购活动。</w:t>
      </w:r>
      <w:r>
        <w:rPr>
          <w:rFonts w:hint="eastAsia" w:ascii="Arial" w:hAnsi="Arial" w:cs="宋体"/>
          <w:bCs/>
          <w:sz w:val="21"/>
        </w:rPr>
        <w:t>评标委员会发现采购文件存在歧义、重大缺陷导致评标工作无法进行，或者采购文件内容违反国家有关强制性规定的，将停止评标工作，并与采购人、采购代理机构沟通并作书面记录。采购人、采购代理机构确认后，将修改采购文件，重新组织采购活动。</w:t>
      </w:r>
    </w:p>
    <w:p w14:paraId="0BDB3E5C">
      <w:pPr>
        <w:pStyle w:val="15"/>
        <w:numPr>
          <w:ilvl w:val="0"/>
          <w:numId w:val="37"/>
        </w:numPr>
        <w:snapToGrid w:val="0"/>
        <w:spacing w:line="360" w:lineRule="auto"/>
        <w:ind w:firstLine="398" w:firstLineChars="196"/>
        <w:rPr>
          <w:rFonts w:ascii="Arial" w:hAnsi="Arial" w:cs="宋体"/>
          <w:b/>
          <w:sz w:val="21"/>
        </w:rPr>
      </w:pPr>
      <w:r>
        <w:rPr>
          <w:rFonts w:hint="eastAsia" w:ascii="Arial" w:hAnsi="Arial" w:cs="宋体"/>
          <w:b/>
          <w:sz w:val="21"/>
        </w:rPr>
        <w:t>重新开展采购。</w:t>
      </w:r>
      <w:r>
        <w:rPr>
          <w:rFonts w:hint="eastAsia" w:ascii="Arial" w:hAnsi="Arial" w:cs="宋体"/>
          <w:bCs/>
          <w:sz w:val="21"/>
        </w:rPr>
        <w:t>有政府采购法第七十一条、第七十二条规定的违法行为之一，影响或者可能影响中标结果的，依照下列规定处理：</w:t>
      </w:r>
    </w:p>
    <w:p w14:paraId="74F40451">
      <w:pPr>
        <w:pStyle w:val="15"/>
        <w:numPr>
          <w:ilvl w:val="0"/>
          <w:numId w:val="39"/>
        </w:numPr>
        <w:snapToGrid w:val="0"/>
        <w:spacing w:line="360" w:lineRule="auto"/>
        <w:rPr>
          <w:rFonts w:ascii="Arial" w:hAnsi="Arial" w:cs="宋体"/>
          <w:sz w:val="21"/>
        </w:rPr>
      </w:pPr>
      <w:r>
        <w:rPr>
          <w:rFonts w:hint="eastAsia" w:ascii="Arial" w:hAnsi="Arial" w:cs="宋体"/>
          <w:sz w:val="21"/>
        </w:rPr>
        <w:t>未确定中标人的，终止本次政府采购活动，重新开展政府采购活动。</w:t>
      </w:r>
    </w:p>
    <w:p w14:paraId="5056A0C5">
      <w:pPr>
        <w:pStyle w:val="15"/>
        <w:numPr>
          <w:ilvl w:val="0"/>
          <w:numId w:val="39"/>
        </w:numPr>
        <w:snapToGrid w:val="0"/>
        <w:spacing w:line="360" w:lineRule="auto"/>
        <w:rPr>
          <w:rFonts w:ascii="Arial" w:hAnsi="Arial" w:cs="宋体"/>
          <w:sz w:val="21"/>
        </w:rPr>
      </w:pPr>
      <w:r>
        <w:rPr>
          <w:rFonts w:hint="eastAsia" w:ascii="Arial" w:hAnsi="Arial" w:cs="宋体"/>
          <w:sz w:val="21"/>
        </w:rPr>
        <w:t>已确定中标人但尚未签订政府采购合同的，中标结果无效，从合格的中标候选人中另行确定中标人；没有合格的中标候选人的，重新开展政府采购活动。</w:t>
      </w:r>
    </w:p>
    <w:p w14:paraId="26627D76">
      <w:pPr>
        <w:pStyle w:val="15"/>
        <w:numPr>
          <w:ilvl w:val="0"/>
          <w:numId w:val="39"/>
        </w:numPr>
        <w:snapToGrid w:val="0"/>
        <w:spacing w:line="360" w:lineRule="auto"/>
        <w:rPr>
          <w:rFonts w:ascii="Arial" w:hAnsi="Arial" w:cs="宋体"/>
          <w:sz w:val="21"/>
        </w:rPr>
      </w:pPr>
      <w:r>
        <w:rPr>
          <w:rFonts w:hint="eastAsia" w:ascii="Arial" w:hAnsi="Arial" w:cs="宋体"/>
          <w:sz w:val="21"/>
        </w:rPr>
        <w:t>政府采购合同已签订但尚未履行的，撤销合同，从合格的中标候选人中另行确定中标人；没有合格的中标候选人的，重新开展政府采购活动。</w:t>
      </w:r>
    </w:p>
    <w:p w14:paraId="2B73CDD1">
      <w:pPr>
        <w:pStyle w:val="15"/>
        <w:numPr>
          <w:ilvl w:val="0"/>
          <w:numId w:val="39"/>
        </w:numPr>
        <w:snapToGrid w:val="0"/>
        <w:spacing w:line="360" w:lineRule="auto"/>
        <w:rPr>
          <w:rFonts w:ascii="Arial" w:hAnsi="Arial" w:cs="宋体"/>
          <w:sz w:val="21"/>
        </w:rPr>
      </w:pPr>
      <w:r>
        <w:rPr>
          <w:rFonts w:hint="eastAsia" w:ascii="Arial" w:hAnsi="Arial" w:cs="宋体"/>
          <w:sz w:val="21"/>
        </w:rPr>
        <w:t>政府采购合同已经履行，给采购人、供应商造成损失的，由责任人承担赔偿责任。</w:t>
      </w:r>
    </w:p>
    <w:p w14:paraId="14AB9C60">
      <w:pPr>
        <w:pStyle w:val="15"/>
        <w:numPr>
          <w:ilvl w:val="0"/>
          <w:numId w:val="39"/>
        </w:numPr>
        <w:snapToGrid w:val="0"/>
        <w:spacing w:line="360" w:lineRule="auto"/>
        <w:rPr>
          <w:rFonts w:ascii="Arial" w:hAnsi="Arial" w:cs="宋体"/>
        </w:rPr>
      </w:pPr>
      <w:r>
        <w:rPr>
          <w:rFonts w:hint="eastAsia" w:ascii="Arial" w:hAnsi="Arial" w:cs="宋体"/>
          <w:sz w:val="21"/>
        </w:rPr>
        <w:t>政府采购当事人有其他违反政府采购法或者政府采购法实施条例等法律法规规定的行为，经改正后仍然影响或者可能影响中标结果或者依法被认定为中标无效的，依照7.1-7.4规定处理。</w:t>
      </w:r>
    </w:p>
    <w:p w14:paraId="169AD35D">
      <w:pPr>
        <w:pStyle w:val="21"/>
        <w:spacing w:before="120" w:after="120"/>
        <w:rPr>
          <w:rFonts w:ascii="Times New Roman"/>
          <w:szCs w:val="21"/>
        </w:rPr>
      </w:pPr>
      <w:r>
        <w:rPr>
          <w:rFonts w:hint="eastAsia" w:ascii="Arial" w:hAnsi="Arial" w:cs="宋体"/>
          <w:b/>
          <w:sz w:val="36"/>
          <w:szCs w:val="36"/>
        </w:rPr>
        <w:br w:type="page"/>
      </w:r>
    </w:p>
    <w:p w14:paraId="4CAB4B02">
      <w:pPr>
        <w:spacing w:line="360" w:lineRule="auto"/>
        <w:jc w:val="center"/>
        <w:outlineLvl w:val="0"/>
        <w:rPr>
          <w:rFonts w:ascii="Arial" w:hAnsi="Arial" w:cs="宋体"/>
          <w:b/>
          <w:sz w:val="36"/>
          <w:szCs w:val="36"/>
        </w:rPr>
      </w:pPr>
      <w:bookmarkStart w:id="474" w:name="_Toc10263"/>
      <w:bookmarkStart w:id="475" w:name="_Toc9759"/>
      <w:bookmarkStart w:id="476" w:name="_Toc11037"/>
      <w:bookmarkStart w:id="477" w:name="_Toc460857945"/>
      <w:bookmarkStart w:id="478" w:name="_Toc17707964"/>
      <w:bookmarkStart w:id="479" w:name="_Toc460857947"/>
      <w:r>
        <w:rPr>
          <w:rFonts w:hint="eastAsia" w:ascii="Arial" w:hAnsi="Arial" w:cs="宋体"/>
          <w:b/>
          <w:sz w:val="36"/>
          <w:szCs w:val="36"/>
        </w:rPr>
        <w:t>第五章 拟签订的合同文本</w:t>
      </w:r>
      <w:bookmarkEnd w:id="474"/>
      <w:bookmarkEnd w:id="475"/>
      <w:bookmarkEnd w:id="476"/>
    </w:p>
    <w:p w14:paraId="62697CB7">
      <w:pPr>
        <w:rPr>
          <w:rFonts w:ascii="Arial" w:hAnsi="Arial" w:cs="宋体"/>
          <w:sz w:val="24"/>
        </w:rPr>
      </w:pPr>
    </w:p>
    <w:p w14:paraId="03E27564">
      <w:pPr>
        <w:rPr>
          <w:rFonts w:ascii="Arial" w:hAnsi="Arial" w:cs="宋体"/>
          <w:sz w:val="24"/>
        </w:rPr>
      </w:pPr>
    </w:p>
    <w:p w14:paraId="21BE28F0">
      <w:pPr>
        <w:rPr>
          <w:rFonts w:ascii="Arial" w:hAnsi="Arial" w:cs="宋体"/>
          <w:sz w:val="24"/>
        </w:rPr>
      </w:pPr>
    </w:p>
    <w:p w14:paraId="17354E17">
      <w:pPr>
        <w:rPr>
          <w:rFonts w:ascii="Arial" w:hAnsi="Arial" w:cs="宋体"/>
          <w:sz w:val="24"/>
        </w:rPr>
      </w:pPr>
    </w:p>
    <w:p w14:paraId="73018618">
      <w:pPr>
        <w:rPr>
          <w:rFonts w:hint="eastAsia" w:ascii="宋体" w:hAnsi="宋体" w:cs="宋体"/>
          <w:sz w:val="24"/>
        </w:rPr>
      </w:pPr>
    </w:p>
    <w:p w14:paraId="1C823A56">
      <w:pPr>
        <w:rPr>
          <w:rFonts w:hint="eastAsia" w:ascii="宋体" w:hAnsi="宋体" w:cs="宋体"/>
          <w:sz w:val="22"/>
          <w:szCs w:val="18"/>
          <w:u w:val="single"/>
        </w:rPr>
      </w:pPr>
      <w:r>
        <w:rPr>
          <w:rFonts w:hint="eastAsia" w:ascii="宋体" w:hAnsi="宋体" w:cs="宋体"/>
          <w:sz w:val="22"/>
          <w:szCs w:val="18"/>
        </w:rPr>
        <w:t>合同编号：</w:t>
      </w:r>
      <w:r>
        <w:rPr>
          <w:rFonts w:hint="eastAsia" w:ascii="宋体" w:hAnsi="宋体" w:cs="宋体"/>
          <w:sz w:val="22"/>
          <w:szCs w:val="18"/>
          <w:u w:val="single"/>
        </w:rPr>
        <w:t xml:space="preserve">           </w:t>
      </w:r>
    </w:p>
    <w:p w14:paraId="4B04B335">
      <w:pPr>
        <w:spacing w:line="360" w:lineRule="auto"/>
        <w:jc w:val="center"/>
        <w:rPr>
          <w:rFonts w:hint="eastAsia" w:ascii="宋体" w:hAnsi="宋体" w:cs="宋体"/>
          <w:b/>
          <w:sz w:val="24"/>
        </w:rPr>
      </w:pPr>
    </w:p>
    <w:p w14:paraId="0E5BDA6A">
      <w:pPr>
        <w:spacing w:line="360" w:lineRule="auto"/>
        <w:rPr>
          <w:rFonts w:hint="eastAsia" w:ascii="宋体" w:hAnsi="宋体" w:cs="宋体"/>
          <w:b/>
          <w:sz w:val="22"/>
          <w:szCs w:val="18"/>
        </w:rPr>
      </w:pPr>
    </w:p>
    <w:p w14:paraId="74D6C608">
      <w:pPr>
        <w:spacing w:line="360" w:lineRule="auto"/>
        <w:jc w:val="center"/>
        <w:rPr>
          <w:rFonts w:hint="eastAsia" w:ascii="宋体" w:hAnsi="宋体" w:cs="宋体"/>
          <w:b/>
          <w:sz w:val="32"/>
          <w:szCs w:val="32"/>
        </w:rPr>
      </w:pPr>
      <w:r>
        <w:rPr>
          <w:rFonts w:hint="eastAsia" w:ascii="宋体" w:hAnsi="宋体" w:cs="宋体"/>
          <w:b/>
          <w:sz w:val="32"/>
          <w:szCs w:val="32"/>
        </w:rPr>
        <w:t>政府采购合同参考范本</w:t>
      </w:r>
    </w:p>
    <w:p w14:paraId="6E782394">
      <w:pPr>
        <w:spacing w:line="360" w:lineRule="auto"/>
        <w:jc w:val="center"/>
        <w:rPr>
          <w:rFonts w:hint="eastAsia" w:ascii="宋体" w:hAnsi="宋体" w:cs="宋体"/>
          <w:b/>
          <w:sz w:val="32"/>
          <w:szCs w:val="32"/>
        </w:rPr>
      </w:pPr>
      <w:r>
        <w:rPr>
          <w:rFonts w:hint="eastAsia" w:ascii="宋体" w:hAnsi="宋体" w:cs="宋体"/>
          <w:b/>
          <w:sz w:val="32"/>
          <w:szCs w:val="32"/>
        </w:rPr>
        <w:t>（货物类）</w:t>
      </w:r>
    </w:p>
    <w:p w14:paraId="11F9DC94">
      <w:pPr>
        <w:pStyle w:val="191"/>
        <w:snapToGrid/>
        <w:spacing w:after="0"/>
        <w:ind w:left="0" w:leftChars="0" w:firstLine="440"/>
        <w:jc w:val="center"/>
        <w:rPr>
          <w:rFonts w:hint="eastAsia" w:ascii="宋体" w:hAnsi="宋体" w:cs="宋体"/>
          <w:sz w:val="22"/>
          <w:szCs w:val="22"/>
        </w:rPr>
      </w:pPr>
    </w:p>
    <w:p w14:paraId="398FDE53">
      <w:pPr>
        <w:pStyle w:val="191"/>
        <w:snapToGrid/>
        <w:spacing w:after="0"/>
        <w:ind w:left="0" w:leftChars="0" w:firstLine="3317" w:firstLineChars="1180"/>
        <w:rPr>
          <w:rFonts w:hint="eastAsia" w:ascii="宋体" w:hAnsi="宋体" w:cs="宋体"/>
          <w:b/>
          <w:sz w:val="28"/>
          <w:szCs w:val="22"/>
        </w:rPr>
      </w:pPr>
      <w:r>
        <w:rPr>
          <w:rFonts w:hint="eastAsia" w:ascii="宋体" w:hAnsi="宋体" w:cs="宋体"/>
          <w:b/>
          <w:sz w:val="28"/>
          <w:szCs w:val="22"/>
        </w:rPr>
        <w:t>第一部分 合同书</w:t>
      </w:r>
    </w:p>
    <w:p w14:paraId="5F50F7B5">
      <w:pPr>
        <w:spacing w:line="360" w:lineRule="auto"/>
        <w:ind w:firstLine="1120" w:firstLineChars="400"/>
        <w:rPr>
          <w:rFonts w:hint="eastAsia" w:ascii="宋体" w:hAnsi="宋体" w:cs="宋体"/>
          <w:sz w:val="28"/>
          <w:szCs w:val="18"/>
        </w:rPr>
      </w:pPr>
    </w:p>
    <w:p w14:paraId="403BC7A0">
      <w:pPr>
        <w:spacing w:line="360" w:lineRule="auto"/>
        <w:ind w:firstLine="1120" w:firstLineChars="400"/>
        <w:rPr>
          <w:rFonts w:hint="eastAsia" w:ascii="宋体" w:hAnsi="宋体" w:cs="宋体"/>
          <w:sz w:val="28"/>
          <w:szCs w:val="18"/>
        </w:rPr>
      </w:pPr>
    </w:p>
    <w:p w14:paraId="50661C0B">
      <w:pPr>
        <w:spacing w:line="360" w:lineRule="auto"/>
        <w:rPr>
          <w:rFonts w:hint="eastAsia" w:ascii="宋体" w:hAnsi="宋体" w:cs="宋体"/>
          <w:sz w:val="28"/>
          <w:szCs w:val="18"/>
        </w:rPr>
      </w:pPr>
      <w:r>
        <w:rPr>
          <w:rFonts w:hint="eastAsia" w:ascii="宋体" w:hAnsi="宋体" w:cs="宋体"/>
          <w:sz w:val="28"/>
          <w:szCs w:val="18"/>
        </w:rPr>
        <w:t>项目名称：</w:t>
      </w:r>
      <w:r>
        <w:rPr>
          <w:rFonts w:hint="eastAsia" w:ascii="宋体" w:hAnsi="宋体" w:cs="宋体"/>
          <w:sz w:val="28"/>
          <w:szCs w:val="18"/>
          <w:u w:val="single"/>
        </w:rPr>
        <w:t>象山县丹山书院专用教室设备项目</w:t>
      </w:r>
    </w:p>
    <w:p w14:paraId="784EA071">
      <w:pPr>
        <w:spacing w:line="360" w:lineRule="auto"/>
        <w:rPr>
          <w:rFonts w:hint="eastAsia" w:ascii="宋体" w:hAnsi="宋体" w:cs="宋体"/>
          <w:sz w:val="28"/>
          <w:szCs w:val="18"/>
        </w:rPr>
      </w:pPr>
    </w:p>
    <w:p w14:paraId="7B6E1611">
      <w:pPr>
        <w:spacing w:line="360" w:lineRule="auto"/>
        <w:rPr>
          <w:rFonts w:hint="eastAsia" w:ascii="宋体" w:hAnsi="宋体" w:cs="宋体"/>
          <w:sz w:val="28"/>
          <w:szCs w:val="18"/>
          <w:u w:val="single"/>
        </w:rPr>
      </w:pPr>
      <w:r>
        <w:rPr>
          <w:rFonts w:hint="eastAsia" w:ascii="宋体" w:hAnsi="宋体" w:cs="宋体"/>
          <w:sz w:val="28"/>
          <w:szCs w:val="18"/>
        </w:rPr>
        <w:t>甲方：</w:t>
      </w:r>
      <w:r>
        <w:rPr>
          <w:rFonts w:hint="eastAsia" w:ascii="宋体" w:hAnsi="宋体" w:cs="宋体"/>
          <w:sz w:val="28"/>
          <w:szCs w:val="18"/>
          <w:u w:val="single"/>
        </w:rPr>
        <w:t xml:space="preserve">        象山县丹山书院             </w:t>
      </w:r>
    </w:p>
    <w:p w14:paraId="495196AB">
      <w:pPr>
        <w:spacing w:line="360" w:lineRule="auto"/>
        <w:rPr>
          <w:rFonts w:hint="eastAsia" w:ascii="宋体" w:hAnsi="宋体" w:cs="宋体"/>
          <w:sz w:val="28"/>
          <w:szCs w:val="18"/>
        </w:rPr>
      </w:pPr>
    </w:p>
    <w:p w14:paraId="5A0DE7C6">
      <w:pPr>
        <w:spacing w:line="360" w:lineRule="auto"/>
        <w:rPr>
          <w:rFonts w:hint="eastAsia" w:ascii="宋体" w:hAnsi="宋体" w:cs="宋体"/>
          <w:sz w:val="28"/>
          <w:szCs w:val="18"/>
          <w:u w:val="single"/>
        </w:rPr>
      </w:pPr>
      <w:r>
        <w:rPr>
          <w:rFonts w:hint="eastAsia" w:ascii="宋体" w:hAnsi="宋体" w:cs="宋体"/>
          <w:sz w:val="28"/>
          <w:szCs w:val="18"/>
        </w:rPr>
        <w:t>乙方：</w:t>
      </w:r>
      <w:r>
        <w:rPr>
          <w:rFonts w:hint="eastAsia" w:ascii="宋体" w:hAnsi="宋体" w:cs="宋体"/>
          <w:sz w:val="28"/>
          <w:szCs w:val="18"/>
          <w:u w:val="single"/>
        </w:rPr>
        <w:t xml:space="preserve">                                   </w:t>
      </w:r>
    </w:p>
    <w:p w14:paraId="628185F9">
      <w:pPr>
        <w:spacing w:line="360" w:lineRule="auto"/>
        <w:rPr>
          <w:rFonts w:hint="eastAsia" w:ascii="宋体" w:hAnsi="宋体" w:cs="宋体"/>
          <w:sz w:val="28"/>
          <w:szCs w:val="18"/>
        </w:rPr>
      </w:pPr>
    </w:p>
    <w:p w14:paraId="1DFD82A4">
      <w:pPr>
        <w:spacing w:line="360" w:lineRule="auto"/>
        <w:rPr>
          <w:rFonts w:hint="eastAsia" w:ascii="宋体" w:hAnsi="宋体" w:cs="宋体"/>
          <w:sz w:val="28"/>
          <w:szCs w:val="18"/>
          <w:u w:val="single"/>
        </w:rPr>
      </w:pPr>
      <w:r>
        <w:rPr>
          <w:rFonts w:hint="eastAsia" w:ascii="宋体" w:hAnsi="宋体" w:cs="宋体"/>
          <w:sz w:val="28"/>
          <w:szCs w:val="18"/>
        </w:rPr>
        <w:t>签订地：</w:t>
      </w:r>
      <w:r>
        <w:rPr>
          <w:rFonts w:hint="eastAsia" w:ascii="宋体" w:hAnsi="宋体" w:cs="宋体"/>
          <w:sz w:val="28"/>
          <w:szCs w:val="18"/>
          <w:u w:val="single"/>
        </w:rPr>
        <w:t xml:space="preserve"> </w:t>
      </w:r>
      <w:r>
        <w:rPr>
          <w:rFonts w:ascii="宋体" w:hAnsi="宋体" w:cs="宋体"/>
          <w:sz w:val="28"/>
          <w:szCs w:val="18"/>
          <w:u w:val="single"/>
        </w:rPr>
        <w:t xml:space="preserve">        </w:t>
      </w:r>
      <w:r>
        <w:rPr>
          <w:rFonts w:hint="eastAsia" w:ascii="宋体" w:hAnsi="宋体" w:cs="宋体"/>
          <w:sz w:val="28"/>
          <w:szCs w:val="18"/>
          <w:u w:val="single"/>
        </w:rPr>
        <w:t xml:space="preserve">          </w:t>
      </w:r>
      <w:r>
        <w:rPr>
          <w:rFonts w:ascii="宋体" w:hAnsi="宋体" w:cs="宋体"/>
          <w:sz w:val="28"/>
          <w:szCs w:val="18"/>
          <w:u w:val="single"/>
        </w:rPr>
        <w:t xml:space="preserve">              </w:t>
      </w:r>
    </w:p>
    <w:p w14:paraId="2189979C">
      <w:pPr>
        <w:spacing w:line="360" w:lineRule="auto"/>
        <w:ind w:firstLine="1120" w:firstLineChars="400"/>
        <w:rPr>
          <w:rFonts w:hint="eastAsia" w:ascii="宋体" w:hAnsi="宋体" w:cs="宋体"/>
          <w:sz w:val="28"/>
          <w:szCs w:val="18"/>
        </w:rPr>
      </w:pPr>
    </w:p>
    <w:p w14:paraId="368A00D5">
      <w:pPr>
        <w:spacing w:line="360" w:lineRule="auto"/>
        <w:rPr>
          <w:rFonts w:hint="eastAsia" w:ascii="宋体" w:hAnsi="宋体" w:cs="宋体"/>
          <w:sz w:val="28"/>
          <w:szCs w:val="18"/>
        </w:rPr>
      </w:pPr>
      <w:r>
        <w:rPr>
          <w:rFonts w:hint="eastAsia" w:ascii="宋体" w:hAnsi="宋体" w:cs="宋体"/>
          <w:sz w:val="28"/>
          <w:szCs w:val="18"/>
        </w:rPr>
        <w:t>签订日期：</w:t>
      </w:r>
      <w:r>
        <w:rPr>
          <w:rFonts w:hint="eastAsia" w:ascii="宋体" w:hAnsi="宋体" w:cs="宋体"/>
          <w:sz w:val="28"/>
          <w:szCs w:val="18"/>
          <w:u w:val="single"/>
        </w:rPr>
        <w:t xml:space="preserve">           </w:t>
      </w:r>
      <w:r>
        <w:rPr>
          <w:rFonts w:hint="eastAsia" w:ascii="宋体" w:hAnsi="宋体" w:cs="宋体"/>
          <w:sz w:val="28"/>
          <w:szCs w:val="18"/>
        </w:rPr>
        <w:t>年</w:t>
      </w:r>
      <w:r>
        <w:rPr>
          <w:rFonts w:hint="eastAsia" w:ascii="宋体" w:hAnsi="宋体" w:cs="宋体"/>
          <w:sz w:val="28"/>
          <w:szCs w:val="18"/>
          <w:u w:val="single"/>
        </w:rPr>
        <w:t xml:space="preserve">         </w:t>
      </w:r>
      <w:r>
        <w:rPr>
          <w:rFonts w:hint="eastAsia" w:ascii="宋体" w:hAnsi="宋体" w:cs="宋体"/>
          <w:sz w:val="28"/>
          <w:szCs w:val="18"/>
        </w:rPr>
        <w:t>月</w:t>
      </w:r>
      <w:r>
        <w:rPr>
          <w:rFonts w:hint="eastAsia" w:ascii="宋体" w:hAnsi="宋体" w:cs="宋体"/>
          <w:sz w:val="28"/>
          <w:szCs w:val="18"/>
          <w:u w:val="single"/>
        </w:rPr>
        <w:t xml:space="preserve">         </w:t>
      </w:r>
      <w:r>
        <w:rPr>
          <w:rFonts w:hint="eastAsia" w:ascii="宋体" w:hAnsi="宋体" w:cs="宋体"/>
          <w:sz w:val="28"/>
          <w:szCs w:val="18"/>
        </w:rPr>
        <w:t>日</w:t>
      </w:r>
    </w:p>
    <w:p w14:paraId="674EB7F4">
      <w:pPr>
        <w:pStyle w:val="68"/>
        <w:numPr>
          <w:ilvl w:val="0"/>
          <w:numId w:val="0"/>
        </w:numPr>
        <w:ind w:left="840"/>
      </w:pPr>
    </w:p>
    <w:p w14:paraId="51F3FDE8">
      <w:pPr>
        <w:spacing w:line="360" w:lineRule="auto"/>
        <w:ind w:firstLine="480" w:firstLineChars="200"/>
        <w:rPr>
          <w:rFonts w:hint="eastAsia" w:ascii="宋体" w:hAnsi="宋体" w:cs="宋体"/>
          <w:sz w:val="24"/>
          <w:u w:val="single"/>
          <w:lang w:val="zh-CN"/>
        </w:rPr>
        <w:sectPr>
          <w:headerReference r:id="rId10" w:type="first"/>
          <w:footerReference r:id="rId12" w:type="first"/>
          <w:headerReference r:id="rId9" w:type="default"/>
          <w:footerReference r:id="rId11" w:type="default"/>
          <w:pgSz w:w="11906" w:h="16838"/>
          <w:pgMar w:top="1276" w:right="1418" w:bottom="1247" w:left="1418" w:header="851" w:footer="992" w:gutter="0"/>
          <w:cols w:space="720" w:num="1"/>
          <w:titlePg/>
          <w:docGrid w:linePitch="312" w:charSpace="0"/>
        </w:sectPr>
      </w:pPr>
    </w:p>
    <w:p w14:paraId="18608733">
      <w:pPr>
        <w:spacing w:line="360" w:lineRule="auto"/>
        <w:ind w:firstLine="440" w:firstLineChars="200"/>
        <w:rPr>
          <w:rFonts w:hint="eastAsia" w:ascii="宋体" w:hAnsi="宋体" w:cs="宋体"/>
          <w:sz w:val="22"/>
          <w:szCs w:val="18"/>
        </w:rPr>
      </w:pPr>
      <w:r>
        <w:rPr>
          <w:rFonts w:hint="eastAsia" w:ascii="宋体" w:hAnsi="宋体" w:cs="宋体"/>
          <w:sz w:val="22"/>
          <w:szCs w:val="18"/>
          <w:u w:val="single"/>
          <w:lang w:val="zh-CN"/>
        </w:rPr>
        <w:t xml:space="preserve"> </w:t>
      </w:r>
      <w:r>
        <w:rPr>
          <w:rFonts w:hint="eastAsia" w:ascii="宋体" w:hAnsi="宋体" w:cs="宋体"/>
          <w:sz w:val="22"/>
          <w:szCs w:val="18"/>
          <w:u w:val="single"/>
        </w:rPr>
        <w:t xml:space="preserve">   </w:t>
      </w:r>
      <w:r>
        <w:rPr>
          <w:rFonts w:hint="eastAsia" w:ascii="宋体" w:hAnsi="宋体" w:cs="宋体"/>
          <w:sz w:val="22"/>
          <w:szCs w:val="18"/>
          <w:u w:val="single"/>
          <w:lang w:val="zh-CN"/>
        </w:rPr>
        <w:t xml:space="preserve"> </w:t>
      </w:r>
      <w:r>
        <w:rPr>
          <w:rFonts w:hint="eastAsia" w:ascii="宋体" w:hAnsi="宋体" w:cs="宋体"/>
          <w:sz w:val="22"/>
          <w:szCs w:val="18"/>
          <w:lang w:val="zh-CN"/>
        </w:rPr>
        <w:t>年</w:t>
      </w:r>
      <w:r>
        <w:rPr>
          <w:rFonts w:hint="eastAsia" w:ascii="宋体" w:hAnsi="宋体" w:cs="宋体"/>
          <w:sz w:val="22"/>
          <w:szCs w:val="18"/>
          <w:u w:val="single"/>
          <w:lang w:val="zh-CN"/>
        </w:rPr>
        <w:t xml:space="preserve">    </w:t>
      </w:r>
      <w:r>
        <w:rPr>
          <w:rFonts w:hint="eastAsia" w:ascii="宋体" w:hAnsi="宋体" w:cs="宋体"/>
          <w:sz w:val="22"/>
          <w:szCs w:val="18"/>
          <w:lang w:val="zh-CN"/>
        </w:rPr>
        <w:t>月</w:t>
      </w:r>
      <w:r>
        <w:rPr>
          <w:rFonts w:hint="eastAsia" w:ascii="宋体" w:hAnsi="宋体" w:cs="宋体"/>
          <w:sz w:val="22"/>
          <w:szCs w:val="18"/>
          <w:u w:val="single"/>
          <w:lang w:val="zh-CN"/>
        </w:rPr>
        <w:t xml:space="preserve">    </w:t>
      </w:r>
      <w:r>
        <w:rPr>
          <w:rFonts w:hint="eastAsia" w:ascii="宋体" w:hAnsi="宋体" w:cs="宋体"/>
          <w:sz w:val="22"/>
          <w:szCs w:val="18"/>
          <w:lang w:val="zh-CN"/>
        </w:rPr>
        <w:t>日</w:t>
      </w:r>
      <w:r>
        <w:rPr>
          <w:rFonts w:hint="eastAsia" w:ascii="宋体" w:hAnsi="宋体" w:cs="宋体"/>
          <w:sz w:val="22"/>
          <w:szCs w:val="18"/>
        </w:rPr>
        <w:t>，</w:t>
      </w:r>
      <w:r>
        <w:rPr>
          <w:rFonts w:hint="eastAsia" w:ascii="宋体" w:hAnsi="宋体" w:cs="宋体"/>
          <w:sz w:val="22"/>
          <w:szCs w:val="18"/>
          <w:u w:val="single"/>
        </w:rPr>
        <w:t>象山县丹山书院</w:t>
      </w:r>
      <w:r>
        <w:rPr>
          <w:rFonts w:hint="eastAsia" w:ascii="宋体" w:hAnsi="宋体" w:cs="宋体"/>
          <w:sz w:val="22"/>
          <w:szCs w:val="18"/>
        </w:rPr>
        <w:t>以</w:t>
      </w:r>
      <w:r>
        <w:rPr>
          <w:rFonts w:hint="eastAsia" w:ascii="宋体" w:hAnsi="宋体" w:cs="宋体"/>
          <w:sz w:val="22"/>
          <w:szCs w:val="18"/>
          <w:u w:val="single"/>
        </w:rPr>
        <w:t xml:space="preserve"> 公开招标 </w:t>
      </w:r>
      <w:r>
        <w:rPr>
          <w:rFonts w:hint="eastAsia" w:ascii="宋体" w:hAnsi="宋体" w:cs="宋体"/>
          <w:sz w:val="22"/>
          <w:szCs w:val="18"/>
        </w:rPr>
        <w:t>对</w:t>
      </w:r>
      <w:r>
        <w:rPr>
          <w:rFonts w:hint="eastAsia" w:ascii="宋体" w:hAnsi="宋体" w:cs="宋体"/>
          <w:sz w:val="22"/>
          <w:szCs w:val="18"/>
          <w:u w:val="single"/>
        </w:rPr>
        <w:t xml:space="preserve"> 象山县丹山书院专用教室设备项目（项目编号：        ）</w:t>
      </w:r>
      <w:r>
        <w:rPr>
          <w:rFonts w:hint="eastAsia" w:ascii="宋体" w:hAnsi="宋体" w:cs="宋体"/>
          <w:sz w:val="22"/>
          <w:szCs w:val="18"/>
        </w:rPr>
        <w:t>进行了采购。经</w:t>
      </w:r>
      <w:r>
        <w:rPr>
          <w:rFonts w:hint="eastAsia" w:ascii="宋体" w:hAnsi="宋体" w:cs="宋体"/>
          <w:sz w:val="22"/>
          <w:szCs w:val="18"/>
          <w:u w:val="single"/>
        </w:rPr>
        <w:t>评标委员会</w:t>
      </w:r>
      <w:r>
        <w:rPr>
          <w:rFonts w:hint="eastAsia" w:ascii="宋体" w:hAnsi="宋体" w:cs="宋体"/>
          <w:sz w:val="22"/>
          <w:szCs w:val="18"/>
        </w:rPr>
        <w:t>评定，</w:t>
      </w:r>
      <w:r>
        <w:rPr>
          <w:rFonts w:hint="eastAsia" w:ascii="宋体" w:hAnsi="宋体" w:cs="宋体"/>
          <w:sz w:val="22"/>
          <w:szCs w:val="18"/>
          <w:u w:val="single"/>
        </w:rPr>
        <w:t xml:space="preserve">  </w:t>
      </w:r>
      <w:r>
        <w:rPr>
          <w:rFonts w:ascii="宋体" w:hAnsi="宋体" w:cs="宋体"/>
          <w:sz w:val="22"/>
          <w:szCs w:val="18"/>
          <w:u w:val="single"/>
        </w:rPr>
        <w:t xml:space="preserve">    </w:t>
      </w:r>
      <w:r>
        <w:rPr>
          <w:rFonts w:hint="eastAsia" w:ascii="宋体" w:hAnsi="宋体" w:cs="宋体"/>
          <w:sz w:val="22"/>
          <w:szCs w:val="18"/>
          <w:u w:val="single"/>
        </w:rPr>
        <w:t xml:space="preserve"> （中标或者成交供应商名称）</w:t>
      </w:r>
      <w:r>
        <w:rPr>
          <w:rFonts w:hint="eastAsia" w:ascii="宋体" w:hAnsi="宋体" w:cs="宋体"/>
          <w:sz w:val="22"/>
          <w:szCs w:val="18"/>
        </w:rPr>
        <w:t>为该项目中标或者成交供应商。现于中标或者成交通知书发出之日起30日内，按照招标文件等确定的事项签订本合同。</w:t>
      </w:r>
    </w:p>
    <w:p w14:paraId="4A2F61CE">
      <w:pPr>
        <w:spacing w:line="360" w:lineRule="auto"/>
        <w:ind w:firstLine="440" w:firstLineChars="200"/>
        <w:rPr>
          <w:rFonts w:hint="eastAsia" w:ascii="宋体" w:hAnsi="宋体" w:cs="宋体"/>
          <w:sz w:val="22"/>
          <w:szCs w:val="18"/>
        </w:rPr>
      </w:pPr>
      <w:r>
        <w:rPr>
          <w:rFonts w:hint="eastAsia" w:ascii="宋体" w:hAnsi="宋体" w:cs="宋体"/>
          <w:sz w:val="22"/>
          <w:szCs w:val="18"/>
          <w:lang w:val="zh-CN"/>
        </w:rPr>
        <w:t>根据《中华人民共和国民法典》《中华人民共和国政府采购法》等相关法律法规之规定，按照平等、自愿、公平、诚实信用和绿色的原则，经</w:t>
      </w:r>
      <w:r>
        <w:rPr>
          <w:rFonts w:hint="eastAsia" w:ascii="宋体" w:hAnsi="宋体" w:cs="宋体"/>
          <w:sz w:val="22"/>
          <w:szCs w:val="18"/>
          <w:u w:val="single"/>
        </w:rPr>
        <w:t xml:space="preserve"> 象山县丹山书院 </w:t>
      </w:r>
      <w:r>
        <w:rPr>
          <w:rFonts w:hint="eastAsia" w:ascii="宋体" w:hAnsi="宋体" w:cs="宋体"/>
          <w:sz w:val="22"/>
          <w:szCs w:val="18"/>
          <w:lang w:val="zh-CN"/>
        </w:rPr>
        <w:t>(以下简称：甲方)和</w:t>
      </w:r>
      <w:r>
        <w:rPr>
          <w:rFonts w:hint="eastAsia" w:ascii="宋体" w:hAnsi="宋体" w:cs="宋体"/>
          <w:sz w:val="22"/>
          <w:szCs w:val="18"/>
          <w:u w:val="single"/>
        </w:rPr>
        <w:t xml:space="preserve">  </w:t>
      </w:r>
      <w:r>
        <w:rPr>
          <w:rFonts w:ascii="宋体" w:hAnsi="宋体" w:cs="宋体"/>
          <w:sz w:val="22"/>
          <w:szCs w:val="18"/>
          <w:u w:val="single"/>
        </w:rPr>
        <w:t xml:space="preserve">   </w:t>
      </w:r>
      <w:r>
        <w:rPr>
          <w:rFonts w:hint="eastAsia" w:ascii="宋体" w:hAnsi="宋体" w:cs="宋体"/>
          <w:sz w:val="22"/>
          <w:szCs w:val="18"/>
          <w:u w:val="single"/>
        </w:rPr>
        <w:t xml:space="preserve"> （中标或者成交供应商名称）   </w:t>
      </w:r>
      <w:r>
        <w:rPr>
          <w:rFonts w:hint="eastAsia" w:ascii="宋体" w:hAnsi="宋体" w:cs="宋体"/>
          <w:sz w:val="22"/>
          <w:szCs w:val="18"/>
          <w:lang w:val="zh-CN"/>
        </w:rPr>
        <w:t>(以下简称：乙方)协商一致，约定以下合同</w:t>
      </w:r>
      <w:r>
        <w:rPr>
          <w:rFonts w:hint="eastAsia" w:ascii="宋体" w:hAnsi="宋体" w:cs="宋体"/>
          <w:sz w:val="22"/>
          <w:szCs w:val="18"/>
        </w:rPr>
        <w:t>条款，以兹共同遵守、全面履行。</w:t>
      </w:r>
    </w:p>
    <w:p w14:paraId="16C7F11B">
      <w:pPr>
        <w:spacing w:line="360" w:lineRule="auto"/>
        <w:ind w:firstLine="442" w:firstLineChars="200"/>
        <w:rPr>
          <w:rFonts w:hint="eastAsia" w:ascii="宋体" w:hAnsi="宋体" w:cs="宋体"/>
          <w:b/>
          <w:sz w:val="22"/>
          <w:szCs w:val="18"/>
        </w:rPr>
      </w:pPr>
      <w:bookmarkStart w:id="480" w:name="_Toc3029"/>
      <w:bookmarkStart w:id="481" w:name="_Toc2232"/>
      <w:bookmarkStart w:id="482" w:name="_Toc24059"/>
      <w:r>
        <w:rPr>
          <w:rFonts w:hint="eastAsia" w:ascii="宋体" w:hAnsi="宋体" w:cs="宋体"/>
          <w:b/>
          <w:sz w:val="22"/>
          <w:szCs w:val="18"/>
        </w:rPr>
        <w:t>1.1 合同组成部分</w:t>
      </w:r>
      <w:bookmarkEnd w:id="480"/>
      <w:bookmarkEnd w:id="481"/>
      <w:bookmarkEnd w:id="482"/>
    </w:p>
    <w:p w14:paraId="0F796769">
      <w:pPr>
        <w:spacing w:line="360" w:lineRule="auto"/>
        <w:ind w:firstLine="440" w:firstLineChars="200"/>
        <w:rPr>
          <w:rFonts w:hint="eastAsia" w:ascii="宋体" w:hAnsi="宋体" w:cs="宋体"/>
          <w:sz w:val="22"/>
          <w:szCs w:val="18"/>
        </w:rPr>
      </w:pPr>
      <w:r>
        <w:rPr>
          <w:rFonts w:hint="eastAsia" w:ascii="宋体" w:hAnsi="宋体" w:cs="宋体"/>
          <w:sz w:val="22"/>
          <w:szCs w:val="18"/>
        </w:rPr>
        <w:t>下列文件为本合同的组成部分，并构成一个整体，需综合解释、相互补充。如果下列文件内容出现不一致的情形，那么在保证按照招标文件确定的事项的前提下，组成本合同的多个文件的优先适用顺序如下：</w:t>
      </w:r>
    </w:p>
    <w:p w14:paraId="3F80EF60">
      <w:pPr>
        <w:spacing w:line="360" w:lineRule="auto"/>
        <w:ind w:firstLine="440" w:firstLineChars="200"/>
        <w:rPr>
          <w:rFonts w:hint="eastAsia" w:ascii="宋体" w:hAnsi="宋体" w:cs="宋体"/>
          <w:sz w:val="22"/>
          <w:szCs w:val="18"/>
        </w:rPr>
      </w:pPr>
      <w:r>
        <w:rPr>
          <w:rFonts w:hint="eastAsia" w:ascii="宋体" w:hAnsi="宋体" w:cs="宋体"/>
          <w:sz w:val="22"/>
          <w:szCs w:val="18"/>
        </w:rPr>
        <w:t>1.1.1 本合同及其补充合同、变更协议；</w:t>
      </w:r>
    </w:p>
    <w:p w14:paraId="506C139C">
      <w:pPr>
        <w:spacing w:line="360" w:lineRule="auto"/>
        <w:ind w:firstLine="440" w:firstLineChars="200"/>
        <w:rPr>
          <w:rFonts w:hint="eastAsia" w:ascii="宋体" w:hAnsi="宋体" w:cs="宋体"/>
          <w:sz w:val="22"/>
          <w:szCs w:val="18"/>
        </w:rPr>
      </w:pPr>
      <w:r>
        <w:rPr>
          <w:rFonts w:hint="eastAsia" w:ascii="宋体" w:hAnsi="宋体" w:cs="宋体"/>
          <w:sz w:val="22"/>
          <w:szCs w:val="18"/>
        </w:rPr>
        <w:t>1.1.2 中标或者成交通知书；</w:t>
      </w:r>
    </w:p>
    <w:p w14:paraId="5D392A6D">
      <w:pPr>
        <w:spacing w:line="360" w:lineRule="auto"/>
        <w:ind w:firstLine="440" w:firstLineChars="200"/>
        <w:rPr>
          <w:rFonts w:hint="eastAsia" w:ascii="宋体" w:hAnsi="宋体" w:cs="宋体"/>
          <w:sz w:val="22"/>
          <w:szCs w:val="18"/>
        </w:rPr>
      </w:pPr>
      <w:r>
        <w:rPr>
          <w:rFonts w:hint="eastAsia" w:ascii="宋体" w:hAnsi="宋体" w:cs="宋体"/>
          <w:sz w:val="22"/>
          <w:szCs w:val="18"/>
        </w:rPr>
        <w:t>1.1.3 投标或者响应文件（含澄清或者说明文件）；</w:t>
      </w:r>
    </w:p>
    <w:p w14:paraId="751D80DE">
      <w:pPr>
        <w:spacing w:line="360" w:lineRule="auto"/>
        <w:ind w:firstLine="440" w:firstLineChars="200"/>
        <w:rPr>
          <w:rFonts w:hint="eastAsia" w:ascii="宋体" w:hAnsi="宋体" w:cs="宋体"/>
          <w:sz w:val="22"/>
          <w:szCs w:val="18"/>
        </w:rPr>
      </w:pPr>
      <w:r>
        <w:rPr>
          <w:rFonts w:hint="eastAsia" w:ascii="宋体" w:hAnsi="宋体" w:cs="宋体"/>
          <w:sz w:val="22"/>
          <w:szCs w:val="18"/>
        </w:rPr>
        <w:t>1.1.4 招标文件（含澄清或者修改文件）；</w:t>
      </w:r>
    </w:p>
    <w:p w14:paraId="07E5CCB9">
      <w:pPr>
        <w:spacing w:line="360" w:lineRule="auto"/>
        <w:ind w:firstLine="440" w:firstLineChars="200"/>
        <w:rPr>
          <w:rFonts w:hint="eastAsia" w:ascii="宋体" w:hAnsi="宋体" w:cs="宋体"/>
          <w:sz w:val="22"/>
          <w:szCs w:val="18"/>
        </w:rPr>
      </w:pPr>
      <w:r>
        <w:rPr>
          <w:rFonts w:hint="eastAsia" w:ascii="宋体" w:hAnsi="宋体" w:cs="宋体"/>
          <w:sz w:val="22"/>
          <w:szCs w:val="18"/>
        </w:rPr>
        <w:t>1.1.5 其他相关招标文件。</w:t>
      </w:r>
    </w:p>
    <w:p w14:paraId="15EB834A">
      <w:pPr>
        <w:spacing w:line="360" w:lineRule="auto"/>
        <w:ind w:firstLine="442" w:firstLineChars="200"/>
        <w:rPr>
          <w:rFonts w:hint="eastAsia" w:ascii="宋体" w:hAnsi="宋体" w:cs="宋体"/>
          <w:b/>
          <w:sz w:val="22"/>
          <w:szCs w:val="18"/>
        </w:rPr>
      </w:pPr>
      <w:bookmarkStart w:id="483" w:name="_Toc27126"/>
      <w:bookmarkStart w:id="484" w:name="_Toc21295"/>
      <w:bookmarkStart w:id="485" w:name="_Toc24300"/>
      <w:r>
        <w:rPr>
          <w:rFonts w:hint="eastAsia" w:ascii="宋体" w:hAnsi="宋体" w:cs="宋体"/>
          <w:b/>
          <w:sz w:val="22"/>
          <w:szCs w:val="18"/>
        </w:rPr>
        <w:t>1.2 货物</w:t>
      </w:r>
      <w:bookmarkEnd w:id="483"/>
      <w:bookmarkEnd w:id="484"/>
      <w:bookmarkEnd w:id="485"/>
    </w:p>
    <w:p w14:paraId="07187C90">
      <w:pPr>
        <w:spacing w:line="360" w:lineRule="auto"/>
        <w:ind w:firstLine="440" w:firstLineChars="200"/>
        <w:rPr>
          <w:rFonts w:hint="eastAsia" w:ascii="宋体" w:hAnsi="宋体" w:cs="宋体"/>
          <w:sz w:val="22"/>
          <w:szCs w:val="18"/>
          <w:u w:val="single"/>
        </w:rPr>
      </w:pPr>
      <w:r>
        <w:rPr>
          <w:rFonts w:hint="eastAsia" w:ascii="宋体" w:hAnsi="宋体" w:cs="宋体"/>
          <w:sz w:val="22"/>
          <w:szCs w:val="18"/>
        </w:rPr>
        <w:t>1.2.1 货物名称、品牌、规格型号：</w:t>
      </w:r>
      <w:r>
        <w:rPr>
          <w:rFonts w:hint="eastAsia" w:ascii="宋体" w:hAnsi="宋体" w:cs="宋体"/>
          <w:sz w:val="22"/>
          <w:szCs w:val="18"/>
          <w:u w:val="single"/>
        </w:rPr>
        <w:t xml:space="preserve">      </w:t>
      </w:r>
      <w:r>
        <w:rPr>
          <w:rFonts w:hint="eastAsia" w:ascii="宋体" w:hAnsi="宋体" w:cs="宋体"/>
          <w:sz w:val="22"/>
          <w:szCs w:val="18"/>
        </w:rPr>
        <w:t>；</w:t>
      </w:r>
    </w:p>
    <w:p w14:paraId="516F4926">
      <w:pPr>
        <w:spacing w:line="360" w:lineRule="auto"/>
        <w:ind w:firstLine="440" w:firstLineChars="200"/>
        <w:rPr>
          <w:rFonts w:hint="eastAsia" w:ascii="宋体" w:hAnsi="宋体" w:cs="宋体"/>
          <w:sz w:val="22"/>
          <w:szCs w:val="18"/>
          <w:u w:val="single"/>
        </w:rPr>
      </w:pPr>
      <w:r>
        <w:rPr>
          <w:rFonts w:hint="eastAsia" w:ascii="宋体" w:hAnsi="宋体" w:cs="宋体"/>
          <w:sz w:val="22"/>
          <w:szCs w:val="18"/>
        </w:rPr>
        <w:t>1.2.2 货物数量：</w:t>
      </w:r>
      <w:r>
        <w:rPr>
          <w:rFonts w:hint="eastAsia" w:ascii="宋体" w:hAnsi="宋体" w:cs="宋体"/>
          <w:sz w:val="22"/>
          <w:szCs w:val="18"/>
          <w:u w:val="single"/>
        </w:rPr>
        <w:t xml:space="preserve">      </w:t>
      </w:r>
      <w:r>
        <w:rPr>
          <w:rFonts w:hint="eastAsia" w:ascii="宋体" w:hAnsi="宋体" w:cs="宋体"/>
          <w:sz w:val="22"/>
          <w:szCs w:val="18"/>
        </w:rPr>
        <w:t>；</w:t>
      </w:r>
    </w:p>
    <w:p w14:paraId="3556106B">
      <w:pPr>
        <w:spacing w:line="360" w:lineRule="auto"/>
        <w:ind w:firstLine="440" w:firstLineChars="200"/>
        <w:rPr>
          <w:rFonts w:hint="eastAsia" w:ascii="宋体" w:hAnsi="宋体" w:cs="宋体"/>
          <w:sz w:val="22"/>
          <w:szCs w:val="18"/>
          <w:u w:val="single"/>
        </w:rPr>
      </w:pPr>
      <w:r>
        <w:rPr>
          <w:rFonts w:hint="eastAsia" w:ascii="宋体" w:hAnsi="宋体" w:cs="宋体"/>
          <w:sz w:val="22"/>
          <w:szCs w:val="18"/>
        </w:rPr>
        <w:t>1.2.3 货物质量：</w:t>
      </w:r>
      <w:r>
        <w:rPr>
          <w:rFonts w:hint="eastAsia" w:ascii="宋体" w:hAnsi="宋体" w:cs="宋体"/>
          <w:sz w:val="22"/>
          <w:szCs w:val="18"/>
          <w:u w:val="single"/>
        </w:rPr>
        <w:t xml:space="preserve"> </w:t>
      </w:r>
      <w:r>
        <w:rPr>
          <w:rFonts w:ascii="宋体" w:hAnsi="宋体" w:cs="宋体"/>
          <w:sz w:val="22"/>
          <w:szCs w:val="18"/>
          <w:u w:val="single"/>
        </w:rPr>
        <w:t xml:space="preserve"> </w:t>
      </w:r>
      <w:r>
        <w:rPr>
          <w:rFonts w:hint="eastAsia" w:ascii="宋体" w:hAnsi="宋体" w:cs="宋体"/>
          <w:sz w:val="22"/>
          <w:szCs w:val="18"/>
          <w:u w:val="single"/>
        </w:rPr>
        <w:t xml:space="preserve">    ；</w:t>
      </w:r>
    </w:p>
    <w:p w14:paraId="41C0BC00">
      <w:pPr>
        <w:spacing w:line="360" w:lineRule="auto"/>
        <w:ind w:firstLine="442" w:firstLineChars="200"/>
        <w:rPr>
          <w:rFonts w:hint="eastAsia" w:ascii="宋体" w:hAnsi="宋体" w:cs="宋体"/>
          <w:b/>
          <w:sz w:val="22"/>
          <w:szCs w:val="18"/>
        </w:rPr>
      </w:pPr>
      <w:bookmarkStart w:id="486" w:name="_Toc21551"/>
      <w:bookmarkStart w:id="487" w:name="_Toc23292"/>
      <w:bookmarkStart w:id="488" w:name="_Toc21631"/>
      <w:r>
        <w:rPr>
          <w:rFonts w:hint="eastAsia" w:ascii="宋体" w:hAnsi="宋体" w:cs="宋体"/>
          <w:b/>
          <w:sz w:val="22"/>
          <w:szCs w:val="18"/>
        </w:rPr>
        <w:t>1.3 价款</w:t>
      </w:r>
      <w:bookmarkEnd w:id="486"/>
      <w:bookmarkEnd w:id="487"/>
      <w:bookmarkEnd w:id="488"/>
    </w:p>
    <w:p w14:paraId="19F931C1">
      <w:pPr>
        <w:spacing w:line="360" w:lineRule="auto"/>
        <w:ind w:firstLine="440" w:firstLineChars="200"/>
        <w:rPr>
          <w:rFonts w:hint="eastAsia" w:ascii="宋体" w:hAnsi="宋体" w:cs="宋体"/>
          <w:sz w:val="22"/>
          <w:szCs w:val="18"/>
        </w:rPr>
      </w:pPr>
      <w:r>
        <w:rPr>
          <w:rFonts w:hint="eastAsia" w:ascii="宋体" w:hAnsi="宋体" w:cs="宋体"/>
          <w:sz w:val="22"/>
          <w:szCs w:val="18"/>
        </w:rPr>
        <w:t>本合同（含税）为：￥</w:t>
      </w:r>
      <w:r>
        <w:rPr>
          <w:rFonts w:hint="eastAsia" w:ascii="宋体" w:hAnsi="宋体" w:cs="宋体"/>
          <w:sz w:val="22"/>
          <w:szCs w:val="18"/>
          <w:u w:val="single"/>
        </w:rPr>
        <w:t xml:space="preserve">           </w:t>
      </w:r>
      <w:r>
        <w:rPr>
          <w:rFonts w:hint="eastAsia" w:ascii="宋体" w:hAnsi="宋体" w:cs="宋体"/>
          <w:sz w:val="22"/>
          <w:szCs w:val="18"/>
        </w:rPr>
        <w:t>元</w:t>
      </w:r>
      <w:bookmarkStart w:id="489" w:name="_Toc10340"/>
      <w:bookmarkStart w:id="490" w:name="_Toc22618"/>
      <w:bookmarkStart w:id="491" w:name="_Toc1814"/>
      <w:r>
        <w:rPr>
          <w:rFonts w:hint="eastAsia" w:ascii="宋体" w:hAnsi="宋体" w:cs="宋体"/>
          <w:sz w:val="22"/>
          <w:szCs w:val="18"/>
        </w:rPr>
        <w:t>（含公路运输）。</w:t>
      </w:r>
    </w:p>
    <w:p w14:paraId="07F68638">
      <w:pPr>
        <w:pStyle w:val="193"/>
        <w:spacing w:before="0" w:beforeAutospacing="0" w:after="0" w:afterAutospacing="0" w:line="360" w:lineRule="auto"/>
        <w:ind w:firstLine="480"/>
        <w:rPr>
          <w:rFonts w:hint="eastAsia"/>
          <w:b/>
          <w:sz w:val="22"/>
          <w:szCs w:val="22"/>
        </w:rPr>
      </w:pPr>
      <w:r>
        <w:rPr>
          <w:rFonts w:hint="eastAsia"/>
          <w:b/>
          <w:sz w:val="22"/>
          <w:szCs w:val="22"/>
        </w:rPr>
        <w:t>1.4履约保证金</w:t>
      </w:r>
    </w:p>
    <w:p w14:paraId="1787C24D">
      <w:pPr>
        <w:pStyle w:val="193"/>
        <w:spacing w:before="0" w:beforeAutospacing="0" w:after="0" w:afterAutospacing="0" w:line="360" w:lineRule="auto"/>
        <w:ind w:firstLine="480"/>
        <w:rPr>
          <w:rFonts w:hint="eastAsia"/>
          <w:sz w:val="22"/>
          <w:szCs w:val="22"/>
        </w:rPr>
      </w:pPr>
      <w:r>
        <w:rPr>
          <w:rFonts w:hint="eastAsia"/>
          <w:sz w:val="22"/>
          <w:szCs w:val="22"/>
        </w:rPr>
        <w:t>乙方</w:t>
      </w:r>
      <w:r>
        <w:rPr>
          <w:rFonts w:hint="eastAsia"/>
          <w:sz w:val="22"/>
          <w:szCs w:val="22"/>
          <w:u w:val="single"/>
        </w:rPr>
        <w:t xml:space="preserve">  否  </w:t>
      </w:r>
      <w:r>
        <w:rPr>
          <w:rFonts w:hint="eastAsia"/>
          <w:sz w:val="22"/>
          <w:szCs w:val="22"/>
        </w:rPr>
        <w:t>（是</w:t>
      </w:r>
      <w:r>
        <w:rPr>
          <w:rFonts w:hint="eastAsia" w:ascii="仿宋" w:hAnsi="仿宋" w:eastAsia="仿宋" w:cs="仿宋"/>
          <w:sz w:val="22"/>
          <w:szCs w:val="22"/>
        </w:rPr>
        <w:t>/</w:t>
      </w:r>
      <w:r>
        <w:rPr>
          <w:rFonts w:hint="eastAsia"/>
          <w:sz w:val="22"/>
          <w:szCs w:val="22"/>
        </w:rPr>
        <w:t>否）需要支付履约保证金。若需要支付履约保证金的，则：</w:t>
      </w:r>
    </w:p>
    <w:p w14:paraId="4E35C10A">
      <w:pPr>
        <w:spacing w:line="360" w:lineRule="auto"/>
        <w:ind w:firstLine="440" w:firstLineChars="200"/>
        <w:rPr>
          <w:rFonts w:hint="eastAsia" w:ascii="宋体" w:hAnsi="宋体" w:cs="宋体"/>
          <w:kern w:val="0"/>
          <w:sz w:val="22"/>
          <w:szCs w:val="18"/>
        </w:rPr>
      </w:pPr>
      <w:r>
        <w:rPr>
          <w:rFonts w:hint="eastAsia" w:ascii="宋体" w:hAnsi="宋体" w:cs="宋体"/>
          <w:kern w:val="0"/>
          <w:sz w:val="22"/>
          <w:szCs w:val="18"/>
        </w:rPr>
        <w:t>1.4.1履约保证金的比例为合同金额的</w:t>
      </w:r>
      <w:r>
        <w:rPr>
          <w:rFonts w:hint="eastAsia" w:ascii="宋体" w:hAnsi="宋体" w:cs="宋体"/>
          <w:kern w:val="0"/>
          <w:sz w:val="22"/>
          <w:szCs w:val="18"/>
          <w:u w:val="single"/>
        </w:rPr>
        <w:t xml:space="preserve">    </w:t>
      </w:r>
      <w:r>
        <w:rPr>
          <w:rFonts w:hint="eastAsia" w:ascii="宋体" w:hAnsi="宋体" w:cs="宋体"/>
          <w:kern w:val="0"/>
          <w:sz w:val="22"/>
          <w:szCs w:val="18"/>
        </w:rPr>
        <w:t>%；</w:t>
      </w:r>
    </w:p>
    <w:p w14:paraId="7F3B77E4">
      <w:pPr>
        <w:spacing w:line="360" w:lineRule="auto"/>
        <w:ind w:firstLine="440" w:firstLineChars="200"/>
        <w:rPr>
          <w:rFonts w:hint="eastAsia" w:ascii="宋体" w:hAnsi="宋体" w:cs="宋体"/>
          <w:kern w:val="0"/>
          <w:sz w:val="22"/>
          <w:szCs w:val="18"/>
        </w:rPr>
      </w:pPr>
      <w:r>
        <w:rPr>
          <w:rFonts w:hint="eastAsia" w:ascii="宋体" w:hAnsi="宋体" w:cs="宋体"/>
          <w:kern w:val="0"/>
          <w:sz w:val="22"/>
          <w:szCs w:val="18"/>
        </w:rPr>
        <w:t>1.4.2履约保证金支付方式详见</w:t>
      </w:r>
      <w:r>
        <w:rPr>
          <w:rFonts w:hint="eastAsia" w:ascii="宋体" w:hAnsi="宋体" w:cs="宋体"/>
          <w:kern w:val="0"/>
          <w:sz w:val="22"/>
          <w:szCs w:val="18"/>
          <w:u w:val="single"/>
        </w:rPr>
        <w:t xml:space="preserve">    </w:t>
      </w:r>
      <w:r>
        <w:rPr>
          <w:rFonts w:hint="eastAsia" w:ascii="宋体" w:hAnsi="宋体" w:cs="宋体"/>
          <w:b/>
          <w:iCs/>
          <w:sz w:val="22"/>
          <w:szCs w:val="18"/>
          <w:u w:val="single"/>
        </w:rPr>
        <w:t>合同专用条款</w:t>
      </w:r>
      <w:r>
        <w:rPr>
          <w:rFonts w:hint="eastAsia" w:ascii="宋体" w:hAnsi="宋体" w:cs="宋体"/>
          <w:kern w:val="0"/>
          <w:sz w:val="22"/>
          <w:szCs w:val="18"/>
          <w:u w:val="single"/>
        </w:rPr>
        <w:t xml:space="preserve">           </w:t>
      </w:r>
      <w:r>
        <w:rPr>
          <w:rFonts w:hint="eastAsia" w:ascii="宋体" w:hAnsi="宋体" w:cs="宋体"/>
          <w:kern w:val="0"/>
          <w:sz w:val="22"/>
          <w:szCs w:val="18"/>
        </w:rPr>
        <w:t>；</w:t>
      </w:r>
    </w:p>
    <w:p w14:paraId="27736F2C">
      <w:pPr>
        <w:tabs>
          <w:tab w:val="left" w:pos="0"/>
          <w:tab w:val="left" w:pos="578"/>
        </w:tabs>
        <w:spacing w:line="360" w:lineRule="auto"/>
        <w:ind w:firstLine="440" w:firstLineChars="200"/>
        <w:rPr>
          <w:sz w:val="20"/>
        </w:rPr>
      </w:pPr>
      <w:r>
        <w:rPr>
          <w:rFonts w:hint="eastAsia" w:ascii="宋体" w:hAnsi="宋体" w:cs="宋体"/>
          <w:kern w:val="0"/>
          <w:sz w:val="22"/>
          <w:szCs w:val="22"/>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27CC2E1">
      <w:pPr>
        <w:spacing w:line="360" w:lineRule="auto"/>
        <w:ind w:firstLine="440" w:firstLineChars="200"/>
        <w:rPr>
          <w:sz w:val="20"/>
          <w:szCs w:val="18"/>
        </w:rPr>
      </w:pPr>
      <w:r>
        <w:rPr>
          <w:rFonts w:hint="eastAsia" w:ascii="宋体" w:hAnsi="宋体" w:cs="宋体"/>
          <w:kern w:val="0"/>
          <w:sz w:val="22"/>
          <w:szCs w:val="18"/>
        </w:rPr>
        <w:t>1.4.4 甲方在项目验收结束后及时退还履约保证金。甲方在项目通过验收之日起</w:t>
      </w:r>
      <w:r>
        <w:rPr>
          <w:rFonts w:hint="eastAsia" w:ascii="宋体" w:hAnsi="宋体" w:cs="宋体"/>
          <w:kern w:val="0"/>
          <w:sz w:val="22"/>
          <w:szCs w:val="18"/>
          <w:u w:val="single"/>
        </w:rPr>
        <w:t xml:space="preserve">      </w:t>
      </w:r>
      <w:r>
        <w:rPr>
          <w:rFonts w:hint="eastAsia" w:ascii="宋体" w:hAnsi="宋体" w:cs="宋体"/>
          <w:kern w:val="0"/>
          <w:sz w:val="22"/>
          <w:szCs w:val="18"/>
        </w:rPr>
        <w:t>个工作日内将履约保证金无息退还乙方，逾期退还的，乙方可要求甲方支付违约金，违约金按每迟延退还一日的应退还而未退还金额的</w:t>
      </w:r>
      <w:r>
        <w:rPr>
          <w:rFonts w:hint="eastAsia" w:ascii="宋体" w:hAnsi="宋体" w:cs="宋体"/>
          <w:kern w:val="0"/>
          <w:sz w:val="22"/>
          <w:szCs w:val="18"/>
          <w:u w:val="single"/>
        </w:rPr>
        <w:t xml:space="preserve">  0.05（可根据情况修改）</w:t>
      </w:r>
      <w:r>
        <w:rPr>
          <w:rFonts w:hint="eastAsia" w:ascii="宋体" w:hAnsi="宋体" w:cs="宋体"/>
          <w:sz w:val="22"/>
          <w:szCs w:val="18"/>
          <w:u w:val="single"/>
        </w:rPr>
        <w:t xml:space="preserve"> </w:t>
      </w:r>
      <w:r>
        <w:rPr>
          <w:rFonts w:hint="eastAsia" w:ascii="宋体" w:hAnsi="宋体" w:cs="宋体"/>
          <w:kern w:val="0"/>
          <w:sz w:val="22"/>
          <w:szCs w:val="18"/>
          <w:u w:val="single"/>
        </w:rPr>
        <w:t xml:space="preserve">  </w:t>
      </w:r>
      <w:r>
        <w:rPr>
          <w:rFonts w:hint="eastAsia" w:ascii="宋体" w:hAnsi="宋体" w:cs="宋体"/>
          <w:kern w:val="0"/>
          <w:sz w:val="22"/>
          <w:szCs w:val="18"/>
        </w:rPr>
        <w:t>%计算，最高限额为本合同履约保证金的</w:t>
      </w:r>
      <w:r>
        <w:rPr>
          <w:rFonts w:hint="eastAsia" w:ascii="宋体" w:hAnsi="宋体" w:cs="宋体"/>
          <w:kern w:val="0"/>
          <w:sz w:val="22"/>
          <w:szCs w:val="18"/>
          <w:u w:val="single"/>
        </w:rPr>
        <w:t xml:space="preserve">  20  </w:t>
      </w:r>
      <w:r>
        <w:rPr>
          <w:rFonts w:hint="eastAsia" w:ascii="宋体" w:hAnsi="宋体" w:cs="宋体"/>
          <w:kern w:val="0"/>
          <w:sz w:val="22"/>
          <w:szCs w:val="18"/>
        </w:rPr>
        <w:t>%。</w:t>
      </w:r>
    </w:p>
    <w:p w14:paraId="574CE7B0">
      <w:pPr>
        <w:spacing w:line="360" w:lineRule="auto"/>
        <w:ind w:firstLine="442" w:firstLineChars="200"/>
        <w:rPr>
          <w:rFonts w:hint="eastAsia" w:ascii="宋体" w:hAnsi="宋体" w:cs="宋体"/>
          <w:b/>
          <w:sz w:val="22"/>
          <w:szCs w:val="18"/>
        </w:rPr>
      </w:pPr>
      <w:r>
        <w:rPr>
          <w:rFonts w:hint="eastAsia" w:ascii="宋体" w:hAnsi="宋体" w:cs="宋体"/>
          <w:b/>
          <w:sz w:val="22"/>
          <w:szCs w:val="18"/>
        </w:rPr>
        <w:t>1.5</w:t>
      </w:r>
      <w:bookmarkEnd w:id="489"/>
      <w:bookmarkEnd w:id="490"/>
      <w:bookmarkEnd w:id="491"/>
      <w:r>
        <w:rPr>
          <w:rFonts w:hint="eastAsia" w:ascii="宋体" w:hAnsi="宋体" w:cs="宋体"/>
          <w:b/>
          <w:sz w:val="22"/>
          <w:szCs w:val="18"/>
        </w:rPr>
        <w:t>预付款</w:t>
      </w:r>
    </w:p>
    <w:p w14:paraId="3C611C63">
      <w:pPr>
        <w:pStyle w:val="193"/>
        <w:spacing w:before="0" w:beforeAutospacing="0" w:after="0" w:afterAutospacing="0" w:line="360" w:lineRule="auto"/>
        <w:ind w:firstLine="480"/>
        <w:rPr>
          <w:rFonts w:hint="eastAsia"/>
          <w:sz w:val="22"/>
          <w:szCs w:val="22"/>
        </w:rPr>
      </w:pPr>
      <w:r>
        <w:rPr>
          <w:rFonts w:hint="eastAsia"/>
          <w:sz w:val="22"/>
          <w:szCs w:val="22"/>
        </w:rPr>
        <w:t>甲方</w:t>
      </w:r>
      <w:r>
        <w:rPr>
          <w:rFonts w:hint="eastAsia"/>
          <w:sz w:val="22"/>
          <w:szCs w:val="22"/>
          <w:u w:val="single"/>
        </w:rPr>
        <w:t xml:space="preserve">  是 </w:t>
      </w:r>
      <w:r>
        <w:rPr>
          <w:rFonts w:hint="eastAsia"/>
          <w:sz w:val="22"/>
          <w:szCs w:val="22"/>
        </w:rPr>
        <w:t>（是</w:t>
      </w:r>
      <w:r>
        <w:rPr>
          <w:rFonts w:hint="eastAsia" w:ascii="仿宋" w:hAnsi="仿宋" w:eastAsia="仿宋" w:cs="仿宋"/>
          <w:sz w:val="22"/>
          <w:szCs w:val="22"/>
        </w:rPr>
        <w:t>/</w:t>
      </w:r>
      <w:r>
        <w:rPr>
          <w:rFonts w:hint="eastAsia"/>
          <w:sz w:val="22"/>
          <w:szCs w:val="22"/>
        </w:rPr>
        <w:t>否）需要支付预付款。若需要支付预付款的，则：</w:t>
      </w:r>
    </w:p>
    <w:p w14:paraId="748AC672">
      <w:pPr>
        <w:spacing w:line="360" w:lineRule="auto"/>
        <w:ind w:firstLine="440" w:firstLineChars="200"/>
        <w:rPr>
          <w:rFonts w:hint="eastAsia" w:ascii="宋体" w:hAnsi="宋体" w:cs="宋体"/>
          <w:kern w:val="0"/>
          <w:sz w:val="22"/>
          <w:szCs w:val="18"/>
        </w:rPr>
      </w:pPr>
      <w:r>
        <w:rPr>
          <w:rFonts w:hint="eastAsia" w:ascii="宋体" w:hAnsi="宋体" w:cs="宋体"/>
          <w:kern w:val="0"/>
          <w:sz w:val="22"/>
          <w:szCs w:val="18"/>
        </w:rPr>
        <w:t>1.5.1预付款比例、支付方式、时间详见</w:t>
      </w:r>
      <w:r>
        <w:rPr>
          <w:rFonts w:hint="eastAsia" w:ascii="宋体" w:hAnsi="宋体" w:cs="宋体"/>
          <w:kern w:val="0"/>
          <w:sz w:val="22"/>
          <w:szCs w:val="18"/>
          <w:u w:val="single"/>
        </w:rPr>
        <w:t xml:space="preserve">    </w:t>
      </w:r>
      <w:r>
        <w:rPr>
          <w:rFonts w:hint="eastAsia" w:ascii="宋体" w:hAnsi="宋体" w:cs="宋体"/>
          <w:b/>
          <w:sz w:val="22"/>
          <w:szCs w:val="18"/>
          <w:u w:val="single"/>
        </w:rPr>
        <w:t>合同专用条款</w:t>
      </w:r>
      <w:r>
        <w:rPr>
          <w:rFonts w:hint="eastAsia" w:ascii="宋体" w:hAnsi="宋体" w:cs="宋体"/>
          <w:kern w:val="0"/>
          <w:sz w:val="22"/>
          <w:szCs w:val="18"/>
          <w:u w:val="single"/>
        </w:rPr>
        <w:t xml:space="preserve">           </w:t>
      </w:r>
      <w:r>
        <w:rPr>
          <w:rFonts w:hint="eastAsia" w:ascii="宋体" w:hAnsi="宋体" w:cs="宋体"/>
          <w:kern w:val="0"/>
          <w:sz w:val="22"/>
          <w:szCs w:val="18"/>
        </w:rPr>
        <w:t>；</w:t>
      </w:r>
    </w:p>
    <w:p w14:paraId="0AEC045F">
      <w:pPr>
        <w:pStyle w:val="193"/>
        <w:spacing w:before="0" w:beforeAutospacing="0" w:after="0" w:afterAutospacing="0" w:line="360" w:lineRule="auto"/>
        <w:ind w:firstLine="480"/>
        <w:rPr>
          <w:rFonts w:hint="eastAsia"/>
          <w:sz w:val="22"/>
          <w:szCs w:val="22"/>
        </w:rPr>
      </w:pPr>
      <w:r>
        <w:rPr>
          <w:rFonts w:hint="eastAsia"/>
          <w:sz w:val="22"/>
          <w:szCs w:val="22"/>
        </w:rPr>
        <w:t>1.5.2预付款的扣回方式详见</w:t>
      </w:r>
      <w:r>
        <w:rPr>
          <w:rFonts w:hint="eastAsia"/>
          <w:sz w:val="22"/>
          <w:szCs w:val="22"/>
          <w:u w:val="single"/>
        </w:rPr>
        <w:t xml:space="preserve">    </w:t>
      </w:r>
      <w:r>
        <w:rPr>
          <w:rFonts w:hint="eastAsia"/>
          <w:b/>
          <w:sz w:val="22"/>
          <w:szCs w:val="22"/>
          <w:u w:val="single"/>
        </w:rPr>
        <w:t>合同专用条款</w:t>
      </w:r>
      <w:r>
        <w:rPr>
          <w:rFonts w:hint="eastAsia"/>
          <w:sz w:val="22"/>
          <w:szCs w:val="22"/>
          <w:u w:val="single"/>
        </w:rPr>
        <w:t xml:space="preserve">           </w:t>
      </w:r>
      <w:r>
        <w:rPr>
          <w:rFonts w:hint="eastAsia"/>
          <w:sz w:val="22"/>
          <w:szCs w:val="22"/>
        </w:rPr>
        <w:t>；</w:t>
      </w:r>
    </w:p>
    <w:p w14:paraId="1B7054DB">
      <w:pPr>
        <w:pStyle w:val="193"/>
        <w:spacing w:before="0" w:beforeAutospacing="0" w:after="0" w:afterAutospacing="0" w:line="360" w:lineRule="auto"/>
        <w:ind w:firstLine="480"/>
        <w:rPr>
          <w:rFonts w:hint="eastAsia"/>
          <w:sz w:val="22"/>
          <w:szCs w:val="22"/>
          <w:u w:val="single"/>
        </w:rPr>
      </w:pPr>
      <w:r>
        <w:rPr>
          <w:rFonts w:hint="eastAsia"/>
          <w:sz w:val="22"/>
          <w:szCs w:val="22"/>
        </w:rPr>
        <w:t>1.5.3预付款的担保措施详见</w:t>
      </w:r>
      <w:r>
        <w:rPr>
          <w:rFonts w:hint="eastAsia"/>
          <w:sz w:val="22"/>
          <w:szCs w:val="22"/>
          <w:u w:val="single"/>
        </w:rPr>
        <w:t xml:space="preserve">    </w:t>
      </w:r>
      <w:r>
        <w:rPr>
          <w:rFonts w:hint="eastAsia"/>
          <w:b/>
          <w:sz w:val="22"/>
          <w:szCs w:val="22"/>
          <w:u w:val="single"/>
        </w:rPr>
        <w:t>合同专用条款</w:t>
      </w:r>
      <w:r>
        <w:rPr>
          <w:rFonts w:hint="eastAsia"/>
          <w:sz w:val="22"/>
          <w:szCs w:val="22"/>
          <w:u w:val="single"/>
        </w:rPr>
        <w:t xml:space="preserve">          </w:t>
      </w:r>
      <w:r>
        <w:rPr>
          <w:rFonts w:hint="eastAsia"/>
          <w:sz w:val="22"/>
          <w:szCs w:val="22"/>
        </w:rPr>
        <w:t>。</w:t>
      </w:r>
    </w:p>
    <w:p w14:paraId="3F740CB5">
      <w:pPr>
        <w:pStyle w:val="193"/>
        <w:spacing w:before="0" w:beforeAutospacing="0" w:after="0" w:afterAutospacing="0" w:line="360" w:lineRule="auto"/>
        <w:ind w:firstLine="480"/>
        <w:rPr>
          <w:rFonts w:hint="eastAsia"/>
          <w:b/>
          <w:bCs/>
          <w:sz w:val="22"/>
          <w:szCs w:val="22"/>
        </w:rPr>
      </w:pPr>
      <w:r>
        <w:rPr>
          <w:rFonts w:hint="eastAsia"/>
          <w:b/>
          <w:bCs/>
          <w:sz w:val="22"/>
          <w:szCs w:val="22"/>
        </w:rPr>
        <w:t>1.6资金支付</w:t>
      </w:r>
    </w:p>
    <w:p w14:paraId="6218499A">
      <w:pPr>
        <w:pStyle w:val="193"/>
        <w:spacing w:before="0" w:beforeAutospacing="0" w:after="0" w:afterAutospacing="0" w:line="360" w:lineRule="auto"/>
        <w:ind w:firstLine="480"/>
        <w:rPr>
          <w:rFonts w:hint="eastAsia"/>
          <w:sz w:val="22"/>
          <w:szCs w:val="22"/>
        </w:rPr>
      </w:pPr>
      <w:r>
        <w:rPr>
          <w:rFonts w:hint="eastAsia"/>
          <w:sz w:val="22"/>
          <w:szCs w:val="22"/>
        </w:rPr>
        <w:t>1.6.1甲方应严格履行合同，及时组织验收。</w:t>
      </w:r>
    </w:p>
    <w:p w14:paraId="58CC8E95">
      <w:pPr>
        <w:spacing w:line="360" w:lineRule="auto"/>
        <w:ind w:firstLine="440" w:firstLineChars="200"/>
        <w:rPr>
          <w:rFonts w:hint="eastAsia" w:ascii="宋体" w:hAnsi="宋体" w:cs="宋体"/>
          <w:sz w:val="22"/>
          <w:szCs w:val="18"/>
        </w:rPr>
      </w:pPr>
      <w:r>
        <w:rPr>
          <w:rFonts w:hint="eastAsia" w:ascii="宋体" w:hAnsi="宋体" w:cs="宋体"/>
          <w:sz w:val="22"/>
          <w:szCs w:val="18"/>
        </w:rPr>
        <w:t>1.6.2资金支付的方式、时间和条件详见</w:t>
      </w:r>
      <w:r>
        <w:rPr>
          <w:rFonts w:hint="eastAsia" w:ascii="宋体" w:hAnsi="宋体" w:cs="宋体"/>
          <w:b/>
          <w:sz w:val="22"/>
          <w:szCs w:val="18"/>
          <w:u w:val="single"/>
        </w:rPr>
        <w:t>合同专用条款</w:t>
      </w:r>
      <w:r>
        <w:rPr>
          <w:rFonts w:hint="eastAsia" w:ascii="宋体" w:hAnsi="宋体" w:cs="宋体"/>
          <w:sz w:val="22"/>
          <w:szCs w:val="18"/>
        </w:rPr>
        <w:t>。</w:t>
      </w:r>
    </w:p>
    <w:p w14:paraId="3A86CAB6">
      <w:pPr>
        <w:spacing w:line="360" w:lineRule="auto"/>
        <w:ind w:firstLine="442" w:firstLineChars="200"/>
        <w:rPr>
          <w:rFonts w:hint="eastAsia" w:ascii="宋体" w:hAnsi="宋体" w:cs="宋体"/>
          <w:b/>
          <w:sz w:val="22"/>
          <w:szCs w:val="18"/>
        </w:rPr>
      </w:pPr>
      <w:bookmarkStart w:id="492" w:name="_Toc19304"/>
      <w:bookmarkStart w:id="493" w:name="_Toc32071"/>
      <w:bookmarkStart w:id="494" w:name="_Toc2846"/>
      <w:r>
        <w:rPr>
          <w:rFonts w:hint="eastAsia" w:ascii="宋体" w:hAnsi="宋体" w:cs="宋体"/>
          <w:b/>
          <w:sz w:val="22"/>
          <w:szCs w:val="18"/>
        </w:rPr>
        <w:t>1.7货物交付期限、地点和方式</w:t>
      </w:r>
      <w:bookmarkEnd w:id="492"/>
      <w:bookmarkEnd w:id="493"/>
      <w:bookmarkEnd w:id="494"/>
    </w:p>
    <w:p w14:paraId="601B8720">
      <w:pPr>
        <w:spacing w:line="360" w:lineRule="auto"/>
        <w:ind w:firstLine="440" w:firstLineChars="200"/>
        <w:rPr>
          <w:rFonts w:hint="eastAsia" w:ascii="宋体" w:hAnsi="宋体" w:cs="宋体"/>
          <w:sz w:val="22"/>
          <w:szCs w:val="18"/>
          <w:u w:val="single"/>
        </w:rPr>
      </w:pPr>
      <w:r>
        <w:rPr>
          <w:rFonts w:hint="eastAsia" w:ascii="宋体" w:hAnsi="宋体" w:cs="宋体"/>
          <w:sz w:val="22"/>
          <w:szCs w:val="18"/>
        </w:rPr>
        <w:t>1.7.1 交付期限：详见</w:t>
      </w:r>
      <w:r>
        <w:rPr>
          <w:rFonts w:hint="eastAsia" w:ascii="宋体" w:hAnsi="宋体" w:cs="宋体"/>
          <w:b/>
          <w:sz w:val="22"/>
          <w:szCs w:val="18"/>
          <w:u w:val="single"/>
        </w:rPr>
        <w:t>合同专用条款</w:t>
      </w:r>
      <w:r>
        <w:rPr>
          <w:rFonts w:hint="eastAsia" w:ascii="宋体" w:hAnsi="宋体" w:cs="宋体"/>
          <w:sz w:val="22"/>
          <w:szCs w:val="18"/>
        </w:rPr>
        <w:t>；</w:t>
      </w:r>
    </w:p>
    <w:p w14:paraId="1B1BBCC1">
      <w:pPr>
        <w:spacing w:line="360" w:lineRule="auto"/>
        <w:ind w:firstLine="440" w:firstLineChars="200"/>
        <w:rPr>
          <w:rFonts w:hint="eastAsia" w:ascii="宋体" w:hAnsi="宋体" w:cs="宋体"/>
          <w:sz w:val="22"/>
          <w:szCs w:val="18"/>
        </w:rPr>
      </w:pPr>
      <w:r>
        <w:rPr>
          <w:rFonts w:hint="eastAsia" w:ascii="宋体" w:hAnsi="宋体" w:cs="宋体"/>
          <w:sz w:val="22"/>
          <w:szCs w:val="18"/>
        </w:rPr>
        <w:t>1.7.2 交付地点：</w:t>
      </w:r>
      <w:r>
        <w:rPr>
          <w:rFonts w:hint="eastAsia" w:ascii="宋体" w:hAnsi="宋体" w:cs="宋体"/>
          <w:b/>
          <w:sz w:val="22"/>
          <w:szCs w:val="18"/>
          <w:u w:val="single"/>
        </w:rPr>
        <w:t>合同专用条款</w:t>
      </w:r>
      <w:r>
        <w:rPr>
          <w:rFonts w:hint="eastAsia" w:ascii="宋体" w:hAnsi="宋体" w:cs="宋体"/>
          <w:sz w:val="22"/>
          <w:szCs w:val="18"/>
        </w:rPr>
        <w:t>；</w:t>
      </w:r>
    </w:p>
    <w:p w14:paraId="122501B2">
      <w:pPr>
        <w:spacing w:line="360" w:lineRule="auto"/>
        <w:ind w:firstLine="440" w:firstLineChars="200"/>
        <w:rPr>
          <w:rFonts w:hint="eastAsia" w:ascii="宋体" w:hAnsi="宋体" w:cs="宋体"/>
          <w:sz w:val="22"/>
          <w:szCs w:val="18"/>
        </w:rPr>
      </w:pPr>
      <w:r>
        <w:rPr>
          <w:rFonts w:hint="eastAsia" w:ascii="宋体" w:hAnsi="宋体" w:cs="宋体"/>
          <w:sz w:val="22"/>
          <w:szCs w:val="18"/>
        </w:rPr>
        <w:t>1.7.3 交付方式：</w:t>
      </w:r>
      <w:r>
        <w:rPr>
          <w:rFonts w:hint="eastAsia" w:ascii="宋体" w:hAnsi="宋体" w:cs="宋体"/>
          <w:b/>
          <w:sz w:val="22"/>
          <w:szCs w:val="18"/>
          <w:u w:val="single"/>
        </w:rPr>
        <w:t>合同专用条款</w:t>
      </w:r>
      <w:r>
        <w:rPr>
          <w:rFonts w:hint="eastAsia" w:ascii="宋体" w:hAnsi="宋体" w:cs="宋体"/>
          <w:sz w:val="22"/>
          <w:szCs w:val="18"/>
        </w:rPr>
        <w:t>。</w:t>
      </w:r>
    </w:p>
    <w:p w14:paraId="30BECB61">
      <w:pPr>
        <w:spacing w:line="360" w:lineRule="auto"/>
        <w:ind w:firstLine="442" w:firstLineChars="200"/>
        <w:rPr>
          <w:rFonts w:hint="eastAsia" w:ascii="宋体" w:hAnsi="宋体" w:cs="宋体"/>
          <w:b/>
          <w:sz w:val="22"/>
          <w:szCs w:val="18"/>
        </w:rPr>
      </w:pPr>
      <w:bookmarkStart w:id="495" w:name="_Toc19554"/>
      <w:bookmarkStart w:id="496" w:name="_Toc21423"/>
      <w:bookmarkStart w:id="497" w:name="_Toc27250"/>
      <w:r>
        <w:rPr>
          <w:rFonts w:hint="eastAsia" w:ascii="宋体" w:hAnsi="宋体" w:cs="宋体"/>
          <w:b/>
          <w:sz w:val="22"/>
          <w:szCs w:val="18"/>
        </w:rPr>
        <w:t>1.8违约责任</w:t>
      </w:r>
      <w:bookmarkEnd w:id="495"/>
      <w:bookmarkEnd w:id="496"/>
      <w:bookmarkEnd w:id="497"/>
    </w:p>
    <w:p w14:paraId="228D072E">
      <w:pPr>
        <w:spacing w:line="360" w:lineRule="auto"/>
        <w:ind w:firstLine="440" w:firstLineChars="200"/>
        <w:rPr>
          <w:rFonts w:hint="eastAsia" w:ascii="宋体" w:hAnsi="宋体" w:cs="宋体"/>
          <w:sz w:val="22"/>
          <w:szCs w:val="18"/>
        </w:rPr>
      </w:pPr>
      <w:r>
        <w:rPr>
          <w:rFonts w:hint="eastAsia" w:ascii="宋体" w:hAnsi="宋体" w:cs="宋体"/>
          <w:sz w:val="22"/>
          <w:szCs w:val="18"/>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sz w:val="22"/>
          <w:szCs w:val="18"/>
          <w:u w:val="single"/>
        </w:rPr>
        <w:t xml:space="preserve">  0.05</w:t>
      </w:r>
      <w:r>
        <w:rPr>
          <w:rFonts w:hint="eastAsia" w:ascii="宋体" w:hAnsi="宋体" w:cs="宋体"/>
          <w:kern w:val="0"/>
          <w:sz w:val="22"/>
          <w:szCs w:val="18"/>
          <w:u w:val="single"/>
        </w:rPr>
        <w:t>（可根据情况修改）</w:t>
      </w:r>
      <w:r>
        <w:rPr>
          <w:rFonts w:hint="eastAsia" w:ascii="宋体" w:hAnsi="宋体" w:cs="宋体"/>
          <w:sz w:val="22"/>
          <w:szCs w:val="18"/>
          <w:u w:val="single"/>
        </w:rPr>
        <w:t xml:space="preserve"> </w:t>
      </w:r>
      <w:r>
        <w:rPr>
          <w:rFonts w:hint="eastAsia" w:ascii="宋体" w:hAnsi="宋体" w:cs="宋体"/>
          <w:sz w:val="22"/>
          <w:szCs w:val="18"/>
        </w:rPr>
        <w:t>%计算，最高限额为本合同总价的</w:t>
      </w:r>
      <w:r>
        <w:rPr>
          <w:rFonts w:hint="eastAsia" w:ascii="宋体" w:hAnsi="宋体" w:cs="宋体"/>
          <w:sz w:val="22"/>
          <w:szCs w:val="18"/>
          <w:u w:val="single"/>
        </w:rPr>
        <w:t xml:space="preserve"> 20 </w:t>
      </w:r>
      <w:r>
        <w:rPr>
          <w:rFonts w:hint="eastAsia" w:ascii="宋体" w:hAnsi="宋体" w:cs="宋体"/>
          <w:sz w:val="22"/>
          <w:szCs w:val="18"/>
        </w:rPr>
        <w:t>%；迟延交付货物的违约金计算数额达到前述最高限额之日起，甲方有权在要求乙方支付违约金的同时，书面通知乙方解除本合同；</w:t>
      </w:r>
    </w:p>
    <w:p w14:paraId="1759395E">
      <w:pPr>
        <w:spacing w:line="360" w:lineRule="auto"/>
        <w:ind w:firstLine="440" w:firstLineChars="200"/>
        <w:rPr>
          <w:rFonts w:hint="eastAsia" w:ascii="宋体" w:hAnsi="宋体" w:cs="宋体"/>
          <w:sz w:val="22"/>
          <w:szCs w:val="18"/>
        </w:rPr>
      </w:pPr>
      <w:r>
        <w:rPr>
          <w:rFonts w:hint="eastAsia" w:ascii="宋体" w:hAnsi="宋体" w:cs="宋体"/>
          <w:sz w:val="22"/>
          <w:szCs w:val="18"/>
        </w:rPr>
        <w:t>1.8.2 本合同有效期内，甲、乙双方任何一方均不能擅自解除或终止本合同，一方确有客观原因需要解除或终止本合同得，应提前三个月以书面形式向另一方进行说明解除或终止合同得原因，并应向另一方支付壹万元违约金，方能解除或终止合同，如果通过诉讼或仲裁追究违约方的违约责任，则违约方应承担守约方为此而支出的诉讼或仲裁费、保全费、保全担保费、律师费、审计评估费、鉴定费和公证费等全部费用。</w:t>
      </w:r>
    </w:p>
    <w:p w14:paraId="54FA93D4">
      <w:pPr>
        <w:spacing w:line="360" w:lineRule="auto"/>
        <w:ind w:firstLine="440" w:firstLineChars="200"/>
        <w:rPr>
          <w:rFonts w:hint="eastAsia" w:ascii="宋体" w:hAnsi="宋体" w:cs="宋体"/>
          <w:sz w:val="20"/>
          <w:szCs w:val="18"/>
        </w:rPr>
      </w:pPr>
      <w:r>
        <w:rPr>
          <w:rFonts w:hint="eastAsia" w:ascii="宋体" w:hAnsi="宋体" w:cs="宋体"/>
          <w:sz w:val="22"/>
          <w:szCs w:val="18"/>
        </w:rPr>
        <w:t>1.8.3违约责任</w:t>
      </w:r>
      <w:r>
        <w:rPr>
          <w:rFonts w:hint="eastAsia" w:ascii="宋体" w:hAnsi="宋体" w:cs="宋体"/>
          <w:b/>
          <w:sz w:val="22"/>
          <w:szCs w:val="18"/>
          <w:u w:val="single"/>
        </w:rPr>
        <w:t>合同专用条款</w:t>
      </w:r>
      <w:r>
        <w:rPr>
          <w:rFonts w:hint="eastAsia" w:ascii="宋体" w:hAnsi="宋体" w:cs="宋体"/>
          <w:sz w:val="22"/>
          <w:szCs w:val="18"/>
        </w:rPr>
        <w:t>另有约定的，从其约定。</w:t>
      </w:r>
    </w:p>
    <w:p w14:paraId="2C060D33">
      <w:pPr>
        <w:spacing w:line="360" w:lineRule="auto"/>
        <w:ind w:firstLine="442" w:firstLineChars="200"/>
        <w:rPr>
          <w:rFonts w:hint="eastAsia" w:ascii="宋体" w:hAnsi="宋体" w:cs="宋体"/>
          <w:b/>
          <w:sz w:val="22"/>
          <w:szCs w:val="18"/>
        </w:rPr>
      </w:pPr>
      <w:bookmarkStart w:id="498" w:name="_Toc28375"/>
      <w:bookmarkStart w:id="499" w:name="_Toc15583"/>
      <w:bookmarkStart w:id="500" w:name="_Toc16021"/>
      <w:r>
        <w:rPr>
          <w:rFonts w:hint="eastAsia" w:ascii="宋体" w:hAnsi="宋体" w:cs="宋体"/>
          <w:b/>
          <w:sz w:val="22"/>
          <w:szCs w:val="18"/>
        </w:rPr>
        <w:t>1.9合同争议的解决</w:t>
      </w:r>
      <w:bookmarkEnd w:id="498"/>
      <w:bookmarkEnd w:id="499"/>
      <w:bookmarkEnd w:id="500"/>
    </w:p>
    <w:p w14:paraId="7F35278E">
      <w:pPr>
        <w:spacing w:line="360" w:lineRule="auto"/>
        <w:ind w:firstLine="220" w:firstLineChars="100"/>
        <w:rPr>
          <w:rFonts w:hint="eastAsia" w:ascii="宋体" w:hAnsi="宋体" w:cs="宋体"/>
          <w:sz w:val="22"/>
          <w:szCs w:val="18"/>
        </w:rPr>
      </w:pPr>
      <w:r>
        <w:rPr>
          <w:rFonts w:hint="eastAsia" w:ascii="宋体" w:hAnsi="宋体" w:cs="宋体"/>
          <w:sz w:val="22"/>
          <w:szCs w:val="18"/>
        </w:rPr>
        <w:t xml:space="preserve">  本合同履行过程中发生的任何争议，双方当事人均可通过和解或者调解解决；不愿和解、调解或者和解、调解不成的，可以选择以下第</w:t>
      </w:r>
      <w:r>
        <w:rPr>
          <w:rFonts w:hint="eastAsia" w:ascii="宋体" w:hAnsi="宋体" w:cs="宋体"/>
          <w:b/>
          <w:sz w:val="22"/>
          <w:szCs w:val="18"/>
          <w:u w:val="single"/>
        </w:rPr>
        <w:t xml:space="preserve"> 1.9.2 </w:t>
      </w:r>
      <w:r>
        <w:rPr>
          <w:rFonts w:hint="eastAsia" w:ascii="宋体" w:hAnsi="宋体" w:cs="宋体"/>
          <w:sz w:val="22"/>
          <w:szCs w:val="18"/>
        </w:rPr>
        <w:t>条款规定的方式解决：</w:t>
      </w:r>
    </w:p>
    <w:p w14:paraId="353B5E1C">
      <w:pPr>
        <w:spacing w:line="360" w:lineRule="auto"/>
        <w:ind w:firstLine="440" w:firstLineChars="200"/>
        <w:rPr>
          <w:rFonts w:hint="eastAsia" w:ascii="宋体" w:hAnsi="宋体" w:cs="宋体"/>
          <w:sz w:val="22"/>
          <w:szCs w:val="18"/>
        </w:rPr>
      </w:pPr>
      <w:r>
        <w:rPr>
          <w:rFonts w:hint="eastAsia" w:ascii="宋体" w:hAnsi="宋体" w:cs="宋体"/>
          <w:sz w:val="22"/>
          <w:szCs w:val="18"/>
        </w:rPr>
        <w:t>1.9.1 将争议提交</w:t>
      </w:r>
      <w:r>
        <w:rPr>
          <w:rFonts w:hint="eastAsia" w:ascii="宋体" w:hAnsi="宋体" w:cs="宋体"/>
          <w:b/>
          <w:sz w:val="22"/>
          <w:szCs w:val="18"/>
          <w:u w:val="single"/>
        </w:rPr>
        <w:t>合同专用条款</w:t>
      </w:r>
      <w:r>
        <w:rPr>
          <w:rFonts w:hint="eastAsia" w:ascii="宋体" w:hAnsi="宋体" w:cs="宋体"/>
          <w:sz w:val="22"/>
          <w:szCs w:val="18"/>
        </w:rPr>
        <w:t>仲裁委员会依申请仲裁时其现行有效的仲裁规则裁决；</w:t>
      </w:r>
    </w:p>
    <w:p w14:paraId="419624D3">
      <w:pPr>
        <w:spacing w:line="360" w:lineRule="auto"/>
        <w:ind w:firstLine="440" w:firstLineChars="200"/>
        <w:rPr>
          <w:rFonts w:hint="eastAsia" w:ascii="宋体" w:hAnsi="宋体" w:cs="宋体"/>
          <w:sz w:val="22"/>
          <w:szCs w:val="18"/>
        </w:rPr>
      </w:pPr>
      <w:r>
        <w:rPr>
          <w:rFonts w:hint="eastAsia" w:ascii="宋体" w:hAnsi="宋体" w:cs="宋体"/>
          <w:sz w:val="22"/>
          <w:szCs w:val="18"/>
        </w:rPr>
        <w:t>1.9.2 向</w:t>
      </w:r>
      <w:r>
        <w:rPr>
          <w:rFonts w:hint="eastAsia" w:ascii="宋体" w:hAnsi="宋体" w:cs="宋体"/>
          <w:b/>
          <w:sz w:val="22"/>
          <w:szCs w:val="18"/>
          <w:u w:val="single"/>
        </w:rPr>
        <w:t>合同专用条款</w:t>
      </w:r>
      <w:r>
        <w:rPr>
          <w:rFonts w:hint="eastAsia" w:ascii="宋体" w:hAnsi="宋体" w:cs="宋体"/>
          <w:sz w:val="22"/>
          <w:szCs w:val="18"/>
        </w:rPr>
        <w:t>人民法院起诉。</w:t>
      </w:r>
    </w:p>
    <w:p w14:paraId="380F8586">
      <w:pPr>
        <w:spacing w:line="360" w:lineRule="auto"/>
        <w:ind w:firstLine="442" w:firstLineChars="200"/>
        <w:rPr>
          <w:rFonts w:hint="eastAsia" w:ascii="宋体" w:hAnsi="宋体" w:cs="宋体"/>
          <w:b/>
          <w:sz w:val="22"/>
          <w:szCs w:val="18"/>
        </w:rPr>
      </w:pPr>
      <w:bookmarkStart w:id="501" w:name="_Toc7245"/>
      <w:bookmarkStart w:id="502" w:name="_Toc11173"/>
      <w:bookmarkStart w:id="503" w:name="_Toc15322"/>
      <w:r>
        <w:rPr>
          <w:rFonts w:hint="eastAsia" w:ascii="宋体" w:hAnsi="宋体" w:cs="宋体"/>
          <w:b/>
          <w:sz w:val="22"/>
          <w:szCs w:val="18"/>
        </w:rPr>
        <w:t>2.0 合同生效</w:t>
      </w:r>
      <w:bookmarkEnd w:id="501"/>
      <w:bookmarkEnd w:id="502"/>
      <w:bookmarkEnd w:id="503"/>
    </w:p>
    <w:p w14:paraId="46823B79">
      <w:pPr>
        <w:spacing w:line="360" w:lineRule="auto"/>
        <w:ind w:firstLine="440" w:firstLineChars="200"/>
        <w:rPr>
          <w:rFonts w:hint="eastAsia" w:ascii="宋体" w:hAnsi="宋体" w:cs="宋体"/>
          <w:b/>
          <w:sz w:val="22"/>
          <w:szCs w:val="18"/>
        </w:rPr>
      </w:pPr>
      <w:r>
        <w:rPr>
          <w:rFonts w:hint="eastAsia" w:ascii="宋体" w:hAnsi="宋体" w:cs="宋体"/>
          <w:sz w:val="22"/>
          <w:szCs w:val="18"/>
        </w:rPr>
        <w:t>本合同自双方当事人盖章签字时生效。</w:t>
      </w:r>
    </w:p>
    <w:p w14:paraId="0D3069FA">
      <w:pPr>
        <w:autoSpaceDE w:val="0"/>
        <w:autoSpaceDN w:val="0"/>
        <w:spacing w:line="360" w:lineRule="auto"/>
        <w:rPr>
          <w:rFonts w:hint="eastAsia" w:ascii="宋体" w:hAnsi="宋体" w:cs="宋体"/>
          <w:sz w:val="22"/>
          <w:szCs w:val="18"/>
          <w:lang w:val="zh-CN"/>
        </w:rPr>
      </w:pPr>
    </w:p>
    <w:p w14:paraId="155E4735">
      <w:pPr>
        <w:pStyle w:val="2"/>
        <w:spacing w:line="360" w:lineRule="auto"/>
        <w:rPr>
          <w:rFonts w:cs="宋体"/>
          <w:b/>
          <w:sz w:val="18"/>
          <w:szCs w:val="18"/>
        </w:rPr>
      </w:pPr>
    </w:p>
    <w:p w14:paraId="5CDE763F">
      <w:pPr>
        <w:pStyle w:val="42"/>
        <w:spacing w:line="360" w:lineRule="auto"/>
        <w:ind w:firstLine="220"/>
        <w:rPr>
          <w:sz w:val="22"/>
          <w:szCs w:val="18"/>
        </w:rPr>
      </w:pPr>
    </w:p>
    <w:p w14:paraId="5D6B3F5A">
      <w:pPr>
        <w:autoSpaceDE w:val="0"/>
        <w:autoSpaceDN w:val="0"/>
        <w:spacing w:line="360" w:lineRule="auto"/>
        <w:rPr>
          <w:rFonts w:hint="eastAsia" w:ascii="宋体" w:hAnsi="宋体" w:cs="宋体"/>
          <w:sz w:val="22"/>
          <w:szCs w:val="18"/>
          <w:lang w:val="zh-CN"/>
        </w:rPr>
      </w:pPr>
      <w:r>
        <w:rPr>
          <w:rFonts w:hint="eastAsia" w:ascii="宋体" w:hAnsi="宋体" w:cs="宋体"/>
          <w:b/>
          <w:sz w:val="22"/>
          <w:szCs w:val="18"/>
          <w:lang w:val="zh-CN"/>
        </w:rPr>
        <w:t>甲方</w:t>
      </w:r>
      <w:r>
        <w:rPr>
          <w:rFonts w:hint="eastAsia" w:ascii="宋体" w:hAnsi="宋体" w:cs="宋体"/>
          <w:sz w:val="22"/>
          <w:szCs w:val="18"/>
          <w:lang w:val="zh-CN"/>
        </w:rPr>
        <w:t xml:space="preserve">：                             </w:t>
      </w:r>
      <w:r>
        <w:rPr>
          <w:rFonts w:hint="eastAsia" w:ascii="宋体" w:hAnsi="宋体" w:cs="宋体"/>
          <w:b/>
          <w:sz w:val="22"/>
          <w:szCs w:val="18"/>
          <w:lang w:val="zh-CN"/>
        </w:rPr>
        <w:t xml:space="preserve">      乙方</w:t>
      </w:r>
      <w:r>
        <w:rPr>
          <w:rFonts w:hint="eastAsia" w:ascii="宋体" w:hAnsi="宋体" w:cs="宋体"/>
          <w:sz w:val="22"/>
          <w:szCs w:val="18"/>
          <w:lang w:val="zh-CN"/>
        </w:rPr>
        <w:t>：</w:t>
      </w:r>
    </w:p>
    <w:p w14:paraId="766A522F">
      <w:pPr>
        <w:autoSpaceDE w:val="0"/>
        <w:autoSpaceDN w:val="0"/>
        <w:spacing w:line="360" w:lineRule="auto"/>
        <w:rPr>
          <w:rFonts w:hint="eastAsia" w:ascii="宋体" w:hAnsi="宋体" w:cs="宋体"/>
          <w:sz w:val="22"/>
          <w:szCs w:val="18"/>
          <w:lang w:val="zh-CN"/>
        </w:rPr>
      </w:pPr>
      <w:r>
        <w:rPr>
          <w:rFonts w:hint="eastAsia" w:ascii="宋体" w:hAnsi="宋体" w:cs="宋体"/>
          <w:sz w:val="22"/>
          <w:szCs w:val="18"/>
          <w:lang w:val="zh-CN"/>
        </w:rPr>
        <w:t>统一社会信用代码：                        统一社会信用代码或身份证号码：</w:t>
      </w:r>
    </w:p>
    <w:p w14:paraId="67DFC3E4">
      <w:pPr>
        <w:autoSpaceDE w:val="0"/>
        <w:autoSpaceDN w:val="0"/>
        <w:spacing w:line="360" w:lineRule="auto"/>
        <w:rPr>
          <w:rFonts w:hint="eastAsia" w:ascii="宋体" w:hAnsi="宋体" w:cs="宋体"/>
          <w:sz w:val="22"/>
          <w:szCs w:val="18"/>
          <w:lang w:val="zh-CN"/>
        </w:rPr>
      </w:pPr>
    </w:p>
    <w:p w14:paraId="0E6AF48C">
      <w:pPr>
        <w:autoSpaceDE w:val="0"/>
        <w:autoSpaceDN w:val="0"/>
        <w:spacing w:line="360" w:lineRule="auto"/>
        <w:rPr>
          <w:rFonts w:hint="eastAsia" w:ascii="宋体" w:hAnsi="宋体" w:cs="宋体"/>
          <w:sz w:val="22"/>
          <w:szCs w:val="18"/>
          <w:lang w:val="zh-CN"/>
        </w:rPr>
      </w:pPr>
      <w:r>
        <w:rPr>
          <w:rFonts w:hint="eastAsia" w:ascii="宋体" w:hAnsi="宋体" w:cs="宋体"/>
          <w:sz w:val="22"/>
          <w:szCs w:val="18"/>
          <w:lang w:val="zh-CN"/>
        </w:rPr>
        <w:t>住所：                                   住所：</w:t>
      </w:r>
    </w:p>
    <w:p w14:paraId="383455DC">
      <w:pPr>
        <w:autoSpaceDE w:val="0"/>
        <w:autoSpaceDN w:val="0"/>
        <w:spacing w:line="360" w:lineRule="auto"/>
        <w:rPr>
          <w:rFonts w:hint="eastAsia" w:ascii="宋体" w:hAnsi="宋体" w:cs="宋体"/>
          <w:sz w:val="22"/>
          <w:szCs w:val="18"/>
          <w:lang w:val="zh-CN"/>
        </w:rPr>
      </w:pPr>
      <w:r>
        <w:rPr>
          <w:rFonts w:hint="eastAsia" w:ascii="宋体" w:hAnsi="宋体" w:cs="宋体"/>
          <w:sz w:val="22"/>
          <w:szCs w:val="18"/>
          <w:lang w:val="zh-CN"/>
        </w:rPr>
        <w:t>法定代表人或                             法定代表人</w:t>
      </w:r>
    </w:p>
    <w:p w14:paraId="4ACE98D6">
      <w:pPr>
        <w:autoSpaceDE w:val="0"/>
        <w:autoSpaceDN w:val="0"/>
        <w:spacing w:line="360" w:lineRule="auto"/>
        <w:rPr>
          <w:rFonts w:hint="eastAsia" w:ascii="宋体" w:hAnsi="宋体" w:cs="宋体"/>
          <w:sz w:val="22"/>
          <w:szCs w:val="18"/>
          <w:lang w:val="zh-CN"/>
        </w:rPr>
      </w:pPr>
      <w:r>
        <w:rPr>
          <w:rFonts w:hint="eastAsia" w:ascii="宋体" w:hAnsi="宋体" w:cs="宋体"/>
          <w:sz w:val="22"/>
          <w:szCs w:val="18"/>
          <w:lang w:val="zh-CN"/>
        </w:rPr>
        <w:t xml:space="preserve">授权代表（签字）：                        或授权代表（签字）: </w:t>
      </w:r>
    </w:p>
    <w:p w14:paraId="72CA2141">
      <w:pPr>
        <w:autoSpaceDE w:val="0"/>
        <w:autoSpaceDN w:val="0"/>
        <w:spacing w:line="360" w:lineRule="auto"/>
        <w:rPr>
          <w:rFonts w:hint="eastAsia" w:ascii="宋体" w:hAnsi="宋体" w:cs="宋体"/>
          <w:sz w:val="22"/>
          <w:szCs w:val="18"/>
          <w:lang w:val="zh-CN"/>
        </w:rPr>
      </w:pPr>
      <w:r>
        <w:rPr>
          <w:rFonts w:hint="eastAsia" w:ascii="宋体" w:hAnsi="宋体" w:cs="宋体"/>
          <w:sz w:val="22"/>
          <w:szCs w:val="18"/>
          <w:lang w:val="zh-CN"/>
        </w:rPr>
        <w:t>联系人：                                 联系人：</w:t>
      </w:r>
    </w:p>
    <w:p w14:paraId="4F6AC0CF">
      <w:pPr>
        <w:autoSpaceDE w:val="0"/>
        <w:autoSpaceDN w:val="0"/>
        <w:spacing w:line="360" w:lineRule="auto"/>
        <w:rPr>
          <w:rFonts w:hint="eastAsia" w:ascii="宋体" w:hAnsi="宋体" w:cs="宋体"/>
          <w:sz w:val="22"/>
          <w:szCs w:val="18"/>
          <w:lang w:val="zh-CN"/>
        </w:rPr>
      </w:pPr>
      <w:r>
        <w:rPr>
          <w:rFonts w:hint="eastAsia" w:ascii="宋体" w:hAnsi="宋体" w:cs="宋体"/>
          <w:sz w:val="22"/>
          <w:szCs w:val="18"/>
          <w:lang w:val="zh-CN"/>
        </w:rPr>
        <w:t>约定送达地址：                           约定送达地址：</w:t>
      </w:r>
    </w:p>
    <w:p w14:paraId="4D73AB53">
      <w:pPr>
        <w:autoSpaceDE w:val="0"/>
        <w:autoSpaceDN w:val="0"/>
        <w:spacing w:line="360" w:lineRule="auto"/>
        <w:rPr>
          <w:rFonts w:hint="eastAsia" w:ascii="宋体" w:hAnsi="宋体" w:cs="宋体"/>
          <w:sz w:val="22"/>
          <w:szCs w:val="18"/>
          <w:lang w:val="zh-CN"/>
        </w:rPr>
      </w:pPr>
      <w:r>
        <w:rPr>
          <w:rFonts w:hint="eastAsia" w:ascii="宋体" w:hAnsi="宋体" w:cs="宋体"/>
          <w:sz w:val="22"/>
          <w:szCs w:val="18"/>
          <w:lang w:val="zh-CN"/>
        </w:rPr>
        <w:t>邮政编码：                               邮政编码：</w:t>
      </w:r>
    </w:p>
    <w:p w14:paraId="69807F18">
      <w:pPr>
        <w:autoSpaceDE w:val="0"/>
        <w:autoSpaceDN w:val="0"/>
        <w:spacing w:line="360" w:lineRule="auto"/>
        <w:rPr>
          <w:rFonts w:hint="eastAsia" w:ascii="宋体" w:hAnsi="宋体" w:cs="宋体"/>
          <w:sz w:val="22"/>
          <w:szCs w:val="18"/>
          <w:lang w:val="zh-CN"/>
        </w:rPr>
      </w:pPr>
      <w:r>
        <w:rPr>
          <w:rFonts w:hint="eastAsia" w:ascii="宋体" w:hAnsi="宋体" w:cs="宋体"/>
          <w:sz w:val="22"/>
          <w:szCs w:val="18"/>
          <w:lang w:val="zh-CN"/>
        </w:rPr>
        <w:t xml:space="preserve">电话:                                    电话: </w:t>
      </w:r>
    </w:p>
    <w:p w14:paraId="0198A3CC">
      <w:pPr>
        <w:autoSpaceDE w:val="0"/>
        <w:autoSpaceDN w:val="0"/>
        <w:spacing w:line="360" w:lineRule="auto"/>
        <w:rPr>
          <w:rFonts w:hint="eastAsia" w:ascii="宋体" w:hAnsi="宋体" w:cs="宋体"/>
          <w:sz w:val="22"/>
          <w:szCs w:val="18"/>
          <w:lang w:val="zh-CN"/>
        </w:rPr>
      </w:pPr>
      <w:r>
        <w:rPr>
          <w:rFonts w:hint="eastAsia" w:ascii="宋体" w:hAnsi="宋体" w:cs="宋体"/>
          <w:sz w:val="22"/>
          <w:szCs w:val="18"/>
          <w:lang w:val="zh-CN"/>
        </w:rPr>
        <w:t>传真:                                    传真:</w:t>
      </w:r>
    </w:p>
    <w:p w14:paraId="57D0880C">
      <w:pPr>
        <w:autoSpaceDE w:val="0"/>
        <w:autoSpaceDN w:val="0"/>
        <w:spacing w:line="360" w:lineRule="auto"/>
        <w:rPr>
          <w:rFonts w:hint="eastAsia" w:ascii="宋体" w:hAnsi="宋体" w:cs="宋体"/>
          <w:sz w:val="22"/>
          <w:szCs w:val="18"/>
        </w:rPr>
      </w:pPr>
      <w:r>
        <w:rPr>
          <w:rFonts w:hint="eastAsia" w:ascii="宋体" w:hAnsi="宋体" w:cs="宋体"/>
          <w:sz w:val="22"/>
          <w:szCs w:val="18"/>
          <w:lang w:val="zh-CN"/>
        </w:rPr>
        <w:t>电子邮箱：                               电子邮箱：</w:t>
      </w:r>
    </w:p>
    <w:p w14:paraId="76002460">
      <w:pPr>
        <w:autoSpaceDE w:val="0"/>
        <w:autoSpaceDN w:val="0"/>
        <w:spacing w:line="360" w:lineRule="auto"/>
        <w:rPr>
          <w:rFonts w:hint="eastAsia" w:ascii="宋体" w:hAnsi="宋体" w:cs="宋体"/>
          <w:sz w:val="22"/>
          <w:szCs w:val="18"/>
        </w:rPr>
      </w:pPr>
      <w:r>
        <w:rPr>
          <w:rFonts w:hint="eastAsia" w:ascii="宋体" w:hAnsi="宋体" w:cs="宋体"/>
          <w:sz w:val="22"/>
          <w:szCs w:val="18"/>
        </w:rPr>
        <w:t xml:space="preserve">开户银行：                               开户银行： </w:t>
      </w:r>
    </w:p>
    <w:p w14:paraId="7E807161">
      <w:pPr>
        <w:autoSpaceDE w:val="0"/>
        <w:autoSpaceDN w:val="0"/>
        <w:spacing w:line="360" w:lineRule="auto"/>
        <w:rPr>
          <w:rFonts w:hint="eastAsia" w:ascii="宋体" w:hAnsi="宋体" w:cs="宋体"/>
          <w:sz w:val="22"/>
          <w:szCs w:val="18"/>
        </w:rPr>
      </w:pPr>
      <w:r>
        <w:rPr>
          <w:rFonts w:hint="eastAsia" w:ascii="宋体" w:hAnsi="宋体" w:cs="宋体"/>
          <w:sz w:val="22"/>
          <w:szCs w:val="18"/>
        </w:rPr>
        <w:t xml:space="preserve">开户名称：                               开户名称： </w:t>
      </w:r>
    </w:p>
    <w:p w14:paraId="208A95D8">
      <w:pPr>
        <w:autoSpaceDE w:val="0"/>
        <w:autoSpaceDN w:val="0"/>
        <w:spacing w:line="360" w:lineRule="auto"/>
        <w:rPr>
          <w:rFonts w:hint="eastAsia" w:ascii="宋体" w:hAnsi="宋体" w:cs="宋体"/>
          <w:sz w:val="22"/>
          <w:szCs w:val="18"/>
        </w:rPr>
      </w:pPr>
      <w:r>
        <w:rPr>
          <w:rFonts w:hint="eastAsia" w:ascii="宋体" w:hAnsi="宋体" w:cs="宋体"/>
          <w:sz w:val="22"/>
          <w:szCs w:val="18"/>
        </w:rPr>
        <w:t>开户账号：</w:t>
      </w:r>
      <w:r>
        <w:rPr>
          <w:rFonts w:hint="eastAsia" w:ascii="宋体" w:hAnsi="宋体" w:cs="宋体"/>
          <w:sz w:val="22"/>
          <w:szCs w:val="18"/>
          <w:lang w:val="zh-CN"/>
        </w:rPr>
        <w:t xml:space="preserve">                               </w:t>
      </w:r>
      <w:r>
        <w:rPr>
          <w:rFonts w:hint="eastAsia" w:ascii="宋体" w:hAnsi="宋体" w:cs="宋体"/>
          <w:sz w:val="22"/>
          <w:szCs w:val="18"/>
        </w:rPr>
        <w:t>开户账号：</w:t>
      </w:r>
    </w:p>
    <w:p w14:paraId="7FA33FD4">
      <w:pPr>
        <w:numPr>
          <w:ilvl w:val="0"/>
          <w:numId w:val="40"/>
        </w:numPr>
        <w:jc w:val="center"/>
        <w:rPr>
          <w:rFonts w:hint="eastAsia" w:ascii="宋体" w:hAnsi="宋体" w:cs="宋体"/>
          <w:b/>
          <w:sz w:val="28"/>
          <w:szCs w:val="22"/>
        </w:rPr>
      </w:pPr>
      <w:r>
        <w:rPr>
          <w:rFonts w:hint="eastAsia" w:ascii="宋体" w:hAnsi="宋体" w:cs="宋体"/>
          <w:sz w:val="22"/>
          <w:szCs w:val="18"/>
        </w:rPr>
        <w:br w:type="page"/>
      </w:r>
      <w:r>
        <w:rPr>
          <w:rFonts w:hint="eastAsia" w:ascii="宋体" w:hAnsi="宋体" w:cs="宋体"/>
          <w:b/>
          <w:sz w:val="28"/>
          <w:szCs w:val="22"/>
        </w:rPr>
        <w:t xml:space="preserve"> 合同一般条款</w:t>
      </w:r>
    </w:p>
    <w:p w14:paraId="34D4A958">
      <w:pPr>
        <w:pStyle w:val="2"/>
        <w:rPr>
          <w:sz w:val="18"/>
          <w:szCs w:val="18"/>
        </w:rPr>
      </w:pPr>
    </w:p>
    <w:p w14:paraId="5D715C39">
      <w:pPr>
        <w:spacing w:line="360" w:lineRule="auto"/>
        <w:ind w:firstLine="442" w:firstLineChars="200"/>
        <w:rPr>
          <w:rFonts w:hint="eastAsia" w:ascii="宋体" w:hAnsi="宋体" w:cs="宋体"/>
          <w:b/>
          <w:sz w:val="22"/>
          <w:szCs w:val="18"/>
        </w:rPr>
      </w:pPr>
      <w:bookmarkStart w:id="504" w:name="_Ref467378463"/>
      <w:bookmarkStart w:id="505" w:name="_Ref467379195"/>
      <w:bookmarkStart w:id="506" w:name="_Toc487900349"/>
      <w:bookmarkStart w:id="507" w:name="_Toc279701240"/>
      <w:bookmarkStart w:id="508" w:name="_Toc19614"/>
      <w:bookmarkStart w:id="509" w:name="_Ref467379205"/>
      <w:bookmarkStart w:id="510" w:name="_Ref467379109"/>
      <w:bookmarkStart w:id="511" w:name="_Ref467379101"/>
      <w:bookmarkStart w:id="512" w:name="_Ref467379225"/>
      <w:bookmarkStart w:id="513" w:name="_Ref467379094"/>
      <w:bookmarkStart w:id="514" w:name="_Toc28763"/>
      <w:bookmarkStart w:id="515" w:name="_Ref467378404"/>
      <w:bookmarkStart w:id="516" w:name="_Ref467379214"/>
      <w:bookmarkStart w:id="517" w:name="_Toc16917"/>
      <w:bookmarkStart w:id="518" w:name="_Toc259093669"/>
      <w:bookmarkStart w:id="519" w:name="_Ref467378499"/>
      <w:r>
        <w:rPr>
          <w:rFonts w:hint="eastAsia" w:ascii="宋体" w:hAnsi="宋体" w:cs="宋体"/>
          <w:b/>
          <w:sz w:val="22"/>
          <w:szCs w:val="18"/>
        </w:rPr>
        <w:t>2.1 定义</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60EBECF1">
      <w:pPr>
        <w:spacing w:line="360" w:lineRule="auto"/>
        <w:ind w:firstLine="440" w:firstLineChars="200"/>
        <w:rPr>
          <w:rFonts w:hint="eastAsia" w:ascii="宋体" w:hAnsi="宋体" w:cs="宋体"/>
          <w:sz w:val="22"/>
          <w:szCs w:val="18"/>
        </w:rPr>
      </w:pPr>
      <w:r>
        <w:rPr>
          <w:rFonts w:hint="eastAsia" w:ascii="宋体" w:hAnsi="宋体" w:cs="宋体"/>
          <w:sz w:val="22"/>
          <w:szCs w:val="18"/>
        </w:rPr>
        <w:t>本合同中的下列词语应按以下内容进行解释：</w:t>
      </w:r>
    </w:p>
    <w:p w14:paraId="55EDCB84">
      <w:pPr>
        <w:spacing w:line="360" w:lineRule="auto"/>
        <w:ind w:firstLine="440" w:firstLineChars="200"/>
        <w:rPr>
          <w:rFonts w:hint="eastAsia" w:ascii="宋体" w:hAnsi="宋体" w:cs="宋体"/>
          <w:sz w:val="22"/>
          <w:szCs w:val="18"/>
        </w:rPr>
      </w:pPr>
      <w:r>
        <w:rPr>
          <w:rFonts w:hint="eastAsia" w:ascii="宋体" w:hAnsi="宋体" w:cs="宋体"/>
          <w:sz w:val="22"/>
          <w:szCs w:val="18"/>
        </w:rPr>
        <w:t>2.1.1 “合同”系指采购人和中标或成交供应商签订的载明双方当事人所达成的协议，并包括所有的附件、附录和构成合同的其他文件。</w:t>
      </w:r>
    </w:p>
    <w:p w14:paraId="1EA56B5C">
      <w:pPr>
        <w:spacing w:line="360" w:lineRule="auto"/>
        <w:ind w:firstLine="440" w:firstLineChars="200"/>
        <w:rPr>
          <w:rFonts w:hint="eastAsia" w:ascii="宋体" w:hAnsi="宋体" w:cs="宋体"/>
          <w:sz w:val="22"/>
          <w:szCs w:val="18"/>
        </w:rPr>
      </w:pPr>
      <w:r>
        <w:rPr>
          <w:rFonts w:hint="eastAsia" w:ascii="宋体" w:hAnsi="宋体" w:cs="宋体"/>
          <w:sz w:val="22"/>
          <w:szCs w:val="18"/>
        </w:rPr>
        <w:t>2.1.2 “合同价”系指根据合同约定，中标或成交供应商在完全履行合同义务后，采购人应支付给中标或成交供应商的价格。</w:t>
      </w:r>
    </w:p>
    <w:p w14:paraId="4B146B2F">
      <w:pPr>
        <w:spacing w:line="360" w:lineRule="auto"/>
        <w:ind w:firstLine="440" w:firstLineChars="200"/>
        <w:rPr>
          <w:rFonts w:hint="eastAsia" w:ascii="宋体" w:hAnsi="宋体" w:cs="宋体"/>
          <w:sz w:val="22"/>
          <w:szCs w:val="18"/>
        </w:rPr>
      </w:pPr>
      <w:r>
        <w:rPr>
          <w:rFonts w:hint="eastAsia" w:ascii="宋体" w:hAnsi="宋体" w:cs="宋体"/>
          <w:sz w:val="22"/>
          <w:szCs w:val="18"/>
        </w:rPr>
        <w:t>2.1.3 “货物”系指中标或成交供应商根据合同约定应向采购人交付的一切各种形态和种类的物品，包括原材料、燃料、设备、机械、仪表、备件、计算机软件、产品等，并包括工具、手册等其他相关资料。</w:t>
      </w:r>
    </w:p>
    <w:p w14:paraId="6960BDD8">
      <w:pPr>
        <w:spacing w:line="360" w:lineRule="auto"/>
        <w:ind w:firstLine="440" w:firstLineChars="200"/>
        <w:rPr>
          <w:rFonts w:hint="eastAsia" w:ascii="宋体" w:hAnsi="宋体" w:cs="宋体"/>
          <w:sz w:val="22"/>
          <w:szCs w:val="18"/>
        </w:rPr>
      </w:pPr>
      <w:bookmarkStart w:id="520" w:name="_Ref467378840"/>
      <w:r>
        <w:rPr>
          <w:rFonts w:hint="eastAsia" w:ascii="宋体" w:hAnsi="宋体" w:cs="宋体"/>
          <w:sz w:val="22"/>
          <w:szCs w:val="18"/>
        </w:rPr>
        <w:t>2.1.4 “甲方”系指与中标或成交供应商签署合同的采购人</w:t>
      </w:r>
      <w:bookmarkEnd w:id="520"/>
      <w:r>
        <w:rPr>
          <w:rFonts w:hint="eastAsia" w:ascii="宋体" w:hAnsi="宋体" w:cs="宋体"/>
          <w:sz w:val="22"/>
          <w:szCs w:val="18"/>
        </w:rPr>
        <w:t>；采购人委托采购代理机构代表其与乙方签订合同的，采购人的授权委托书作为合同附件。</w:t>
      </w:r>
    </w:p>
    <w:p w14:paraId="3F5FE428">
      <w:pPr>
        <w:spacing w:line="360" w:lineRule="auto"/>
        <w:ind w:firstLine="440" w:firstLineChars="200"/>
        <w:rPr>
          <w:rFonts w:hint="eastAsia" w:ascii="宋体" w:hAnsi="宋体" w:cs="宋体"/>
          <w:sz w:val="22"/>
          <w:szCs w:val="18"/>
        </w:rPr>
      </w:pPr>
      <w:bookmarkStart w:id="521" w:name="_Ref467379400"/>
      <w:r>
        <w:rPr>
          <w:rFonts w:hint="eastAsia" w:ascii="宋体" w:hAnsi="宋体" w:cs="宋体"/>
          <w:sz w:val="22"/>
          <w:szCs w:val="18"/>
        </w:rPr>
        <w:t>2.1.5 “乙方”系指根据合同约定交付货物的中标或成交供应商</w:t>
      </w:r>
      <w:bookmarkEnd w:id="521"/>
      <w:r>
        <w:rPr>
          <w:rFonts w:hint="eastAsia" w:ascii="宋体" w:hAnsi="宋体" w:cs="宋体"/>
          <w:sz w:val="22"/>
          <w:szCs w:val="18"/>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5CC0A075">
      <w:pPr>
        <w:spacing w:line="360" w:lineRule="auto"/>
        <w:ind w:firstLine="440" w:firstLineChars="200"/>
        <w:rPr>
          <w:rFonts w:hint="eastAsia" w:ascii="宋体" w:hAnsi="宋体" w:cs="宋体"/>
          <w:sz w:val="22"/>
          <w:szCs w:val="18"/>
        </w:rPr>
      </w:pPr>
      <w:bookmarkStart w:id="522" w:name="_Ref467379436"/>
      <w:r>
        <w:rPr>
          <w:rFonts w:hint="eastAsia" w:ascii="宋体" w:hAnsi="宋体" w:cs="宋体"/>
          <w:sz w:val="22"/>
          <w:szCs w:val="18"/>
        </w:rPr>
        <w:t>2.1.6“现场”系指合同约定货物将要运至或者安装的地点。</w:t>
      </w:r>
      <w:bookmarkEnd w:id="522"/>
    </w:p>
    <w:p w14:paraId="64D87EBF">
      <w:pPr>
        <w:spacing w:line="360" w:lineRule="auto"/>
        <w:ind w:firstLine="442" w:firstLineChars="200"/>
        <w:rPr>
          <w:rFonts w:hint="eastAsia" w:ascii="宋体" w:hAnsi="宋体" w:cs="宋体"/>
          <w:b/>
          <w:sz w:val="22"/>
          <w:szCs w:val="18"/>
        </w:rPr>
      </w:pPr>
      <w:bookmarkStart w:id="523" w:name="_Toc487900350"/>
      <w:bookmarkStart w:id="524" w:name="_Toc32504"/>
      <w:bookmarkStart w:id="525" w:name="_Toc279701241"/>
      <w:bookmarkStart w:id="526" w:name="_Toc259093670"/>
      <w:bookmarkStart w:id="527" w:name="_Toc13336"/>
      <w:bookmarkStart w:id="528" w:name="_Toc27635"/>
      <w:r>
        <w:rPr>
          <w:rFonts w:hint="eastAsia" w:ascii="宋体" w:hAnsi="宋体" w:cs="宋体"/>
          <w:b/>
          <w:sz w:val="22"/>
          <w:szCs w:val="18"/>
        </w:rPr>
        <w:t>2.2 技术规范</w:t>
      </w:r>
      <w:bookmarkEnd w:id="523"/>
      <w:bookmarkEnd w:id="524"/>
      <w:bookmarkEnd w:id="525"/>
      <w:bookmarkEnd w:id="526"/>
      <w:bookmarkEnd w:id="527"/>
      <w:bookmarkEnd w:id="528"/>
    </w:p>
    <w:p w14:paraId="608341D9">
      <w:pPr>
        <w:spacing w:line="360" w:lineRule="auto"/>
        <w:ind w:firstLine="440" w:firstLineChars="200"/>
        <w:rPr>
          <w:rFonts w:hint="eastAsia" w:ascii="宋体" w:hAnsi="宋体" w:cs="宋体"/>
          <w:sz w:val="22"/>
          <w:szCs w:val="18"/>
        </w:rPr>
      </w:pPr>
      <w:r>
        <w:rPr>
          <w:rFonts w:hint="eastAsia" w:ascii="宋体" w:hAnsi="宋体" w:cs="宋体"/>
          <w:sz w:val="22"/>
          <w:szCs w:val="18"/>
        </w:rPr>
        <w:t>货物所应遵守的技术规范应与招标文件规定的技术规范和技术规范附件(如果有的话)及其技术规范偏差表(如果被甲方接受的话)相一致；如果招标文件中没有技术规范的相应说明，那么应以国家有关部门最新颁布的相应标准和规范为准。</w:t>
      </w:r>
    </w:p>
    <w:p w14:paraId="26820138">
      <w:pPr>
        <w:spacing w:line="360" w:lineRule="auto"/>
        <w:ind w:firstLine="442" w:firstLineChars="200"/>
        <w:rPr>
          <w:rFonts w:hint="eastAsia" w:ascii="宋体" w:hAnsi="宋体" w:cs="宋体"/>
          <w:b/>
          <w:sz w:val="22"/>
          <w:szCs w:val="18"/>
        </w:rPr>
      </w:pPr>
      <w:bookmarkStart w:id="529" w:name="_Toc279701242"/>
      <w:bookmarkStart w:id="530" w:name="_Toc27853"/>
      <w:bookmarkStart w:id="531" w:name="_Toc31634"/>
      <w:bookmarkStart w:id="532" w:name="_Toc487900351"/>
      <w:bookmarkStart w:id="533" w:name="_Toc9829"/>
      <w:bookmarkStart w:id="534" w:name="_Toc259093671"/>
      <w:r>
        <w:rPr>
          <w:rFonts w:hint="eastAsia" w:ascii="宋体" w:hAnsi="宋体" w:cs="宋体"/>
          <w:b/>
          <w:sz w:val="22"/>
          <w:szCs w:val="18"/>
        </w:rPr>
        <w:t>2.3 知识产权</w:t>
      </w:r>
      <w:bookmarkEnd w:id="529"/>
      <w:bookmarkEnd w:id="530"/>
      <w:bookmarkEnd w:id="531"/>
      <w:bookmarkEnd w:id="532"/>
      <w:bookmarkEnd w:id="533"/>
      <w:bookmarkEnd w:id="534"/>
    </w:p>
    <w:p w14:paraId="64757D96">
      <w:pPr>
        <w:spacing w:line="360" w:lineRule="auto"/>
        <w:ind w:firstLine="440" w:firstLineChars="200"/>
        <w:rPr>
          <w:rFonts w:hint="eastAsia" w:ascii="宋体" w:hAnsi="宋体" w:cs="宋体"/>
          <w:sz w:val="22"/>
          <w:szCs w:val="18"/>
        </w:rPr>
      </w:pPr>
      <w:r>
        <w:rPr>
          <w:rFonts w:hint="eastAsia" w:ascii="宋体" w:hAnsi="宋体" w:cs="宋体"/>
          <w:sz w:val="22"/>
          <w:szCs w:val="18"/>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宋体" w:hAnsi="宋体"/>
          <w:sz w:val="22"/>
          <w:szCs w:val="18"/>
        </w:rPr>
        <w:t>乙方还应及时澄清相关信息，使甲方声誉免受损害，甲方保留追责的权利。</w:t>
      </w:r>
    </w:p>
    <w:p w14:paraId="0A5FBED5">
      <w:pPr>
        <w:spacing w:line="360" w:lineRule="auto"/>
        <w:ind w:firstLine="440" w:firstLineChars="200"/>
        <w:rPr>
          <w:rFonts w:hint="eastAsia" w:ascii="宋体" w:hAnsi="宋体" w:cs="宋体"/>
          <w:sz w:val="22"/>
          <w:szCs w:val="18"/>
        </w:rPr>
      </w:pPr>
      <w:r>
        <w:rPr>
          <w:rFonts w:hint="eastAsia" w:ascii="宋体" w:hAnsi="宋体" w:cs="宋体"/>
          <w:sz w:val="22"/>
          <w:szCs w:val="18"/>
        </w:rPr>
        <w:t>2.3.2具有知识产权的计算机软件等货物的知识产权归属，详见</w:t>
      </w:r>
      <w:r>
        <w:rPr>
          <w:rFonts w:hint="eastAsia" w:ascii="宋体" w:hAnsi="宋体" w:cs="宋体"/>
          <w:b/>
          <w:sz w:val="22"/>
          <w:szCs w:val="18"/>
          <w:u w:val="single"/>
        </w:rPr>
        <w:t>合同专用条款</w:t>
      </w:r>
      <w:r>
        <w:rPr>
          <w:rFonts w:hint="eastAsia" w:ascii="宋体" w:hAnsi="宋体" w:cs="宋体"/>
          <w:sz w:val="22"/>
          <w:szCs w:val="18"/>
        </w:rPr>
        <w:t>。</w:t>
      </w:r>
    </w:p>
    <w:p w14:paraId="1628B4F8">
      <w:pPr>
        <w:spacing w:line="360" w:lineRule="auto"/>
        <w:ind w:firstLine="442" w:firstLineChars="200"/>
        <w:rPr>
          <w:rFonts w:hint="eastAsia" w:ascii="宋体" w:hAnsi="宋体" w:cs="宋体"/>
          <w:b/>
          <w:sz w:val="22"/>
          <w:szCs w:val="18"/>
        </w:rPr>
      </w:pPr>
      <w:bookmarkStart w:id="535" w:name="_Toc11932"/>
      <w:bookmarkStart w:id="536" w:name="_Toc4194"/>
      <w:bookmarkStart w:id="537" w:name="_Toc29149"/>
      <w:r>
        <w:rPr>
          <w:rFonts w:hint="eastAsia" w:ascii="宋体" w:hAnsi="宋体" w:cs="宋体"/>
          <w:b/>
          <w:sz w:val="22"/>
          <w:szCs w:val="18"/>
        </w:rPr>
        <w:t>2.4 包装和装运</w:t>
      </w:r>
      <w:bookmarkEnd w:id="535"/>
      <w:bookmarkEnd w:id="536"/>
      <w:bookmarkEnd w:id="537"/>
    </w:p>
    <w:p w14:paraId="32B33B6D">
      <w:pPr>
        <w:spacing w:line="360" w:lineRule="auto"/>
        <w:ind w:firstLine="440" w:firstLineChars="200"/>
        <w:rPr>
          <w:rFonts w:hint="eastAsia" w:ascii="宋体" w:hAnsi="宋体" w:cs="宋体"/>
          <w:sz w:val="22"/>
          <w:szCs w:val="18"/>
        </w:rPr>
      </w:pPr>
      <w:r>
        <w:rPr>
          <w:rFonts w:hint="eastAsia" w:ascii="宋体" w:hAnsi="宋体" w:cs="宋体"/>
          <w:sz w:val="22"/>
          <w:szCs w:val="18"/>
        </w:rPr>
        <w:t>2.4.1除</w:t>
      </w:r>
      <w:r>
        <w:rPr>
          <w:rFonts w:hint="eastAsia" w:ascii="宋体" w:hAnsi="宋体" w:cs="宋体"/>
          <w:b/>
          <w:sz w:val="22"/>
          <w:szCs w:val="18"/>
          <w:u w:val="single"/>
        </w:rPr>
        <w:t>合同专用条款</w:t>
      </w:r>
      <w:r>
        <w:rPr>
          <w:rFonts w:hint="eastAsia" w:ascii="宋体" w:hAnsi="宋体" w:cs="宋体"/>
          <w:sz w:val="22"/>
          <w:szCs w:val="18"/>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20FB9A51">
      <w:pPr>
        <w:spacing w:line="360" w:lineRule="auto"/>
        <w:ind w:firstLine="440" w:firstLineChars="200"/>
        <w:rPr>
          <w:rFonts w:hint="eastAsia" w:ascii="宋体" w:hAnsi="宋体" w:cs="宋体"/>
          <w:sz w:val="22"/>
          <w:szCs w:val="18"/>
        </w:rPr>
      </w:pPr>
      <w:r>
        <w:rPr>
          <w:rFonts w:hint="eastAsia" w:ascii="宋体" w:hAnsi="宋体" w:cs="宋体"/>
          <w:sz w:val="22"/>
          <w:szCs w:val="18"/>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6F5BE778">
      <w:pPr>
        <w:spacing w:line="360" w:lineRule="auto"/>
        <w:ind w:firstLine="440" w:firstLineChars="200"/>
        <w:rPr>
          <w:rFonts w:hint="eastAsia" w:ascii="宋体" w:hAnsi="宋体" w:cs="宋体"/>
          <w:sz w:val="22"/>
          <w:szCs w:val="18"/>
        </w:rPr>
      </w:pPr>
      <w:r>
        <w:rPr>
          <w:rFonts w:hint="eastAsia" w:ascii="宋体" w:hAnsi="宋体" w:cs="宋体"/>
          <w:sz w:val="22"/>
          <w:szCs w:val="18"/>
        </w:rPr>
        <w:t>2.4.3 装运货物的要求和通知，详见</w:t>
      </w:r>
      <w:r>
        <w:rPr>
          <w:rFonts w:hint="eastAsia" w:ascii="宋体" w:hAnsi="宋体" w:cs="宋体"/>
          <w:b/>
          <w:sz w:val="22"/>
          <w:szCs w:val="18"/>
          <w:u w:val="single"/>
        </w:rPr>
        <w:t>合同专用条款</w:t>
      </w:r>
      <w:r>
        <w:rPr>
          <w:rFonts w:hint="eastAsia" w:ascii="宋体" w:hAnsi="宋体" w:cs="宋体"/>
          <w:sz w:val="22"/>
          <w:szCs w:val="18"/>
        </w:rPr>
        <w:t>。</w:t>
      </w:r>
    </w:p>
    <w:p w14:paraId="33CBE2D3">
      <w:pPr>
        <w:spacing w:line="360" w:lineRule="auto"/>
        <w:ind w:firstLine="442" w:firstLineChars="200"/>
        <w:rPr>
          <w:rFonts w:hint="eastAsia" w:ascii="宋体" w:hAnsi="宋体" w:cs="宋体"/>
          <w:b/>
          <w:sz w:val="22"/>
          <w:szCs w:val="18"/>
        </w:rPr>
      </w:pPr>
      <w:bookmarkStart w:id="538" w:name="_Ref467379527"/>
      <w:bookmarkStart w:id="539" w:name="_Toc279701245"/>
      <w:bookmarkStart w:id="540" w:name="_Toc259093674"/>
      <w:bookmarkStart w:id="541" w:name="_Ref467379536"/>
      <w:bookmarkStart w:id="542" w:name="_Toc487900354"/>
      <w:bookmarkStart w:id="543" w:name="_Ref467378591"/>
      <w:bookmarkStart w:id="544" w:name="_Ref467378541"/>
      <w:bookmarkStart w:id="545" w:name="_Ref467379542"/>
      <w:bookmarkStart w:id="546" w:name="_Toc26182"/>
      <w:bookmarkStart w:id="547" w:name="_Toc30272"/>
      <w:bookmarkStart w:id="548" w:name="_Toc19074"/>
      <w:r>
        <w:rPr>
          <w:rFonts w:hint="eastAsia" w:ascii="宋体" w:hAnsi="宋体" w:cs="宋体"/>
          <w:b/>
          <w:sz w:val="22"/>
          <w:szCs w:val="18"/>
        </w:rPr>
        <w:t>2.</w:t>
      </w:r>
      <w:bookmarkEnd w:id="538"/>
      <w:bookmarkEnd w:id="539"/>
      <w:bookmarkEnd w:id="540"/>
      <w:bookmarkEnd w:id="541"/>
      <w:bookmarkEnd w:id="542"/>
      <w:bookmarkEnd w:id="543"/>
      <w:bookmarkEnd w:id="544"/>
      <w:bookmarkEnd w:id="545"/>
      <w:r>
        <w:rPr>
          <w:rFonts w:hint="eastAsia" w:ascii="宋体" w:hAnsi="宋体" w:cs="宋体"/>
          <w:b/>
          <w:sz w:val="22"/>
          <w:szCs w:val="18"/>
        </w:rPr>
        <w:t>5 履约检查和问题反馈</w:t>
      </w:r>
      <w:bookmarkEnd w:id="546"/>
      <w:bookmarkEnd w:id="547"/>
      <w:bookmarkEnd w:id="548"/>
    </w:p>
    <w:p w14:paraId="2FC998C9">
      <w:pPr>
        <w:spacing w:line="360" w:lineRule="auto"/>
        <w:ind w:firstLine="440" w:firstLineChars="200"/>
        <w:rPr>
          <w:rFonts w:hint="eastAsia" w:ascii="宋体" w:hAnsi="宋体" w:cs="宋体"/>
          <w:sz w:val="22"/>
          <w:szCs w:val="18"/>
        </w:rPr>
      </w:pPr>
      <w:bookmarkStart w:id="549" w:name="_Ref467379657"/>
      <w:r>
        <w:rPr>
          <w:rFonts w:hint="eastAsia" w:ascii="宋体" w:hAnsi="宋体" w:cs="宋体"/>
          <w:sz w:val="22"/>
          <w:szCs w:val="18"/>
        </w:rPr>
        <w:t>2.5.1</w:t>
      </w:r>
      <w:bookmarkEnd w:id="549"/>
      <w:bookmarkStart w:id="550" w:name="_Toc186431854"/>
      <w:bookmarkStart w:id="551" w:name="_Ref467379807"/>
      <w:bookmarkStart w:id="552" w:name="_Toc279701247"/>
      <w:bookmarkStart w:id="553" w:name="_Ref467379793"/>
      <w:bookmarkStart w:id="554" w:name="_Toc487900357"/>
      <w:bookmarkStart w:id="555" w:name="_Toc259093676"/>
      <w:r>
        <w:rPr>
          <w:rFonts w:hint="eastAsia" w:ascii="宋体" w:hAnsi="宋体" w:cs="宋体"/>
          <w:sz w:val="22"/>
          <w:szCs w:val="18"/>
        </w:rPr>
        <w:t>甲方有权在其认为必要时，对乙方是否能够按照合同约定交付货物进行履约检查，以确保乙方所交付的货物能够依约满足甲方之项目需求，但不得因履约检查妨碍乙方的正常工作，乙方应予积极配合；</w:t>
      </w:r>
    </w:p>
    <w:p w14:paraId="63F73294">
      <w:pPr>
        <w:spacing w:line="360" w:lineRule="auto"/>
        <w:ind w:firstLine="440" w:firstLineChars="200"/>
        <w:rPr>
          <w:rFonts w:hint="eastAsia" w:ascii="宋体" w:hAnsi="宋体" w:cs="宋体"/>
          <w:sz w:val="22"/>
          <w:szCs w:val="18"/>
        </w:rPr>
      </w:pPr>
      <w:r>
        <w:rPr>
          <w:rFonts w:hint="eastAsia" w:ascii="宋体" w:hAnsi="宋体" w:cs="宋体"/>
          <w:sz w:val="22"/>
          <w:szCs w:val="18"/>
        </w:rPr>
        <w:t>2.5.2 合同履行期间，甲方有权将履行过程中出现的问题反馈给乙方，双方当事人应以书面形式约定需要完善和改进的内容</w:t>
      </w:r>
      <w:bookmarkEnd w:id="550"/>
      <w:bookmarkStart w:id="556" w:name="_Toc186431855"/>
      <w:r>
        <w:rPr>
          <w:rFonts w:hint="eastAsia" w:ascii="宋体" w:hAnsi="宋体" w:cs="宋体"/>
          <w:sz w:val="22"/>
          <w:szCs w:val="18"/>
        </w:rPr>
        <w:t>。</w:t>
      </w:r>
    </w:p>
    <w:bookmarkEnd w:id="551"/>
    <w:bookmarkEnd w:id="552"/>
    <w:bookmarkEnd w:id="553"/>
    <w:bookmarkEnd w:id="554"/>
    <w:bookmarkEnd w:id="555"/>
    <w:bookmarkEnd w:id="556"/>
    <w:p w14:paraId="1D5C569F">
      <w:pPr>
        <w:spacing w:line="360" w:lineRule="auto"/>
        <w:ind w:firstLine="442" w:firstLineChars="200"/>
        <w:rPr>
          <w:rFonts w:hint="eastAsia" w:ascii="宋体" w:hAnsi="宋体" w:cs="宋体"/>
          <w:b/>
          <w:sz w:val="22"/>
          <w:szCs w:val="18"/>
        </w:rPr>
      </w:pPr>
      <w:bookmarkStart w:id="557" w:name="_Toc279701248"/>
      <w:bookmarkStart w:id="558" w:name="_Ref467379923"/>
      <w:bookmarkStart w:id="559" w:name="_Toc259093677"/>
      <w:bookmarkStart w:id="560" w:name="_Ref467379863"/>
      <w:bookmarkStart w:id="561" w:name="_Toc487900358"/>
      <w:bookmarkStart w:id="562" w:name="_Ref467379852"/>
      <w:bookmarkStart w:id="563" w:name="_Toc16110"/>
      <w:bookmarkStart w:id="564" w:name="_Toc3225"/>
      <w:bookmarkStart w:id="565" w:name="_Toc774"/>
      <w:r>
        <w:rPr>
          <w:rFonts w:hint="eastAsia" w:ascii="宋体" w:hAnsi="宋体" w:cs="宋体"/>
          <w:b/>
          <w:sz w:val="22"/>
          <w:szCs w:val="18"/>
        </w:rPr>
        <w:t>2.6 技术资料</w:t>
      </w:r>
      <w:bookmarkEnd w:id="557"/>
      <w:bookmarkEnd w:id="558"/>
      <w:bookmarkEnd w:id="559"/>
      <w:bookmarkEnd w:id="560"/>
      <w:bookmarkEnd w:id="561"/>
      <w:bookmarkEnd w:id="562"/>
      <w:r>
        <w:rPr>
          <w:rFonts w:hint="eastAsia" w:ascii="宋体" w:hAnsi="宋体" w:cs="宋体"/>
          <w:b/>
          <w:sz w:val="22"/>
          <w:szCs w:val="18"/>
        </w:rPr>
        <w:t>和保密义务</w:t>
      </w:r>
      <w:bookmarkEnd w:id="563"/>
      <w:bookmarkEnd w:id="564"/>
      <w:bookmarkEnd w:id="565"/>
    </w:p>
    <w:p w14:paraId="7A73D917">
      <w:pPr>
        <w:spacing w:line="360" w:lineRule="auto"/>
        <w:ind w:firstLine="440" w:firstLineChars="200"/>
        <w:rPr>
          <w:rFonts w:hint="eastAsia" w:ascii="宋体" w:hAnsi="宋体" w:cs="宋体"/>
          <w:sz w:val="22"/>
          <w:szCs w:val="18"/>
        </w:rPr>
      </w:pPr>
      <w:r>
        <w:rPr>
          <w:rFonts w:hint="eastAsia" w:ascii="宋体" w:hAnsi="宋体" w:cs="宋体"/>
          <w:sz w:val="22"/>
          <w:szCs w:val="18"/>
        </w:rPr>
        <w:t>2.6.1 乙方有权依据合同约定和项目需要，向甲方了解有关情况，调阅有关资料等，甲方应予积极配合；</w:t>
      </w:r>
    </w:p>
    <w:p w14:paraId="495C448F">
      <w:pPr>
        <w:spacing w:line="360" w:lineRule="auto"/>
        <w:ind w:firstLine="440" w:firstLineChars="200"/>
        <w:rPr>
          <w:rFonts w:hint="eastAsia" w:ascii="宋体" w:hAnsi="宋体" w:cs="宋体"/>
          <w:sz w:val="22"/>
          <w:szCs w:val="18"/>
        </w:rPr>
      </w:pPr>
      <w:r>
        <w:rPr>
          <w:rFonts w:hint="eastAsia" w:ascii="宋体" w:hAnsi="宋体" w:cs="宋体"/>
          <w:sz w:val="22"/>
          <w:szCs w:val="18"/>
        </w:rPr>
        <w:t>2.6.2 乙方有义务妥善保管和保护由甲方提供的前款信息和资料等；</w:t>
      </w:r>
    </w:p>
    <w:p w14:paraId="73BF0FDE">
      <w:pPr>
        <w:spacing w:line="360" w:lineRule="auto"/>
        <w:ind w:firstLine="440" w:firstLineChars="200"/>
        <w:rPr>
          <w:rFonts w:hint="eastAsia" w:ascii="宋体" w:hAnsi="宋体" w:cs="宋体"/>
          <w:sz w:val="22"/>
          <w:szCs w:val="18"/>
        </w:rPr>
      </w:pPr>
      <w:r>
        <w:rPr>
          <w:rFonts w:hint="eastAsia" w:ascii="宋体" w:hAnsi="宋体" w:cs="宋体"/>
          <w:sz w:val="22"/>
          <w:szCs w:val="18"/>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3D0A366">
      <w:pPr>
        <w:spacing w:line="360" w:lineRule="auto"/>
        <w:ind w:firstLine="442" w:firstLineChars="200"/>
        <w:rPr>
          <w:rFonts w:hint="eastAsia" w:ascii="宋体" w:hAnsi="宋体" w:cs="宋体"/>
          <w:b/>
          <w:sz w:val="22"/>
          <w:szCs w:val="18"/>
        </w:rPr>
      </w:pPr>
      <w:bookmarkStart w:id="566" w:name="_Toc7860"/>
      <w:r>
        <w:rPr>
          <w:rFonts w:hint="eastAsia" w:ascii="宋体" w:hAnsi="宋体" w:cs="宋体"/>
          <w:b/>
          <w:sz w:val="22"/>
          <w:szCs w:val="18"/>
        </w:rPr>
        <w:t>2.7 质量保证</w:t>
      </w:r>
      <w:bookmarkEnd w:id="566"/>
    </w:p>
    <w:p w14:paraId="76193B52">
      <w:pPr>
        <w:spacing w:line="360" w:lineRule="auto"/>
        <w:ind w:firstLine="440" w:firstLineChars="200"/>
        <w:rPr>
          <w:rFonts w:hint="eastAsia" w:ascii="宋体" w:hAnsi="宋体" w:cs="宋体"/>
          <w:sz w:val="22"/>
          <w:szCs w:val="18"/>
        </w:rPr>
      </w:pPr>
      <w:r>
        <w:rPr>
          <w:rFonts w:hint="eastAsia" w:ascii="宋体" w:hAnsi="宋体" w:cs="宋体"/>
          <w:sz w:val="22"/>
          <w:szCs w:val="18"/>
        </w:rPr>
        <w:t>2.7.1 乙方应建立和完善履行合同的内部质量保证体系，并提供相关内部规章制度给甲方，以便甲方进行监督检查；</w:t>
      </w:r>
    </w:p>
    <w:p w14:paraId="4105ACA1">
      <w:pPr>
        <w:spacing w:line="360" w:lineRule="auto"/>
        <w:ind w:firstLine="440" w:firstLineChars="200"/>
        <w:rPr>
          <w:rFonts w:hint="eastAsia" w:ascii="宋体" w:hAnsi="宋体" w:cs="宋体"/>
          <w:sz w:val="22"/>
          <w:szCs w:val="18"/>
        </w:rPr>
      </w:pPr>
      <w:r>
        <w:rPr>
          <w:rFonts w:hint="eastAsia" w:ascii="宋体" w:hAnsi="宋体" w:cs="宋体"/>
          <w:sz w:val="22"/>
          <w:szCs w:val="18"/>
        </w:rPr>
        <w:t>2.7.2 乙方应保证履行合同的人员数量和素质、软件和硬件设备的配置、场地、环境和设施等满足全面履行合同的要求，并应接受甲方的监督检查。</w:t>
      </w:r>
    </w:p>
    <w:p w14:paraId="11BC6F70">
      <w:pPr>
        <w:spacing w:line="360" w:lineRule="auto"/>
        <w:ind w:firstLine="442" w:firstLineChars="200"/>
        <w:rPr>
          <w:rFonts w:hint="eastAsia" w:ascii="宋体" w:hAnsi="宋体" w:cs="宋体"/>
          <w:b/>
          <w:sz w:val="22"/>
          <w:szCs w:val="18"/>
        </w:rPr>
      </w:pPr>
      <w:bookmarkStart w:id="567" w:name="_Toc17244"/>
      <w:bookmarkStart w:id="568" w:name="_Toc487900362"/>
      <w:bookmarkStart w:id="569" w:name="_Toc259093681"/>
      <w:bookmarkStart w:id="570" w:name="_Toc279701252"/>
      <w:r>
        <w:rPr>
          <w:rFonts w:hint="eastAsia" w:ascii="宋体" w:hAnsi="宋体" w:cs="宋体"/>
          <w:b/>
          <w:sz w:val="22"/>
          <w:szCs w:val="18"/>
        </w:rPr>
        <w:t>2.8 货物的风险负担</w:t>
      </w:r>
      <w:bookmarkEnd w:id="567"/>
    </w:p>
    <w:p w14:paraId="050BD217">
      <w:pPr>
        <w:spacing w:line="360" w:lineRule="auto"/>
        <w:ind w:firstLine="440" w:firstLineChars="200"/>
        <w:rPr>
          <w:rFonts w:hint="eastAsia" w:ascii="宋体" w:hAnsi="宋体" w:cs="宋体"/>
          <w:b/>
          <w:sz w:val="22"/>
          <w:szCs w:val="18"/>
        </w:rPr>
      </w:pPr>
      <w:r>
        <w:rPr>
          <w:rFonts w:hint="eastAsia" w:ascii="宋体" w:hAnsi="宋体" w:cs="宋体"/>
          <w:sz w:val="22"/>
          <w:szCs w:val="18"/>
        </w:rPr>
        <w:t>货物或者在途货物或者交付给第一承运人后的货物毁损、灭失的风险负担详见</w:t>
      </w:r>
      <w:r>
        <w:rPr>
          <w:rFonts w:hint="eastAsia" w:ascii="宋体" w:hAnsi="宋体" w:cs="宋体"/>
          <w:b/>
          <w:sz w:val="22"/>
          <w:szCs w:val="18"/>
          <w:u w:val="single"/>
        </w:rPr>
        <w:t>合同专用条款</w:t>
      </w:r>
      <w:r>
        <w:rPr>
          <w:rFonts w:hint="eastAsia" w:ascii="宋体" w:hAnsi="宋体" w:cs="宋体"/>
          <w:sz w:val="22"/>
          <w:szCs w:val="18"/>
        </w:rPr>
        <w:t>。</w:t>
      </w:r>
    </w:p>
    <w:p w14:paraId="31876AE3">
      <w:pPr>
        <w:spacing w:line="360" w:lineRule="auto"/>
        <w:ind w:firstLine="442" w:firstLineChars="200"/>
        <w:rPr>
          <w:rFonts w:hint="eastAsia" w:ascii="宋体" w:hAnsi="宋体" w:cs="宋体"/>
          <w:b/>
          <w:sz w:val="22"/>
          <w:szCs w:val="18"/>
        </w:rPr>
      </w:pPr>
      <w:bookmarkStart w:id="571" w:name="_Toc14055"/>
      <w:r>
        <w:rPr>
          <w:rFonts w:hint="eastAsia" w:ascii="宋体" w:hAnsi="宋体" w:cs="宋体"/>
          <w:b/>
          <w:sz w:val="22"/>
          <w:szCs w:val="18"/>
        </w:rPr>
        <w:t>2.9 延迟交货</w:t>
      </w:r>
      <w:bookmarkEnd w:id="568"/>
      <w:bookmarkEnd w:id="569"/>
      <w:bookmarkEnd w:id="570"/>
      <w:bookmarkEnd w:id="571"/>
    </w:p>
    <w:p w14:paraId="331C5896">
      <w:pPr>
        <w:spacing w:line="360" w:lineRule="auto"/>
        <w:ind w:firstLine="440" w:firstLineChars="200"/>
        <w:rPr>
          <w:rFonts w:hint="eastAsia" w:ascii="宋体" w:hAnsi="宋体" w:cs="宋体"/>
          <w:sz w:val="22"/>
          <w:szCs w:val="18"/>
        </w:rPr>
      </w:pPr>
      <w:r>
        <w:rPr>
          <w:rFonts w:hint="eastAsia" w:ascii="宋体" w:hAnsi="宋体"/>
          <w:sz w:val="22"/>
          <w:szCs w:val="18"/>
        </w:rPr>
        <w:t>甲乙双方签订合同后，乙方应按照合同约定履行合同义务，除不可抗力外，乙方不得延迟交货。</w:t>
      </w:r>
      <w:r>
        <w:rPr>
          <w:rFonts w:hint="eastAsia" w:ascii="宋体" w:hAnsi="宋体" w:cs="宋体"/>
          <w:sz w:val="22"/>
          <w:szCs w:val="18"/>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617F4F54">
      <w:pPr>
        <w:spacing w:line="360" w:lineRule="auto"/>
        <w:ind w:firstLine="442" w:firstLineChars="200"/>
        <w:rPr>
          <w:rFonts w:hint="eastAsia" w:ascii="宋体" w:hAnsi="宋体" w:cs="宋体"/>
          <w:b/>
          <w:sz w:val="22"/>
          <w:szCs w:val="18"/>
        </w:rPr>
      </w:pPr>
      <w:bookmarkStart w:id="572" w:name="_Toc7502"/>
      <w:bookmarkStart w:id="573" w:name="_Toc279701254"/>
      <w:bookmarkStart w:id="574" w:name="_Toc259093683"/>
      <w:bookmarkStart w:id="575" w:name="_Ref467378121"/>
      <w:bookmarkStart w:id="576" w:name="_Toc487900364"/>
      <w:r>
        <w:rPr>
          <w:rFonts w:hint="eastAsia" w:ascii="宋体" w:hAnsi="宋体" w:cs="宋体"/>
          <w:b/>
          <w:sz w:val="22"/>
          <w:szCs w:val="18"/>
        </w:rPr>
        <w:t>2.10 合同变更</w:t>
      </w:r>
      <w:bookmarkEnd w:id="572"/>
    </w:p>
    <w:p w14:paraId="6C132560">
      <w:pPr>
        <w:spacing w:line="360" w:lineRule="auto"/>
        <w:ind w:firstLine="440" w:firstLineChars="200"/>
        <w:rPr>
          <w:rFonts w:hint="eastAsia" w:ascii="宋体" w:hAnsi="宋体" w:cs="宋体"/>
          <w:sz w:val="22"/>
          <w:szCs w:val="18"/>
        </w:rPr>
      </w:pPr>
      <w:r>
        <w:rPr>
          <w:rFonts w:hint="eastAsia" w:ascii="宋体" w:hAnsi="宋体" w:cs="宋体"/>
          <w:sz w:val="22"/>
          <w:szCs w:val="18"/>
        </w:rPr>
        <w:t>合同继续履行将损害国家利益和社会公共利益的，双方当事人应当以书面形式变更合同。有过错的一方应当承担赔偿责任，双方当事人都有过错的，各自承担相应的责任。</w:t>
      </w:r>
      <w:bookmarkStart w:id="577" w:name="_Toc259093688"/>
      <w:bookmarkStart w:id="578" w:name="_Toc279701259"/>
      <w:bookmarkStart w:id="579" w:name="_Toc487900369"/>
    </w:p>
    <w:p w14:paraId="358DC83D">
      <w:pPr>
        <w:spacing w:line="360" w:lineRule="auto"/>
        <w:ind w:firstLine="442" w:firstLineChars="200"/>
        <w:rPr>
          <w:rFonts w:hint="eastAsia" w:ascii="宋体" w:hAnsi="宋体" w:cs="宋体"/>
          <w:b/>
          <w:sz w:val="22"/>
          <w:szCs w:val="18"/>
        </w:rPr>
      </w:pPr>
      <w:bookmarkStart w:id="580" w:name="_Toc10366"/>
      <w:bookmarkStart w:id="581" w:name="_Toc15237"/>
      <w:bookmarkStart w:id="582" w:name="_Toc22955"/>
      <w:r>
        <w:rPr>
          <w:rFonts w:hint="eastAsia" w:ascii="宋体" w:hAnsi="宋体" w:cs="宋体"/>
          <w:b/>
          <w:sz w:val="22"/>
          <w:szCs w:val="18"/>
        </w:rPr>
        <w:t>2.11 合同转让</w:t>
      </w:r>
      <w:bookmarkEnd w:id="577"/>
      <w:bookmarkEnd w:id="578"/>
      <w:bookmarkEnd w:id="579"/>
      <w:r>
        <w:rPr>
          <w:rFonts w:hint="eastAsia" w:ascii="宋体" w:hAnsi="宋体" w:cs="宋体"/>
          <w:b/>
          <w:sz w:val="22"/>
          <w:szCs w:val="18"/>
        </w:rPr>
        <w:t>和分包</w:t>
      </w:r>
      <w:bookmarkEnd w:id="580"/>
      <w:bookmarkEnd w:id="581"/>
      <w:bookmarkEnd w:id="582"/>
    </w:p>
    <w:p w14:paraId="1B47A973">
      <w:pPr>
        <w:spacing w:line="360" w:lineRule="auto"/>
        <w:ind w:firstLine="440" w:firstLineChars="200"/>
        <w:rPr>
          <w:rFonts w:hint="eastAsia" w:ascii="宋体" w:hAnsi="宋体" w:cs="宋体"/>
          <w:sz w:val="22"/>
          <w:szCs w:val="18"/>
        </w:rPr>
      </w:pPr>
      <w:r>
        <w:rPr>
          <w:rFonts w:hint="eastAsia" w:ascii="宋体" w:hAnsi="宋体" w:cs="宋体"/>
          <w:sz w:val="22"/>
          <w:szCs w:val="18"/>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73C59BA">
      <w:pPr>
        <w:spacing w:line="360" w:lineRule="auto"/>
        <w:ind w:firstLine="440" w:firstLineChars="200"/>
        <w:rPr>
          <w:rFonts w:hint="eastAsia" w:ascii="宋体" w:hAnsi="宋体" w:cs="宋体"/>
          <w:sz w:val="22"/>
          <w:szCs w:val="18"/>
        </w:rPr>
      </w:pPr>
      <w:r>
        <w:rPr>
          <w:rFonts w:hint="eastAsia" w:ascii="宋体" w:hAnsi="宋体" w:cs="宋体"/>
          <w:sz w:val="22"/>
          <w:szCs w:val="18"/>
        </w:rPr>
        <w:t>2.11.2乙方采取分包方式履行合同的，甲方可直接向分包供应商支付款项。</w:t>
      </w:r>
    </w:p>
    <w:p w14:paraId="514AE9D8">
      <w:pPr>
        <w:spacing w:line="360" w:lineRule="auto"/>
        <w:ind w:firstLine="442" w:firstLineChars="200"/>
        <w:rPr>
          <w:rFonts w:hint="eastAsia" w:ascii="宋体" w:hAnsi="宋体" w:cs="宋体"/>
          <w:b/>
          <w:sz w:val="22"/>
          <w:szCs w:val="18"/>
        </w:rPr>
      </w:pPr>
      <w:bookmarkStart w:id="583" w:name="_Toc16508"/>
      <w:bookmarkStart w:id="584" w:name="_Toc14066"/>
      <w:bookmarkStart w:id="585" w:name="_Toc13566"/>
      <w:r>
        <w:rPr>
          <w:rFonts w:hint="eastAsia" w:ascii="宋体" w:hAnsi="宋体" w:cs="宋体"/>
          <w:b/>
          <w:sz w:val="22"/>
          <w:szCs w:val="18"/>
        </w:rPr>
        <w:t>2.12 不可抗力</w:t>
      </w:r>
      <w:bookmarkEnd w:id="583"/>
      <w:bookmarkEnd w:id="584"/>
      <w:bookmarkEnd w:id="585"/>
    </w:p>
    <w:p w14:paraId="41F9E2ED">
      <w:pPr>
        <w:spacing w:line="360" w:lineRule="auto"/>
        <w:ind w:firstLine="440" w:firstLineChars="200"/>
        <w:rPr>
          <w:rFonts w:hint="eastAsia" w:ascii="宋体" w:hAnsi="宋体" w:cs="宋体"/>
          <w:sz w:val="22"/>
          <w:szCs w:val="18"/>
        </w:rPr>
      </w:pPr>
      <w:r>
        <w:rPr>
          <w:rFonts w:hint="eastAsia" w:ascii="宋体" w:hAnsi="宋体" w:cs="宋体"/>
          <w:sz w:val="22"/>
          <w:szCs w:val="18"/>
        </w:rPr>
        <w:t>2.12.1如果任何一方遭遇法律规定的不可抗力，致使合同履行受阻时，履行合同的期限应予延长，延长的期限应相当于不可抗力所影响的时间；</w:t>
      </w:r>
    </w:p>
    <w:p w14:paraId="2A8387AC">
      <w:pPr>
        <w:spacing w:line="360" w:lineRule="auto"/>
        <w:ind w:firstLine="440" w:firstLineChars="200"/>
        <w:rPr>
          <w:rFonts w:hint="eastAsia" w:ascii="宋体" w:hAnsi="宋体" w:cs="宋体"/>
          <w:sz w:val="22"/>
          <w:szCs w:val="18"/>
        </w:rPr>
      </w:pPr>
      <w:r>
        <w:rPr>
          <w:rFonts w:hint="eastAsia" w:ascii="宋体" w:hAnsi="宋体" w:cs="宋体"/>
          <w:sz w:val="22"/>
          <w:szCs w:val="18"/>
        </w:rPr>
        <w:t>2.12.2 因不可抗力致使不能实现合同目的的，当事人可以解除合同；</w:t>
      </w:r>
    </w:p>
    <w:p w14:paraId="12F8A8B4">
      <w:pPr>
        <w:spacing w:line="360" w:lineRule="auto"/>
        <w:ind w:firstLine="440" w:firstLineChars="200"/>
        <w:rPr>
          <w:rFonts w:hint="eastAsia" w:ascii="宋体" w:hAnsi="宋体" w:cs="宋体"/>
          <w:sz w:val="22"/>
          <w:szCs w:val="18"/>
        </w:rPr>
      </w:pPr>
      <w:r>
        <w:rPr>
          <w:rFonts w:hint="eastAsia" w:ascii="宋体" w:hAnsi="宋体" w:cs="宋体"/>
          <w:sz w:val="22"/>
          <w:szCs w:val="18"/>
        </w:rPr>
        <w:t>2.12.3 因不可抗力致使合同有变更必要的，双方当事人应在</w:t>
      </w:r>
      <w:r>
        <w:rPr>
          <w:rFonts w:hint="eastAsia" w:ascii="宋体" w:hAnsi="宋体" w:cs="宋体"/>
          <w:b/>
          <w:sz w:val="22"/>
          <w:szCs w:val="18"/>
          <w:u w:val="single"/>
        </w:rPr>
        <w:t>合同专用条款</w:t>
      </w:r>
      <w:r>
        <w:rPr>
          <w:rFonts w:hint="eastAsia" w:ascii="宋体" w:hAnsi="宋体" w:cs="宋体"/>
          <w:sz w:val="22"/>
          <w:szCs w:val="18"/>
        </w:rPr>
        <w:t>约定时间内以书面形式变更合同；</w:t>
      </w:r>
    </w:p>
    <w:p w14:paraId="686CC559">
      <w:pPr>
        <w:spacing w:line="360" w:lineRule="auto"/>
        <w:ind w:firstLine="440" w:firstLineChars="200"/>
        <w:rPr>
          <w:rFonts w:hint="eastAsia" w:ascii="宋体" w:hAnsi="宋体" w:cs="宋体"/>
          <w:sz w:val="22"/>
          <w:szCs w:val="18"/>
        </w:rPr>
      </w:pPr>
      <w:r>
        <w:rPr>
          <w:rFonts w:hint="eastAsia" w:ascii="宋体" w:hAnsi="宋体" w:cs="宋体"/>
          <w:sz w:val="22"/>
          <w:szCs w:val="18"/>
        </w:rPr>
        <w:t>2.12.4受不可抗力影响的一方在不可抗力发生后，应在</w:t>
      </w:r>
      <w:r>
        <w:rPr>
          <w:rFonts w:hint="eastAsia" w:ascii="宋体" w:hAnsi="宋体" w:cs="宋体"/>
          <w:b/>
          <w:sz w:val="22"/>
          <w:szCs w:val="18"/>
          <w:u w:val="single"/>
        </w:rPr>
        <w:t>合同专用条款</w:t>
      </w:r>
      <w:r>
        <w:rPr>
          <w:rFonts w:hint="eastAsia" w:ascii="宋体" w:hAnsi="宋体" w:cs="宋体"/>
          <w:sz w:val="22"/>
          <w:szCs w:val="18"/>
        </w:rPr>
        <w:t>约定时间内以书面形式通知对方当事人，并在</w:t>
      </w:r>
      <w:r>
        <w:rPr>
          <w:rFonts w:hint="eastAsia" w:ascii="宋体" w:hAnsi="宋体" w:cs="宋体"/>
          <w:b/>
          <w:sz w:val="22"/>
          <w:szCs w:val="18"/>
          <w:u w:val="single"/>
        </w:rPr>
        <w:t>合同专用条款</w:t>
      </w:r>
      <w:r>
        <w:rPr>
          <w:rFonts w:hint="eastAsia" w:ascii="宋体" w:hAnsi="宋体" w:cs="宋体"/>
          <w:sz w:val="22"/>
          <w:szCs w:val="18"/>
        </w:rPr>
        <w:t>约定时间内，将有关部门出具的证明文件送达对方当事人。</w:t>
      </w:r>
    </w:p>
    <w:p w14:paraId="2FDBDDDF">
      <w:pPr>
        <w:spacing w:line="360" w:lineRule="auto"/>
        <w:ind w:firstLine="442" w:firstLineChars="200"/>
        <w:rPr>
          <w:rFonts w:hint="eastAsia" w:ascii="宋体" w:hAnsi="宋体" w:cs="宋体"/>
          <w:b/>
          <w:sz w:val="22"/>
          <w:szCs w:val="18"/>
        </w:rPr>
      </w:pPr>
      <w:bookmarkStart w:id="586" w:name="_Toc689"/>
      <w:bookmarkStart w:id="587" w:name="_Toc259093684"/>
      <w:bookmarkStart w:id="588" w:name="_Toc30676"/>
      <w:bookmarkStart w:id="589" w:name="_Toc487900365"/>
      <w:bookmarkStart w:id="590" w:name="_Toc279701255"/>
      <w:bookmarkStart w:id="591" w:name="_Toc6969"/>
      <w:r>
        <w:rPr>
          <w:rFonts w:hint="eastAsia" w:ascii="宋体" w:hAnsi="宋体" w:cs="宋体"/>
          <w:b/>
          <w:sz w:val="22"/>
          <w:szCs w:val="18"/>
        </w:rPr>
        <w:t>2.13 税费</w:t>
      </w:r>
      <w:bookmarkEnd w:id="586"/>
      <w:bookmarkEnd w:id="587"/>
      <w:bookmarkEnd w:id="588"/>
      <w:bookmarkEnd w:id="589"/>
      <w:bookmarkEnd w:id="590"/>
      <w:bookmarkEnd w:id="591"/>
    </w:p>
    <w:p w14:paraId="20DB7520">
      <w:pPr>
        <w:spacing w:line="360" w:lineRule="auto"/>
        <w:ind w:firstLine="440" w:firstLineChars="200"/>
        <w:rPr>
          <w:rFonts w:hint="eastAsia" w:ascii="宋体" w:hAnsi="宋体" w:cs="宋体"/>
          <w:sz w:val="22"/>
          <w:szCs w:val="18"/>
        </w:rPr>
      </w:pPr>
      <w:r>
        <w:rPr>
          <w:rFonts w:hint="eastAsia" w:ascii="宋体" w:hAnsi="宋体" w:cs="宋体"/>
          <w:sz w:val="22"/>
          <w:szCs w:val="18"/>
        </w:rPr>
        <w:t>与合同有关的一切税费，均按照中华人民共和国法律的相关规定。</w:t>
      </w:r>
    </w:p>
    <w:p w14:paraId="1E29208C">
      <w:pPr>
        <w:spacing w:line="360" w:lineRule="auto"/>
        <w:ind w:firstLine="442" w:firstLineChars="200"/>
        <w:rPr>
          <w:rFonts w:hint="eastAsia" w:ascii="宋体" w:hAnsi="宋体" w:cs="宋体"/>
          <w:b/>
          <w:sz w:val="22"/>
          <w:szCs w:val="18"/>
        </w:rPr>
      </w:pPr>
      <w:bookmarkStart w:id="592" w:name="_Toc16959"/>
      <w:bookmarkStart w:id="593" w:name="_Toc7102"/>
      <w:bookmarkStart w:id="594" w:name="_Toc8298"/>
      <w:bookmarkStart w:id="595" w:name="_Toc259093687"/>
      <w:bookmarkStart w:id="596" w:name="_Toc487900368"/>
      <w:bookmarkStart w:id="597" w:name="_Toc279701258"/>
      <w:r>
        <w:rPr>
          <w:rFonts w:hint="eastAsia" w:ascii="宋体" w:hAnsi="宋体" w:cs="宋体"/>
          <w:b/>
          <w:sz w:val="22"/>
          <w:szCs w:val="18"/>
        </w:rPr>
        <w:t>2.14乙方破产</w:t>
      </w:r>
      <w:bookmarkEnd w:id="592"/>
      <w:bookmarkEnd w:id="593"/>
      <w:bookmarkEnd w:id="594"/>
      <w:bookmarkEnd w:id="595"/>
      <w:bookmarkEnd w:id="596"/>
      <w:bookmarkEnd w:id="597"/>
    </w:p>
    <w:p w14:paraId="2AD25F1F">
      <w:pPr>
        <w:spacing w:line="360" w:lineRule="auto"/>
        <w:ind w:firstLine="440" w:firstLineChars="200"/>
        <w:rPr>
          <w:rFonts w:hint="eastAsia" w:ascii="宋体" w:hAnsi="宋体" w:cs="宋体"/>
          <w:sz w:val="22"/>
          <w:szCs w:val="18"/>
        </w:rPr>
      </w:pPr>
      <w:r>
        <w:rPr>
          <w:rFonts w:hint="eastAsia" w:ascii="宋体" w:hAnsi="宋体" w:cs="宋体"/>
          <w:sz w:val="22"/>
          <w:szCs w:val="18"/>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397EDF1">
      <w:pPr>
        <w:spacing w:line="360" w:lineRule="auto"/>
        <w:ind w:firstLine="442" w:firstLineChars="200"/>
        <w:rPr>
          <w:rFonts w:hint="eastAsia" w:ascii="宋体" w:hAnsi="宋体" w:cs="宋体"/>
          <w:b/>
          <w:sz w:val="22"/>
          <w:szCs w:val="18"/>
        </w:rPr>
      </w:pPr>
      <w:bookmarkStart w:id="598" w:name="_Toc6134"/>
      <w:bookmarkStart w:id="599" w:name="_Toc29333"/>
      <w:bookmarkStart w:id="600" w:name="_Toc15387"/>
      <w:r>
        <w:rPr>
          <w:rFonts w:hint="eastAsia" w:ascii="宋体" w:hAnsi="宋体" w:cs="宋体"/>
          <w:b/>
          <w:sz w:val="22"/>
          <w:szCs w:val="18"/>
        </w:rPr>
        <w:t>2.15 合同中止、终止</w:t>
      </w:r>
      <w:bookmarkEnd w:id="598"/>
      <w:bookmarkEnd w:id="599"/>
      <w:bookmarkEnd w:id="600"/>
    </w:p>
    <w:p w14:paraId="569033E8">
      <w:pPr>
        <w:spacing w:line="360" w:lineRule="auto"/>
        <w:ind w:firstLine="440" w:firstLineChars="200"/>
        <w:rPr>
          <w:rFonts w:hint="eastAsia" w:ascii="宋体" w:hAnsi="宋体" w:cs="宋体"/>
          <w:sz w:val="22"/>
          <w:szCs w:val="18"/>
        </w:rPr>
      </w:pPr>
      <w:r>
        <w:rPr>
          <w:rFonts w:hint="eastAsia" w:ascii="宋体" w:hAnsi="宋体" w:cs="宋体"/>
          <w:sz w:val="22"/>
          <w:szCs w:val="18"/>
        </w:rPr>
        <w:t>2.15.1 双方当事人不得擅自中止或者终止合同；</w:t>
      </w:r>
    </w:p>
    <w:p w14:paraId="752420B2">
      <w:pPr>
        <w:spacing w:line="360" w:lineRule="auto"/>
        <w:ind w:firstLine="440" w:firstLineChars="200"/>
        <w:rPr>
          <w:rFonts w:hint="eastAsia" w:ascii="宋体" w:hAnsi="宋体" w:cs="宋体"/>
          <w:sz w:val="22"/>
          <w:szCs w:val="18"/>
        </w:rPr>
      </w:pPr>
      <w:r>
        <w:rPr>
          <w:rFonts w:hint="eastAsia" w:ascii="宋体" w:hAnsi="宋体" w:cs="宋体"/>
          <w:sz w:val="22"/>
          <w:szCs w:val="18"/>
        </w:rPr>
        <w:t>2.15.2合同继续履行将损害国家利益和社会公共利益的，双方当事人应当中止或者终止合同。有过错的一方应当承担赔偿责任，双方当事人都有过错的，各自承担相应的责任。</w:t>
      </w:r>
    </w:p>
    <w:p w14:paraId="06074F91">
      <w:pPr>
        <w:spacing w:line="360" w:lineRule="auto"/>
        <w:ind w:firstLine="442" w:firstLineChars="200"/>
        <w:rPr>
          <w:rFonts w:hint="eastAsia" w:ascii="宋体" w:hAnsi="宋体" w:cs="宋体"/>
          <w:b/>
          <w:sz w:val="22"/>
          <w:szCs w:val="18"/>
        </w:rPr>
      </w:pPr>
      <w:bookmarkStart w:id="601" w:name="_Toc1125"/>
      <w:bookmarkStart w:id="602" w:name="_Toc14563"/>
      <w:bookmarkStart w:id="603" w:name="_Toc6596"/>
      <w:r>
        <w:rPr>
          <w:rFonts w:hint="eastAsia" w:ascii="宋体" w:hAnsi="宋体" w:cs="宋体"/>
          <w:b/>
          <w:sz w:val="22"/>
          <w:szCs w:val="18"/>
        </w:rPr>
        <w:t>2.16检验和验收</w:t>
      </w:r>
      <w:bookmarkEnd w:id="601"/>
      <w:bookmarkEnd w:id="602"/>
      <w:bookmarkEnd w:id="603"/>
    </w:p>
    <w:p w14:paraId="61842DBD">
      <w:pPr>
        <w:tabs>
          <w:tab w:val="left" w:pos="360"/>
          <w:tab w:val="left" w:pos="540"/>
          <w:tab w:val="left" w:pos="1080"/>
        </w:tabs>
        <w:spacing w:line="360" w:lineRule="auto"/>
        <w:ind w:firstLine="440" w:firstLineChars="200"/>
        <w:rPr>
          <w:rFonts w:hint="eastAsia" w:ascii="宋体" w:hAnsi="宋体" w:cs="宋体"/>
          <w:sz w:val="22"/>
          <w:szCs w:val="18"/>
        </w:rPr>
      </w:pPr>
      <w:r>
        <w:rPr>
          <w:rFonts w:hint="eastAsia" w:ascii="宋体" w:hAnsi="宋体" w:cs="宋体"/>
          <w:sz w:val="22"/>
          <w:szCs w:val="18"/>
        </w:rPr>
        <w:t>2.16.1货物交付前，乙方应对货物的质量、数量等方面进行详细、全面的检验，并向甲方出具证明货物符合合同约定的文件；货物交付时，甲方在</w:t>
      </w:r>
      <w:r>
        <w:rPr>
          <w:rFonts w:hint="eastAsia" w:ascii="宋体" w:hAnsi="宋体" w:cs="宋体"/>
          <w:b/>
          <w:sz w:val="22"/>
          <w:szCs w:val="18"/>
          <w:u w:val="single"/>
        </w:rPr>
        <w:t>合同专用条款</w:t>
      </w:r>
      <w:r>
        <w:rPr>
          <w:rFonts w:hint="eastAsia" w:ascii="宋体" w:hAnsi="宋体" w:cs="宋体"/>
          <w:sz w:val="22"/>
          <w:szCs w:val="18"/>
        </w:rPr>
        <w:t>约定时间内组织验收，并可依法邀请相关方参加，验收应出具验收书。</w:t>
      </w:r>
    </w:p>
    <w:p w14:paraId="26DB911D">
      <w:pPr>
        <w:tabs>
          <w:tab w:val="left" w:pos="360"/>
          <w:tab w:val="left" w:pos="540"/>
          <w:tab w:val="left" w:pos="1080"/>
        </w:tabs>
        <w:spacing w:line="360" w:lineRule="auto"/>
        <w:ind w:firstLine="440" w:firstLineChars="200"/>
        <w:rPr>
          <w:rFonts w:hint="eastAsia" w:ascii="宋体" w:hAnsi="宋体" w:cs="宋体"/>
          <w:sz w:val="22"/>
          <w:szCs w:val="18"/>
        </w:rPr>
      </w:pPr>
      <w:r>
        <w:rPr>
          <w:rFonts w:hint="eastAsia" w:ascii="宋体" w:hAnsi="宋体" w:cs="宋体"/>
          <w:sz w:val="22"/>
          <w:szCs w:val="18"/>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505ADD20">
      <w:pPr>
        <w:tabs>
          <w:tab w:val="left" w:pos="360"/>
          <w:tab w:val="left" w:pos="540"/>
          <w:tab w:val="left" w:pos="1080"/>
        </w:tabs>
        <w:spacing w:line="360" w:lineRule="auto"/>
        <w:ind w:firstLine="440" w:firstLineChars="200"/>
        <w:rPr>
          <w:rFonts w:hint="eastAsia" w:ascii="宋体" w:hAnsi="宋体" w:cs="宋体"/>
          <w:sz w:val="22"/>
          <w:szCs w:val="18"/>
        </w:rPr>
      </w:pPr>
      <w:r>
        <w:rPr>
          <w:rFonts w:hint="eastAsia" w:ascii="宋体" w:hAnsi="宋体" w:cs="宋体"/>
          <w:sz w:val="22"/>
          <w:szCs w:val="18"/>
        </w:rPr>
        <w:t>2.16.3 检验和验收标准、程序等具体内容以及前述验收书的效力详见</w:t>
      </w:r>
      <w:r>
        <w:rPr>
          <w:rFonts w:hint="eastAsia" w:ascii="宋体" w:hAnsi="宋体" w:cs="宋体"/>
          <w:b/>
          <w:sz w:val="22"/>
          <w:szCs w:val="18"/>
          <w:u w:val="single"/>
        </w:rPr>
        <w:t>合同专用条款</w:t>
      </w:r>
      <w:r>
        <w:rPr>
          <w:rFonts w:hint="eastAsia" w:ascii="宋体" w:hAnsi="宋体" w:cs="宋体"/>
          <w:sz w:val="22"/>
          <w:szCs w:val="18"/>
        </w:rPr>
        <w:t>。</w:t>
      </w:r>
    </w:p>
    <w:bookmarkEnd w:id="573"/>
    <w:bookmarkEnd w:id="574"/>
    <w:bookmarkEnd w:id="575"/>
    <w:bookmarkEnd w:id="576"/>
    <w:p w14:paraId="48E1FB6D">
      <w:pPr>
        <w:spacing w:line="360" w:lineRule="auto"/>
        <w:ind w:firstLine="442" w:firstLineChars="200"/>
        <w:rPr>
          <w:rFonts w:hint="eastAsia" w:ascii="宋体" w:hAnsi="宋体" w:cs="宋体"/>
          <w:b/>
          <w:sz w:val="22"/>
          <w:szCs w:val="18"/>
        </w:rPr>
      </w:pPr>
      <w:bookmarkStart w:id="604" w:name="_Toc259093690"/>
      <w:bookmarkStart w:id="605" w:name="_Toc487900371"/>
      <w:bookmarkStart w:id="606" w:name="_Toc279701261"/>
      <w:bookmarkStart w:id="607" w:name="_Toc11284"/>
      <w:bookmarkStart w:id="608" w:name="_Toc25182"/>
      <w:bookmarkStart w:id="609" w:name="_Toc19604"/>
      <w:r>
        <w:rPr>
          <w:rFonts w:hint="eastAsia" w:ascii="宋体" w:hAnsi="宋体" w:cs="宋体"/>
          <w:b/>
          <w:sz w:val="22"/>
          <w:szCs w:val="18"/>
        </w:rPr>
        <w:t>2.17 通知</w:t>
      </w:r>
      <w:bookmarkEnd w:id="604"/>
      <w:bookmarkEnd w:id="605"/>
      <w:bookmarkEnd w:id="606"/>
      <w:r>
        <w:rPr>
          <w:rFonts w:hint="eastAsia" w:ascii="宋体" w:hAnsi="宋体" w:cs="宋体"/>
          <w:b/>
          <w:sz w:val="22"/>
          <w:szCs w:val="18"/>
        </w:rPr>
        <w:t>和送达</w:t>
      </w:r>
      <w:bookmarkEnd w:id="607"/>
      <w:bookmarkEnd w:id="608"/>
      <w:bookmarkEnd w:id="609"/>
    </w:p>
    <w:p w14:paraId="20776688">
      <w:pPr>
        <w:spacing w:line="360" w:lineRule="auto"/>
        <w:ind w:firstLine="440" w:firstLineChars="200"/>
        <w:rPr>
          <w:rFonts w:hint="eastAsia" w:ascii="宋体" w:hAnsi="宋体" w:cs="宋体"/>
          <w:sz w:val="22"/>
          <w:szCs w:val="18"/>
        </w:rPr>
      </w:pPr>
      <w:bookmarkStart w:id="610" w:name="_Toc6698"/>
      <w:bookmarkStart w:id="611" w:name="_Toc3135"/>
      <w:bookmarkStart w:id="612" w:name="_Toc259093691"/>
      <w:bookmarkStart w:id="613" w:name="_Toc487900372"/>
      <w:bookmarkStart w:id="614" w:name="_Toc279701262"/>
      <w:r>
        <w:rPr>
          <w:rFonts w:hint="eastAsia" w:ascii="宋体" w:hAnsi="宋体" w:cs="宋体"/>
          <w:sz w:val="22"/>
          <w:szCs w:val="18"/>
        </w:rPr>
        <w:t>2.17.1任何一方因履行合同而以合同第一部分尾部所列明的传真或电子邮件发出的所有通知、文件、材料，均视为已向对方当事人送达；任何一方变更上述送达方式或者地址的，应于</w:t>
      </w:r>
      <w:r>
        <w:rPr>
          <w:rFonts w:hint="eastAsia" w:ascii="宋体" w:hAnsi="宋体" w:cs="宋体"/>
          <w:sz w:val="22"/>
          <w:szCs w:val="18"/>
          <w:u w:val="single"/>
        </w:rPr>
        <w:t>3</w:t>
      </w:r>
      <w:r>
        <w:rPr>
          <w:rFonts w:hint="eastAsia" w:ascii="宋体" w:hAnsi="宋体" w:cs="宋体"/>
          <w:sz w:val="22"/>
          <w:szCs w:val="18"/>
        </w:rPr>
        <w:t>个工作日内书面通知对方当事人，在对方当事人收到有关变更通知之前，变更前的约定送达方式或者地址仍视为有效。</w:t>
      </w:r>
      <w:bookmarkEnd w:id="610"/>
      <w:bookmarkEnd w:id="611"/>
    </w:p>
    <w:p w14:paraId="1FA53265">
      <w:pPr>
        <w:spacing w:line="360" w:lineRule="auto"/>
        <w:ind w:firstLine="440" w:firstLineChars="200"/>
        <w:rPr>
          <w:rFonts w:hint="eastAsia" w:ascii="宋体" w:hAnsi="宋体" w:cs="宋体"/>
          <w:sz w:val="22"/>
          <w:szCs w:val="18"/>
        </w:rPr>
      </w:pPr>
      <w:bookmarkStart w:id="615" w:name="_Toc23128"/>
      <w:bookmarkStart w:id="616" w:name="_Toc23294"/>
      <w:r>
        <w:rPr>
          <w:rFonts w:hint="eastAsia" w:ascii="宋体" w:hAnsi="宋体" w:cs="宋体"/>
          <w:sz w:val="22"/>
          <w:szCs w:val="18"/>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615"/>
      <w:bookmarkEnd w:id="616"/>
    </w:p>
    <w:p w14:paraId="1F8B0F01">
      <w:pPr>
        <w:spacing w:line="360" w:lineRule="auto"/>
        <w:ind w:firstLine="442" w:firstLineChars="200"/>
        <w:rPr>
          <w:rFonts w:hint="eastAsia" w:ascii="宋体" w:hAnsi="宋体" w:cs="宋体"/>
          <w:b/>
          <w:sz w:val="22"/>
          <w:szCs w:val="18"/>
        </w:rPr>
      </w:pPr>
      <w:bookmarkStart w:id="617" w:name="_Toc18540"/>
      <w:bookmarkStart w:id="618" w:name="_Toc4355"/>
      <w:bookmarkStart w:id="619" w:name="_Toc30599"/>
      <w:r>
        <w:rPr>
          <w:rFonts w:hint="eastAsia" w:ascii="宋体" w:hAnsi="宋体" w:cs="宋体"/>
          <w:b/>
          <w:sz w:val="22"/>
          <w:szCs w:val="18"/>
        </w:rPr>
        <w:t>2.18 计量单位</w:t>
      </w:r>
      <w:bookmarkEnd w:id="612"/>
      <w:bookmarkEnd w:id="613"/>
      <w:bookmarkEnd w:id="614"/>
      <w:bookmarkEnd w:id="617"/>
      <w:bookmarkEnd w:id="618"/>
      <w:bookmarkEnd w:id="619"/>
    </w:p>
    <w:p w14:paraId="34CB69B0">
      <w:pPr>
        <w:spacing w:line="360" w:lineRule="auto"/>
        <w:ind w:firstLine="440" w:firstLineChars="200"/>
        <w:rPr>
          <w:rFonts w:hint="eastAsia" w:ascii="宋体" w:hAnsi="宋体" w:cs="宋体"/>
          <w:sz w:val="22"/>
          <w:szCs w:val="18"/>
        </w:rPr>
      </w:pPr>
      <w:r>
        <w:rPr>
          <w:rFonts w:hint="eastAsia" w:ascii="宋体" w:hAnsi="宋体" w:cs="宋体"/>
          <w:sz w:val="22"/>
          <w:szCs w:val="18"/>
        </w:rPr>
        <w:t>除技术规范中另有规定外,合同的计量单位均使用国家法定计量单位。</w:t>
      </w:r>
    </w:p>
    <w:p w14:paraId="7AA253FC">
      <w:pPr>
        <w:spacing w:line="360" w:lineRule="auto"/>
        <w:ind w:firstLine="442" w:firstLineChars="200"/>
        <w:rPr>
          <w:rFonts w:hint="eastAsia" w:ascii="宋体" w:hAnsi="宋体" w:cs="宋体"/>
          <w:b/>
          <w:sz w:val="22"/>
          <w:szCs w:val="18"/>
        </w:rPr>
      </w:pPr>
      <w:bookmarkStart w:id="620" w:name="_Toc18567"/>
      <w:bookmarkStart w:id="621" w:name="_Toc279701263"/>
      <w:bookmarkStart w:id="622" w:name="_Toc259093692"/>
      <w:bookmarkStart w:id="623" w:name="_Toc12773"/>
      <w:bookmarkStart w:id="624" w:name="_Toc487900373"/>
      <w:bookmarkStart w:id="625" w:name="_Toc10330"/>
      <w:r>
        <w:rPr>
          <w:rFonts w:hint="eastAsia" w:ascii="宋体" w:hAnsi="宋体" w:cs="宋体"/>
          <w:b/>
          <w:sz w:val="22"/>
          <w:szCs w:val="18"/>
        </w:rPr>
        <w:t>2.19 合同使用的文字和适用的法律</w:t>
      </w:r>
      <w:bookmarkEnd w:id="620"/>
      <w:bookmarkEnd w:id="621"/>
      <w:bookmarkEnd w:id="622"/>
      <w:bookmarkEnd w:id="623"/>
      <w:bookmarkEnd w:id="624"/>
      <w:bookmarkEnd w:id="625"/>
    </w:p>
    <w:p w14:paraId="407CDC97">
      <w:pPr>
        <w:spacing w:line="360" w:lineRule="auto"/>
        <w:ind w:firstLine="440" w:firstLineChars="200"/>
        <w:rPr>
          <w:rFonts w:hint="eastAsia" w:ascii="宋体" w:hAnsi="宋体" w:cs="宋体"/>
          <w:sz w:val="22"/>
          <w:szCs w:val="18"/>
        </w:rPr>
      </w:pPr>
      <w:r>
        <w:rPr>
          <w:rFonts w:hint="eastAsia" w:ascii="宋体" w:hAnsi="宋体" w:cs="宋体"/>
          <w:sz w:val="22"/>
          <w:szCs w:val="18"/>
        </w:rPr>
        <w:t>2.19.1 合同使用汉语书就、变更和解释；</w:t>
      </w:r>
    </w:p>
    <w:p w14:paraId="11275204">
      <w:pPr>
        <w:spacing w:line="360" w:lineRule="auto"/>
        <w:ind w:firstLine="440" w:firstLineChars="200"/>
        <w:rPr>
          <w:rFonts w:hint="eastAsia" w:ascii="宋体" w:hAnsi="宋体" w:cs="宋体"/>
          <w:sz w:val="22"/>
          <w:szCs w:val="18"/>
        </w:rPr>
      </w:pPr>
      <w:r>
        <w:rPr>
          <w:rFonts w:hint="eastAsia" w:ascii="宋体" w:hAnsi="宋体" w:cs="宋体"/>
          <w:sz w:val="22"/>
          <w:szCs w:val="18"/>
        </w:rPr>
        <w:t>2.19.2 合同适用中华人民共和国法律。</w:t>
      </w:r>
    </w:p>
    <w:p w14:paraId="2C823008">
      <w:pPr>
        <w:spacing w:line="360" w:lineRule="auto"/>
        <w:ind w:firstLine="442" w:firstLineChars="200"/>
        <w:rPr>
          <w:rFonts w:hint="eastAsia" w:ascii="宋体" w:hAnsi="宋体" w:cs="宋体"/>
          <w:b/>
          <w:sz w:val="22"/>
          <w:szCs w:val="18"/>
        </w:rPr>
      </w:pPr>
      <w:bookmarkStart w:id="626" w:name="_Toc6885"/>
      <w:bookmarkStart w:id="627" w:name="_Toc14001"/>
      <w:bookmarkStart w:id="628" w:name="_Toc19890"/>
      <w:r>
        <w:rPr>
          <w:rFonts w:hint="eastAsia" w:ascii="宋体" w:hAnsi="宋体" w:cs="宋体"/>
          <w:b/>
          <w:sz w:val="22"/>
          <w:szCs w:val="18"/>
        </w:rPr>
        <w:t>2.20 合同份数</w:t>
      </w:r>
      <w:bookmarkEnd w:id="626"/>
      <w:bookmarkEnd w:id="627"/>
      <w:bookmarkEnd w:id="628"/>
    </w:p>
    <w:p w14:paraId="19796ED0">
      <w:pPr>
        <w:spacing w:line="360" w:lineRule="auto"/>
        <w:ind w:firstLine="440" w:firstLineChars="200"/>
        <w:rPr>
          <w:rFonts w:hint="eastAsia" w:ascii="宋体" w:hAnsi="宋体" w:cs="宋体"/>
          <w:sz w:val="22"/>
          <w:szCs w:val="18"/>
        </w:rPr>
      </w:pPr>
      <w:r>
        <w:rPr>
          <w:rFonts w:hint="eastAsia" w:ascii="宋体" w:hAnsi="宋体" w:cs="宋体"/>
          <w:sz w:val="22"/>
          <w:szCs w:val="18"/>
        </w:rPr>
        <w:t>合同份数按</w:t>
      </w:r>
      <w:r>
        <w:rPr>
          <w:rFonts w:hint="eastAsia" w:ascii="宋体" w:hAnsi="宋体" w:cs="宋体"/>
          <w:b/>
          <w:sz w:val="22"/>
          <w:szCs w:val="18"/>
          <w:u w:val="single"/>
        </w:rPr>
        <w:t>合同专用条款</w:t>
      </w:r>
      <w:r>
        <w:rPr>
          <w:rFonts w:hint="eastAsia" w:ascii="宋体" w:hAnsi="宋体" w:cs="宋体"/>
          <w:sz w:val="22"/>
          <w:szCs w:val="18"/>
        </w:rPr>
        <w:t>规定，每份均具有同等法律效力。</w:t>
      </w:r>
    </w:p>
    <w:p w14:paraId="629CD51D">
      <w:pPr>
        <w:spacing w:line="360" w:lineRule="auto"/>
        <w:ind w:firstLine="2394" w:firstLineChars="1197"/>
        <w:rPr>
          <w:rFonts w:hint="eastAsia" w:ascii="宋体" w:hAnsi="宋体" w:cs="宋体"/>
          <w:b/>
          <w:sz w:val="20"/>
          <w:szCs w:val="18"/>
        </w:rPr>
      </w:pPr>
      <w:r>
        <w:rPr>
          <w:rFonts w:hint="eastAsia" w:ascii="宋体" w:hAnsi="宋体" w:cs="宋体"/>
          <w:kern w:val="0"/>
          <w:sz w:val="20"/>
          <w:szCs w:val="18"/>
        </w:rPr>
        <w:br w:type="page"/>
      </w:r>
      <w:r>
        <w:rPr>
          <w:rFonts w:hint="eastAsia" w:ascii="宋体" w:hAnsi="宋体" w:cs="宋体"/>
          <w:b/>
          <w:sz w:val="28"/>
          <w:szCs w:val="18"/>
        </w:rPr>
        <w:t>第三部分  合同专用条款</w:t>
      </w:r>
    </w:p>
    <w:p w14:paraId="35A8922D">
      <w:pPr>
        <w:spacing w:line="360" w:lineRule="auto"/>
        <w:ind w:firstLine="440" w:firstLineChars="200"/>
        <w:rPr>
          <w:rFonts w:hint="eastAsia" w:ascii="宋体" w:hAnsi="宋体" w:cs="宋体"/>
          <w:sz w:val="20"/>
          <w:szCs w:val="18"/>
        </w:rPr>
      </w:pPr>
      <w:r>
        <w:rPr>
          <w:rFonts w:hint="eastAsia" w:ascii="宋体" w:hAnsi="宋体" w:cs="宋体"/>
          <w:sz w:val="22"/>
          <w:szCs w:val="18"/>
        </w:rPr>
        <w:t>本部分是对前两部分的</w:t>
      </w:r>
      <w:r>
        <w:rPr>
          <w:rFonts w:hint="eastAsia" w:ascii="宋体" w:hAnsi="宋体" w:cs="宋体"/>
          <w:sz w:val="22"/>
          <w:szCs w:val="18"/>
          <w:lang w:val="zh-TW"/>
        </w:rPr>
        <w:t>补充</w:t>
      </w:r>
      <w:r>
        <w:rPr>
          <w:rFonts w:hint="eastAsia" w:ascii="宋体" w:hAnsi="宋体" w:cs="宋体"/>
          <w:sz w:val="22"/>
          <w:szCs w:val="18"/>
        </w:rPr>
        <w:t>和修改，如果前两部分和本部分的约定不一致，应以本部分的约定为准。本部分的条款号应与前两部分的条款号保持对应；与前两部分无对应关系的内容可另行编制条款号。</w:t>
      </w:r>
    </w:p>
    <w:tbl>
      <w:tblPr>
        <w:tblStyle w:val="44"/>
        <w:tblW w:w="5002"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190"/>
        <w:gridCol w:w="7168"/>
      </w:tblGrid>
      <w:tr w14:paraId="58F61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6" w:hRule="atLeast"/>
        </w:trPr>
        <w:tc>
          <w:tcPr>
            <w:tcW w:w="712" w:type="pct"/>
            <w:tcBorders>
              <w:left w:val="single" w:color="auto" w:sz="4" w:space="0"/>
            </w:tcBorders>
            <w:vAlign w:val="center"/>
          </w:tcPr>
          <w:p w14:paraId="1EFC9D9E">
            <w:pPr>
              <w:spacing w:line="400" w:lineRule="exact"/>
              <w:jc w:val="center"/>
              <w:rPr>
                <w:rFonts w:hint="eastAsia" w:ascii="宋体" w:hAnsi="宋体" w:cs="宋体"/>
                <w:b/>
                <w:szCs w:val="21"/>
              </w:rPr>
            </w:pPr>
            <w:r>
              <w:rPr>
                <w:rFonts w:hint="eastAsia" w:ascii="宋体" w:hAnsi="宋体" w:cs="宋体"/>
                <w:b/>
                <w:szCs w:val="21"/>
              </w:rPr>
              <w:t>条款号</w:t>
            </w:r>
          </w:p>
        </w:tc>
        <w:tc>
          <w:tcPr>
            <w:tcW w:w="4287" w:type="pct"/>
            <w:vAlign w:val="center"/>
          </w:tcPr>
          <w:p w14:paraId="5C3784FF">
            <w:pPr>
              <w:spacing w:line="400" w:lineRule="exact"/>
              <w:jc w:val="center"/>
              <w:rPr>
                <w:rFonts w:hint="eastAsia" w:ascii="宋体" w:hAnsi="宋体" w:cs="宋体"/>
                <w:b/>
                <w:szCs w:val="21"/>
              </w:rPr>
            </w:pPr>
            <w:r>
              <w:rPr>
                <w:rFonts w:hint="eastAsia" w:ascii="宋体" w:hAnsi="宋体" w:cs="宋体"/>
                <w:b/>
                <w:szCs w:val="21"/>
              </w:rPr>
              <w:t>约定内容</w:t>
            </w:r>
          </w:p>
        </w:tc>
      </w:tr>
      <w:tr w14:paraId="409B6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6" w:hRule="atLeast"/>
        </w:trPr>
        <w:tc>
          <w:tcPr>
            <w:tcW w:w="712" w:type="pct"/>
            <w:tcBorders>
              <w:left w:val="single" w:color="auto" w:sz="4" w:space="0"/>
            </w:tcBorders>
            <w:vAlign w:val="center"/>
          </w:tcPr>
          <w:p w14:paraId="7432CA2B">
            <w:pPr>
              <w:spacing w:line="400" w:lineRule="exact"/>
              <w:jc w:val="center"/>
              <w:rPr>
                <w:rFonts w:hint="eastAsia" w:ascii="宋体" w:hAnsi="宋体" w:cs="宋体"/>
                <w:szCs w:val="21"/>
              </w:rPr>
            </w:pPr>
            <w:r>
              <w:rPr>
                <w:rFonts w:hint="eastAsia" w:ascii="宋体" w:hAnsi="宋体" w:cs="宋体"/>
                <w:szCs w:val="21"/>
              </w:rPr>
              <w:t>1.4.2</w:t>
            </w:r>
          </w:p>
        </w:tc>
        <w:tc>
          <w:tcPr>
            <w:tcW w:w="4287" w:type="pct"/>
            <w:vAlign w:val="center"/>
          </w:tcPr>
          <w:p w14:paraId="5B82B660">
            <w:pPr>
              <w:spacing w:line="400" w:lineRule="exact"/>
              <w:rPr>
                <w:rFonts w:hint="eastAsia" w:ascii="宋体" w:hAnsi="宋体" w:cs="宋体"/>
                <w:szCs w:val="21"/>
              </w:rPr>
            </w:pPr>
            <w:r>
              <w:rPr>
                <w:rFonts w:hint="eastAsia" w:ascii="宋体" w:hAnsi="宋体" w:cs="宋体"/>
                <w:szCs w:val="21"/>
              </w:rPr>
              <w:t>/</w:t>
            </w:r>
          </w:p>
        </w:tc>
      </w:tr>
      <w:tr w14:paraId="1DB7FB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7" w:hRule="atLeast"/>
        </w:trPr>
        <w:tc>
          <w:tcPr>
            <w:tcW w:w="712" w:type="pct"/>
            <w:tcBorders>
              <w:left w:val="single" w:color="auto" w:sz="4" w:space="0"/>
            </w:tcBorders>
            <w:vAlign w:val="center"/>
          </w:tcPr>
          <w:p w14:paraId="2549D541">
            <w:pPr>
              <w:spacing w:line="400" w:lineRule="exact"/>
              <w:jc w:val="center"/>
              <w:rPr>
                <w:rFonts w:hint="eastAsia" w:ascii="宋体" w:hAnsi="宋体" w:cs="宋体"/>
                <w:szCs w:val="21"/>
              </w:rPr>
            </w:pPr>
            <w:r>
              <w:rPr>
                <w:rFonts w:hint="eastAsia" w:ascii="宋体" w:hAnsi="宋体" w:cs="宋体"/>
                <w:szCs w:val="21"/>
              </w:rPr>
              <w:t>1.5.1</w:t>
            </w:r>
          </w:p>
        </w:tc>
        <w:tc>
          <w:tcPr>
            <w:tcW w:w="4287" w:type="pct"/>
            <w:vAlign w:val="center"/>
          </w:tcPr>
          <w:p w14:paraId="1C86EAD1">
            <w:pPr>
              <w:numPr>
                <w:ilvl w:val="0"/>
                <w:numId w:val="41"/>
              </w:numPr>
              <w:snapToGrid w:val="0"/>
              <w:spacing w:line="400" w:lineRule="exact"/>
              <w:rPr>
                <w:rFonts w:ascii="Arial" w:hAnsi="Arial" w:cs="Arial"/>
                <w:szCs w:val="21"/>
              </w:rPr>
            </w:pPr>
            <w:r>
              <w:rPr>
                <w:rFonts w:hint="eastAsia" w:ascii="Arial" w:hAnsi="Arial" w:cs="Arial"/>
                <w:szCs w:val="21"/>
              </w:rPr>
              <w:t>预付款：在合同生效以及具备实施条件后7个工作日内支付，采购人向中标人支付合同总额40％（供应商明确表示降低或放弃预付款的可不受此限）；</w:t>
            </w:r>
          </w:p>
          <w:p w14:paraId="7EEB2359">
            <w:pPr>
              <w:pStyle w:val="43"/>
              <w:shd w:val="clear" w:color="auto" w:fill="FFFFFF"/>
              <w:spacing w:after="0" w:line="500" w:lineRule="exact"/>
              <w:ind w:left="0" w:leftChars="0" w:firstLine="0" w:firstLineChars="0"/>
              <w:rPr>
                <w:rFonts w:hint="eastAsia" w:ascii="宋体" w:hAnsi="宋体" w:cs="宋体"/>
                <w:szCs w:val="21"/>
                <w:lang w:val="zh-TW"/>
              </w:rPr>
            </w:pPr>
            <w:r>
              <w:rPr>
                <w:rFonts w:hint="eastAsia" w:ascii="Arial" w:hAnsi="Arial" w:cs="Arial"/>
                <w:szCs w:val="21"/>
              </w:rPr>
              <w:t>2、货到安装调试、试运行并通过采购人验收合格后7个工作日内，采购人支付至合同总价的100%（凭</w:t>
            </w:r>
            <w:r>
              <w:rPr>
                <w:rFonts w:hint="eastAsia" w:ascii="Arial" w:hAnsi="Arial" w:cs="Arial"/>
                <w:szCs w:val="21"/>
                <w:lang w:val="en-US" w:eastAsia="zh-CN"/>
              </w:rPr>
              <w:t>正规</w:t>
            </w:r>
            <w:r>
              <w:rPr>
                <w:rFonts w:hint="eastAsia" w:ascii="Arial" w:hAnsi="Arial" w:cs="Arial"/>
                <w:szCs w:val="21"/>
              </w:rPr>
              <w:t>发票）。</w:t>
            </w:r>
          </w:p>
        </w:tc>
      </w:tr>
      <w:tr w14:paraId="2D300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6" w:hRule="atLeast"/>
        </w:trPr>
        <w:tc>
          <w:tcPr>
            <w:tcW w:w="712" w:type="pct"/>
            <w:tcBorders>
              <w:left w:val="single" w:color="auto" w:sz="4" w:space="0"/>
            </w:tcBorders>
            <w:vAlign w:val="center"/>
          </w:tcPr>
          <w:p w14:paraId="3645B10A">
            <w:pPr>
              <w:spacing w:line="400" w:lineRule="exact"/>
              <w:jc w:val="center"/>
              <w:rPr>
                <w:rFonts w:hint="eastAsia" w:ascii="宋体" w:hAnsi="宋体" w:cs="宋体"/>
                <w:szCs w:val="21"/>
              </w:rPr>
            </w:pPr>
            <w:r>
              <w:rPr>
                <w:rFonts w:hint="eastAsia" w:ascii="宋体" w:hAnsi="宋体" w:cs="宋体"/>
                <w:szCs w:val="21"/>
              </w:rPr>
              <w:t>1.5.2</w:t>
            </w:r>
          </w:p>
        </w:tc>
        <w:tc>
          <w:tcPr>
            <w:tcW w:w="4287" w:type="pct"/>
            <w:vAlign w:val="center"/>
          </w:tcPr>
          <w:p w14:paraId="2AA5941E">
            <w:pPr>
              <w:spacing w:line="400" w:lineRule="exact"/>
              <w:rPr>
                <w:rFonts w:hint="eastAsia" w:ascii="宋体" w:hAnsi="宋体" w:cs="宋体"/>
                <w:szCs w:val="21"/>
              </w:rPr>
            </w:pPr>
            <w:r>
              <w:rPr>
                <w:rFonts w:hint="eastAsia" w:ascii="宋体" w:hAnsi="宋体" w:cs="宋体"/>
                <w:szCs w:val="21"/>
              </w:rPr>
              <w:t>/</w:t>
            </w:r>
          </w:p>
        </w:tc>
      </w:tr>
      <w:tr w14:paraId="233DC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6" w:hRule="atLeast"/>
        </w:trPr>
        <w:tc>
          <w:tcPr>
            <w:tcW w:w="712" w:type="pct"/>
            <w:tcBorders>
              <w:left w:val="single" w:color="auto" w:sz="4" w:space="0"/>
            </w:tcBorders>
            <w:vAlign w:val="center"/>
          </w:tcPr>
          <w:p w14:paraId="25AF3FAB">
            <w:pPr>
              <w:spacing w:line="400" w:lineRule="exact"/>
              <w:jc w:val="center"/>
              <w:rPr>
                <w:rFonts w:hint="eastAsia" w:ascii="宋体" w:hAnsi="宋体" w:cs="宋体"/>
                <w:szCs w:val="21"/>
              </w:rPr>
            </w:pPr>
            <w:r>
              <w:rPr>
                <w:rFonts w:hint="eastAsia" w:ascii="宋体" w:hAnsi="宋体" w:cs="宋体"/>
                <w:szCs w:val="21"/>
              </w:rPr>
              <w:t>1.5.3</w:t>
            </w:r>
          </w:p>
        </w:tc>
        <w:tc>
          <w:tcPr>
            <w:tcW w:w="4287" w:type="pct"/>
            <w:vAlign w:val="center"/>
          </w:tcPr>
          <w:p w14:paraId="4F2A4249">
            <w:pPr>
              <w:spacing w:line="400" w:lineRule="exact"/>
              <w:rPr>
                <w:rFonts w:hint="eastAsia" w:ascii="宋体" w:hAnsi="宋体" w:cs="宋体"/>
                <w:szCs w:val="21"/>
              </w:rPr>
            </w:pPr>
            <w:r>
              <w:rPr>
                <w:rFonts w:hint="eastAsia" w:ascii="宋体" w:hAnsi="宋体" w:cs="宋体"/>
                <w:szCs w:val="21"/>
              </w:rPr>
              <w:t>/</w:t>
            </w:r>
          </w:p>
        </w:tc>
      </w:tr>
      <w:tr w14:paraId="3F65A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6" w:hRule="atLeast"/>
        </w:trPr>
        <w:tc>
          <w:tcPr>
            <w:tcW w:w="712" w:type="pct"/>
            <w:tcBorders>
              <w:left w:val="single" w:color="auto" w:sz="4" w:space="0"/>
            </w:tcBorders>
            <w:vAlign w:val="center"/>
          </w:tcPr>
          <w:p w14:paraId="1457E6F3">
            <w:pPr>
              <w:spacing w:line="400" w:lineRule="exact"/>
              <w:jc w:val="center"/>
              <w:rPr>
                <w:rFonts w:hint="eastAsia" w:ascii="宋体" w:hAnsi="宋体" w:cs="宋体"/>
                <w:szCs w:val="21"/>
              </w:rPr>
            </w:pPr>
            <w:r>
              <w:rPr>
                <w:rFonts w:hint="eastAsia" w:ascii="宋体" w:hAnsi="宋体" w:cs="宋体"/>
                <w:szCs w:val="21"/>
              </w:rPr>
              <w:t>1.6.2</w:t>
            </w:r>
          </w:p>
        </w:tc>
        <w:tc>
          <w:tcPr>
            <w:tcW w:w="4287" w:type="pct"/>
            <w:vAlign w:val="center"/>
          </w:tcPr>
          <w:p w14:paraId="0B43B439">
            <w:pPr>
              <w:spacing w:line="400" w:lineRule="exact"/>
              <w:rPr>
                <w:rFonts w:hint="eastAsia" w:ascii="宋体" w:hAnsi="宋体" w:cs="宋体"/>
                <w:szCs w:val="21"/>
              </w:rPr>
            </w:pPr>
          </w:p>
        </w:tc>
      </w:tr>
      <w:tr w14:paraId="6A4D3E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6" w:hRule="atLeast"/>
        </w:trPr>
        <w:tc>
          <w:tcPr>
            <w:tcW w:w="712" w:type="pct"/>
            <w:tcBorders>
              <w:left w:val="single" w:color="auto" w:sz="4" w:space="0"/>
            </w:tcBorders>
            <w:vAlign w:val="center"/>
          </w:tcPr>
          <w:p w14:paraId="3AD7A20E">
            <w:pPr>
              <w:spacing w:line="400" w:lineRule="exact"/>
              <w:jc w:val="center"/>
              <w:rPr>
                <w:rFonts w:hint="eastAsia" w:ascii="宋体" w:hAnsi="宋体" w:cs="宋体"/>
                <w:szCs w:val="21"/>
              </w:rPr>
            </w:pPr>
            <w:r>
              <w:rPr>
                <w:rFonts w:hint="eastAsia" w:ascii="宋体" w:hAnsi="宋体" w:cs="宋体"/>
                <w:szCs w:val="21"/>
              </w:rPr>
              <w:t>1.7.1</w:t>
            </w:r>
          </w:p>
        </w:tc>
        <w:tc>
          <w:tcPr>
            <w:tcW w:w="4287" w:type="pct"/>
            <w:vAlign w:val="center"/>
          </w:tcPr>
          <w:p w14:paraId="7D70C547">
            <w:pPr>
              <w:spacing w:line="400" w:lineRule="exact"/>
              <w:rPr>
                <w:rFonts w:hint="eastAsia" w:ascii="宋体" w:hAnsi="宋体" w:cs="宋体"/>
                <w:szCs w:val="21"/>
              </w:rPr>
            </w:pPr>
            <w:r>
              <w:rPr>
                <w:rFonts w:hint="eastAsia" w:ascii="Arial" w:hAnsi="Arial"/>
                <w:szCs w:val="22"/>
              </w:rPr>
              <w:t>签订合同且具备实施条件后30个工作日</w:t>
            </w:r>
            <w:r>
              <w:rPr>
                <w:rFonts w:hint="eastAsia" w:ascii="Arial" w:hAnsi="Arial" w:cs="宋体"/>
                <w:bCs/>
                <w:szCs w:val="21"/>
              </w:rPr>
              <w:t>完成供货安装调试</w:t>
            </w:r>
            <w:r>
              <w:rPr>
                <w:rFonts w:hint="eastAsia" w:ascii="宋体" w:hAnsi="宋体"/>
                <w:szCs w:val="21"/>
              </w:rPr>
              <w:t>。</w:t>
            </w:r>
          </w:p>
        </w:tc>
      </w:tr>
      <w:tr w14:paraId="13E927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6" w:hRule="atLeast"/>
        </w:trPr>
        <w:tc>
          <w:tcPr>
            <w:tcW w:w="712" w:type="pct"/>
            <w:tcBorders>
              <w:left w:val="single" w:color="auto" w:sz="4" w:space="0"/>
            </w:tcBorders>
            <w:vAlign w:val="center"/>
          </w:tcPr>
          <w:p w14:paraId="30753B1C">
            <w:pPr>
              <w:spacing w:line="400" w:lineRule="exact"/>
              <w:jc w:val="center"/>
              <w:rPr>
                <w:rFonts w:hint="eastAsia" w:ascii="宋体" w:hAnsi="宋体" w:cs="宋体"/>
                <w:szCs w:val="21"/>
              </w:rPr>
            </w:pPr>
            <w:r>
              <w:rPr>
                <w:rFonts w:hint="eastAsia" w:ascii="宋体" w:hAnsi="宋体" w:cs="宋体"/>
                <w:szCs w:val="21"/>
              </w:rPr>
              <w:t>1.7.2</w:t>
            </w:r>
          </w:p>
        </w:tc>
        <w:tc>
          <w:tcPr>
            <w:tcW w:w="4287" w:type="pct"/>
            <w:vAlign w:val="center"/>
          </w:tcPr>
          <w:p w14:paraId="1C696F8D">
            <w:pPr>
              <w:spacing w:line="400" w:lineRule="exact"/>
              <w:rPr>
                <w:rFonts w:hint="eastAsia" w:ascii="宋体" w:hAnsi="宋体" w:cs="宋体"/>
                <w:szCs w:val="21"/>
              </w:rPr>
            </w:pPr>
            <w:r>
              <w:rPr>
                <w:rFonts w:hint="eastAsia" w:ascii="宋体" w:hAnsi="宋体" w:cs="宋体"/>
                <w:szCs w:val="21"/>
              </w:rPr>
              <w:t>甲方指定学校内。</w:t>
            </w:r>
          </w:p>
        </w:tc>
      </w:tr>
      <w:tr w14:paraId="76AF3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6" w:hRule="atLeast"/>
        </w:trPr>
        <w:tc>
          <w:tcPr>
            <w:tcW w:w="712" w:type="pct"/>
            <w:tcBorders>
              <w:left w:val="single" w:color="auto" w:sz="4" w:space="0"/>
            </w:tcBorders>
            <w:vAlign w:val="center"/>
          </w:tcPr>
          <w:p w14:paraId="729F0FF4">
            <w:pPr>
              <w:spacing w:line="400" w:lineRule="exact"/>
              <w:jc w:val="center"/>
              <w:rPr>
                <w:rFonts w:hint="eastAsia" w:ascii="宋体" w:hAnsi="宋体" w:cs="宋体"/>
                <w:szCs w:val="21"/>
              </w:rPr>
            </w:pPr>
            <w:r>
              <w:rPr>
                <w:rFonts w:hint="eastAsia" w:ascii="宋体" w:hAnsi="宋体" w:cs="宋体"/>
                <w:szCs w:val="21"/>
              </w:rPr>
              <w:t>1.7.3</w:t>
            </w:r>
          </w:p>
        </w:tc>
        <w:tc>
          <w:tcPr>
            <w:tcW w:w="4287" w:type="pct"/>
            <w:vAlign w:val="center"/>
          </w:tcPr>
          <w:p w14:paraId="5B340BA2">
            <w:pPr>
              <w:spacing w:line="400" w:lineRule="exact"/>
              <w:rPr>
                <w:rFonts w:hint="eastAsia" w:ascii="宋体" w:hAnsi="宋体" w:cs="宋体"/>
                <w:szCs w:val="21"/>
              </w:rPr>
            </w:pPr>
            <w:r>
              <w:rPr>
                <w:rFonts w:hint="eastAsia" w:ascii="宋体" w:hAnsi="宋体" w:cs="宋体"/>
                <w:szCs w:val="21"/>
              </w:rPr>
              <w:t>满足甲方要求，现场交货。</w:t>
            </w:r>
          </w:p>
        </w:tc>
      </w:tr>
      <w:tr w14:paraId="5F00E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6" w:hRule="atLeast"/>
        </w:trPr>
        <w:tc>
          <w:tcPr>
            <w:tcW w:w="712" w:type="pct"/>
            <w:tcBorders>
              <w:left w:val="single" w:color="auto" w:sz="4" w:space="0"/>
            </w:tcBorders>
            <w:vAlign w:val="center"/>
          </w:tcPr>
          <w:p w14:paraId="3B47EDF8">
            <w:pPr>
              <w:spacing w:line="400" w:lineRule="exact"/>
              <w:jc w:val="center"/>
              <w:rPr>
                <w:rFonts w:hint="eastAsia" w:ascii="宋体" w:hAnsi="宋体" w:cs="宋体"/>
                <w:szCs w:val="21"/>
              </w:rPr>
            </w:pPr>
            <w:r>
              <w:rPr>
                <w:rFonts w:hint="eastAsia" w:ascii="宋体" w:hAnsi="宋体" w:cs="宋体"/>
                <w:szCs w:val="21"/>
              </w:rPr>
              <w:t>1.8.3</w:t>
            </w:r>
          </w:p>
        </w:tc>
        <w:tc>
          <w:tcPr>
            <w:tcW w:w="4287" w:type="pct"/>
            <w:vAlign w:val="center"/>
          </w:tcPr>
          <w:p w14:paraId="51810DF2">
            <w:pPr>
              <w:spacing w:line="400" w:lineRule="exact"/>
              <w:rPr>
                <w:rFonts w:hint="eastAsia" w:ascii="宋体" w:hAnsi="宋体" w:cs="宋体"/>
                <w:szCs w:val="21"/>
              </w:rPr>
            </w:pPr>
            <w:r>
              <w:rPr>
                <w:rFonts w:hint="eastAsia" w:ascii="宋体" w:hAnsi="宋体" w:cs="宋体"/>
                <w:szCs w:val="21"/>
              </w:rPr>
              <w:t>/</w:t>
            </w:r>
          </w:p>
        </w:tc>
      </w:tr>
      <w:tr w14:paraId="6D18D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6" w:hRule="atLeast"/>
        </w:trPr>
        <w:tc>
          <w:tcPr>
            <w:tcW w:w="712" w:type="pct"/>
            <w:tcBorders>
              <w:left w:val="single" w:color="auto" w:sz="4" w:space="0"/>
            </w:tcBorders>
            <w:vAlign w:val="center"/>
          </w:tcPr>
          <w:p w14:paraId="40DEFD65">
            <w:pPr>
              <w:spacing w:line="400" w:lineRule="exact"/>
              <w:jc w:val="center"/>
              <w:rPr>
                <w:rFonts w:hint="eastAsia" w:ascii="宋体" w:hAnsi="宋体" w:cs="宋体"/>
                <w:szCs w:val="21"/>
              </w:rPr>
            </w:pPr>
            <w:r>
              <w:rPr>
                <w:rFonts w:hint="eastAsia" w:ascii="宋体" w:hAnsi="宋体" w:cs="宋体"/>
                <w:szCs w:val="21"/>
              </w:rPr>
              <w:t>1.9.2</w:t>
            </w:r>
          </w:p>
        </w:tc>
        <w:tc>
          <w:tcPr>
            <w:tcW w:w="4287" w:type="pct"/>
            <w:vAlign w:val="center"/>
          </w:tcPr>
          <w:p w14:paraId="45ABDBB7">
            <w:pPr>
              <w:spacing w:line="400" w:lineRule="exact"/>
              <w:rPr>
                <w:rFonts w:hint="eastAsia" w:ascii="宋体" w:hAnsi="宋体" w:cs="宋体"/>
                <w:szCs w:val="21"/>
              </w:rPr>
            </w:pPr>
            <w:r>
              <w:rPr>
                <w:rFonts w:hint="eastAsia" w:ascii="宋体" w:hAnsi="宋体" w:cs="宋体"/>
                <w:szCs w:val="21"/>
              </w:rPr>
              <w:t>宁波市象山县。</w:t>
            </w:r>
          </w:p>
        </w:tc>
      </w:tr>
      <w:tr w14:paraId="7BBBF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6" w:hRule="atLeast"/>
        </w:trPr>
        <w:tc>
          <w:tcPr>
            <w:tcW w:w="712" w:type="pct"/>
            <w:tcBorders>
              <w:left w:val="single" w:color="auto" w:sz="4" w:space="0"/>
            </w:tcBorders>
            <w:vAlign w:val="center"/>
          </w:tcPr>
          <w:p w14:paraId="6CB0FCFA">
            <w:pPr>
              <w:spacing w:line="400" w:lineRule="exact"/>
              <w:jc w:val="center"/>
              <w:rPr>
                <w:rFonts w:hint="eastAsia" w:ascii="宋体" w:hAnsi="宋体" w:cs="宋体"/>
                <w:szCs w:val="21"/>
              </w:rPr>
            </w:pPr>
            <w:r>
              <w:rPr>
                <w:rFonts w:hint="eastAsia" w:ascii="宋体" w:hAnsi="宋体" w:cs="宋体"/>
                <w:szCs w:val="21"/>
              </w:rPr>
              <w:t>2.3.2</w:t>
            </w:r>
          </w:p>
        </w:tc>
        <w:tc>
          <w:tcPr>
            <w:tcW w:w="4287" w:type="pct"/>
            <w:vAlign w:val="center"/>
          </w:tcPr>
          <w:p w14:paraId="5CE5ECD8">
            <w:pPr>
              <w:spacing w:line="400" w:lineRule="exact"/>
              <w:ind w:left="-420" w:leftChars="-200" w:right="-420" w:rightChars="-200" w:firstLine="420" w:firstLineChars="200"/>
              <w:rPr>
                <w:rFonts w:hint="eastAsia" w:ascii="宋体" w:hAnsi="宋体" w:cs="宋体"/>
                <w:szCs w:val="21"/>
              </w:rPr>
            </w:pPr>
            <w:r>
              <w:rPr>
                <w:rFonts w:hint="eastAsia" w:ascii="宋体" w:hAnsi="宋体" w:cs="宋体"/>
                <w:szCs w:val="21"/>
              </w:rPr>
              <w:t>归甲方所有。</w:t>
            </w:r>
          </w:p>
        </w:tc>
      </w:tr>
      <w:tr w14:paraId="506D3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6" w:hRule="atLeast"/>
        </w:trPr>
        <w:tc>
          <w:tcPr>
            <w:tcW w:w="712" w:type="pct"/>
            <w:tcBorders>
              <w:left w:val="single" w:color="auto" w:sz="4" w:space="0"/>
            </w:tcBorders>
            <w:vAlign w:val="center"/>
          </w:tcPr>
          <w:p w14:paraId="74BACAD1">
            <w:pPr>
              <w:spacing w:line="400" w:lineRule="exact"/>
              <w:jc w:val="center"/>
              <w:rPr>
                <w:rFonts w:hint="eastAsia" w:ascii="宋体" w:hAnsi="宋体" w:cs="宋体"/>
                <w:szCs w:val="21"/>
              </w:rPr>
            </w:pPr>
            <w:r>
              <w:rPr>
                <w:rFonts w:hint="eastAsia" w:ascii="宋体" w:hAnsi="宋体" w:cs="宋体"/>
                <w:szCs w:val="21"/>
              </w:rPr>
              <w:t>2.4.1</w:t>
            </w:r>
          </w:p>
        </w:tc>
        <w:tc>
          <w:tcPr>
            <w:tcW w:w="4287" w:type="pct"/>
            <w:vAlign w:val="center"/>
          </w:tcPr>
          <w:p w14:paraId="3D03A8BD">
            <w:pPr>
              <w:spacing w:line="400" w:lineRule="exact"/>
              <w:ind w:left="-420" w:leftChars="-200" w:right="-420" w:rightChars="-200" w:firstLine="420" w:firstLineChars="200"/>
              <w:rPr>
                <w:rFonts w:hint="eastAsia" w:ascii="宋体" w:hAnsi="宋体" w:cs="宋体"/>
                <w:szCs w:val="21"/>
              </w:rPr>
            </w:pPr>
            <w:r>
              <w:rPr>
                <w:rFonts w:hint="eastAsia" w:ascii="宋体" w:hAnsi="宋体" w:cs="宋体"/>
                <w:szCs w:val="21"/>
              </w:rPr>
              <w:t>/</w:t>
            </w:r>
          </w:p>
        </w:tc>
      </w:tr>
      <w:tr w14:paraId="2E401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6" w:hRule="atLeast"/>
        </w:trPr>
        <w:tc>
          <w:tcPr>
            <w:tcW w:w="712" w:type="pct"/>
            <w:tcBorders>
              <w:left w:val="single" w:color="auto" w:sz="4" w:space="0"/>
            </w:tcBorders>
            <w:vAlign w:val="center"/>
          </w:tcPr>
          <w:p w14:paraId="098C5847">
            <w:pPr>
              <w:spacing w:line="400" w:lineRule="exact"/>
              <w:jc w:val="center"/>
              <w:rPr>
                <w:rFonts w:hint="eastAsia" w:ascii="宋体" w:hAnsi="宋体" w:cs="宋体"/>
                <w:szCs w:val="21"/>
              </w:rPr>
            </w:pPr>
            <w:r>
              <w:rPr>
                <w:rFonts w:hint="eastAsia" w:ascii="宋体" w:hAnsi="宋体" w:cs="宋体"/>
                <w:szCs w:val="21"/>
              </w:rPr>
              <w:t>2.4.3</w:t>
            </w:r>
          </w:p>
        </w:tc>
        <w:tc>
          <w:tcPr>
            <w:tcW w:w="4287" w:type="pct"/>
            <w:vAlign w:val="center"/>
          </w:tcPr>
          <w:p w14:paraId="68235350">
            <w:pPr>
              <w:spacing w:line="400" w:lineRule="exact"/>
              <w:rPr>
                <w:rFonts w:hint="eastAsia" w:ascii="宋体" w:hAnsi="宋体" w:cs="宋体"/>
                <w:szCs w:val="21"/>
              </w:rPr>
            </w:pPr>
            <w:r>
              <w:rPr>
                <w:rFonts w:hint="eastAsia" w:ascii="宋体" w:hAnsi="宋体" w:cs="宋体"/>
                <w:szCs w:val="21"/>
              </w:rPr>
              <w:t>满足甲方要求。</w:t>
            </w:r>
          </w:p>
        </w:tc>
      </w:tr>
      <w:tr w14:paraId="431A3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6" w:hRule="atLeast"/>
        </w:trPr>
        <w:tc>
          <w:tcPr>
            <w:tcW w:w="712" w:type="pct"/>
            <w:tcBorders>
              <w:left w:val="single" w:color="auto" w:sz="4" w:space="0"/>
            </w:tcBorders>
          </w:tcPr>
          <w:p w14:paraId="6B691125">
            <w:pPr>
              <w:spacing w:line="400" w:lineRule="exact"/>
              <w:jc w:val="center"/>
              <w:rPr>
                <w:rFonts w:hint="eastAsia" w:ascii="宋体" w:hAnsi="宋体" w:cs="宋体"/>
                <w:szCs w:val="21"/>
              </w:rPr>
            </w:pPr>
            <w:r>
              <w:rPr>
                <w:rFonts w:hint="eastAsia" w:ascii="宋体" w:hAnsi="宋体" w:cs="宋体"/>
                <w:szCs w:val="21"/>
              </w:rPr>
              <w:t>2.8</w:t>
            </w:r>
          </w:p>
        </w:tc>
        <w:tc>
          <w:tcPr>
            <w:tcW w:w="4287" w:type="pct"/>
          </w:tcPr>
          <w:p w14:paraId="38C39AE6">
            <w:pPr>
              <w:spacing w:line="400" w:lineRule="exact"/>
              <w:rPr>
                <w:rFonts w:hint="eastAsia" w:ascii="宋体" w:hAnsi="宋体" w:cs="宋体"/>
                <w:szCs w:val="21"/>
              </w:rPr>
            </w:pPr>
            <w:r>
              <w:rPr>
                <w:rFonts w:hint="eastAsia" w:ascii="宋体" w:hAnsi="宋体" w:cs="宋体"/>
                <w:szCs w:val="21"/>
              </w:rPr>
              <w:t>责任方承担。</w:t>
            </w:r>
          </w:p>
        </w:tc>
      </w:tr>
      <w:tr w14:paraId="55B31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6" w:hRule="atLeast"/>
        </w:trPr>
        <w:tc>
          <w:tcPr>
            <w:tcW w:w="712" w:type="pct"/>
            <w:tcBorders>
              <w:left w:val="single" w:color="auto" w:sz="4" w:space="0"/>
            </w:tcBorders>
            <w:vAlign w:val="center"/>
          </w:tcPr>
          <w:p w14:paraId="5FC0E092">
            <w:pPr>
              <w:spacing w:line="400" w:lineRule="exact"/>
              <w:jc w:val="center"/>
              <w:rPr>
                <w:rFonts w:hint="eastAsia" w:ascii="宋体" w:hAnsi="宋体" w:cs="宋体"/>
                <w:szCs w:val="21"/>
              </w:rPr>
            </w:pPr>
            <w:r>
              <w:rPr>
                <w:rFonts w:hint="eastAsia" w:ascii="宋体" w:hAnsi="宋体" w:cs="宋体"/>
                <w:szCs w:val="21"/>
              </w:rPr>
              <w:t>2.12.3</w:t>
            </w:r>
          </w:p>
        </w:tc>
        <w:tc>
          <w:tcPr>
            <w:tcW w:w="4287" w:type="pct"/>
            <w:vAlign w:val="center"/>
          </w:tcPr>
          <w:p w14:paraId="0574321C">
            <w:pPr>
              <w:spacing w:line="400" w:lineRule="exact"/>
              <w:rPr>
                <w:rFonts w:hint="eastAsia" w:ascii="宋体" w:hAnsi="宋体" w:cs="宋体"/>
                <w:szCs w:val="21"/>
              </w:rPr>
            </w:pPr>
            <w:r>
              <w:rPr>
                <w:rFonts w:hint="eastAsia" w:ascii="宋体" w:hAnsi="宋体" w:cs="宋体"/>
                <w:szCs w:val="21"/>
              </w:rPr>
              <w:t>不可抗力时间发生后7天。</w:t>
            </w:r>
          </w:p>
        </w:tc>
      </w:tr>
      <w:tr w14:paraId="36539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6" w:hRule="atLeast"/>
        </w:trPr>
        <w:tc>
          <w:tcPr>
            <w:tcW w:w="712" w:type="pct"/>
            <w:tcBorders>
              <w:left w:val="single" w:color="auto" w:sz="4" w:space="0"/>
            </w:tcBorders>
            <w:vAlign w:val="center"/>
          </w:tcPr>
          <w:p w14:paraId="51F8FEA4">
            <w:pPr>
              <w:spacing w:line="400" w:lineRule="exact"/>
              <w:jc w:val="center"/>
              <w:rPr>
                <w:rFonts w:hint="eastAsia" w:ascii="宋体" w:hAnsi="宋体" w:cs="宋体"/>
                <w:szCs w:val="21"/>
              </w:rPr>
            </w:pPr>
            <w:r>
              <w:rPr>
                <w:rFonts w:hint="eastAsia" w:ascii="宋体" w:hAnsi="宋体" w:cs="宋体"/>
                <w:szCs w:val="21"/>
              </w:rPr>
              <w:t>2.12.4</w:t>
            </w:r>
          </w:p>
        </w:tc>
        <w:tc>
          <w:tcPr>
            <w:tcW w:w="4287" w:type="pct"/>
          </w:tcPr>
          <w:p w14:paraId="584DA8DA">
            <w:pPr>
              <w:spacing w:line="400" w:lineRule="exact"/>
              <w:rPr>
                <w:rFonts w:hint="eastAsia" w:ascii="宋体" w:hAnsi="宋体" w:cs="宋体"/>
                <w:szCs w:val="21"/>
              </w:rPr>
            </w:pPr>
            <w:r>
              <w:rPr>
                <w:rFonts w:hint="eastAsia" w:ascii="宋体" w:hAnsi="宋体" w:cs="宋体"/>
                <w:szCs w:val="21"/>
              </w:rPr>
              <w:t>不可抗力时间发生后7天。</w:t>
            </w:r>
          </w:p>
        </w:tc>
      </w:tr>
      <w:tr w14:paraId="7F3D3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6" w:hRule="atLeast"/>
        </w:trPr>
        <w:tc>
          <w:tcPr>
            <w:tcW w:w="712" w:type="pct"/>
            <w:tcBorders>
              <w:left w:val="single" w:color="auto" w:sz="4" w:space="0"/>
            </w:tcBorders>
            <w:vAlign w:val="center"/>
          </w:tcPr>
          <w:p w14:paraId="3F59184D">
            <w:pPr>
              <w:spacing w:line="400" w:lineRule="exact"/>
              <w:jc w:val="center"/>
              <w:rPr>
                <w:rFonts w:hint="eastAsia" w:ascii="宋体" w:hAnsi="宋体" w:cs="宋体"/>
                <w:szCs w:val="21"/>
              </w:rPr>
            </w:pPr>
            <w:r>
              <w:rPr>
                <w:rFonts w:hint="eastAsia" w:ascii="宋体" w:hAnsi="宋体" w:cs="宋体"/>
                <w:szCs w:val="21"/>
              </w:rPr>
              <w:t>2.16.1</w:t>
            </w:r>
          </w:p>
        </w:tc>
        <w:tc>
          <w:tcPr>
            <w:tcW w:w="4287" w:type="pct"/>
            <w:vAlign w:val="center"/>
          </w:tcPr>
          <w:p w14:paraId="58062819">
            <w:pPr>
              <w:spacing w:line="400" w:lineRule="exact"/>
              <w:rPr>
                <w:rFonts w:hint="eastAsia" w:ascii="宋体" w:hAnsi="宋体" w:cs="宋体"/>
                <w:szCs w:val="21"/>
              </w:rPr>
            </w:pPr>
            <w:r>
              <w:rPr>
                <w:rFonts w:hint="eastAsia" w:ascii="宋体" w:hAnsi="宋体" w:cs="宋体"/>
                <w:szCs w:val="21"/>
              </w:rPr>
              <w:t>以甲方约定为准。</w:t>
            </w:r>
          </w:p>
        </w:tc>
      </w:tr>
      <w:tr w14:paraId="5E99BB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78" w:hRule="atLeast"/>
        </w:trPr>
        <w:tc>
          <w:tcPr>
            <w:tcW w:w="712" w:type="pct"/>
            <w:tcBorders>
              <w:left w:val="single" w:color="auto" w:sz="4" w:space="0"/>
            </w:tcBorders>
            <w:vAlign w:val="center"/>
          </w:tcPr>
          <w:p w14:paraId="6A74C941">
            <w:pPr>
              <w:spacing w:line="400" w:lineRule="exact"/>
              <w:jc w:val="center"/>
              <w:rPr>
                <w:rFonts w:hint="eastAsia" w:ascii="宋体" w:hAnsi="宋体" w:cs="宋体"/>
                <w:szCs w:val="21"/>
              </w:rPr>
            </w:pPr>
            <w:r>
              <w:rPr>
                <w:rFonts w:hint="eastAsia" w:ascii="宋体" w:hAnsi="宋体" w:cs="宋体"/>
                <w:szCs w:val="21"/>
              </w:rPr>
              <w:t>2.16.3</w:t>
            </w:r>
          </w:p>
        </w:tc>
        <w:tc>
          <w:tcPr>
            <w:tcW w:w="4287" w:type="pct"/>
            <w:vAlign w:val="center"/>
          </w:tcPr>
          <w:p w14:paraId="1D59A7FE">
            <w:pPr>
              <w:spacing w:line="400" w:lineRule="exact"/>
              <w:rPr>
                <w:rFonts w:hint="eastAsia" w:ascii="宋体" w:hAnsi="宋体" w:cs="宋体"/>
                <w:szCs w:val="21"/>
              </w:rPr>
            </w:pPr>
            <w:r>
              <w:rPr>
                <w:rFonts w:hint="eastAsia" w:ascii="宋体" w:hAnsi="宋体" w:cs="宋体"/>
                <w:szCs w:val="21"/>
              </w:rPr>
              <w:t>1）验收标准：应与产品原始样本技术数据及标书技术文件一致，符合国家有关技术规范和技术标准。</w:t>
            </w:r>
          </w:p>
          <w:p w14:paraId="138E8BE6">
            <w:pPr>
              <w:spacing w:line="400" w:lineRule="exact"/>
              <w:rPr>
                <w:rFonts w:hint="eastAsia" w:ascii="宋体" w:hAnsi="宋体" w:cs="宋体"/>
                <w:szCs w:val="21"/>
              </w:rPr>
            </w:pPr>
            <w:r>
              <w:rPr>
                <w:rFonts w:hint="eastAsia" w:ascii="宋体" w:hAnsi="宋体" w:cs="宋体"/>
                <w:szCs w:val="21"/>
              </w:rPr>
              <w:t>2）安装、验收所产生的一切费用（包括卸货、搬运费等）由乙方负责。</w:t>
            </w:r>
          </w:p>
        </w:tc>
      </w:tr>
      <w:tr w14:paraId="30933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2" w:hRule="atLeast"/>
        </w:trPr>
        <w:tc>
          <w:tcPr>
            <w:tcW w:w="712" w:type="pct"/>
            <w:tcBorders>
              <w:left w:val="single" w:color="auto" w:sz="4" w:space="0"/>
            </w:tcBorders>
            <w:vAlign w:val="center"/>
          </w:tcPr>
          <w:p w14:paraId="4AAC2917">
            <w:pPr>
              <w:spacing w:line="400" w:lineRule="exact"/>
              <w:ind w:left="-420" w:leftChars="-200" w:right="-420" w:rightChars="-200" w:firstLine="840" w:firstLineChars="400"/>
              <w:rPr>
                <w:rFonts w:hint="eastAsia" w:ascii="宋体" w:hAnsi="宋体" w:cs="宋体"/>
                <w:szCs w:val="21"/>
              </w:rPr>
            </w:pPr>
            <w:r>
              <w:rPr>
                <w:rFonts w:hint="eastAsia" w:ascii="宋体" w:hAnsi="宋体" w:cs="宋体"/>
                <w:szCs w:val="21"/>
              </w:rPr>
              <w:t>2.20</w:t>
            </w:r>
          </w:p>
        </w:tc>
        <w:tc>
          <w:tcPr>
            <w:tcW w:w="4287" w:type="pct"/>
          </w:tcPr>
          <w:p w14:paraId="49B1443A">
            <w:pPr>
              <w:spacing w:line="400" w:lineRule="exact"/>
              <w:rPr>
                <w:rFonts w:hint="eastAsia" w:ascii="宋体" w:hAnsi="宋体" w:cs="宋体"/>
                <w:szCs w:val="21"/>
              </w:rPr>
            </w:pPr>
            <w:r>
              <w:rPr>
                <w:rFonts w:hint="eastAsia" w:ascii="宋体" w:hAnsi="宋体" w:cs="宋体"/>
                <w:szCs w:val="21"/>
              </w:rPr>
              <w:t>本合同一式</w:t>
            </w:r>
            <w:r>
              <w:rPr>
                <w:rFonts w:hint="eastAsia" w:ascii="宋体" w:hAnsi="宋体" w:cs="宋体"/>
                <w:szCs w:val="21"/>
                <w:u w:val="single"/>
              </w:rPr>
              <w:t xml:space="preserve">   </w:t>
            </w:r>
            <w:r>
              <w:rPr>
                <w:rFonts w:hint="eastAsia" w:ascii="宋体" w:hAnsi="宋体" w:cs="宋体"/>
                <w:szCs w:val="21"/>
              </w:rPr>
              <w:t>份，甲方执</w:t>
            </w:r>
            <w:r>
              <w:rPr>
                <w:rFonts w:hint="eastAsia" w:ascii="宋体" w:hAnsi="宋体" w:cs="宋体"/>
                <w:szCs w:val="21"/>
                <w:u w:val="single"/>
              </w:rPr>
              <w:t xml:space="preserve">   </w:t>
            </w:r>
            <w:r>
              <w:rPr>
                <w:rFonts w:hint="eastAsia" w:ascii="宋体" w:hAnsi="宋体" w:cs="宋体"/>
                <w:szCs w:val="21"/>
              </w:rPr>
              <w:t>份，乙方执</w:t>
            </w:r>
            <w:r>
              <w:rPr>
                <w:rFonts w:hint="eastAsia" w:ascii="宋体" w:hAnsi="宋体" w:cs="宋体"/>
                <w:szCs w:val="21"/>
                <w:u w:val="single"/>
              </w:rPr>
              <w:t xml:space="preserve">   </w:t>
            </w:r>
            <w:r>
              <w:rPr>
                <w:rFonts w:hint="eastAsia" w:ascii="宋体" w:hAnsi="宋体" w:cs="宋体"/>
                <w:szCs w:val="21"/>
              </w:rPr>
              <w:t>份。每份均具有同等法律效力。</w:t>
            </w:r>
          </w:p>
        </w:tc>
      </w:tr>
    </w:tbl>
    <w:p w14:paraId="1B71275D"/>
    <w:p w14:paraId="5EFFD514">
      <w:pPr>
        <w:pStyle w:val="15"/>
        <w:widowControl/>
        <w:spacing w:line="360" w:lineRule="auto"/>
        <w:ind w:firstLine="0"/>
        <w:jc w:val="left"/>
        <w:rPr>
          <w:rFonts w:hint="eastAsia" w:hAnsi="宋体"/>
        </w:rPr>
        <w:sectPr>
          <w:headerReference r:id="rId13" w:type="default"/>
          <w:footerReference r:id="rId14" w:type="default"/>
          <w:pgSz w:w="11905" w:h="16838"/>
          <w:pgMar w:top="1440" w:right="1803" w:bottom="1440" w:left="1803" w:header="283" w:footer="703" w:gutter="0"/>
          <w:cols w:space="720" w:num="1"/>
          <w:docGrid w:linePitch="285" w:charSpace="0"/>
        </w:sectPr>
      </w:pPr>
      <w:r>
        <w:rPr>
          <w:rFonts w:hint="eastAsia" w:hAnsi="宋体"/>
        </w:rPr>
        <w:t xml:space="preserve"> </w:t>
      </w:r>
    </w:p>
    <w:p w14:paraId="179E463F"/>
    <w:p w14:paraId="2DF99A88">
      <w:pPr>
        <w:spacing w:line="360" w:lineRule="auto"/>
        <w:jc w:val="center"/>
        <w:outlineLvl w:val="0"/>
        <w:rPr>
          <w:rFonts w:ascii="Arial" w:hAnsi="Arial" w:cs="宋体"/>
          <w:b/>
          <w:sz w:val="36"/>
          <w:szCs w:val="36"/>
        </w:rPr>
      </w:pPr>
      <w:bookmarkStart w:id="629" w:name="_Toc6401"/>
      <w:r>
        <w:rPr>
          <w:rFonts w:hint="eastAsia" w:ascii="Arial" w:hAnsi="Arial" w:cs="宋体"/>
          <w:b/>
          <w:sz w:val="36"/>
          <w:szCs w:val="36"/>
        </w:rPr>
        <w:t>第六章  投标文件格式</w:t>
      </w:r>
      <w:bookmarkEnd w:id="477"/>
      <w:bookmarkEnd w:id="478"/>
      <w:bookmarkEnd w:id="629"/>
    </w:p>
    <w:p w14:paraId="5BAA1D5C">
      <w:pPr>
        <w:snapToGrid w:val="0"/>
        <w:spacing w:line="360" w:lineRule="auto"/>
        <w:jc w:val="center"/>
        <w:rPr>
          <w:rFonts w:hint="eastAsia" w:ascii="宋体" w:hAnsi="宋体" w:cs="宋体"/>
          <w:b/>
          <w:bCs/>
          <w:sz w:val="28"/>
          <w:szCs w:val="28"/>
        </w:rPr>
      </w:pPr>
      <w:r>
        <w:rPr>
          <w:rFonts w:hint="eastAsia" w:ascii="宋体" w:hAnsi="宋体" w:cs="宋体"/>
          <w:b/>
          <w:bCs/>
          <w:sz w:val="28"/>
          <w:szCs w:val="28"/>
        </w:rPr>
        <w:t>一、资格文件</w:t>
      </w:r>
    </w:p>
    <w:p w14:paraId="283536FA">
      <w:pPr>
        <w:spacing w:line="44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（1）投标人资格声明函（格式见附件）；</w:t>
      </w:r>
    </w:p>
    <w:p w14:paraId="1C8AE585">
      <w:pPr>
        <w:spacing w:line="44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（2）有效的企业法人营业执照（或事业法人登记证）、其他组织（个体工商户）的营业执照或者民办非企业单位登记证书复印件（复印件加盖公章）；</w:t>
      </w:r>
    </w:p>
    <w:p w14:paraId="1793EAD9">
      <w:pPr>
        <w:spacing w:line="44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（3）本项目特定资格条件的证明文件（如有，提供复印件加盖公章）；</w:t>
      </w:r>
    </w:p>
    <w:p w14:paraId="20A53DE8">
      <w:pPr>
        <w:spacing w:line="44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（4）中小企业声明函（格式见附件），本项目为专门面向中小企业采购的项目，提供《中小企业声明函》。</w:t>
      </w:r>
    </w:p>
    <w:p w14:paraId="7E44B429">
      <w:pPr>
        <w:spacing w:line="44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（5）残疾人福利性单位声明函（如有，格式见附件）。</w:t>
      </w:r>
    </w:p>
    <w:p w14:paraId="2CC082A8">
      <w:pPr>
        <w:spacing w:line="440" w:lineRule="exact"/>
        <w:ind w:firstLine="420" w:firstLineChars="200"/>
        <w:rPr>
          <w:rFonts w:hint="eastAsia" w:ascii="宋体" w:hAnsi="宋体" w:cs="宋体"/>
          <w:sz w:val="21"/>
          <w:szCs w:val="21"/>
        </w:rPr>
      </w:pPr>
      <w:r>
        <w:rPr>
          <w:rFonts w:hint="eastAsia" w:ascii="宋体" w:hAnsi="宋体" w:cs="宋体"/>
          <w:color w:val="000000"/>
          <w:sz w:val="21"/>
          <w:szCs w:val="21"/>
        </w:rPr>
        <w:t>（6）监狱企业证明文件（如有）。</w:t>
      </w:r>
    </w:p>
    <w:p w14:paraId="706120F3">
      <w:pPr>
        <w:spacing w:line="440" w:lineRule="exact"/>
        <w:ind w:firstLine="420" w:firstLineChars="200"/>
        <w:rPr>
          <w:rFonts w:hint="eastAsia" w:ascii="宋体" w:hAnsi="宋体" w:cs="宋体"/>
          <w:color w:val="000000"/>
          <w:sz w:val="24"/>
        </w:rPr>
        <w:sectPr>
          <w:pgSz w:w="11907" w:h="16840"/>
          <w:pgMar w:top="1276" w:right="1474" w:bottom="1242" w:left="1474" w:header="720" w:footer="720" w:gutter="0"/>
          <w:cols w:space="720" w:num="1"/>
          <w:docGrid w:linePitch="285" w:charSpace="0"/>
        </w:sectPr>
      </w:pPr>
      <w:r>
        <w:rPr>
          <w:rFonts w:hint="eastAsia" w:ascii="宋体" w:hAnsi="宋体" w:cs="宋体"/>
          <w:color w:val="000000"/>
          <w:sz w:val="21"/>
          <w:szCs w:val="21"/>
        </w:rPr>
        <w:t>（7）采购文件要求的其他资格条件证明材料（如有）。</w:t>
      </w:r>
    </w:p>
    <w:p w14:paraId="5939F3C6">
      <w:pPr>
        <w:spacing w:line="320" w:lineRule="exact"/>
        <w:jc w:val="center"/>
        <w:rPr>
          <w:b/>
          <w:color w:val="000000"/>
          <w:sz w:val="32"/>
          <w:szCs w:val="32"/>
        </w:rPr>
      </w:pPr>
      <w:bookmarkStart w:id="630" w:name="_Toc275865606"/>
      <w:bookmarkStart w:id="631" w:name="_Toc460857946"/>
      <w:r>
        <w:rPr>
          <w:b/>
          <w:color w:val="000000"/>
          <w:sz w:val="32"/>
          <w:szCs w:val="32"/>
        </w:rPr>
        <w:t>投标人资格声明函</w:t>
      </w:r>
      <w:bookmarkEnd w:id="630"/>
    </w:p>
    <w:p w14:paraId="1F49E98B">
      <w:pPr>
        <w:rPr>
          <w:b/>
          <w:color w:val="000000"/>
        </w:rPr>
      </w:pPr>
    </w:p>
    <w:p w14:paraId="71914193">
      <w:pPr>
        <w:spacing w:before="120" w:beforeLines="50"/>
        <w:rPr>
          <w:b/>
          <w:color w:val="000000"/>
        </w:rPr>
      </w:pPr>
      <w:r>
        <w:rPr>
          <w:rFonts w:hint="eastAsia"/>
          <w:b/>
          <w:color w:val="000000"/>
        </w:rPr>
        <w:t>宁波慧泽工程管理咨询有限公司</w:t>
      </w:r>
      <w:r>
        <w:rPr>
          <w:b/>
          <w:color w:val="000000"/>
        </w:rPr>
        <w:t>：</w:t>
      </w:r>
    </w:p>
    <w:p w14:paraId="6C8D9A90">
      <w:pPr>
        <w:snapToGrid w:val="0"/>
        <w:spacing w:before="240" w:beforeLines="100" w:line="360" w:lineRule="auto"/>
        <w:ind w:firstLine="424" w:firstLineChars="202"/>
        <w:rPr>
          <w:color w:val="000000"/>
        </w:rPr>
      </w:pPr>
      <w:r>
        <w:rPr>
          <w:color w:val="000000"/>
        </w:rPr>
        <w:t>关于你贵司项目（项目编号：　　　  ）的采购公告，本公司（企业）愿意参加投标，并声明：</w:t>
      </w:r>
    </w:p>
    <w:p w14:paraId="0F6F7163">
      <w:pPr>
        <w:snapToGrid w:val="0"/>
        <w:spacing w:line="360" w:lineRule="auto"/>
        <w:ind w:firstLine="424" w:firstLineChars="202"/>
        <w:rPr>
          <w:color w:val="000000"/>
        </w:rPr>
      </w:pPr>
      <w:r>
        <w:rPr>
          <w:color w:val="000000"/>
        </w:rPr>
        <w:t>本公司（企业）具备</w:t>
      </w:r>
      <w:r>
        <w:rPr>
          <w:bCs/>
          <w:color w:val="000000"/>
          <w:szCs w:val="21"/>
        </w:rPr>
        <w:t>《中华人民共和国政府采购法》第二十二条资格条件，</w:t>
      </w:r>
      <w:r>
        <w:rPr>
          <w:color w:val="000000"/>
        </w:rPr>
        <w:t>并已清楚采购文件的要求及有关文件规定。</w:t>
      </w:r>
    </w:p>
    <w:p w14:paraId="415DAC2C">
      <w:pPr>
        <w:snapToGrid w:val="0"/>
        <w:spacing w:line="360" w:lineRule="auto"/>
        <w:ind w:firstLine="424" w:firstLineChars="202"/>
        <w:rPr>
          <w:color w:val="000000"/>
        </w:rPr>
      </w:pPr>
      <w:r>
        <w:rPr>
          <w:rFonts w:hint="eastAsia"/>
          <w:color w:val="000000"/>
        </w:rPr>
        <w:t>单位负责人为同一人或者存在直接控股、管理关系的不同投标人，不得参加同一合同项下的政府采购活动。为采购项目提供整体设计、规范编制或者项目管理、监理、检测等服务的供应商，不得再参加该采购项目的其他采购活动。</w:t>
      </w:r>
    </w:p>
    <w:p w14:paraId="41A2D938">
      <w:pPr>
        <w:snapToGrid w:val="0"/>
        <w:spacing w:line="360" w:lineRule="auto"/>
        <w:ind w:firstLine="424" w:firstLineChars="202"/>
        <w:rPr>
          <w:color w:val="000000"/>
        </w:rPr>
      </w:pPr>
      <w:r>
        <w:rPr>
          <w:color w:val="000000"/>
        </w:rPr>
        <w:t>根据《中华人民共和国政府采购法实施条例》的规定，本公司（企业）如为采购项目提供整体设计、规范编制或者项目管理、监理、检测等服务的供应商，不得再参加该采购项目的其他采购活动。否则，由此所造成的损失、不良后果及法律责任，一律由我公司（企业）承担。</w:t>
      </w:r>
    </w:p>
    <w:p w14:paraId="1F740CE4">
      <w:pPr>
        <w:snapToGrid w:val="0"/>
        <w:spacing w:line="360" w:lineRule="auto"/>
        <w:ind w:firstLine="426" w:firstLineChars="202"/>
        <w:rPr>
          <w:color w:val="000000"/>
        </w:rPr>
      </w:pPr>
      <w:r>
        <w:rPr>
          <w:b/>
          <w:color w:val="000000"/>
        </w:rPr>
        <w:t>本公司（企业）具有履行合同所必需的设备和专业技术能力，且本公司（企业）参加政府采购活动前3年内在经营活动中没有重大违法记录。</w:t>
      </w:r>
      <w:r>
        <w:rPr>
          <w:color w:val="000000"/>
        </w:rPr>
        <w:t>否则，由此所造成的损失、不良后果及法律责任，一律由我公司（企业）承担。</w:t>
      </w:r>
    </w:p>
    <w:p w14:paraId="421F4E9C">
      <w:pPr>
        <w:snapToGrid w:val="0"/>
        <w:spacing w:line="360" w:lineRule="auto"/>
        <w:ind w:firstLine="424" w:firstLineChars="202"/>
        <w:rPr>
          <w:color w:val="000000"/>
        </w:rPr>
      </w:pPr>
      <w:r>
        <w:rPr>
          <w:color w:val="000000"/>
        </w:rPr>
        <w:t>本次招标采购活动中，如有违法、违规、弄虚作假行为，所造成的损失、不良后果及法律责任，一律由我公司（企业）承担。</w:t>
      </w:r>
    </w:p>
    <w:p w14:paraId="461790F6">
      <w:pPr>
        <w:spacing w:line="360" w:lineRule="auto"/>
        <w:ind w:firstLine="420"/>
        <w:rPr>
          <w:b/>
          <w:color w:val="000000"/>
        </w:rPr>
      </w:pPr>
    </w:p>
    <w:p w14:paraId="1121027D">
      <w:pPr>
        <w:spacing w:line="360" w:lineRule="auto"/>
        <w:ind w:firstLine="420"/>
        <w:rPr>
          <w:b/>
          <w:color w:val="000000"/>
        </w:rPr>
      </w:pPr>
    </w:p>
    <w:p w14:paraId="3A693613">
      <w:pPr>
        <w:spacing w:line="360" w:lineRule="auto"/>
        <w:ind w:firstLine="420"/>
        <w:rPr>
          <w:b/>
          <w:color w:val="000000"/>
        </w:rPr>
      </w:pPr>
      <w:r>
        <w:rPr>
          <w:b/>
          <w:color w:val="000000"/>
        </w:rPr>
        <w:t>特此声明！</w:t>
      </w:r>
    </w:p>
    <w:p w14:paraId="714C475F">
      <w:pPr>
        <w:adjustRightInd w:val="0"/>
        <w:snapToGrid w:val="0"/>
        <w:spacing w:line="360" w:lineRule="auto"/>
        <w:ind w:left="425"/>
        <w:rPr>
          <w:color w:val="000000"/>
          <w:spacing w:val="4"/>
        </w:rPr>
      </w:pPr>
    </w:p>
    <w:p w14:paraId="165B0ADD">
      <w:pPr>
        <w:adjustRightInd w:val="0"/>
        <w:snapToGrid w:val="0"/>
        <w:spacing w:line="360" w:lineRule="auto"/>
        <w:ind w:left="425"/>
        <w:rPr>
          <w:color w:val="000000"/>
          <w:spacing w:val="4"/>
        </w:rPr>
      </w:pPr>
    </w:p>
    <w:p w14:paraId="3DBC83CC">
      <w:pPr>
        <w:adjustRightInd w:val="0"/>
        <w:snapToGrid w:val="0"/>
        <w:spacing w:line="360" w:lineRule="auto"/>
        <w:ind w:left="425"/>
        <w:rPr>
          <w:color w:val="000000"/>
          <w:spacing w:val="4"/>
        </w:rPr>
      </w:pPr>
    </w:p>
    <w:p w14:paraId="0418F5D7">
      <w:pPr>
        <w:adjustRightInd w:val="0"/>
        <w:snapToGrid w:val="0"/>
        <w:spacing w:line="360" w:lineRule="auto"/>
        <w:ind w:left="425"/>
        <w:rPr>
          <w:color w:val="000000"/>
          <w:spacing w:val="4"/>
        </w:rPr>
      </w:pPr>
    </w:p>
    <w:p w14:paraId="4C9BEC95">
      <w:pPr>
        <w:adjustRightInd w:val="0"/>
        <w:snapToGrid w:val="0"/>
        <w:spacing w:line="360" w:lineRule="auto"/>
        <w:ind w:left="425"/>
        <w:rPr>
          <w:color w:val="000000"/>
          <w:spacing w:val="4"/>
        </w:rPr>
      </w:pPr>
    </w:p>
    <w:p w14:paraId="14CFE1CE">
      <w:pPr>
        <w:adjustRightInd w:val="0"/>
        <w:snapToGrid w:val="0"/>
        <w:spacing w:line="360" w:lineRule="auto"/>
        <w:ind w:left="425"/>
        <w:rPr>
          <w:color w:val="000000"/>
          <w:spacing w:val="4"/>
        </w:rPr>
      </w:pPr>
    </w:p>
    <w:p w14:paraId="06164EDE">
      <w:pPr>
        <w:pStyle w:val="15"/>
        <w:widowControl/>
        <w:spacing w:line="360" w:lineRule="auto"/>
        <w:ind w:left="614" w:leftChars="100" w:hanging="404" w:hangingChars="200"/>
        <w:jc w:val="left"/>
        <w:rPr>
          <w:rFonts w:ascii="Times New Roman"/>
          <w:color w:val="000000"/>
          <w:sz w:val="21"/>
          <w:szCs w:val="21"/>
        </w:rPr>
      </w:pPr>
      <w:r>
        <w:rPr>
          <w:rFonts w:ascii="Times New Roman"/>
          <w:color w:val="000000"/>
          <w:sz w:val="21"/>
          <w:szCs w:val="21"/>
        </w:rPr>
        <w:t>投标人（盖章）：</w:t>
      </w:r>
    </w:p>
    <w:p w14:paraId="20DC4283">
      <w:pPr>
        <w:pStyle w:val="15"/>
        <w:widowControl/>
        <w:spacing w:line="360" w:lineRule="auto"/>
        <w:ind w:left="614" w:leftChars="100" w:hanging="404" w:hangingChars="200"/>
        <w:jc w:val="left"/>
        <w:rPr>
          <w:rFonts w:ascii="Times New Roman"/>
          <w:color w:val="000000"/>
          <w:sz w:val="21"/>
          <w:szCs w:val="21"/>
        </w:rPr>
      </w:pPr>
      <w:r>
        <w:rPr>
          <w:rFonts w:ascii="Times New Roman"/>
          <w:color w:val="000000"/>
          <w:sz w:val="21"/>
          <w:szCs w:val="21"/>
        </w:rPr>
        <w:t>法定代表人或其授权代表（签字或盖章）：</w:t>
      </w:r>
    </w:p>
    <w:p w14:paraId="3CF06758">
      <w:pPr>
        <w:pStyle w:val="15"/>
        <w:widowControl/>
        <w:spacing w:line="360" w:lineRule="auto"/>
        <w:ind w:left="614" w:leftChars="100" w:hanging="404" w:hangingChars="200"/>
        <w:jc w:val="left"/>
        <w:rPr>
          <w:rFonts w:ascii="Times New Roman"/>
          <w:color w:val="000000"/>
          <w:sz w:val="21"/>
          <w:szCs w:val="21"/>
        </w:rPr>
      </w:pPr>
      <w:r>
        <w:rPr>
          <w:rFonts w:ascii="Times New Roman"/>
          <w:color w:val="000000"/>
          <w:sz w:val="21"/>
          <w:szCs w:val="21"/>
        </w:rPr>
        <w:t>日期：</w:t>
      </w:r>
      <w:r>
        <w:rPr>
          <w:rFonts w:ascii="Times New Roman"/>
          <w:color w:val="000000"/>
          <w:sz w:val="21"/>
          <w:szCs w:val="21"/>
        </w:rPr>
        <w:br w:type="page"/>
      </w:r>
    </w:p>
    <w:p w14:paraId="6DB966F2">
      <w:pPr>
        <w:jc w:val="center"/>
        <w:rPr>
          <w:b/>
          <w:bCs/>
          <w:sz w:val="28"/>
          <w:szCs w:val="36"/>
        </w:rPr>
      </w:pPr>
      <w:bookmarkStart w:id="632" w:name="_Toc19274"/>
      <w:bookmarkStart w:id="633" w:name="_Toc10871"/>
      <w:bookmarkStart w:id="634" w:name="_Toc24032"/>
      <w:r>
        <w:rPr>
          <w:rFonts w:hint="eastAsia"/>
          <w:b/>
          <w:bCs/>
          <w:sz w:val="28"/>
          <w:szCs w:val="36"/>
        </w:rPr>
        <w:t>中小企业声明函（货物）</w:t>
      </w:r>
      <w:bookmarkEnd w:id="632"/>
      <w:bookmarkEnd w:id="633"/>
      <w:bookmarkEnd w:id="634"/>
    </w:p>
    <w:p w14:paraId="7CAF32CB">
      <w:pPr>
        <w:snapToGrid w:val="0"/>
        <w:spacing w:line="360" w:lineRule="auto"/>
        <w:ind w:firstLine="420" w:firstLineChars="200"/>
        <w:rPr>
          <w:rFonts w:ascii="Arial" w:hAnsi="Arial" w:cs="宋体"/>
          <w:szCs w:val="21"/>
        </w:rPr>
      </w:pPr>
    </w:p>
    <w:p w14:paraId="683C90B4">
      <w:pPr>
        <w:snapToGrid w:val="0"/>
        <w:spacing w:line="360" w:lineRule="auto"/>
        <w:ind w:firstLine="420" w:firstLineChars="200"/>
        <w:rPr>
          <w:rFonts w:ascii="Arial" w:hAnsi="Arial" w:cs="宋体"/>
          <w:szCs w:val="21"/>
        </w:rPr>
      </w:pPr>
      <w:r>
        <w:rPr>
          <w:rFonts w:hint="eastAsia" w:ascii="Arial" w:hAnsi="Arial" w:cs="宋体"/>
          <w:szCs w:val="21"/>
        </w:rPr>
        <w:t xml:space="preserve">本公司（联合体）郑重声明，根据《政府采购促进中小企业发展管理办法》（财库﹝2020﹞46 号）的规定，本公司（联合体）参加 </w:t>
      </w:r>
      <w:r>
        <w:rPr>
          <w:rFonts w:hint="eastAsia" w:ascii="Arial" w:hAnsi="Arial" w:cs="宋体"/>
          <w:szCs w:val="21"/>
          <w:u w:val="single"/>
        </w:rPr>
        <w:t xml:space="preserve">（采购人） </w:t>
      </w:r>
      <w:r>
        <w:rPr>
          <w:rFonts w:hint="eastAsia" w:ascii="Arial" w:hAnsi="Arial" w:cs="宋体"/>
          <w:szCs w:val="21"/>
        </w:rPr>
        <w:t xml:space="preserve">的 </w:t>
      </w:r>
      <w:r>
        <w:rPr>
          <w:rFonts w:hint="eastAsia" w:ascii="Arial" w:hAnsi="Arial" w:cs="宋体"/>
          <w:szCs w:val="21"/>
          <w:u w:val="single"/>
        </w:rPr>
        <w:t>（项目名称）</w:t>
      </w:r>
      <w:r>
        <w:rPr>
          <w:rFonts w:hint="eastAsia" w:ascii="Arial" w:hAnsi="Arial" w:cs="宋体"/>
          <w:szCs w:val="21"/>
        </w:rPr>
        <w:t xml:space="preserve"> 采购活动，提供的货物全部由符合政策要求的中小企业制造。相关企业（含联合体中的中小企业、签订分包意向协议的中小企业）的具体情况如下：</w:t>
      </w:r>
    </w:p>
    <w:p w14:paraId="76882613">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教室专用演示设备</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60299B30">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 xml:space="preserve">教师实验课椅 </w:t>
      </w:r>
      <w:r>
        <w:rPr>
          <w:rFonts w:hint="eastAsia" w:ascii="Arial" w:hAnsi="Arial" w:cs="宋体"/>
          <w:szCs w:val="21"/>
        </w:rPr>
        <w:t xml:space="preserve">，属于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37337D0B">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教师水龙头＋水槽</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4D50EB75">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生物学生专用实践设备</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3465C6E3">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学生三联高低位龙头</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3F8BD512">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实验室专用水槽柜</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7279EEE0">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多功能实验下水装置</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4ACDF153">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多功能</w:t>
      </w:r>
      <w:r>
        <w:rPr>
          <w:rFonts w:hint="eastAsia" w:ascii="Arial" w:hAnsi="Arial" w:cs="宋体"/>
          <w:b/>
          <w:bCs/>
          <w:szCs w:val="21"/>
          <w:u w:val="single"/>
          <w:lang w:eastAsia="zh-CN"/>
        </w:rPr>
        <w:t>（</w:t>
      </w:r>
      <w:r>
        <w:rPr>
          <w:rFonts w:hint="eastAsia" w:ascii="Arial" w:hAnsi="Arial" w:cs="宋体"/>
          <w:b/>
          <w:bCs/>
          <w:szCs w:val="21"/>
          <w:u w:val="single"/>
          <w:lang w:val="en-US" w:eastAsia="zh-CN"/>
        </w:rPr>
        <w:t>柜</w:t>
      </w:r>
      <w:r>
        <w:rPr>
          <w:rFonts w:hint="eastAsia" w:ascii="Arial" w:hAnsi="Arial" w:cs="宋体"/>
          <w:b/>
          <w:bCs/>
          <w:szCs w:val="21"/>
          <w:u w:val="single"/>
          <w:lang w:eastAsia="zh-CN"/>
        </w:rPr>
        <w:t>）</w:t>
      </w:r>
      <w:r>
        <w:rPr>
          <w:rFonts w:hint="eastAsia" w:ascii="Arial" w:hAnsi="Arial" w:cs="宋体"/>
          <w:b/>
          <w:bCs/>
          <w:szCs w:val="21"/>
          <w:u w:val="single"/>
        </w:rPr>
        <w:t>柱</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59AFD0FF">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学生电源</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48F1AA4B">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安全电源总控</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7A1EC90C">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安全光源</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0A13CE58">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实验凳</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34DFB88C">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安全终端装置</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05B79DA4">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 xml:space="preserve">系统安装辅件1 </w:t>
      </w:r>
      <w:r>
        <w:rPr>
          <w:rFonts w:hint="eastAsia" w:ascii="Arial" w:hAnsi="Arial" w:cs="宋体"/>
          <w:szCs w:val="21"/>
        </w:rPr>
        <w:t xml:space="preserve">，属于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70275AB1">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排水布管</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30CF2865">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给水布管</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164D7A58">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仪器柜</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355B38AB">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教室专用演示设备</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0799C287">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教师实验课椅</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30C876AE">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科学、化学学生专用实践设备</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157DCF8C">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实验室专用水槽</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168FFBA3">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三联高低位龙头</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2CB56486">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实验室专用排水设备模块</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45DE2705">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多功能实验下水装置</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768BC973">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实验凳</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6BBC2A6D">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万向罩</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2CB475EF">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洗眼器</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221D1FAD">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室内行程通风系统</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5254FF1F">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室外行程通风系统</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21CC28D9">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通风风机</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3047C57B">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风机控制配套设备</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4C6FBF72">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顶装智能系统总控柜</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7610685B">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安全终端装置</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6E805322">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顶装智能控制模块</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4C0224BB">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APP控制模块</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0947EAA3">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湿温度监视模块</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27011462">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顶装内主体结构</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6F77AAAC">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智能吊装集成箱</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5CDB75BA">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顶装固定支架</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6A405A7A">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顶装固定支架护罩</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41DBE877">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顶装摇臂动力装置</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2C71F785">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顶装摇臂智能软件控制器</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2B317E70">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智能电源腔体</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24CC4F5A">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摇臂显示器</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4D0D002B">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多功能电源模块</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06CC4E9C">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急停控制装置</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66F07A1B">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模块化供电线路</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328949EE">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智能照明控制装置</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57E60D6B">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万向吸风罩一体式集成</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2F9DB988">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自动给排水模块套装</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50E37351">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给水布管</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40CBCD42">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排水布管</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658E26DB">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系统安装辅件</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19757D26">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仪器柜</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4B4EC943">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边台承载设备</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288BDA7F">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仪器柜</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1849F4BC">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边台承载设备</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683E856B">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水龙头＋水槽</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419151C2">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滴水架</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7EFA4AED">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操作台集成架</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631962ED">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仪器柜</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5FF50F9D">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PP试剂柜</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5764DAFE">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净气型易燃品毒害品储存柜</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53321DC3">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净气型防火柜</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44AC935D">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教室专用演示设备</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2B9E223D">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教师实验课椅</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6C9454A0">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科学学生实践设备</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117F6F7F">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实验凳</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60E507DE">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仪器柜</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4D6BBA59">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认识植物和比较与测量实验箱</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38D8B4FC">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物体的形状、特征实验和认识动物实验箱</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6CA3FA6A">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地球家园和认识不同的材料实验箱</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69CAB0A9">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水的主题实验箱</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1FE842DA">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空气和天气的实验箱</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2C59578C">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动物的一生和太阳月球的实验箱</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7A807218">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能量的主题实验箱</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2CA5F390">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演示实验展示台</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757DA411">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控制柜</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700C0853">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顶装智能控制模块</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18A84494">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移动端控制模块</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0A5B8EF3">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温湿度监视模块</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7587C80E">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主体框架</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7512C1BC">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电源升降模块</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6B9F44DA">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升降电源主体</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58214D44">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低压电源模块</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109DFD1A">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高压电源模块</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1803884B">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USB充电模块</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5A90616A">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网络模块</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6FF5F3E0">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系统安装辅件1</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4999C672">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智能照明</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2B5ED6D0">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系统安装辅件</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7063A368">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教室专用演示设备</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3980AF50">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教师实验课椅</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18D26482">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物理学生实践设备</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5A669DE6">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防静电实验凳</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2DC4761E">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仪器柜</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64F43683">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控制柜</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07DC22B9">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顶装智能控制模块</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232CD299">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移动端控制模块</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099804B0">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温湿度监视模块</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27F883E5">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主体框架</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03E8A543">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电源升降模块</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0F18B03E">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升降电源主体</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412DF724">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低压电源模块</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1B6EF7E6">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高压电源模块</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0B28E18A">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USB充电模块</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3A611A57">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网络模块</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3A3C3FB7">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系统安装辅件1</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34652D97">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智能照明</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2892D917">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系统安装辅件</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249F1C07">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边台承载设备</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0702F5C3">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水龙头＋水槽</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179AFCAE">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仪器柜</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2FDC5396">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仪器柜</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327F7A0F">
      <w:pPr>
        <w:numPr>
          <w:ilvl w:val="0"/>
          <w:numId w:val="42"/>
        </w:numPr>
        <w:snapToGrid w:val="0"/>
        <w:spacing w:line="360" w:lineRule="auto"/>
        <w:ind w:firstLine="422" w:firstLineChars="200"/>
        <w:rPr>
          <w:rFonts w:ascii="Arial" w:hAnsi="Arial" w:cs="宋体"/>
          <w:szCs w:val="21"/>
          <w:u w:val="single"/>
        </w:rPr>
      </w:pPr>
      <w:r>
        <w:rPr>
          <w:rFonts w:hint="eastAsia" w:ascii="Arial" w:hAnsi="Arial" w:cs="宋体"/>
          <w:b/>
          <w:bCs/>
          <w:szCs w:val="21"/>
          <w:u w:val="single"/>
        </w:rPr>
        <w:t>实验室数据备份管理装置</w:t>
      </w:r>
      <w:r>
        <w:rPr>
          <w:rFonts w:hint="eastAsia" w:ascii="Arial" w:hAnsi="Arial" w:cs="宋体"/>
          <w:szCs w:val="21"/>
        </w:rPr>
        <w:t xml:space="preserve"> ，属于 </w:t>
      </w:r>
      <w:r>
        <w:rPr>
          <w:rFonts w:hint="eastAsia" w:ascii="Arial" w:hAnsi="Arial" w:cs="宋体"/>
          <w:b/>
          <w:bCs/>
          <w:szCs w:val="21"/>
          <w:u w:val="single"/>
        </w:rPr>
        <w:t>（工业）</w:t>
      </w:r>
      <w:r>
        <w:rPr>
          <w:rFonts w:hint="eastAsia" w:ascii="Arial" w:hAnsi="Arial" w:cs="宋体"/>
          <w:szCs w:val="21"/>
        </w:rPr>
        <w:t>行业 ；制造商为</w:t>
      </w:r>
      <w:r>
        <w:rPr>
          <w:rFonts w:hint="eastAsia" w:ascii="Arial" w:hAnsi="Arial" w:cs="宋体"/>
          <w:szCs w:val="21"/>
          <w:u w:val="single"/>
        </w:rPr>
        <w:t xml:space="preserve"> （企业名称）</w:t>
      </w:r>
      <w:r>
        <w:rPr>
          <w:rFonts w:hint="eastAsia" w:ascii="Arial" w:hAnsi="Arial" w:cs="宋体"/>
          <w:szCs w:val="21"/>
        </w:rPr>
        <w:t xml:space="preserve"> ，从业人员</w:t>
      </w:r>
      <w:r>
        <w:rPr>
          <w:rFonts w:hint="eastAsia" w:ascii="Arial" w:hAnsi="Arial" w:cs="宋体"/>
          <w:szCs w:val="21"/>
          <w:u w:val="single"/>
        </w:rPr>
        <w:t xml:space="preserve">    </w:t>
      </w:r>
      <w:r>
        <w:rPr>
          <w:rFonts w:hint="eastAsia" w:ascii="Arial" w:hAnsi="Arial" w:cs="宋体"/>
          <w:szCs w:val="21"/>
        </w:rPr>
        <w:t>人，营业收入为</w:t>
      </w:r>
      <w:r>
        <w:rPr>
          <w:rFonts w:hint="eastAsia" w:ascii="Arial" w:hAnsi="Arial" w:cs="宋体"/>
          <w:szCs w:val="21"/>
          <w:u w:val="single"/>
        </w:rPr>
        <w:t xml:space="preserve">    </w:t>
      </w:r>
      <w:r>
        <w:rPr>
          <w:rFonts w:hint="eastAsia" w:ascii="Arial" w:hAnsi="Arial" w:cs="宋体"/>
          <w:szCs w:val="21"/>
        </w:rPr>
        <w:t>万元，资产总额为</w:t>
      </w:r>
      <w:r>
        <w:rPr>
          <w:rFonts w:hint="eastAsia" w:ascii="Arial" w:hAnsi="Arial" w:cs="宋体"/>
          <w:szCs w:val="21"/>
          <w:u w:val="single"/>
        </w:rPr>
        <w:t xml:space="preserve">   </w:t>
      </w:r>
      <w:r>
        <w:rPr>
          <w:rFonts w:hint="eastAsia" w:ascii="Arial" w:hAnsi="Arial" w:cs="宋体"/>
          <w:szCs w:val="21"/>
        </w:rPr>
        <w:t>万元，属于</w:t>
      </w:r>
      <w:r>
        <w:rPr>
          <w:rFonts w:hint="eastAsia" w:ascii="Arial" w:hAnsi="Arial" w:cs="宋体"/>
          <w:szCs w:val="21"/>
          <w:u w:val="single"/>
        </w:rPr>
        <w:t xml:space="preserve"> （中型企业、小型企业、微型企业）；</w:t>
      </w:r>
    </w:p>
    <w:p w14:paraId="5F7A5FBF">
      <w:pPr>
        <w:snapToGrid w:val="0"/>
        <w:spacing w:line="360" w:lineRule="auto"/>
        <w:ind w:firstLine="420" w:firstLineChars="200"/>
        <w:rPr>
          <w:rFonts w:ascii="Arial" w:hAnsi="Arial" w:cs="宋体"/>
          <w:szCs w:val="21"/>
        </w:rPr>
      </w:pPr>
      <w:r>
        <w:rPr>
          <w:rFonts w:hint="eastAsia" w:ascii="Arial" w:hAnsi="Arial" w:cs="宋体"/>
          <w:szCs w:val="21"/>
        </w:rPr>
        <w:t>……</w:t>
      </w:r>
    </w:p>
    <w:p w14:paraId="74B81B78">
      <w:pPr>
        <w:snapToGrid w:val="0"/>
        <w:spacing w:line="360" w:lineRule="auto"/>
        <w:ind w:firstLine="420" w:firstLineChars="200"/>
        <w:rPr>
          <w:rFonts w:ascii="Arial" w:hAnsi="Arial" w:cs="宋体"/>
          <w:szCs w:val="21"/>
        </w:rPr>
      </w:pPr>
      <w:r>
        <w:rPr>
          <w:rFonts w:hint="eastAsia" w:ascii="Arial" w:hAnsi="Arial" w:cs="宋体"/>
          <w:szCs w:val="21"/>
        </w:rPr>
        <w:t>以上企业，不属于大企业的分支机构，不存在控股股东为大企业的情形，也不存在与大企业的负责人为同一人的情形。</w:t>
      </w:r>
    </w:p>
    <w:p w14:paraId="5602B8D0">
      <w:pPr>
        <w:snapToGrid w:val="0"/>
        <w:spacing w:line="360" w:lineRule="auto"/>
        <w:ind w:firstLine="420" w:firstLineChars="200"/>
        <w:rPr>
          <w:rFonts w:ascii="Arial" w:hAnsi="Arial" w:cs="宋体"/>
          <w:szCs w:val="21"/>
        </w:rPr>
      </w:pPr>
      <w:r>
        <w:rPr>
          <w:rFonts w:hint="eastAsia" w:ascii="Arial" w:hAnsi="Arial" w:cs="宋体"/>
          <w:szCs w:val="21"/>
        </w:rPr>
        <w:t>本企业对上述声明内容的真实性负责。如有虚假，将依法承担相应责任。</w:t>
      </w:r>
    </w:p>
    <w:p w14:paraId="4178E4E5">
      <w:pPr>
        <w:snapToGrid w:val="0"/>
        <w:spacing w:line="360" w:lineRule="auto"/>
        <w:rPr>
          <w:rFonts w:ascii="Arial" w:hAnsi="Arial" w:cs="宋体"/>
          <w:kern w:val="0"/>
          <w:szCs w:val="21"/>
          <w:lang w:val="zh-CN"/>
        </w:rPr>
      </w:pPr>
    </w:p>
    <w:p w14:paraId="55F1FD28">
      <w:pPr>
        <w:snapToGrid w:val="0"/>
        <w:spacing w:line="360" w:lineRule="auto"/>
        <w:rPr>
          <w:rFonts w:ascii="Arial" w:hAnsi="Arial" w:cs="宋体"/>
          <w:kern w:val="0"/>
          <w:szCs w:val="21"/>
          <w:lang w:val="zh-CN"/>
        </w:rPr>
      </w:pPr>
    </w:p>
    <w:p w14:paraId="3F89CAD0">
      <w:pPr>
        <w:snapToGrid w:val="0"/>
        <w:spacing w:line="360" w:lineRule="auto"/>
        <w:rPr>
          <w:rFonts w:ascii="Arial" w:hAnsi="Arial" w:cs="宋体"/>
          <w:kern w:val="0"/>
          <w:szCs w:val="21"/>
        </w:rPr>
      </w:pPr>
      <w:r>
        <w:rPr>
          <w:rFonts w:hint="eastAsia" w:ascii="Arial" w:hAnsi="Arial" w:cs="宋体"/>
          <w:kern w:val="0"/>
          <w:szCs w:val="21"/>
        </w:rPr>
        <w:t>企业</w:t>
      </w:r>
      <w:r>
        <w:rPr>
          <w:rFonts w:hint="eastAsia" w:ascii="Arial" w:hAnsi="Arial" w:cs="宋体"/>
          <w:kern w:val="0"/>
          <w:szCs w:val="21"/>
          <w:lang w:val="zh-CN"/>
        </w:rPr>
        <w:t>名称（公章）：</w:t>
      </w:r>
    </w:p>
    <w:p w14:paraId="24365AE4">
      <w:pPr>
        <w:snapToGrid w:val="0"/>
        <w:spacing w:line="360" w:lineRule="auto"/>
        <w:rPr>
          <w:rFonts w:ascii="Arial" w:hAnsi="Arial" w:cs="宋体"/>
          <w:kern w:val="0"/>
          <w:szCs w:val="21"/>
          <w:lang w:val="zh-CN"/>
        </w:rPr>
      </w:pPr>
      <w:r>
        <w:rPr>
          <w:rFonts w:hint="eastAsia" w:ascii="Arial" w:hAnsi="Arial" w:cs="宋体"/>
          <w:kern w:val="0"/>
          <w:szCs w:val="21"/>
          <w:lang w:val="zh-CN"/>
        </w:rPr>
        <w:t>日期</w:t>
      </w:r>
      <w:r>
        <w:rPr>
          <w:rFonts w:hint="eastAsia" w:ascii="Arial" w:hAnsi="Arial" w:cs="宋体"/>
          <w:kern w:val="0"/>
          <w:szCs w:val="21"/>
        </w:rPr>
        <w:t xml:space="preserve">：  年  </w:t>
      </w:r>
      <w:r>
        <w:rPr>
          <w:rFonts w:hint="eastAsia" w:ascii="Arial" w:hAnsi="Arial" w:cs="宋体"/>
          <w:kern w:val="0"/>
          <w:szCs w:val="21"/>
          <w:lang w:val="zh-CN"/>
        </w:rPr>
        <w:t>月</w:t>
      </w:r>
      <w:r>
        <w:rPr>
          <w:rFonts w:hint="eastAsia" w:ascii="Arial" w:hAnsi="Arial" w:cs="宋体"/>
          <w:kern w:val="0"/>
          <w:szCs w:val="21"/>
        </w:rPr>
        <w:t xml:space="preserve">   </w:t>
      </w:r>
      <w:r>
        <w:rPr>
          <w:rFonts w:hint="eastAsia" w:ascii="Arial" w:hAnsi="Arial" w:cs="宋体"/>
          <w:kern w:val="0"/>
          <w:szCs w:val="21"/>
          <w:lang w:val="zh-CN"/>
        </w:rPr>
        <w:t>日</w:t>
      </w:r>
    </w:p>
    <w:p w14:paraId="5449A1B0">
      <w:pPr>
        <w:snapToGrid w:val="0"/>
        <w:spacing w:line="360" w:lineRule="auto"/>
        <w:ind w:firstLine="420" w:firstLineChars="200"/>
        <w:rPr>
          <w:rFonts w:ascii="Arial" w:hAnsi="Arial" w:cs="宋体"/>
          <w:szCs w:val="21"/>
        </w:rPr>
      </w:pPr>
    </w:p>
    <w:p w14:paraId="27CCB402">
      <w:pPr>
        <w:snapToGrid w:val="0"/>
        <w:spacing w:line="360" w:lineRule="auto"/>
        <w:ind w:firstLine="420" w:firstLineChars="200"/>
        <w:rPr>
          <w:rFonts w:ascii="Arial" w:hAnsi="Arial" w:cs="宋体"/>
          <w:szCs w:val="21"/>
        </w:rPr>
      </w:pPr>
      <w:r>
        <w:rPr>
          <w:rFonts w:hint="eastAsia" w:ascii="Arial" w:hAnsi="Arial" w:cs="宋体"/>
          <w:szCs w:val="21"/>
        </w:rPr>
        <w:t>注：</w:t>
      </w:r>
    </w:p>
    <w:p w14:paraId="732266BF">
      <w:pPr>
        <w:numPr>
          <w:ilvl w:val="0"/>
          <w:numId w:val="43"/>
        </w:numPr>
        <w:snapToGrid w:val="0"/>
        <w:spacing w:line="360" w:lineRule="auto"/>
        <w:ind w:firstLine="420" w:firstLineChars="200"/>
        <w:rPr>
          <w:rFonts w:ascii="Arial" w:hAnsi="Arial" w:cs="宋体"/>
          <w:szCs w:val="21"/>
        </w:rPr>
      </w:pPr>
      <w:r>
        <w:rPr>
          <w:rFonts w:hint="eastAsia" w:ascii="Arial" w:hAnsi="Arial" w:cs="宋体"/>
          <w:szCs w:val="21"/>
        </w:rPr>
        <w:t>填写要求：①“标的名称”、“采购文件中明确的所属行业”依据采购文件第二章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09CCAC2B">
      <w:pPr>
        <w:numPr>
          <w:ilvl w:val="0"/>
          <w:numId w:val="43"/>
        </w:numPr>
        <w:snapToGrid w:val="0"/>
        <w:spacing w:line="360" w:lineRule="auto"/>
        <w:ind w:firstLine="420" w:firstLineChars="200"/>
        <w:rPr>
          <w:rFonts w:ascii="Arial" w:hAnsi="Arial" w:cs="宋体"/>
          <w:spacing w:val="6"/>
          <w:szCs w:val="32"/>
        </w:rPr>
      </w:pPr>
      <w:r>
        <w:rPr>
          <w:rFonts w:hint="eastAsia" w:ascii="Arial" w:hAnsi="Arial" w:cs="宋体"/>
          <w:szCs w:val="21"/>
        </w:rPr>
        <w:t>符合《关于促进残疾人就业政府采购政策的通知》（财库〔2017〕141号）规定的条件并提供《残疾人福利性单位声明函》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0BF5ADFD">
      <w:pPr>
        <w:numPr>
          <w:ilvl w:val="0"/>
          <w:numId w:val="43"/>
        </w:numPr>
        <w:snapToGrid w:val="0"/>
        <w:spacing w:line="360" w:lineRule="auto"/>
        <w:ind w:firstLine="420" w:firstLineChars="200"/>
        <w:rPr>
          <w:rFonts w:ascii="Arial" w:hAnsi="Arial" w:cs="宋体"/>
          <w:spacing w:val="6"/>
          <w:szCs w:val="32"/>
        </w:rPr>
      </w:pPr>
      <w:r>
        <w:rPr>
          <w:rFonts w:hint="eastAsia" w:ascii="Arial" w:hAnsi="Arial" w:cs="宋体"/>
          <w:szCs w:val="21"/>
        </w:rPr>
        <w:t>如接受联合体投标的项目，所有联合体参与方均需提供本表。有多个标项的，须按每个标项分别填写。</w:t>
      </w:r>
    </w:p>
    <w:p w14:paraId="6B207782">
      <w:pPr>
        <w:rPr>
          <w:rFonts w:ascii="Arial" w:hAnsi="Arial"/>
        </w:rPr>
      </w:pPr>
    </w:p>
    <w:p w14:paraId="5795A3B2">
      <w:pPr>
        <w:pStyle w:val="43"/>
      </w:pPr>
    </w:p>
    <w:p w14:paraId="22B5CC0B">
      <w:pPr>
        <w:pStyle w:val="43"/>
      </w:pPr>
    </w:p>
    <w:p w14:paraId="33617672">
      <w:pPr>
        <w:pStyle w:val="43"/>
      </w:pPr>
    </w:p>
    <w:p w14:paraId="3D09D2F3">
      <w:pPr>
        <w:snapToGrid w:val="0"/>
        <w:spacing w:line="360" w:lineRule="auto"/>
        <w:jc w:val="left"/>
        <w:rPr>
          <w:color w:val="000000"/>
          <w:spacing w:val="6"/>
          <w:szCs w:val="21"/>
        </w:rPr>
      </w:pPr>
      <w:r>
        <w:rPr>
          <w:color w:val="000000"/>
          <w:spacing w:val="6"/>
          <w:szCs w:val="21"/>
        </w:rPr>
        <w:br w:type="page"/>
      </w:r>
    </w:p>
    <w:p w14:paraId="3CEE7E75">
      <w:pPr>
        <w:jc w:val="center"/>
        <w:rPr>
          <w:b/>
          <w:bCs/>
          <w:sz w:val="28"/>
          <w:szCs w:val="36"/>
        </w:rPr>
      </w:pPr>
      <w:r>
        <w:rPr>
          <w:rFonts w:hint="eastAsia"/>
          <w:b/>
          <w:bCs/>
          <w:sz w:val="28"/>
          <w:szCs w:val="36"/>
        </w:rPr>
        <w:t>残疾人福利性单位声明函</w:t>
      </w:r>
    </w:p>
    <w:p w14:paraId="2476219A">
      <w:pPr>
        <w:wordWrap w:val="0"/>
        <w:spacing w:line="588" w:lineRule="exact"/>
        <w:ind w:firstLine="420" w:firstLineChars="200"/>
        <w:rPr>
          <w:rFonts w:hint="eastAsia" w:ascii="宋体" w:hAnsi="宋体"/>
          <w:szCs w:val="21"/>
        </w:rPr>
      </w:pPr>
      <w:r>
        <w:rPr>
          <w:rFonts w:hint="eastAsia" w:ascii="宋体" w:hAnsi="宋体"/>
          <w:szCs w:val="21"/>
        </w:rPr>
        <w:t>本单位郑重声明，根据《财政部</w:t>
      </w:r>
      <w:r>
        <w:rPr>
          <w:rFonts w:ascii="宋体" w:hAnsi="宋体"/>
          <w:szCs w:val="21"/>
        </w:rPr>
        <w:t xml:space="preserve"> </w:t>
      </w:r>
      <w:r>
        <w:rPr>
          <w:rFonts w:hint="eastAsia" w:ascii="宋体" w:hAnsi="宋体"/>
          <w:szCs w:val="21"/>
        </w:rPr>
        <w:t>民政部</w:t>
      </w:r>
      <w:r>
        <w:rPr>
          <w:rFonts w:ascii="宋体" w:hAnsi="宋体"/>
          <w:szCs w:val="21"/>
        </w:rPr>
        <w:t xml:space="preserve"> </w:t>
      </w:r>
      <w:r>
        <w:rPr>
          <w:rFonts w:hint="eastAsia" w:ascii="宋体" w:hAnsi="宋体"/>
          <w:szCs w:val="21"/>
        </w:rPr>
        <w:t>中国残疾人联合会关于促进残疾人就业政府采购政策的通知》（财库〔</w:t>
      </w:r>
      <w:r>
        <w:rPr>
          <w:rFonts w:ascii="宋体" w:hAnsi="宋体"/>
          <w:szCs w:val="21"/>
        </w:rPr>
        <w:t>2017</w:t>
      </w:r>
      <w:r>
        <w:rPr>
          <w:rFonts w:hint="eastAsia" w:ascii="宋体" w:hAnsi="宋体"/>
          <w:szCs w:val="21"/>
        </w:rPr>
        <w:t>〕</w:t>
      </w:r>
      <w:r>
        <w:rPr>
          <w:rFonts w:ascii="宋体" w:hAnsi="宋体"/>
          <w:szCs w:val="21"/>
        </w:rPr>
        <w:t>141</w:t>
      </w:r>
      <w:r>
        <w:rPr>
          <w:rFonts w:hint="eastAsia" w:ascii="宋体" w:hAnsi="宋体"/>
          <w:szCs w:val="21"/>
        </w:rPr>
        <w:t>号）的规定，本单位为符合条件的残疾人福利性单位，且本单位参加</w:t>
      </w:r>
      <w:r>
        <w:rPr>
          <w:rFonts w:ascii="宋体" w:hAnsi="宋体"/>
          <w:szCs w:val="21"/>
        </w:rPr>
        <w:t>______</w:t>
      </w:r>
      <w:r>
        <w:rPr>
          <w:rFonts w:hint="eastAsia" w:ascii="宋体" w:hAnsi="宋体"/>
          <w:szCs w:val="21"/>
        </w:rPr>
        <w:t>单位的</w:t>
      </w:r>
      <w:r>
        <w:rPr>
          <w:rFonts w:ascii="宋体" w:hAnsi="宋体"/>
          <w:szCs w:val="21"/>
        </w:rPr>
        <w:t>______</w:t>
      </w:r>
      <w:r>
        <w:rPr>
          <w:rFonts w:hint="eastAsia" w:ascii="宋体" w:hAnsi="宋体"/>
          <w:szCs w:val="21"/>
        </w:rPr>
        <w:t>项目采购活动提供本单位制造的货物（由本单位承担工程</w:t>
      </w:r>
      <w:r>
        <w:rPr>
          <w:rFonts w:ascii="宋体" w:hAnsi="宋体"/>
          <w:szCs w:val="21"/>
        </w:rPr>
        <w:t>/</w:t>
      </w:r>
      <w:r>
        <w:rPr>
          <w:rFonts w:hint="eastAsia" w:ascii="宋体" w:hAnsi="宋体"/>
          <w:szCs w:val="21"/>
        </w:rPr>
        <w:t>提供服务），或者提供其他残疾人福利性单位制造的货物（不包括使用非残疾人福利性单位注册商标的货物）。</w:t>
      </w:r>
    </w:p>
    <w:p w14:paraId="62F3D547">
      <w:pPr>
        <w:wordWrap w:val="0"/>
        <w:spacing w:line="588" w:lineRule="exact"/>
        <w:ind w:firstLine="420" w:firstLineChars="200"/>
        <w:rPr>
          <w:rFonts w:hint="eastAsia" w:ascii="宋体" w:hAnsi="宋体"/>
          <w:szCs w:val="21"/>
        </w:rPr>
      </w:pPr>
      <w:r>
        <w:rPr>
          <w:rFonts w:hint="eastAsia" w:ascii="宋体" w:hAnsi="宋体"/>
          <w:szCs w:val="21"/>
        </w:rPr>
        <w:t>本单位对上述声明的真实性负责。如有虚假，将依法承担相应责任。</w:t>
      </w:r>
    </w:p>
    <w:p w14:paraId="3F49F7CF">
      <w:pPr>
        <w:wordWrap w:val="0"/>
        <w:spacing w:line="588" w:lineRule="exact"/>
        <w:ind w:firstLine="420" w:firstLineChars="200"/>
        <w:rPr>
          <w:rFonts w:hint="eastAsia" w:ascii="宋体" w:hAnsi="宋体"/>
          <w:szCs w:val="21"/>
        </w:rPr>
      </w:pPr>
    </w:p>
    <w:p w14:paraId="13B49313">
      <w:pPr>
        <w:wordWrap w:val="0"/>
        <w:spacing w:line="588" w:lineRule="exact"/>
        <w:ind w:firstLine="420" w:firstLineChars="200"/>
        <w:rPr>
          <w:rFonts w:hint="eastAsia" w:ascii="宋体" w:hAnsi="宋体"/>
          <w:szCs w:val="21"/>
        </w:rPr>
      </w:pPr>
    </w:p>
    <w:p w14:paraId="117AEF56">
      <w:pPr>
        <w:tabs>
          <w:tab w:val="left" w:pos="4860"/>
        </w:tabs>
        <w:wordWrap w:val="0"/>
        <w:spacing w:line="588" w:lineRule="exact"/>
        <w:ind w:right="1560" w:firstLine="420" w:firstLineChars="200"/>
        <w:jc w:val="center"/>
        <w:rPr>
          <w:rFonts w:hint="eastAsia" w:ascii="宋体" w:hAnsi="宋体"/>
          <w:szCs w:val="21"/>
        </w:rPr>
      </w:pPr>
      <w:r>
        <w:rPr>
          <w:rFonts w:ascii="宋体" w:hAnsi="宋体"/>
          <w:szCs w:val="21"/>
        </w:rPr>
        <w:t xml:space="preserve">               </w:t>
      </w:r>
      <w:r>
        <w:rPr>
          <w:rFonts w:hint="eastAsia" w:ascii="宋体" w:hAnsi="宋体"/>
          <w:szCs w:val="21"/>
        </w:rPr>
        <w:t>单位名称（盖章）：</w:t>
      </w:r>
    </w:p>
    <w:p w14:paraId="343C68E5">
      <w:pPr>
        <w:tabs>
          <w:tab w:val="left" w:pos="4860"/>
        </w:tabs>
        <w:wordWrap w:val="0"/>
        <w:spacing w:line="588" w:lineRule="exact"/>
        <w:ind w:right="1560" w:firstLine="420" w:firstLineChars="200"/>
        <w:jc w:val="center"/>
        <w:rPr>
          <w:rFonts w:hint="eastAsia" w:ascii="宋体" w:hAnsi="宋体"/>
          <w:szCs w:val="21"/>
        </w:rPr>
      </w:pPr>
      <w:r>
        <w:rPr>
          <w:rFonts w:ascii="宋体" w:hAnsi="宋体"/>
          <w:szCs w:val="21"/>
        </w:rPr>
        <w:t xml:space="preserve">       </w:t>
      </w:r>
      <w:r>
        <w:rPr>
          <w:rFonts w:hint="eastAsia" w:ascii="宋体" w:hAnsi="宋体"/>
          <w:szCs w:val="21"/>
        </w:rPr>
        <w:t>日</w:t>
      </w:r>
      <w:r>
        <w:rPr>
          <w:rFonts w:ascii="宋体" w:hAnsi="宋体"/>
          <w:szCs w:val="21"/>
        </w:rPr>
        <w:t xml:space="preserve">  </w:t>
      </w:r>
      <w:r>
        <w:rPr>
          <w:rFonts w:hint="eastAsia" w:ascii="宋体" w:hAnsi="宋体"/>
          <w:szCs w:val="21"/>
        </w:rPr>
        <w:t>期：</w:t>
      </w:r>
    </w:p>
    <w:p w14:paraId="0C90EAF1">
      <w:pPr>
        <w:wordWrap w:val="0"/>
        <w:spacing w:line="400" w:lineRule="exact"/>
        <w:ind w:firstLine="422" w:firstLineChars="200"/>
        <w:rPr>
          <w:rFonts w:hint="eastAsia" w:ascii="宋体" w:hAnsi="宋体"/>
          <w:b/>
          <w:szCs w:val="21"/>
        </w:rPr>
      </w:pPr>
    </w:p>
    <w:p w14:paraId="2E91D98C">
      <w:pPr>
        <w:widowControl/>
        <w:spacing w:line="360" w:lineRule="auto"/>
        <w:jc w:val="center"/>
        <w:rPr>
          <w:rFonts w:eastAsia="仿宋"/>
          <w:b/>
          <w:bCs/>
          <w:sz w:val="28"/>
          <w:szCs w:val="28"/>
        </w:rPr>
        <w:sectPr>
          <w:pgSz w:w="11907" w:h="16840"/>
          <w:pgMar w:top="1276" w:right="1474" w:bottom="1242" w:left="1474" w:header="720" w:footer="720" w:gutter="0"/>
          <w:cols w:space="720" w:num="1"/>
          <w:docGrid w:linePitch="285" w:charSpace="0"/>
        </w:sectPr>
      </w:pPr>
    </w:p>
    <w:p w14:paraId="2C5399F7">
      <w:pPr>
        <w:widowControl/>
        <w:spacing w:line="360" w:lineRule="auto"/>
        <w:jc w:val="center"/>
        <w:rPr>
          <w:rFonts w:hint="eastAsia" w:ascii="宋体" w:hAnsi="宋体" w:cs="宋体"/>
          <w:b/>
          <w:bCs/>
          <w:sz w:val="28"/>
          <w:szCs w:val="28"/>
        </w:rPr>
      </w:pPr>
      <w:r>
        <w:rPr>
          <w:rFonts w:hint="eastAsia" w:ascii="宋体" w:hAnsi="宋体" w:cs="宋体"/>
          <w:b/>
          <w:bCs/>
          <w:sz w:val="28"/>
          <w:szCs w:val="28"/>
        </w:rPr>
        <w:t>二、商务技术文件</w:t>
      </w:r>
    </w:p>
    <w:p w14:paraId="1E4664DC">
      <w:pPr>
        <w:tabs>
          <w:tab w:val="left" w:pos="518"/>
        </w:tabs>
        <w:adjustRightInd w:val="0"/>
        <w:snapToGrid w:val="0"/>
        <w:spacing w:line="360" w:lineRule="auto"/>
        <w:ind w:firstLine="420" w:firstLineChars="200"/>
        <w:jc w:val="left"/>
        <w:rPr>
          <w:szCs w:val="21"/>
        </w:rPr>
      </w:pPr>
      <w:r>
        <w:rPr>
          <w:szCs w:val="21"/>
        </w:rPr>
        <w:t>（1）投标函（格式见附件）；</w:t>
      </w:r>
    </w:p>
    <w:p w14:paraId="0D981462">
      <w:pPr>
        <w:tabs>
          <w:tab w:val="left" w:pos="518"/>
        </w:tabs>
        <w:adjustRightInd w:val="0"/>
        <w:snapToGrid w:val="0"/>
        <w:spacing w:line="360" w:lineRule="auto"/>
        <w:ind w:firstLine="420" w:firstLineChars="200"/>
        <w:jc w:val="left"/>
        <w:rPr>
          <w:szCs w:val="21"/>
        </w:rPr>
      </w:pPr>
      <w:r>
        <w:rPr>
          <w:szCs w:val="21"/>
        </w:rPr>
        <w:t>（2）法定代表人的身份证明或法定代表人授权书【投标人的代表若为非法定代表人的，必须提交法定代表人授权书及授权代表开标之日前近三个月内任意一个月</w:t>
      </w:r>
      <w:r>
        <w:rPr>
          <w:rFonts w:hint="eastAsia"/>
          <w:szCs w:val="21"/>
        </w:rPr>
        <w:t>投标人为其的</w:t>
      </w:r>
      <w:r>
        <w:rPr>
          <w:szCs w:val="21"/>
        </w:rPr>
        <w:t>缴纳社保证明加盖公章，格式见附件】；</w:t>
      </w:r>
    </w:p>
    <w:p w14:paraId="1E529985">
      <w:pPr>
        <w:tabs>
          <w:tab w:val="left" w:pos="518"/>
        </w:tabs>
        <w:adjustRightInd w:val="0"/>
        <w:snapToGrid w:val="0"/>
        <w:spacing w:line="360" w:lineRule="auto"/>
        <w:ind w:firstLine="420" w:firstLineChars="200"/>
        <w:jc w:val="left"/>
        <w:rPr>
          <w:szCs w:val="21"/>
        </w:rPr>
      </w:pPr>
      <w:r>
        <w:rPr>
          <w:szCs w:val="21"/>
        </w:rPr>
        <w:t>（3）投标人基本情况说明（格式见附件)；</w:t>
      </w:r>
    </w:p>
    <w:p w14:paraId="61D83358">
      <w:pPr>
        <w:tabs>
          <w:tab w:val="left" w:pos="518"/>
        </w:tabs>
        <w:adjustRightInd w:val="0"/>
        <w:snapToGrid w:val="0"/>
        <w:spacing w:line="360" w:lineRule="auto"/>
        <w:ind w:firstLine="420" w:firstLineChars="200"/>
        <w:jc w:val="left"/>
        <w:rPr>
          <w:szCs w:val="21"/>
        </w:rPr>
      </w:pPr>
      <w:r>
        <w:rPr>
          <w:szCs w:val="21"/>
        </w:rPr>
        <w:t>（</w:t>
      </w:r>
      <w:r>
        <w:rPr>
          <w:rFonts w:hint="eastAsia"/>
          <w:szCs w:val="21"/>
        </w:rPr>
        <w:t>4</w:t>
      </w:r>
      <w:r>
        <w:rPr>
          <w:szCs w:val="21"/>
        </w:rPr>
        <w:t>）商务</w:t>
      </w:r>
      <w:r>
        <w:rPr>
          <w:rFonts w:hint="eastAsia"/>
          <w:szCs w:val="21"/>
        </w:rPr>
        <w:t>需求</w:t>
      </w:r>
      <w:r>
        <w:rPr>
          <w:szCs w:val="21"/>
        </w:rPr>
        <w:t>偏离</w:t>
      </w:r>
      <w:r>
        <w:rPr>
          <w:rFonts w:hint="eastAsia"/>
          <w:szCs w:val="21"/>
        </w:rPr>
        <w:t>表</w:t>
      </w:r>
      <w:r>
        <w:rPr>
          <w:szCs w:val="21"/>
        </w:rPr>
        <w:t>（格式见附件)；</w:t>
      </w:r>
    </w:p>
    <w:p w14:paraId="3E36A15E">
      <w:pPr>
        <w:tabs>
          <w:tab w:val="left" w:pos="518"/>
        </w:tabs>
        <w:adjustRightInd w:val="0"/>
        <w:snapToGrid w:val="0"/>
        <w:spacing w:line="360" w:lineRule="auto"/>
        <w:ind w:firstLine="420" w:firstLineChars="200"/>
        <w:jc w:val="left"/>
        <w:rPr>
          <w:szCs w:val="21"/>
        </w:rPr>
      </w:pPr>
      <w:r>
        <w:rPr>
          <w:szCs w:val="21"/>
        </w:rPr>
        <w:t>（</w:t>
      </w:r>
      <w:r>
        <w:rPr>
          <w:rFonts w:hint="eastAsia"/>
          <w:szCs w:val="21"/>
        </w:rPr>
        <w:t>5</w:t>
      </w:r>
      <w:r>
        <w:rPr>
          <w:szCs w:val="21"/>
        </w:rPr>
        <w:t>）</w:t>
      </w:r>
      <w:r>
        <w:rPr>
          <w:rFonts w:hint="eastAsia"/>
          <w:szCs w:val="21"/>
        </w:rPr>
        <w:t>技术需求偏离</w:t>
      </w:r>
      <w:r>
        <w:rPr>
          <w:szCs w:val="21"/>
        </w:rPr>
        <w:t>表（格式见附件）；</w:t>
      </w:r>
    </w:p>
    <w:p w14:paraId="50D96A4A">
      <w:pPr>
        <w:tabs>
          <w:tab w:val="left" w:pos="518"/>
        </w:tabs>
        <w:adjustRightInd w:val="0"/>
        <w:snapToGrid w:val="0"/>
        <w:spacing w:line="360" w:lineRule="auto"/>
        <w:ind w:firstLine="420" w:firstLineChars="200"/>
        <w:jc w:val="left"/>
        <w:rPr>
          <w:szCs w:val="21"/>
        </w:rPr>
      </w:pPr>
      <w:r>
        <w:rPr>
          <w:szCs w:val="21"/>
        </w:rPr>
        <w:t>（</w:t>
      </w:r>
      <w:r>
        <w:rPr>
          <w:rFonts w:hint="eastAsia"/>
          <w:szCs w:val="21"/>
        </w:rPr>
        <w:t>6</w:t>
      </w:r>
      <w:r>
        <w:rPr>
          <w:szCs w:val="21"/>
        </w:rPr>
        <w:t>）技术需求中要求提供的证明资料（按要求提供）；</w:t>
      </w:r>
    </w:p>
    <w:p w14:paraId="3FCF7C3D">
      <w:pPr>
        <w:tabs>
          <w:tab w:val="left" w:pos="518"/>
        </w:tabs>
        <w:adjustRightInd w:val="0"/>
        <w:snapToGrid w:val="0"/>
        <w:spacing w:line="360" w:lineRule="auto"/>
        <w:ind w:firstLine="420" w:firstLineChars="200"/>
        <w:jc w:val="left"/>
        <w:rPr>
          <w:szCs w:val="21"/>
        </w:rPr>
      </w:pPr>
      <w:r>
        <w:rPr>
          <w:szCs w:val="21"/>
        </w:rPr>
        <w:t>（</w:t>
      </w:r>
      <w:r>
        <w:rPr>
          <w:rFonts w:hint="eastAsia"/>
          <w:szCs w:val="21"/>
        </w:rPr>
        <w:t>7</w:t>
      </w:r>
      <w:r>
        <w:rPr>
          <w:szCs w:val="21"/>
        </w:rPr>
        <w:t>）第四章评标办法及评分标准中需提供的</w:t>
      </w:r>
      <w:r>
        <w:rPr>
          <w:rFonts w:hint="eastAsia"/>
          <w:szCs w:val="21"/>
        </w:rPr>
        <w:t>所有内容</w:t>
      </w:r>
      <w:r>
        <w:rPr>
          <w:szCs w:val="21"/>
        </w:rPr>
        <w:t>（按</w:t>
      </w:r>
      <w:r>
        <w:rPr>
          <w:rFonts w:hint="eastAsia"/>
          <w:szCs w:val="21"/>
        </w:rPr>
        <w:t>评分要求逐项提供</w:t>
      </w:r>
      <w:r>
        <w:rPr>
          <w:szCs w:val="21"/>
        </w:rPr>
        <w:t>）；</w:t>
      </w:r>
    </w:p>
    <w:p w14:paraId="15DE0475">
      <w:pPr>
        <w:tabs>
          <w:tab w:val="left" w:pos="518"/>
        </w:tabs>
        <w:adjustRightInd w:val="0"/>
        <w:snapToGrid w:val="0"/>
        <w:spacing w:line="360" w:lineRule="auto"/>
        <w:ind w:firstLine="420" w:firstLineChars="200"/>
        <w:jc w:val="left"/>
        <w:rPr>
          <w:szCs w:val="21"/>
        </w:rPr>
      </w:pPr>
      <w:r>
        <w:rPr>
          <w:szCs w:val="21"/>
        </w:rPr>
        <w:t>（</w:t>
      </w:r>
      <w:r>
        <w:rPr>
          <w:rFonts w:hint="eastAsia"/>
          <w:szCs w:val="21"/>
        </w:rPr>
        <w:t>8</w:t>
      </w:r>
      <w:r>
        <w:rPr>
          <w:szCs w:val="21"/>
        </w:rPr>
        <w:t>）投标人认为有必要提交的其他商务技术说明文件和资料 。</w:t>
      </w:r>
    </w:p>
    <w:p w14:paraId="015DBD3F">
      <w:pPr>
        <w:spacing w:line="360" w:lineRule="auto"/>
        <w:jc w:val="center"/>
        <w:rPr>
          <w:rFonts w:hint="eastAsia" w:ascii="仿宋" w:hAnsi="仿宋" w:eastAsia="仿宋" w:cs="仿宋"/>
          <w:b/>
          <w:color w:val="000000"/>
          <w:szCs w:val="21"/>
        </w:rPr>
      </w:pPr>
    </w:p>
    <w:p w14:paraId="0431CAF8">
      <w:pPr>
        <w:snapToGrid w:val="0"/>
        <w:spacing w:line="360" w:lineRule="auto"/>
        <w:jc w:val="center"/>
        <w:rPr>
          <w:rFonts w:eastAsia="仿宋"/>
          <w:bCs/>
          <w:sz w:val="24"/>
          <w:lang w:bidi="ar"/>
        </w:rPr>
      </w:pPr>
      <w:r>
        <w:rPr>
          <w:rFonts w:hint="eastAsia" w:ascii="仿宋" w:hAnsi="仿宋" w:eastAsia="仿宋" w:cs="仿宋"/>
          <w:szCs w:val="21"/>
        </w:rPr>
        <w:br w:type="page"/>
      </w:r>
    </w:p>
    <w:p w14:paraId="05443E9A">
      <w:pPr>
        <w:widowControl/>
        <w:spacing w:line="400" w:lineRule="exact"/>
        <w:jc w:val="center"/>
        <w:rPr>
          <w:b/>
          <w:color w:val="000000"/>
          <w:sz w:val="24"/>
          <w:szCs w:val="21"/>
        </w:rPr>
      </w:pPr>
      <w:r>
        <w:rPr>
          <w:b/>
          <w:color w:val="000000"/>
          <w:sz w:val="24"/>
          <w:szCs w:val="21"/>
        </w:rPr>
        <w:t>投标函</w:t>
      </w:r>
    </w:p>
    <w:p w14:paraId="262242E4">
      <w:pPr>
        <w:pStyle w:val="15"/>
        <w:widowControl/>
        <w:spacing w:before="120" w:beforeLines="50" w:after="120" w:afterLines="50" w:line="360" w:lineRule="auto"/>
        <w:ind w:firstLine="0"/>
        <w:jc w:val="left"/>
        <w:rPr>
          <w:rFonts w:ascii="Times New Roman"/>
          <w:b/>
          <w:color w:val="000000"/>
          <w:sz w:val="21"/>
          <w:szCs w:val="21"/>
        </w:rPr>
      </w:pPr>
      <w:r>
        <w:rPr>
          <w:rFonts w:ascii="Times New Roman"/>
          <w:b/>
          <w:color w:val="000000"/>
          <w:sz w:val="21"/>
          <w:szCs w:val="21"/>
        </w:rPr>
        <w:t>致：</w:t>
      </w:r>
      <w:r>
        <w:rPr>
          <w:rFonts w:hint="eastAsia" w:ascii="Times New Roman"/>
          <w:b/>
          <w:color w:val="000000"/>
          <w:sz w:val="21"/>
          <w:szCs w:val="21"/>
        </w:rPr>
        <w:t>宁波慧泽工程管理咨询有限公司</w:t>
      </w:r>
    </w:p>
    <w:p w14:paraId="0B6CEE17">
      <w:pPr>
        <w:pStyle w:val="15"/>
        <w:widowControl/>
        <w:spacing w:line="360" w:lineRule="auto"/>
        <w:ind w:firstLine="0"/>
        <w:jc w:val="left"/>
        <w:rPr>
          <w:rFonts w:ascii="Times New Roman"/>
          <w:color w:val="000000"/>
          <w:sz w:val="21"/>
          <w:szCs w:val="21"/>
        </w:rPr>
      </w:pPr>
      <w:r>
        <w:rPr>
          <w:rFonts w:ascii="Times New Roman"/>
          <w:color w:val="000000"/>
          <w:sz w:val="21"/>
          <w:szCs w:val="21"/>
        </w:rPr>
        <w:t xml:space="preserve">    </w:t>
      </w:r>
      <w:r>
        <w:rPr>
          <w:rFonts w:ascii="Times New Roman"/>
          <w:color w:val="000000"/>
          <w:sz w:val="21"/>
          <w:szCs w:val="21"/>
          <w:u w:val="single"/>
        </w:rPr>
        <w:t xml:space="preserve">   （投标人全称）   </w:t>
      </w:r>
      <w:r>
        <w:rPr>
          <w:rFonts w:ascii="Times New Roman"/>
          <w:color w:val="000000"/>
          <w:sz w:val="21"/>
          <w:szCs w:val="21"/>
        </w:rPr>
        <w:t xml:space="preserve"> 授权</w:t>
      </w:r>
      <w:r>
        <w:rPr>
          <w:rFonts w:ascii="Times New Roman"/>
          <w:color w:val="000000"/>
          <w:sz w:val="21"/>
          <w:szCs w:val="21"/>
          <w:u w:val="single"/>
        </w:rPr>
        <w:t xml:space="preserve"> （授权代表姓名、职务）   </w:t>
      </w:r>
      <w:r>
        <w:rPr>
          <w:rFonts w:ascii="Times New Roman"/>
          <w:color w:val="000000"/>
          <w:sz w:val="21"/>
          <w:szCs w:val="21"/>
        </w:rPr>
        <w:t xml:space="preserve">为本公司合法代理人，参加贵方组织的 </w:t>
      </w:r>
      <w:r>
        <w:rPr>
          <w:rFonts w:ascii="Times New Roman"/>
          <w:color w:val="000000"/>
          <w:sz w:val="21"/>
          <w:szCs w:val="21"/>
          <w:u w:val="single"/>
        </w:rPr>
        <w:t xml:space="preserve">   （项目编号、项目名称） </w:t>
      </w:r>
      <w:r>
        <w:rPr>
          <w:rFonts w:ascii="Times New Roman"/>
          <w:color w:val="000000"/>
          <w:sz w:val="21"/>
          <w:szCs w:val="21"/>
        </w:rPr>
        <w:t>招投标活动，代表本公司（单位）处理招投标活动中的一切事宜，在此：</w:t>
      </w:r>
    </w:p>
    <w:p w14:paraId="6CF68E6B">
      <w:pPr>
        <w:pStyle w:val="15"/>
        <w:widowControl/>
        <w:numPr>
          <w:ilvl w:val="0"/>
          <w:numId w:val="44"/>
        </w:numPr>
        <w:spacing w:before="120" w:beforeLines="50" w:line="360" w:lineRule="auto"/>
        <w:jc w:val="left"/>
        <w:rPr>
          <w:rFonts w:ascii="Times New Roman"/>
          <w:color w:val="000000"/>
          <w:sz w:val="21"/>
          <w:szCs w:val="21"/>
        </w:rPr>
      </w:pPr>
      <w:r>
        <w:rPr>
          <w:rFonts w:ascii="Times New Roman"/>
          <w:color w:val="000000"/>
          <w:sz w:val="21"/>
          <w:szCs w:val="21"/>
        </w:rPr>
        <w:t>提供采购文件中“投标须知”规定的全部投标文件：</w:t>
      </w:r>
    </w:p>
    <w:p w14:paraId="49C28333">
      <w:pPr>
        <w:pStyle w:val="15"/>
        <w:numPr>
          <w:ilvl w:val="0"/>
          <w:numId w:val="45"/>
        </w:numPr>
        <w:spacing w:line="360" w:lineRule="exact"/>
        <w:rPr>
          <w:rFonts w:ascii="Times New Roman"/>
          <w:sz w:val="21"/>
          <w:szCs w:val="21"/>
        </w:rPr>
      </w:pPr>
      <w:r>
        <w:rPr>
          <w:rFonts w:ascii="Times New Roman"/>
          <w:sz w:val="21"/>
          <w:szCs w:val="21"/>
        </w:rPr>
        <w:t>上传到政府采购云平台的电子投标文件（含资信证明文件、商务技术文件、报价文件）：1份。</w:t>
      </w:r>
    </w:p>
    <w:p w14:paraId="46301DC2">
      <w:pPr>
        <w:pStyle w:val="15"/>
        <w:numPr>
          <w:ilvl w:val="0"/>
          <w:numId w:val="45"/>
        </w:numPr>
        <w:spacing w:line="360" w:lineRule="exact"/>
        <w:rPr>
          <w:rFonts w:ascii="Times New Roman"/>
          <w:sz w:val="21"/>
          <w:szCs w:val="21"/>
        </w:rPr>
      </w:pPr>
      <w:r>
        <w:rPr>
          <w:rFonts w:ascii="Times New Roman"/>
          <w:sz w:val="21"/>
          <w:szCs w:val="21"/>
        </w:rPr>
        <w:t>以U盘存储的电子备份投标文件1份。</w:t>
      </w:r>
    </w:p>
    <w:p w14:paraId="3EF27A56">
      <w:pPr>
        <w:pStyle w:val="15"/>
        <w:widowControl/>
        <w:numPr>
          <w:ilvl w:val="0"/>
          <w:numId w:val="44"/>
        </w:numPr>
        <w:spacing w:before="120" w:beforeLines="50" w:line="360" w:lineRule="auto"/>
        <w:jc w:val="left"/>
        <w:rPr>
          <w:rFonts w:ascii="Times New Roman"/>
          <w:color w:val="000000"/>
          <w:sz w:val="21"/>
          <w:szCs w:val="21"/>
        </w:rPr>
      </w:pPr>
      <w:r>
        <w:rPr>
          <w:rFonts w:ascii="Times New Roman"/>
          <w:color w:val="000000"/>
          <w:sz w:val="21"/>
          <w:szCs w:val="21"/>
        </w:rPr>
        <w:t>据此函，签字代表宣布并承诺如下：</w:t>
      </w:r>
    </w:p>
    <w:p w14:paraId="774C0D6E">
      <w:pPr>
        <w:pStyle w:val="15"/>
        <w:numPr>
          <w:ilvl w:val="0"/>
          <w:numId w:val="46"/>
        </w:numPr>
        <w:spacing w:line="360" w:lineRule="exact"/>
        <w:rPr>
          <w:rFonts w:ascii="Times New Roman"/>
          <w:sz w:val="21"/>
          <w:szCs w:val="21"/>
        </w:rPr>
      </w:pPr>
      <w:r>
        <w:rPr>
          <w:rFonts w:ascii="Times New Roman"/>
          <w:sz w:val="21"/>
          <w:szCs w:val="21"/>
        </w:rPr>
        <w:t>投标报价为开标一览表载明的投标报价。</w:t>
      </w:r>
    </w:p>
    <w:p w14:paraId="3BAC2D26">
      <w:pPr>
        <w:pStyle w:val="15"/>
        <w:tabs>
          <w:tab w:val="left" w:pos="1200"/>
        </w:tabs>
        <w:spacing w:line="360" w:lineRule="exact"/>
        <w:ind w:left="1200" w:firstLine="0"/>
        <w:rPr>
          <w:rFonts w:ascii="Times New Roman"/>
          <w:sz w:val="21"/>
          <w:szCs w:val="21"/>
        </w:rPr>
      </w:pPr>
      <w:r>
        <w:rPr>
          <w:rFonts w:ascii="Times New Roman"/>
          <w:sz w:val="21"/>
          <w:szCs w:val="21"/>
        </w:rPr>
        <w:t>本报价已经包含了投标项目应纳的税金及采购文件规定的报价方式应包含的其它费用。本报价在投标有效期内固定不变，并在合同有效期内不受利率波动的影响。</w:t>
      </w:r>
    </w:p>
    <w:p w14:paraId="574CCBC4">
      <w:pPr>
        <w:pStyle w:val="15"/>
        <w:numPr>
          <w:ilvl w:val="0"/>
          <w:numId w:val="46"/>
        </w:numPr>
        <w:spacing w:line="360" w:lineRule="exact"/>
        <w:rPr>
          <w:rFonts w:ascii="Times New Roman"/>
          <w:sz w:val="21"/>
          <w:szCs w:val="21"/>
        </w:rPr>
      </w:pPr>
      <w:r>
        <w:rPr>
          <w:rFonts w:ascii="Times New Roman"/>
          <w:sz w:val="21"/>
          <w:szCs w:val="21"/>
        </w:rPr>
        <w:t>本投标文件自开标之日起</w:t>
      </w:r>
      <w:r>
        <w:rPr>
          <w:rFonts w:ascii="Times New Roman"/>
          <w:sz w:val="21"/>
          <w:szCs w:val="21"/>
          <w:u w:val="single"/>
        </w:rPr>
        <w:t xml:space="preserve">  90  </w:t>
      </w:r>
      <w:r>
        <w:rPr>
          <w:rFonts w:ascii="Times New Roman"/>
          <w:sz w:val="21"/>
          <w:szCs w:val="21"/>
        </w:rPr>
        <w:t>天内有效。</w:t>
      </w:r>
    </w:p>
    <w:p w14:paraId="38320A8D">
      <w:pPr>
        <w:pStyle w:val="15"/>
        <w:numPr>
          <w:ilvl w:val="0"/>
          <w:numId w:val="46"/>
        </w:numPr>
        <w:spacing w:line="360" w:lineRule="exact"/>
        <w:rPr>
          <w:rFonts w:ascii="Times New Roman"/>
          <w:sz w:val="21"/>
          <w:szCs w:val="21"/>
        </w:rPr>
      </w:pPr>
      <w:r>
        <w:rPr>
          <w:rFonts w:ascii="Times New Roman"/>
          <w:sz w:val="21"/>
          <w:szCs w:val="21"/>
        </w:rPr>
        <w:t>我们已详细审查全部采购文件及有关的澄清/修改文件(若有)，我们完全理解并同意放弃对这方面提出任何异议的权利。</w:t>
      </w:r>
    </w:p>
    <w:p w14:paraId="72CB8FB9">
      <w:pPr>
        <w:pStyle w:val="15"/>
        <w:numPr>
          <w:ilvl w:val="0"/>
          <w:numId w:val="46"/>
        </w:numPr>
        <w:spacing w:line="360" w:lineRule="exact"/>
        <w:rPr>
          <w:rFonts w:ascii="Times New Roman"/>
          <w:sz w:val="21"/>
          <w:szCs w:val="21"/>
        </w:rPr>
      </w:pPr>
      <w:r>
        <w:rPr>
          <w:rFonts w:ascii="Times New Roman"/>
          <w:sz w:val="21"/>
          <w:szCs w:val="21"/>
        </w:rPr>
        <w:t>保证遵守采购文件有关条款规定。</w:t>
      </w:r>
    </w:p>
    <w:p w14:paraId="06559782">
      <w:pPr>
        <w:pStyle w:val="15"/>
        <w:numPr>
          <w:ilvl w:val="0"/>
          <w:numId w:val="46"/>
        </w:numPr>
        <w:spacing w:line="360" w:lineRule="exact"/>
        <w:rPr>
          <w:rFonts w:ascii="Times New Roman"/>
          <w:sz w:val="21"/>
          <w:szCs w:val="21"/>
        </w:rPr>
      </w:pPr>
      <w:r>
        <w:rPr>
          <w:rFonts w:ascii="Times New Roman"/>
          <w:sz w:val="21"/>
          <w:szCs w:val="21"/>
        </w:rPr>
        <w:t>保证在中标后忠实地执行与采购人所签署的合同，并承担合同规定的责任义务。</w:t>
      </w:r>
    </w:p>
    <w:p w14:paraId="1CA20DE7">
      <w:pPr>
        <w:pStyle w:val="15"/>
        <w:numPr>
          <w:ilvl w:val="0"/>
          <w:numId w:val="46"/>
        </w:numPr>
        <w:spacing w:line="360" w:lineRule="exact"/>
        <w:rPr>
          <w:rFonts w:ascii="Times New Roman"/>
          <w:sz w:val="21"/>
          <w:szCs w:val="21"/>
        </w:rPr>
      </w:pPr>
      <w:r>
        <w:rPr>
          <w:rFonts w:ascii="Times New Roman"/>
          <w:sz w:val="21"/>
          <w:szCs w:val="21"/>
        </w:rPr>
        <w:t>完全同意采购文件中有关招标代理服务费的条款，保证在中标后按照采购文件规定的金额、时间和方式，向贵方一次性交纳中标服务费。我方如逾期未交纳（含未足额）的，愿凭贵方开出的违约通知，按上述规定应交纳金额（含欠交纳）的200%交纳违约金和滞纳的银行利息。承诺在未交足上述违约金和利息前，同意不再参加贵方代理的其他项目，如果贵方不接受我们的投标，我们自愿放弃任何方式进行抗辩的权力。</w:t>
      </w:r>
    </w:p>
    <w:p w14:paraId="0FFC08D3">
      <w:pPr>
        <w:pStyle w:val="15"/>
        <w:numPr>
          <w:ilvl w:val="0"/>
          <w:numId w:val="46"/>
        </w:numPr>
        <w:spacing w:line="360" w:lineRule="exact"/>
        <w:rPr>
          <w:rFonts w:ascii="Times New Roman"/>
          <w:sz w:val="21"/>
          <w:szCs w:val="21"/>
        </w:rPr>
      </w:pPr>
      <w:r>
        <w:rPr>
          <w:rFonts w:ascii="Times New Roman"/>
          <w:sz w:val="21"/>
          <w:szCs w:val="21"/>
        </w:rPr>
        <w:t>我们郑重声明：我公司符合政府采购法规定的参加政府采购活动应当具备的条件：具有独立承担民事责任的能力；具有良好的商业信誉和健全的财务会计制度；具有履行合同所必需的设备和专业技术能力；有依法缴纳税收和社会保障资金的良好记录；参加政府采购活动前三年内，在经营活动中没有重大违法记录。</w:t>
      </w:r>
    </w:p>
    <w:p w14:paraId="52EB3914">
      <w:pPr>
        <w:pStyle w:val="15"/>
        <w:tabs>
          <w:tab w:val="left" w:pos="1200"/>
        </w:tabs>
        <w:spacing w:line="360" w:lineRule="exact"/>
        <w:ind w:left="1200" w:firstLine="0"/>
        <w:rPr>
          <w:rFonts w:ascii="Times New Roman"/>
          <w:sz w:val="21"/>
          <w:szCs w:val="21"/>
        </w:rPr>
      </w:pPr>
    </w:p>
    <w:p w14:paraId="24F99779">
      <w:pPr>
        <w:pStyle w:val="15"/>
        <w:widowControl/>
        <w:numPr>
          <w:ilvl w:val="0"/>
          <w:numId w:val="44"/>
        </w:numPr>
        <w:spacing w:before="120" w:beforeLines="50" w:line="360" w:lineRule="auto"/>
        <w:jc w:val="left"/>
        <w:rPr>
          <w:rFonts w:ascii="Times New Roman"/>
          <w:color w:val="000000"/>
          <w:sz w:val="21"/>
          <w:szCs w:val="21"/>
        </w:rPr>
      </w:pPr>
      <w:r>
        <w:rPr>
          <w:rFonts w:ascii="Times New Roman"/>
          <w:color w:val="000000"/>
          <w:sz w:val="21"/>
          <w:szCs w:val="21"/>
        </w:rPr>
        <w:t>与本项目投标有关的一切往来通讯请寄：</w:t>
      </w:r>
    </w:p>
    <w:p w14:paraId="1634C351">
      <w:pPr>
        <w:pStyle w:val="15"/>
        <w:spacing w:line="360" w:lineRule="exact"/>
        <w:ind w:left="480" w:firstLine="0"/>
        <w:rPr>
          <w:rFonts w:ascii="Times New Roman"/>
          <w:sz w:val="21"/>
          <w:szCs w:val="21"/>
        </w:rPr>
      </w:pPr>
      <w:r>
        <w:rPr>
          <w:rFonts w:ascii="Times New Roman"/>
          <w:sz w:val="21"/>
          <w:szCs w:val="21"/>
        </w:rPr>
        <w:t>地址：</w:t>
      </w:r>
      <w:r>
        <w:rPr>
          <w:rFonts w:ascii="Times New Roman"/>
          <w:sz w:val="21"/>
          <w:szCs w:val="21"/>
          <w:u w:val="single"/>
        </w:rPr>
        <w:t xml:space="preserve">                                                   </w:t>
      </w:r>
    </w:p>
    <w:p w14:paraId="0135C369">
      <w:pPr>
        <w:pStyle w:val="15"/>
        <w:spacing w:line="360" w:lineRule="exact"/>
        <w:ind w:left="480" w:firstLine="0"/>
        <w:rPr>
          <w:rFonts w:ascii="Times New Roman"/>
          <w:sz w:val="21"/>
          <w:szCs w:val="21"/>
          <w:u w:val="single"/>
        </w:rPr>
      </w:pPr>
      <w:r>
        <w:rPr>
          <w:rFonts w:ascii="Times New Roman"/>
          <w:sz w:val="21"/>
          <w:szCs w:val="21"/>
        </w:rPr>
        <w:t>邮编：</w:t>
      </w:r>
      <w:r>
        <w:rPr>
          <w:rFonts w:ascii="Times New Roman"/>
          <w:sz w:val="21"/>
          <w:szCs w:val="21"/>
          <w:u w:val="single"/>
        </w:rPr>
        <w:t xml:space="preserve">            </w:t>
      </w:r>
      <w:r>
        <w:rPr>
          <w:rFonts w:ascii="Times New Roman"/>
          <w:sz w:val="21"/>
          <w:szCs w:val="21"/>
        </w:rPr>
        <w:t>电话：</w:t>
      </w:r>
      <w:r>
        <w:rPr>
          <w:rFonts w:ascii="Times New Roman"/>
          <w:sz w:val="21"/>
          <w:szCs w:val="21"/>
          <w:u w:val="single"/>
        </w:rPr>
        <w:t xml:space="preserve">              </w:t>
      </w:r>
      <w:r>
        <w:rPr>
          <w:rFonts w:ascii="Times New Roman"/>
          <w:sz w:val="21"/>
          <w:szCs w:val="21"/>
        </w:rPr>
        <w:t>传真：</w:t>
      </w:r>
      <w:r>
        <w:rPr>
          <w:rFonts w:ascii="Times New Roman"/>
          <w:sz w:val="21"/>
          <w:szCs w:val="21"/>
          <w:u w:val="single"/>
        </w:rPr>
        <w:t xml:space="preserve">             </w:t>
      </w:r>
    </w:p>
    <w:p w14:paraId="0696437A">
      <w:pPr>
        <w:pStyle w:val="15"/>
        <w:widowControl/>
        <w:spacing w:line="360" w:lineRule="auto"/>
        <w:ind w:left="614" w:leftChars="100" w:hanging="404" w:hangingChars="200"/>
        <w:jc w:val="left"/>
        <w:rPr>
          <w:rFonts w:ascii="Times New Roman"/>
          <w:color w:val="000000"/>
          <w:sz w:val="21"/>
          <w:szCs w:val="21"/>
        </w:rPr>
      </w:pPr>
    </w:p>
    <w:p w14:paraId="4DA758DE">
      <w:pPr>
        <w:widowControl/>
        <w:spacing w:line="360" w:lineRule="auto"/>
        <w:ind w:firstLine="420" w:firstLineChars="200"/>
        <w:jc w:val="left"/>
        <w:rPr>
          <w:color w:val="000000"/>
          <w:szCs w:val="22"/>
        </w:rPr>
      </w:pPr>
      <w:r>
        <w:rPr>
          <w:color w:val="000000"/>
          <w:szCs w:val="22"/>
        </w:rPr>
        <w:t xml:space="preserve">投 标 人  （盖章）：                  </w:t>
      </w:r>
    </w:p>
    <w:p w14:paraId="28090ECE">
      <w:pPr>
        <w:widowControl/>
        <w:spacing w:line="360" w:lineRule="auto"/>
        <w:ind w:firstLine="420" w:firstLineChars="200"/>
        <w:jc w:val="left"/>
        <w:rPr>
          <w:color w:val="000000"/>
          <w:szCs w:val="22"/>
        </w:rPr>
      </w:pPr>
      <w:r>
        <w:rPr>
          <w:color w:val="000000"/>
          <w:szCs w:val="22"/>
        </w:rPr>
        <w:t>法定代表人或其授权代表（签字或盖章）：</w:t>
      </w:r>
    </w:p>
    <w:p w14:paraId="7E89BA5E">
      <w:pPr>
        <w:widowControl/>
        <w:spacing w:line="360" w:lineRule="auto"/>
        <w:ind w:firstLine="420" w:firstLineChars="200"/>
        <w:jc w:val="left"/>
        <w:rPr>
          <w:color w:val="000000"/>
          <w:szCs w:val="22"/>
        </w:rPr>
      </w:pPr>
      <w:r>
        <w:rPr>
          <w:color w:val="000000"/>
          <w:szCs w:val="22"/>
        </w:rPr>
        <w:t>日  期：</w:t>
      </w:r>
    </w:p>
    <w:p w14:paraId="04BF9792">
      <w:pPr>
        <w:jc w:val="center"/>
        <w:rPr>
          <w:b/>
          <w:color w:val="000000"/>
          <w:sz w:val="32"/>
          <w:szCs w:val="32"/>
        </w:rPr>
      </w:pPr>
      <w:r>
        <w:rPr>
          <w:color w:val="000000"/>
          <w:sz w:val="24"/>
        </w:rPr>
        <w:br w:type="page"/>
      </w:r>
      <w:r>
        <w:rPr>
          <w:b/>
          <w:color w:val="000000"/>
          <w:sz w:val="32"/>
          <w:szCs w:val="32"/>
        </w:rPr>
        <w:t>法定代表人身份证明</w:t>
      </w:r>
    </w:p>
    <w:p w14:paraId="45267369">
      <w:pPr>
        <w:spacing w:line="480" w:lineRule="auto"/>
        <w:ind w:firstLine="420" w:firstLineChars="200"/>
        <w:rPr>
          <w:color w:val="000000"/>
          <w:szCs w:val="21"/>
        </w:rPr>
      </w:pPr>
    </w:p>
    <w:p w14:paraId="6F2665E6">
      <w:pPr>
        <w:spacing w:line="400" w:lineRule="exact"/>
        <w:ind w:left="420" w:leftChars="200" w:firstLine="630" w:firstLineChars="300"/>
        <w:rPr>
          <w:szCs w:val="21"/>
        </w:rPr>
      </w:pPr>
      <w:r>
        <w:rPr>
          <w:szCs w:val="21"/>
        </w:rPr>
        <w:t>单位名称：</w:t>
      </w:r>
      <w:r>
        <w:rPr>
          <w:b/>
          <w:bCs/>
          <w:szCs w:val="21"/>
        </w:rPr>
        <w:t xml:space="preserve"> </w:t>
      </w:r>
      <w:r>
        <w:rPr>
          <w:szCs w:val="21"/>
          <w:u w:val="single"/>
        </w:rPr>
        <w:t xml:space="preserve">        </w:t>
      </w:r>
      <w:r>
        <w:rPr>
          <w:rFonts w:hint="eastAsia"/>
          <w:szCs w:val="21"/>
          <w:u w:val="single"/>
        </w:rPr>
        <w:t xml:space="preserve">                              </w:t>
      </w:r>
    </w:p>
    <w:p w14:paraId="2F2011D5">
      <w:pPr>
        <w:spacing w:line="400" w:lineRule="exact"/>
        <w:ind w:left="420"/>
        <w:rPr>
          <w:szCs w:val="21"/>
        </w:rPr>
      </w:pPr>
    </w:p>
    <w:p w14:paraId="7C58D3CB">
      <w:pPr>
        <w:spacing w:line="400" w:lineRule="exact"/>
        <w:ind w:left="420" w:leftChars="200" w:firstLine="630" w:firstLineChars="300"/>
        <w:rPr>
          <w:szCs w:val="21"/>
        </w:rPr>
      </w:pPr>
      <w:r>
        <w:rPr>
          <w:szCs w:val="21"/>
        </w:rPr>
        <w:t>地址：</w:t>
      </w:r>
      <w:r>
        <w:rPr>
          <w:b/>
          <w:bCs/>
          <w:szCs w:val="21"/>
        </w:rPr>
        <w:t xml:space="preserve"> </w:t>
      </w:r>
      <w:r>
        <w:rPr>
          <w:szCs w:val="21"/>
          <w:u w:val="single"/>
        </w:rPr>
        <w:t xml:space="preserve">        </w:t>
      </w:r>
      <w:r>
        <w:rPr>
          <w:rFonts w:hint="eastAsia"/>
          <w:szCs w:val="21"/>
          <w:u w:val="single"/>
        </w:rPr>
        <w:t xml:space="preserve">                                 </w:t>
      </w:r>
      <w:r>
        <w:rPr>
          <w:szCs w:val="21"/>
          <w:u w:val="single"/>
        </w:rPr>
        <w:t xml:space="preserve"> </w:t>
      </w:r>
      <w:r>
        <w:rPr>
          <w:szCs w:val="21"/>
        </w:rPr>
        <w:t xml:space="preserve"> </w:t>
      </w:r>
      <w:r>
        <w:rPr>
          <w:rFonts w:hint="eastAsia"/>
          <w:szCs w:val="21"/>
        </w:rPr>
        <w:t xml:space="preserve">     </w:t>
      </w:r>
    </w:p>
    <w:p w14:paraId="76C21485">
      <w:pPr>
        <w:spacing w:line="400" w:lineRule="exact"/>
        <w:ind w:left="420"/>
        <w:rPr>
          <w:szCs w:val="21"/>
        </w:rPr>
      </w:pPr>
    </w:p>
    <w:p w14:paraId="0E9A233D">
      <w:pPr>
        <w:spacing w:line="400" w:lineRule="exact"/>
        <w:ind w:left="420" w:leftChars="200" w:firstLine="630" w:firstLineChars="300"/>
        <w:rPr>
          <w:szCs w:val="21"/>
        </w:rPr>
      </w:pPr>
      <w:r>
        <w:rPr>
          <w:szCs w:val="21"/>
        </w:rPr>
        <w:t>姓名：</w:t>
      </w:r>
      <w:r>
        <w:rPr>
          <w:szCs w:val="21"/>
          <w:u w:val="single"/>
        </w:rPr>
        <w:t xml:space="preserve">         </w:t>
      </w:r>
      <w:r>
        <w:rPr>
          <w:szCs w:val="21"/>
        </w:rPr>
        <w:t xml:space="preserve"> 性别： </w:t>
      </w:r>
      <w:r>
        <w:rPr>
          <w:szCs w:val="21"/>
          <w:u w:val="single"/>
        </w:rPr>
        <w:t xml:space="preserve">         </w:t>
      </w:r>
      <w:r>
        <w:rPr>
          <w:szCs w:val="21"/>
        </w:rPr>
        <w:t xml:space="preserve"> 年龄：</w:t>
      </w:r>
      <w:r>
        <w:rPr>
          <w:szCs w:val="21"/>
          <w:u w:val="single"/>
        </w:rPr>
        <w:t xml:space="preserve">           </w:t>
      </w:r>
      <w:r>
        <w:rPr>
          <w:szCs w:val="21"/>
        </w:rPr>
        <w:t xml:space="preserve"> 职务：</w:t>
      </w:r>
      <w:r>
        <w:rPr>
          <w:szCs w:val="21"/>
          <w:u w:val="single"/>
        </w:rPr>
        <w:t xml:space="preserve">       </w:t>
      </w:r>
      <w:r>
        <w:rPr>
          <w:szCs w:val="21"/>
        </w:rPr>
        <w:t xml:space="preserve"> </w:t>
      </w:r>
    </w:p>
    <w:p w14:paraId="4A468472">
      <w:pPr>
        <w:spacing w:line="400" w:lineRule="exact"/>
        <w:ind w:left="420"/>
        <w:rPr>
          <w:szCs w:val="21"/>
        </w:rPr>
      </w:pPr>
    </w:p>
    <w:p w14:paraId="0E53E67A">
      <w:pPr>
        <w:spacing w:line="400" w:lineRule="exact"/>
        <w:ind w:left="525" w:leftChars="250" w:firstLine="525" w:firstLineChars="250"/>
        <w:rPr>
          <w:szCs w:val="21"/>
        </w:rPr>
      </w:pPr>
      <w:r>
        <w:rPr>
          <w:szCs w:val="21"/>
        </w:rPr>
        <w:t xml:space="preserve">本人系 </w:t>
      </w:r>
      <w:r>
        <w:rPr>
          <w:szCs w:val="21"/>
          <w:u w:val="single"/>
        </w:rPr>
        <w:t xml:space="preserve">     &lt;投标人名称&gt;      </w:t>
      </w:r>
      <w:r>
        <w:rPr>
          <w:szCs w:val="21"/>
        </w:rPr>
        <w:t>的法定代表人。 就参加</w:t>
      </w:r>
      <w:r>
        <w:rPr>
          <w:szCs w:val="21"/>
          <w:u w:val="single"/>
        </w:rPr>
        <w:t xml:space="preserve">    [采购人名称]        </w:t>
      </w:r>
      <w:r>
        <w:rPr>
          <w:szCs w:val="21"/>
        </w:rPr>
        <w:t>组织的采购编号为</w:t>
      </w:r>
      <w:r>
        <w:rPr>
          <w:szCs w:val="21"/>
          <w:u w:val="single"/>
        </w:rPr>
        <w:t xml:space="preserve">      &lt;项目编号&gt;      </w:t>
      </w:r>
      <w:r>
        <w:rPr>
          <w:szCs w:val="21"/>
        </w:rPr>
        <w:t>的</w:t>
      </w:r>
      <w:r>
        <w:rPr>
          <w:szCs w:val="21"/>
          <w:u w:val="single"/>
        </w:rPr>
        <w:t xml:space="preserve">      &lt;项目名称&gt;      </w:t>
      </w:r>
      <w:r>
        <w:rPr>
          <w:szCs w:val="21"/>
        </w:rPr>
        <w:t>公开采购项目的投标、报价，签署上述项目的投标文件及合同的执行、完成和服务，签署合同和处理与之有关的一切事务。</w:t>
      </w:r>
    </w:p>
    <w:p w14:paraId="43BDA0B9">
      <w:pPr>
        <w:spacing w:line="400" w:lineRule="exact"/>
        <w:ind w:left="420" w:leftChars="200" w:firstLine="420" w:firstLineChars="200"/>
        <w:rPr>
          <w:szCs w:val="21"/>
        </w:rPr>
      </w:pPr>
      <w:r>
        <w:rPr>
          <w:szCs w:val="21"/>
        </w:rPr>
        <w:t>特此证明。</w:t>
      </w:r>
    </w:p>
    <w:p w14:paraId="5CCBC135">
      <w:pPr>
        <w:spacing w:line="400" w:lineRule="exact"/>
        <w:ind w:left="420"/>
        <w:rPr>
          <w:szCs w:val="21"/>
        </w:rPr>
      </w:pPr>
    </w:p>
    <w:p w14:paraId="0FBFEC98">
      <w:pPr>
        <w:spacing w:line="400" w:lineRule="exact"/>
        <w:ind w:left="420"/>
        <w:rPr>
          <w:b/>
          <w:szCs w:val="21"/>
        </w:rPr>
      </w:pPr>
      <w:r>
        <w:rPr>
          <w:b/>
          <w:szCs w:val="21"/>
        </w:rPr>
        <w:t>（此处请粘贴法定代表人身份证复印件</w:t>
      </w:r>
      <w:r>
        <w:rPr>
          <w:rFonts w:hint="eastAsia"/>
          <w:b/>
          <w:szCs w:val="21"/>
          <w:lang w:val="en-US" w:eastAsia="zh-CN"/>
        </w:rPr>
        <w:t>正反面</w:t>
      </w:r>
      <w:r>
        <w:rPr>
          <w:b/>
          <w:szCs w:val="21"/>
        </w:rPr>
        <w:t>）</w:t>
      </w:r>
    </w:p>
    <w:p w14:paraId="50E42AA1">
      <w:pPr>
        <w:spacing w:line="400" w:lineRule="exact"/>
        <w:ind w:left="420"/>
        <w:rPr>
          <w:szCs w:val="21"/>
        </w:rPr>
      </w:pPr>
    </w:p>
    <w:p w14:paraId="5C445128">
      <w:pPr>
        <w:pStyle w:val="15"/>
        <w:tabs>
          <w:tab w:val="left" w:pos="4820"/>
        </w:tabs>
        <w:spacing w:line="360" w:lineRule="auto"/>
        <w:ind w:firstLine="440"/>
        <w:jc w:val="right"/>
        <w:rPr>
          <w:rFonts w:ascii="Times New Roman"/>
          <w:sz w:val="22"/>
          <w:szCs w:val="21"/>
        </w:rPr>
      </w:pPr>
    </w:p>
    <w:p w14:paraId="43EA503C">
      <w:pPr>
        <w:pStyle w:val="15"/>
        <w:tabs>
          <w:tab w:val="left" w:pos="5180"/>
          <w:tab w:val="left" w:pos="5921"/>
        </w:tabs>
        <w:spacing w:line="360" w:lineRule="auto"/>
        <w:ind w:right="840" w:firstLine="420"/>
        <w:rPr>
          <w:rFonts w:ascii="Times New Roman"/>
          <w:spacing w:val="0"/>
          <w:kern w:val="2"/>
          <w:sz w:val="21"/>
          <w:szCs w:val="21"/>
        </w:rPr>
      </w:pPr>
      <w:r>
        <w:rPr>
          <w:rFonts w:ascii="Times New Roman"/>
          <w:spacing w:val="0"/>
          <w:kern w:val="2"/>
          <w:sz w:val="21"/>
          <w:szCs w:val="21"/>
        </w:rPr>
        <w:tab/>
      </w:r>
      <w:r>
        <w:rPr>
          <w:rFonts w:ascii="Times New Roman"/>
          <w:spacing w:val="0"/>
          <w:kern w:val="2"/>
          <w:sz w:val="21"/>
          <w:szCs w:val="21"/>
        </w:rPr>
        <w:tab/>
      </w:r>
      <w:r>
        <w:rPr>
          <w:rFonts w:ascii="Times New Roman"/>
          <w:spacing w:val="0"/>
          <w:kern w:val="2"/>
          <w:sz w:val="21"/>
          <w:szCs w:val="21"/>
        </w:rPr>
        <w:t>投标单位： （盖章）</w:t>
      </w:r>
    </w:p>
    <w:p w14:paraId="0F14EC6F">
      <w:pPr>
        <w:pStyle w:val="15"/>
        <w:tabs>
          <w:tab w:val="left" w:pos="4841"/>
        </w:tabs>
        <w:spacing w:line="360" w:lineRule="auto"/>
        <w:ind w:left="5250" w:right="824" w:firstLine="4515" w:firstLineChars="2150"/>
        <w:jc w:val="right"/>
        <w:rPr>
          <w:rFonts w:ascii="Times New Roman"/>
          <w:spacing w:val="0"/>
          <w:kern w:val="2"/>
          <w:sz w:val="21"/>
          <w:szCs w:val="21"/>
        </w:rPr>
      </w:pPr>
    </w:p>
    <w:p w14:paraId="30BF219C">
      <w:pPr>
        <w:pStyle w:val="15"/>
        <w:tabs>
          <w:tab w:val="left" w:pos="4841"/>
        </w:tabs>
        <w:wordWrap w:val="0"/>
        <w:spacing w:line="360" w:lineRule="auto"/>
        <w:ind w:right="824"/>
        <w:jc w:val="right"/>
        <w:rPr>
          <w:rFonts w:ascii="Times New Roman"/>
          <w:spacing w:val="0"/>
          <w:kern w:val="2"/>
          <w:sz w:val="21"/>
          <w:szCs w:val="21"/>
        </w:rPr>
      </w:pPr>
      <w:r>
        <w:rPr>
          <w:rFonts w:ascii="Times New Roman"/>
          <w:spacing w:val="0"/>
          <w:kern w:val="2"/>
          <w:sz w:val="21"/>
          <w:szCs w:val="21"/>
        </w:rPr>
        <w:t>日期：    年   月   日</w:t>
      </w:r>
    </w:p>
    <w:p w14:paraId="2F793BDC">
      <w:pPr>
        <w:pStyle w:val="15"/>
        <w:tabs>
          <w:tab w:val="left" w:pos="4841"/>
        </w:tabs>
        <w:spacing w:line="360" w:lineRule="auto"/>
        <w:ind w:left="5250" w:right="824" w:firstLine="3698" w:firstLineChars="2150"/>
        <w:rPr>
          <w:rFonts w:ascii="Times New Roman"/>
          <w:szCs w:val="21"/>
        </w:rPr>
      </w:pPr>
    </w:p>
    <w:p w14:paraId="58FA26C2">
      <w:pPr>
        <w:spacing w:line="400" w:lineRule="exact"/>
        <w:ind w:left="420"/>
        <w:rPr>
          <w:szCs w:val="21"/>
        </w:rPr>
      </w:pPr>
    </w:p>
    <w:p w14:paraId="0FADD764">
      <w:pPr>
        <w:spacing w:line="480" w:lineRule="exact"/>
        <w:jc w:val="center"/>
        <w:rPr>
          <w:b/>
          <w:kern w:val="12"/>
          <w:sz w:val="24"/>
        </w:rPr>
      </w:pPr>
    </w:p>
    <w:p w14:paraId="1B2CD4EC">
      <w:pPr>
        <w:spacing w:line="320" w:lineRule="exact"/>
        <w:ind w:left="413" w:leftChars="50" w:hanging="308" w:hangingChars="146"/>
        <w:rPr>
          <w:b/>
          <w:kern w:val="12"/>
          <w:szCs w:val="21"/>
        </w:rPr>
      </w:pPr>
      <w:r>
        <w:rPr>
          <w:b/>
          <w:kern w:val="12"/>
          <w:szCs w:val="21"/>
        </w:rPr>
        <w:t>注：法定代表人参加本招标项目投标的，仅须提供此证明书。</w:t>
      </w:r>
      <w:r>
        <w:rPr>
          <w:b/>
          <w:kern w:val="12"/>
          <w:szCs w:val="21"/>
        </w:rPr>
        <w:br w:type="page"/>
      </w:r>
    </w:p>
    <w:p w14:paraId="21F1210D">
      <w:pPr>
        <w:spacing w:line="340" w:lineRule="exact"/>
        <w:jc w:val="center"/>
        <w:rPr>
          <w:b/>
          <w:color w:val="000000"/>
          <w:sz w:val="32"/>
          <w:szCs w:val="32"/>
        </w:rPr>
      </w:pPr>
      <w:r>
        <w:rPr>
          <w:b/>
          <w:color w:val="000000"/>
          <w:sz w:val="32"/>
          <w:szCs w:val="32"/>
        </w:rPr>
        <w:t>法定代表人授权委托书</w:t>
      </w:r>
    </w:p>
    <w:p w14:paraId="3A8DB5DB">
      <w:pPr>
        <w:jc w:val="center"/>
        <w:rPr>
          <w:bCs/>
          <w:color w:val="000000"/>
          <w:sz w:val="20"/>
        </w:rPr>
      </w:pPr>
    </w:p>
    <w:p w14:paraId="69866CFF">
      <w:pPr>
        <w:snapToGrid w:val="0"/>
        <w:spacing w:line="360" w:lineRule="auto"/>
        <w:rPr>
          <w:bCs/>
          <w:color w:val="000000"/>
          <w:szCs w:val="21"/>
        </w:rPr>
      </w:pPr>
    </w:p>
    <w:p w14:paraId="651055B1">
      <w:pPr>
        <w:snapToGrid w:val="0"/>
        <w:spacing w:line="360" w:lineRule="auto"/>
        <w:rPr>
          <w:color w:val="000000"/>
          <w:szCs w:val="21"/>
        </w:rPr>
      </w:pPr>
      <w:r>
        <w:rPr>
          <w:bCs/>
          <w:color w:val="000000"/>
          <w:szCs w:val="21"/>
        </w:rPr>
        <w:t>致：</w:t>
      </w:r>
      <w:r>
        <w:rPr>
          <w:color w:val="000000"/>
          <w:szCs w:val="21"/>
          <w:u w:val="single"/>
        </w:rPr>
        <w:t xml:space="preserve">              </w:t>
      </w:r>
      <w:r>
        <w:rPr>
          <w:color w:val="000000"/>
          <w:szCs w:val="21"/>
        </w:rPr>
        <w:t>（采购单位名称）</w:t>
      </w:r>
      <w:r>
        <w:rPr>
          <w:b/>
          <w:bCs/>
          <w:color w:val="000000"/>
          <w:szCs w:val="21"/>
        </w:rPr>
        <w:t xml:space="preserve"> </w:t>
      </w:r>
      <w:r>
        <w:rPr>
          <w:color w:val="000000"/>
          <w:szCs w:val="21"/>
        </w:rPr>
        <w:t>：</w:t>
      </w:r>
    </w:p>
    <w:p w14:paraId="3EB44616">
      <w:pPr>
        <w:snapToGrid w:val="0"/>
        <w:spacing w:line="360" w:lineRule="auto"/>
        <w:ind w:firstLine="525" w:firstLineChars="250"/>
        <w:rPr>
          <w:color w:val="000000"/>
          <w:szCs w:val="21"/>
          <w:u w:val="single"/>
        </w:rPr>
      </w:pPr>
      <w:r>
        <w:rPr>
          <w:color w:val="000000"/>
          <w:szCs w:val="21"/>
        </w:rPr>
        <w:t>我</w:t>
      </w:r>
      <w:r>
        <w:rPr>
          <w:color w:val="000000"/>
          <w:szCs w:val="21"/>
          <w:u w:val="single"/>
        </w:rPr>
        <w:t xml:space="preserve">          </w:t>
      </w:r>
      <w:r>
        <w:rPr>
          <w:color w:val="000000"/>
          <w:szCs w:val="21"/>
        </w:rPr>
        <w:t>（姓名）系</w:t>
      </w:r>
      <w:r>
        <w:rPr>
          <w:color w:val="000000"/>
          <w:szCs w:val="21"/>
          <w:u w:val="single"/>
        </w:rPr>
        <w:t xml:space="preserve">           </w:t>
      </w:r>
      <w:r>
        <w:rPr>
          <w:color w:val="000000"/>
          <w:szCs w:val="21"/>
        </w:rPr>
        <w:t xml:space="preserve">（供应商名称）的法定代表人，现授权委托本单位在职职工 </w:t>
      </w:r>
      <w:r>
        <w:rPr>
          <w:color w:val="000000"/>
          <w:szCs w:val="21"/>
          <w:u w:val="single"/>
        </w:rPr>
        <w:t xml:space="preserve">           </w:t>
      </w:r>
      <w:r>
        <w:rPr>
          <w:color w:val="000000"/>
          <w:szCs w:val="21"/>
        </w:rPr>
        <w:t>（姓名）以我方的名义参加</w:t>
      </w:r>
      <w:r>
        <w:rPr>
          <w:color w:val="000000"/>
          <w:szCs w:val="21"/>
          <w:u w:val="single"/>
        </w:rPr>
        <w:t xml:space="preserve">                       </w:t>
      </w:r>
      <w:r>
        <w:rPr>
          <w:color w:val="000000"/>
          <w:szCs w:val="21"/>
        </w:rPr>
        <w:t>项目的投标活动，并代表我方全权办理针对上述项目的投标、开标、评标、签约等具体事务和签署相关文件。</w:t>
      </w:r>
    </w:p>
    <w:p w14:paraId="24F18B37">
      <w:pPr>
        <w:snapToGrid w:val="0"/>
        <w:spacing w:line="360" w:lineRule="auto"/>
        <w:ind w:firstLine="420" w:firstLineChars="200"/>
        <w:rPr>
          <w:color w:val="000000"/>
          <w:szCs w:val="21"/>
          <w:u w:val="single"/>
        </w:rPr>
      </w:pPr>
      <w:r>
        <w:rPr>
          <w:color w:val="000000"/>
          <w:szCs w:val="21"/>
        </w:rPr>
        <w:t>我方对被授权人的签名事项负全部责任。</w:t>
      </w:r>
    </w:p>
    <w:p w14:paraId="617692EC">
      <w:pPr>
        <w:snapToGrid w:val="0"/>
        <w:spacing w:line="360" w:lineRule="auto"/>
        <w:ind w:firstLine="420" w:firstLineChars="200"/>
        <w:rPr>
          <w:color w:val="000000"/>
          <w:szCs w:val="21"/>
        </w:rPr>
      </w:pPr>
      <w:r>
        <w:rPr>
          <w:color w:val="000000"/>
          <w:szCs w:val="21"/>
        </w:rPr>
        <w:t>在撤销授权的书面通知以前，本授权书一直有效。被授权人在授权书有效期内签署的所有文件不因授权的撤销而失效。</w:t>
      </w:r>
    </w:p>
    <w:p w14:paraId="1CEF4EB0">
      <w:pPr>
        <w:snapToGrid w:val="0"/>
        <w:spacing w:line="360" w:lineRule="auto"/>
        <w:ind w:firstLine="480"/>
        <w:rPr>
          <w:color w:val="000000"/>
          <w:szCs w:val="21"/>
        </w:rPr>
      </w:pPr>
      <w:r>
        <w:rPr>
          <w:color w:val="000000"/>
          <w:szCs w:val="21"/>
        </w:rPr>
        <w:t>被授权人无转委托权，特此委托。</w:t>
      </w:r>
    </w:p>
    <w:p w14:paraId="23AA7F72">
      <w:pPr>
        <w:snapToGrid w:val="0"/>
        <w:spacing w:line="360" w:lineRule="auto"/>
        <w:rPr>
          <w:color w:val="000000"/>
          <w:szCs w:val="21"/>
        </w:rPr>
      </w:pPr>
    </w:p>
    <w:p w14:paraId="5EE7F328">
      <w:pPr>
        <w:snapToGrid w:val="0"/>
        <w:spacing w:line="360" w:lineRule="auto"/>
        <w:rPr>
          <w:color w:val="000000"/>
          <w:szCs w:val="21"/>
        </w:rPr>
      </w:pPr>
    </w:p>
    <w:p w14:paraId="03682EF6">
      <w:pPr>
        <w:snapToGrid w:val="0"/>
        <w:spacing w:line="360" w:lineRule="auto"/>
        <w:rPr>
          <w:color w:val="000000"/>
          <w:szCs w:val="21"/>
          <w:u w:val="single"/>
        </w:rPr>
      </w:pPr>
      <w:r>
        <w:rPr>
          <w:color w:val="000000"/>
          <w:szCs w:val="21"/>
        </w:rPr>
        <w:t>被授权人签名：</w:t>
      </w:r>
      <w:r>
        <w:rPr>
          <w:color w:val="000000"/>
          <w:szCs w:val="21"/>
          <w:u w:val="single"/>
        </w:rPr>
        <w:t xml:space="preserve">          </w:t>
      </w:r>
      <w:r>
        <w:rPr>
          <w:color w:val="000000"/>
          <w:szCs w:val="21"/>
        </w:rPr>
        <w:t xml:space="preserve">                 法定代表人（签名或盖章）：</w:t>
      </w:r>
      <w:r>
        <w:rPr>
          <w:color w:val="000000"/>
          <w:szCs w:val="21"/>
          <w:u w:val="single"/>
        </w:rPr>
        <w:t xml:space="preserve">          </w:t>
      </w:r>
    </w:p>
    <w:p w14:paraId="4EDE3648">
      <w:pPr>
        <w:snapToGrid w:val="0"/>
        <w:spacing w:line="360" w:lineRule="auto"/>
        <w:ind w:firstLine="840" w:firstLineChars="400"/>
        <w:rPr>
          <w:color w:val="000000"/>
          <w:szCs w:val="21"/>
        </w:rPr>
      </w:pPr>
      <w:r>
        <w:rPr>
          <w:color w:val="000000"/>
          <w:szCs w:val="21"/>
        </w:rPr>
        <w:t>职务：</w:t>
      </w:r>
      <w:r>
        <w:rPr>
          <w:color w:val="000000"/>
          <w:szCs w:val="21"/>
          <w:u w:val="single"/>
        </w:rPr>
        <w:t xml:space="preserve">           </w:t>
      </w:r>
      <w:r>
        <w:rPr>
          <w:color w:val="000000"/>
          <w:szCs w:val="21"/>
        </w:rPr>
        <w:t xml:space="preserve">                          职务：</w:t>
      </w:r>
      <w:r>
        <w:rPr>
          <w:color w:val="000000"/>
          <w:szCs w:val="21"/>
          <w:u w:val="single"/>
        </w:rPr>
        <w:t xml:space="preserve">           </w:t>
      </w:r>
    </w:p>
    <w:p w14:paraId="3DD55AB9">
      <w:pPr>
        <w:snapToGrid w:val="0"/>
        <w:spacing w:line="360" w:lineRule="auto"/>
        <w:rPr>
          <w:color w:val="000000"/>
          <w:szCs w:val="21"/>
        </w:rPr>
      </w:pPr>
      <w:r>
        <w:rPr>
          <w:color w:val="000000"/>
          <w:szCs w:val="21"/>
        </w:rPr>
        <w:t>被授权人身份证号码：</w:t>
      </w:r>
      <w:r>
        <w:rPr>
          <w:color w:val="000000"/>
          <w:szCs w:val="21"/>
          <w:u w:val="single"/>
        </w:rPr>
        <w:t xml:space="preserve">                             </w:t>
      </w:r>
      <w:r>
        <w:rPr>
          <w:color w:val="000000"/>
          <w:szCs w:val="21"/>
        </w:rPr>
        <w:t xml:space="preserve"> </w:t>
      </w:r>
    </w:p>
    <w:p w14:paraId="3D063AA2">
      <w:pPr>
        <w:spacing w:line="460" w:lineRule="exact"/>
        <w:ind w:firstLine="3373" w:firstLineChars="1600"/>
        <w:rPr>
          <w:b/>
          <w:bCs/>
          <w:szCs w:val="21"/>
        </w:rPr>
      </w:pPr>
    </w:p>
    <w:p w14:paraId="33042102">
      <w:pPr>
        <w:spacing w:line="460" w:lineRule="exact"/>
        <w:ind w:firstLine="5103" w:firstLineChars="2430"/>
        <w:rPr>
          <w:color w:val="000000"/>
          <w:szCs w:val="21"/>
        </w:rPr>
      </w:pPr>
      <w:r>
        <w:rPr>
          <w:color w:val="000000"/>
          <w:szCs w:val="21"/>
        </w:rPr>
        <w:tab/>
      </w:r>
      <w:r>
        <w:rPr>
          <w:color w:val="000000"/>
          <w:szCs w:val="21"/>
        </w:rPr>
        <w:t>投标人名称：       （盖章）</w:t>
      </w:r>
    </w:p>
    <w:p w14:paraId="4073207E">
      <w:pPr>
        <w:spacing w:line="380" w:lineRule="exact"/>
        <w:ind w:firstLine="5527" w:firstLineChars="2632"/>
        <w:rPr>
          <w:color w:val="000000"/>
          <w:szCs w:val="21"/>
        </w:rPr>
      </w:pPr>
      <w:r>
        <w:rPr>
          <w:color w:val="000000"/>
          <w:szCs w:val="21"/>
        </w:rPr>
        <w:t>日期：</w:t>
      </w:r>
      <w:bookmarkStart w:id="635" w:name="_Toc48981993"/>
      <w:bookmarkEnd w:id="635"/>
    </w:p>
    <w:p w14:paraId="1BB268A7">
      <w:pPr>
        <w:spacing w:line="360" w:lineRule="auto"/>
        <w:rPr>
          <w:b/>
          <w:color w:val="000000"/>
          <w:szCs w:val="21"/>
        </w:rPr>
      </w:pPr>
    </w:p>
    <w:p w14:paraId="26659135">
      <w:pPr>
        <w:spacing w:line="360" w:lineRule="auto"/>
        <w:rPr>
          <w:b/>
          <w:color w:val="000000"/>
          <w:szCs w:val="21"/>
        </w:rPr>
      </w:pPr>
    </w:p>
    <w:p w14:paraId="21805D1F">
      <w:pPr>
        <w:spacing w:line="360" w:lineRule="auto"/>
        <w:rPr>
          <w:b/>
          <w:color w:val="000000"/>
          <w:szCs w:val="21"/>
        </w:rPr>
      </w:pPr>
    </w:p>
    <w:p w14:paraId="548130F2">
      <w:pPr>
        <w:spacing w:line="440" w:lineRule="exact"/>
        <w:ind w:left="420"/>
        <w:rPr>
          <w:rFonts w:hint="eastAsia" w:ascii="宋体" w:hAnsi="宋体" w:cs="宋体"/>
          <w:b/>
          <w:szCs w:val="21"/>
        </w:rPr>
      </w:pPr>
      <w:r>
        <w:rPr>
          <w:rFonts w:hint="eastAsia" w:ascii="宋体" w:hAnsi="宋体" w:cs="宋体"/>
          <w:b/>
          <w:szCs w:val="21"/>
        </w:rPr>
        <w:t>（此处请粘贴法定代表人和被授权人身份证复印件正反面）</w:t>
      </w:r>
    </w:p>
    <w:p w14:paraId="7B3FA713">
      <w:pPr>
        <w:spacing w:line="440" w:lineRule="exact"/>
        <w:rPr>
          <w:rFonts w:hint="eastAsia" w:ascii="宋体" w:hAnsi="宋体" w:cs="宋体"/>
          <w:b/>
          <w:kern w:val="12"/>
          <w:szCs w:val="21"/>
        </w:rPr>
      </w:pPr>
    </w:p>
    <w:p w14:paraId="53F98B12">
      <w:pPr>
        <w:spacing w:line="440" w:lineRule="exact"/>
        <w:rPr>
          <w:rFonts w:hint="eastAsia" w:ascii="宋体" w:hAnsi="宋体" w:cs="宋体"/>
          <w:b/>
          <w:kern w:val="12"/>
          <w:szCs w:val="21"/>
        </w:rPr>
      </w:pPr>
      <w:r>
        <w:rPr>
          <w:rFonts w:hint="eastAsia" w:ascii="宋体" w:hAnsi="宋体" w:cs="宋体"/>
          <w:b/>
          <w:kern w:val="12"/>
          <w:szCs w:val="21"/>
        </w:rPr>
        <w:t>注：法定代表人的授权代表参加本采购项目投标的，须提供授权委托书和授权代表开标之日前近三个月内任意一个月缴纳社保的证明材料。</w:t>
      </w:r>
    </w:p>
    <w:p w14:paraId="27592574">
      <w:pPr>
        <w:spacing w:line="320" w:lineRule="exact"/>
        <w:ind w:left="413" w:hanging="413" w:hangingChars="196"/>
        <w:rPr>
          <w:b/>
          <w:kern w:val="12"/>
          <w:szCs w:val="21"/>
        </w:rPr>
      </w:pPr>
      <w:r>
        <w:rPr>
          <w:b/>
          <w:color w:val="000000"/>
          <w:szCs w:val="21"/>
        </w:rPr>
        <w:br w:type="page"/>
      </w:r>
    </w:p>
    <w:p w14:paraId="21FEACE8">
      <w:pPr>
        <w:spacing w:line="340" w:lineRule="exact"/>
        <w:jc w:val="center"/>
        <w:rPr>
          <w:b/>
          <w:color w:val="000000"/>
          <w:sz w:val="32"/>
          <w:szCs w:val="32"/>
        </w:rPr>
      </w:pPr>
      <w:r>
        <w:rPr>
          <w:b/>
          <w:color w:val="000000"/>
          <w:sz w:val="32"/>
          <w:szCs w:val="32"/>
        </w:rPr>
        <w:t>投标人基本情况说明</w:t>
      </w:r>
    </w:p>
    <w:p w14:paraId="423C0AFC">
      <w:pPr>
        <w:pStyle w:val="43"/>
        <w:ind w:left="0" w:leftChars="0"/>
      </w:pPr>
      <w:r>
        <w:rPr>
          <w:color w:val="000000"/>
          <w:szCs w:val="21"/>
        </w:rPr>
        <w:t xml:space="preserve">项目名称：            </w:t>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color w:val="000000"/>
          <w:szCs w:val="21"/>
        </w:rPr>
        <w:t xml:space="preserve"> </w:t>
      </w:r>
      <w:r>
        <w:rPr>
          <w:rFonts w:hint="eastAsia"/>
          <w:color w:val="000000"/>
          <w:szCs w:val="21"/>
        </w:rPr>
        <w:t>项目</w:t>
      </w:r>
      <w:r>
        <w:rPr>
          <w:color w:val="000000"/>
          <w:szCs w:val="21"/>
        </w:rPr>
        <w:t>编号：</w:t>
      </w:r>
    </w:p>
    <w:tbl>
      <w:tblPr>
        <w:tblStyle w:val="44"/>
        <w:tblW w:w="9164"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1680"/>
        <w:gridCol w:w="1050"/>
        <w:gridCol w:w="945"/>
        <w:gridCol w:w="1785"/>
        <w:gridCol w:w="2234"/>
      </w:tblGrid>
      <w:tr w14:paraId="5190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70" w:type="dxa"/>
            <w:vAlign w:val="center"/>
          </w:tcPr>
          <w:p w14:paraId="147E430F">
            <w:pPr>
              <w:spacing w:line="360" w:lineRule="auto"/>
              <w:jc w:val="center"/>
              <w:rPr>
                <w:color w:val="000000"/>
                <w:szCs w:val="21"/>
              </w:rPr>
            </w:pPr>
            <w:r>
              <w:rPr>
                <w:color w:val="000000"/>
                <w:szCs w:val="21"/>
              </w:rPr>
              <w:t>单位名称</w:t>
            </w:r>
          </w:p>
        </w:tc>
        <w:tc>
          <w:tcPr>
            <w:tcW w:w="3675" w:type="dxa"/>
            <w:gridSpan w:val="3"/>
            <w:vAlign w:val="center"/>
          </w:tcPr>
          <w:p w14:paraId="4ADF644D">
            <w:pPr>
              <w:spacing w:line="360" w:lineRule="auto"/>
              <w:jc w:val="center"/>
              <w:rPr>
                <w:color w:val="000000"/>
                <w:szCs w:val="21"/>
              </w:rPr>
            </w:pPr>
          </w:p>
        </w:tc>
        <w:tc>
          <w:tcPr>
            <w:tcW w:w="1785" w:type="dxa"/>
            <w:vMerge w:val="restart"/>
            <w:vAlign w:val="center"/>
          </w:tcPr>
          <w:p w14:paraId="7717AD3E">
            <w:pPr>
              <w:spacing w:line="0" w:lineRule="atLeast"/>
              <w:jc w:val="center"/>
              <w:rPr>
                <w:color w:val="000000"/>
                <w:spacing w:val="30"/>
                <w:szCs w:val="21"/>
              </w:rPr>
            </w:pPr>
            <w:r>
              <w:rPr>
                <w:rFonts w:hint="eastAsia"/>
                <w:color w:val="000000"/>
                <w:spacing w:val="30"/>
                <w:szCs w:val="21"/>
              </w:rPr>
              <w:t>社会统一信用代码</w:t>
            </w:r>
          </w:p>
        </w:tc>
        <w:tc>
          <w:tcPr>
            <w:tcW w:w="2234" w:type="dxa"/>
            <w:vMerge w:val="restart"/>
            <w:vAlign w:val="center"/>
          </w:tcPr>
          <w:p w14:paraId="625E2A78">
            <w:pPr>
              <w:spacing w:line="360" w:lineRule="auto"/>
              <w:jc w:val="center"/>
              <w:rPr>
                <w:color w:val="000000"/>
                <w:szCs w:val="21"/>
              </w:rPr>
            </w:pPr>
          </w:p>
        </w:tc>
      </w:tr>
      <w:tr w14:paraId="195F7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70" w:type="dxa"/>
            <w:vAlign w:val="center"/>
          </w:tcPr>
          <w:p w14:paraId="20A905F2">
            <w:pPr>
              <w:spacing w:line="360" w:lineRule="auto"/>
              <w:jc w:val="center"/>
              <w:rPr>
                <w:color w:val="000000"/>
                <w:szCs w:val="21"/>
              </w:rPr>
            </w:pPr>
            <w:r>
              <w:rPr>
                <w:color w:val="000000"/>
                <w:szCs w:val="21"/>
              </w:rPr>
              <w:t>注册地址</w:t>
            </w:r>
          </w:p>
        </w:tc>
        <w:tc>
          <w:tcPr>
            <w:tcW w:w="3675" w:type="dxa"/>
            <w:gridSpan w:val="3"/>
            <w:vAlign w:val="center"/>
          </w:tcPr>
          <w:p w14:paraId="0F55DA60">
            <w:pPr>
              <w:spacing w:line="360" w:lineRule="auto"/>
              <w:jc w:val="center"/>
              <w:rPr>
                <w:color w:val="000000"/>
                <w:szCs w:val="21"/>
              </w:rPr>
            </w:pPr>
          </w:p>
        </w:tc>
        <w:tc>
          <w:tcPr>
            <w:tcW w:w="1785" w:type="dxa"/>
            <w:vMerge w:val="continue"/>
            <w:vAlign w:val="center"/>
          </w:tcPr>
          <w:p w14:paraId="6BA756F6">
            <w:pPr>
              <w:spacing w:line="360" w:lineRule="auto"/>
              <w:jc w:val="center"/>
              <w:rPr>
                <w:color w:val="000000"/>
                <w:szCs w:val="21"/>
              </w:rPr>
            </w:pPr>
          </w:p>
        </w:tc>
        <w:tc>
          <w:tcPr>
            <w:tcW w:w="2234" w:type="dxa"/>
            <w:vMerge w:val="continue"/>
            <w:vAlign w:val="center"/>
          </w:tcPr>
          <w:p w14:paraId="0DBFFD27">
            <w:pPr>
              <w:spacing w:line="360" w:lineRule="auto"/>
              <w:jc w:val="center"/>
              <w:rPr>
                <w:color w:val="000000"/>
                <w:szCs w:val="21"/>
              </w:rPr>
            </w:pPr>
          </w:p>
        </w:tc>
      </w:tr>
      <w:tr w14:paraId="489D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70" w:type="dxa"/>
            <w:vAlign w:val="center"/>
          </w:tcPr>
          <w:p w14:paraId="7E49ECC4">
            <w:pPr>
              <w:spacing w:line="360" w:lineRule="auto"/>
              <w:jc w:val="center"/>
              <w:rPr>
                <w:color w:val="000000"/>
                <w:szCs w:val="21"/>
              </w:rPr>
            </w:pPr>
            <w:r>
              <w:rPr>
                <w:color w:val="000000"/>
                <w:szCs w:val="21"/>
              </w:rPr>
              <w:t>经营地址</w:t>
            </w:r>
          </w:p>
        </w:tc>
        <w:tc>
          <w:tcPr>
            <w:tcW w:w="3675" w:type="dxa"/>
            <w:gridSpan w:val="3"/>
            <w:vAlign w:val="center"/>
          </w:tcPr>
          <w:p w14:paraId="750D0D04">
            <w:pPr>
              <w:spacing w:line="360" w:lineRule="auto"/>
              <w:jc w:val="center"/>
              <w:rPr>
                <w:color w:val="000000"/>
                <w:szCs w:val="21"/>
              </w:rPr>
            </w:pPr>
          </w:p>
        </w:tc>
        <w:tc>
          <w:tcPr>
            <w:tcW w:w="1785" w:type="dxa"/>
            <w:vMerge w:val="continue"/>
            <w:vAlign w:val="center"/>
          </w:tcPr>
          <w:p w14:paraId="10B94F5D">
            <w:pPr>
              <w:spacing w:line="360" w:lineRule="auto"/>
              <w:jc w:val="center"/>
              <w:rPr>
                <w:color w:val="000000"/>
                <w:spacing w:val="30"/>
                <w:szCs w:val="21"/>
              </w:rPr>
            </w:pPr>
          </w:p>
        </w:tc>
        <w:tc>
          <w:tcPr>
            <w:tcW w:w="2234" w:type="dxa"/>
            <w:vMerge w:val="continue"/>
            <w:vAlign w:val="center"/>
          </w:tcPr>
          <w:p w14:paraId="30264E78">
            <w:pPr>
              <w:spacing w:line="360" w:lineRule="auto"/>
              <w:jc w:val="center"/>
              <w:rPr>
                <w:color w:val="000000"/>
                <w:szCs w:val="21"/>
              </w:rPr>
            </w:pPr>
          </w:p>
        </w:tc>
      </w:tr>
      <w:tr w14:paraId="3A08D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70" w:type="dxa"/>
            <w:vAlign w:val="center"/>
          </w:tcPr>
          <w:p w14:paraId="4FFFB9DA">
            <w:pPr>
              <w:spacing w:line="360" w:lineRule="auto"/>
              <w:jc w:val="center"/>
              <w:rPr>
                <w:color w:val="000000"/>
                <w:szCs w:val="21"/>
              </w:rPr>
            </w:pPr>
            <w:r>
              <w:rPr>
                <w:color w:val="000000"/>
                <w:szCs w:val="21"/>
              </w:rPr>
              <w:t>单位性质</w:t>
            </w:r>
          </w:p>
        </w:tc>
        <w:tc>
          <w:tcPr>
            <w:tcW w:w="3675" w:type="dxa"/>
            <w:gridSpan w:val="3"/>
            <w:vAlign w:val="center"/>
          </w:tcPr>
          <w:p w14:paraId="2089ADD3">
            <w:pPr>
              <w:pStyle w:val="152"/>
              <w:widowControl w:val="0"/>
              <w:spacing w:before="0" w:beforeAutospacing="0" w:after="0" w:afterAutospacing="0" w:line="360" w:lineRule="auto"/>
              <w:ind w:left="1320" w:firstLine="420"/>
              <w:rPr>
                <w:rFonts w:ascii="Times New Roman" w:hAnsi="Times New Roman"/>
                <w:color w:val="000000"/>
                <w:kern w:val="2"/>
                <w:sz w:val="21"/>
                <w:szCs w:val="21"/>
              </w:rPr>
            </w:pPr>
          </w:p>
        </w:tc>
        <w:tc>
          <w:tcPr>
            <w:tcW w:w="1785" w:type="dxa"/>
            <w:vAlign w:val="center"/>
          </w:tcPr>
          <w:p w14:paraId="5CDE3205">
            <w:pPr>
              <w:spacing w:line="360" w:lineRule="auto"/>
              <w:jc w:val="center"/>
              <w:rPr>
                <w:color w:val="000000"/>
                <w:spacing w:val="34"/>
                <w:szCs w:val="21"/>
              </w:rPr>
            </w:pPr>
            <w:r>
              <w:rPr>
                <w:color w:val="000000"/>
                <w:spacing w:val="34"/>
                <w:szCs w:val="21"/>
              </w:rPr>
              <w:t>注册资本</w:t>
            </w:r>
          </w:p>
        </w:tc>
        <w:tc>
          <w:tcPr>
            <w:tcW w:w="2234" w:type="dxa"/>
            <w:vAlign w:val="center"/>
          </w:tcPr>
          <w:p w14:paraId="5331D6C3">
            <w:pPr>
              <w:spacing w:line="360" w:lineRule="auto"/>
              <w:jc w:val="center"/>
              <w:rPr>
                <w:color w:val="000000"/>
                <w:szCs w:val="21"/>
              </w:rPr>
            </w:pPr>
          </w:p>
        </w:tc>
      </w:tr>
      <w:tr w14:paraId="48E1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70" w:type="dxa"/>
            <w:vAlign w:val="center"/>
          </w:tcPr>
          <w:p w14:paraId="7FD5ADE5">
            <w:pPr>
              <w:spacing w:line="360" w:lineRule="auto"/>
              <w:jc w:val="center"/>
              <w:rPr>
                <w:color w:val="000000"/>
                <w:szCs w:val="21"/>
              </w:rPr>
            </w:pPr>
            <w:r>
              <w:rPr>
                <w:color w:val="000000"/>
                <w:szCs w:val="21"/>
              </w:rPr>
              <w:t>经营范围</w:t>
            </w:r>
          </w:p>
        </w:tc>
        <w:tc>
          <w:tcPr>
            <w:tcW w:w="3675" w:type="dxa"/>
            <w:gridSpan w:val="3"/>
            <w:vAlign w:val="center"/>
          </w:tcPr>
          <w:p w14:paraId="437D3196">
            <w:pPr>
              <w:spacing w:line="360" w:lineRule="auto"/>
              <w:jc w:val="center"/>
              <w:rPr>
                <w:color w:val="000000"/>
                <w:szCs w:val="21"/>
              </w:rPr>
            </w:pPr>
          </w:p>
        </w:tc>
        <w:tc>
          <w:tcPr>
            <w:tcW w:w="1785" w:type="dxa"/>
            <w:vAlign w:val="center"/>
          </w:tcPr>
          <w:p w14:paraId="34E42A06">
            <w:pPr>
              <w:spacing w:line="360" w:lineRule="auto"/>
              <w:jc w:val="center"/>
              <w:rPr>
                <w:color w:val="000000"/>
                <w:szCs w:val="21"/>
              </w:rPr>
            </w:pPr>
            <w:r>
              <w:rPr>
                <w:color w:val="000000"/>
                <w:szCs w:val="21"/>
              </w:rPr>
              <w:t>营业期限</w:t>
            </w:r>
          </w:p>
        </w:tc>
        <w:tc>
          <w:tcPr>
            <w:tcW w:w="2234" w:type="dxa"/>
            <w:vAlign w:val="center"/>
          </w:tcPr>
          <w:p w14:paraId="302CFC8D">
            <w:pPr>
              <w:spacing w:line="360" w:lineRule="auto"/>
              <w:jc w:val="center"/>
              <w:rPr>
                <w:color w:val="000000"/>
                <w:szCs w:val="21"/>
              </w:rPr>
            </w:pPr>
            <w:r>
              <w:rPr>
                <w:color w:val="000000"/>
                <w:szCs w:val="21"/>
              </w:rPr>
              <w:t>年 月-  年 月</w:t>
            </w:r>
          </w:p>
        </w:tc>
      </w:tr>
      <w:tr w14:paraId="2C552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70" w:type="dxa"/>
            <w:vAlign w:val="center"/>
          </w:tcPr>
          <w:p w14:paraId="104CBA55">
            <w:pPr>
              <w:spacing w:line="360" w:lineRule="auto"/>
              <w:jc w:val="center"/>
              <w:rPr>
                <w:color w:val="000000"/>
                <w:szCs w:val="21"/>
              </w:rPr>
            </w:pPr>
            <w:r>
              <w:rPr>
                <w:color w:val="000000"/>
                <w:szCs w:val="21"/>
              </w:rPr>
              <w:t>联系电话</w:t>
            </w:r>
          </w:p>
        </w:tc>
        <w:tc>
          <w:tcPr>
            <w:tcW w:w="3675" w:type="dxa"/>
            <w:gridSpan w:val="3"/>
            <w:vAlign w:val="center"/>
          </w:tcPr>
          <w:p w14:paraId="6A94FA69">
            <w:pPr>
              <w:spacing w:line="360" w:lineRule="auto"/>
              <w:jc w:val="center"/>
              <w:rPr>
                <w:color w:val="000000"/>
                <w:szCs w:val="21"/>
              </w:rPr>
            </w:pPr>
          </w:p>
        </w:tc>
        <w:tc>
          <w:tcPr>
            <w:tcW w:w="1785" w:type="dxa"/>
            <w:vAlign w:val="center"/>
          </w:tcPr>
          <w:p w14:paraId="70577C70">
            <w:pPr>
              <w:spacing w:line="360" w:lineRule="auto"/>
              <w:jc w:val="center"/>
              <w:rPr>
                <w:color w:val="000000"/>
                <w:szCs w:val="21"/>
              </w:rPr>
            </w:pPr>
            <w:r>
              <w:rPr>
                <w:color w:val="000000"/>
                <w:szCs w:val="21"/>
              </w:rPr>
              <w:t>传真</w:t>
            </w:r>
          </w:p>
        </w:tc>
        <w:tc>
          <w:tcPr>
            <w:tcW w:w="2234" w:type="dxa"/>
            <w:vAlign w:val="center"/>
          </w:tcPr>
          <w:p w14:paraId="674DBCE9">
            <w:pPr>
              <w:spacing w:line="360" w:lineRule="auto"/>
              <w:jc w:val="center"/>
              <w:rPr>
                <w:color w:val="000000"/>
                <w:szCs w:val="21"/>
              </w:rPr>
            </w:pPr>
          </w:p>
        </w:tc>
      </w:tr>
      <w:tr w14:paraId="4686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70" w:type="dxa"/>
            <w:vAlign w:val="center"/>
          </w:tcPr>
          <w:p w14:paraId="5A378ABF">
            <w:pPr>
              <w:spacing w:line="360" w:lineRule="auto"/>
              <w:jc w:val="center"/>
              <w:rPr>
                <w:color w:val="000000"/>
                <w:szCs w:val="21"/>
              </w:rPr>
            </w:pPr>
            <w:r>
              <w:rPr>
                <w:color w:val="000000"/>
                <w:szCs w:val="21"/>
              </w:rPr>
              <w:t>主要业绩</w:t>
            </w:r>
          </w:p>
        </w:tc>
        <w:tc>
          <w:tcPr>
            <w:tcW w:w="7694" w:type="dxa"/>
            <w:gridSpan w:val="5"/>
            <w:vAlign w:val="center"/>
          </w:tcPr>
          <w:p w14:paraId="1FD2AD10">
            <w:pPr>
              <w:spacing w:line="360" w:lineRule="auto"/>
              <w:rPr>
                <w:color w:val="000000"/>
                <w:szCs w:val="21"/>
              </w:rPr>
            </w:pPr>
          </w:p>
          <w:p w14:paraId="7045F2F6">
            <w:pPr>
              <w:spacing w:line="360" w:lineRule="auto"/>
              <w:rPr>
                <w:color w:val="000000"/>
                <w:szCs w:val="21"/>
              </w:rPr>
            </w:pPr>
          </w:p>
        </w:tc>
      </w:tr>
      <w:tr w14:paraId="75847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164" w:type="dxa"/>
            <w:gridSpan w:val="6"/>
            <w:vAlign w:val="center"/>
          </w:tcPr>
          <w:p w14:paraId="38502411">
            <w:pPr>
              <w:spacing w:line="360" w:lineRule="auto"/>
              <w:jc w:val="center"/>
              <w:rPr>
                <w:color w:val="000000"/>
                <w:szCs w:val="21"/>
              </w:rPr>
            </w:pPr>
            <w:r>
              <w:rPr>
                <w:color w:val="000000"/>
                <w:szCs w:val="21"/>
              </w:rPr>
              <w:t>法 定 代 表 人 基 本 情 况</w:t>
            </w:r>
          </w:p>
        </w:tc>
      </w:tr>
      <w:tr w14:paraId="081C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70" w:type="dxa"/>
            <w:vAlign w:val="center"/>
          </w:tcPr>
          <w:p w14:paraId="7618DF52">
            <w:pPr>
              <w:spacing w:line="360" w:lineRule="auto"/>
              <w:jc w:val="center"/>
              <w:rPr>
                <w:color w:val="000000"/>
                <w:szCs w:val="21"/>
              </w:rPr>
            </w:pPr>
            <w:r>
              <w:rPr>
                <w:color w:val="000000"/>
                <w:szCs w:val="21"/>
              </w:rPr>
              <w:t>姓  名</w:t>
            </w:r>
          </w:p>
        </w:tc>
        <w:tc>
          <w:tcPr>
            <w:tcW w:w="3675" w:type="dxa"/>
            <w:gridSpan w:val="3"/>
            <w:vAlign w:val="center"/>
          </w:tcPr>
          <w:p w14:paraId="333C45F3">
            <w:pPr>
              <w:spacing w:line="360" w:lineRule="auto"/>
              <w:jc w:val="center"/>
              <w:rPr>
                <w:color w:val="000000"/>
                <w:szCs w:val="21"/>
              </w:rPr>
            </w:pPr>
          </w:p>
        </w:tc>
        <w:tc>
          <w:tcPr>
            <w:tcW w:w="1785" w:type="dxa"/>
            <w:vAlign w:val="center"/>
          </w:tcPr>
          <w:p w14:paraId="2A544A2E">
            <w:pPr>
              <w:spacing w:line="360" w:lineRule="auto"/>
              <w:jc w:val="center"/>
              <w:rPr>
                <w:color w:val="000000"/>
                <w:szCs w:val="21"/>
              </w:rPr>
            </w:pPr>
            <w:r>
              <w:rPr>
                <w:color w:val="000000"/>
                <w:szCs w:val="21"/>
              </w:rPr>
              <w:t>身份证号码</w:t>
            </w:r>
          </w:p>
        </w:tc>
        <w:tc>
          <w:tcPr>
            <w:tcW w:w="2234" w:type="dxa"/>
            <w:vAlign w:val="center"/>
          </w:tcPr>
          <w:p w14:paraId="7EAE8473">
            <w:pPr>
              <w:spacing w:line="360" w:lineRule="auto"/>
              <w:jc w:val="center"/>
              <w:rPr>
                <w:color w:val="000000"/>
                <w:szCs w:val="21"/>
              </w:rPr>
            </w:pPr>
          </w:p>
        </w:tc>
      </w:tr>
      <w:tr w14:paraId="2059D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70" w:type="dxa"/>
            <w:vAlign w:val="center"/>
          </w:tcPr>
          <w:p w14:paraId="3A8697A8">
            <w:pPr>
              <w:spacing w:line="360" w:lineRule="auto"/>
              <w:jc w:val="center"/>
              <w:rPr>
                <w:color w:val="000000"/>
                <w:szCs w:val="21"/>
              </w:rPr>
            </w:pPr>
            <w:r>
              <w:rPr>
                <w:color w:val="000000"/>
                <w:szCs w:val="21"/>
              </w:rPr>
              <w:t>职  务</w:t>
            </w:r>
          </w:p>
        </w:tc>
        <w:tc>
          <w:tcPr>
            <w:tcW w:w="1680" w:type="dxa"/>
            <w:vAlign w:val="center"/>
          </w:tcPr>
          <w:p w14:paraId="5874EA30">
            <w:pPr>
              <w:spacing w:line="360" w:lineRule="auto"/>
              <w:jc w:val="center"/>
              <w:rPr>
                <w:color w:val="000000"/>
                <w:szCs w:val="21"/>
              </w:rPr>
            </w:pPr>
          </w:p>
        </w:tc>
        <w:tc>
          <w:tcPr>
            <w:tcW w:w="1050" w:type="dxa"/>
            <w:vAlign w:val="center"/>
          </w:tcPr>
          <w:p w14:paraId="18490B55">
            <w:pPr>
              <w:spacing w:line="360" w:lineRule="auto"/>
              <w:jc w:val="center"/>
              <w:rPr>
                <w:color w:val="000000"/>
                <w:szCs w:val="21"/>
              </w:rPr>
            </w:pPr>
            <w:r>
              <w:rPr>
                <w:color w:val="000000"/>
                <w:szCs w:val="21"/>
              </w:rPr>
              <w:t>职称</w:t>
            </w:r>
          </w:p>
        </w:tc>
        <w:tc>
          <w:tcPr>
            <w:tcW w:w="945" w:type="dxa"/>
            <w:vAlign w:val="center"/>
          </w:tcPr>
          <w:p w14:paraId="454471D4">
            <w:pPr>
              <w:spacing w:line="360" w:lineRule="auto"/>
              <w:jc w:val="center"/>
              <w:rPr>
                <w:color w:val="000000"/>
                <w:szCs w:val="21"/>
              </w:rPr>
            </w:pPr>
          </w:p>
        </w:tc>
        <w:tc>
          <w:tcPr>
            <w:tcW w:w="1785" w:type="dxa"/>
            <w:vAlign w:val="center"/>
          </w:tcPr>
          <w:p w14:paraId="6DCFA376">
            <w:pPr>
              <w:spacing w:line="360" w:lineRule="auto"/>
              <w:jc w:val="center"/>
              <w:rPr>
                <w:color w:val="000000"/>
                <w:szCs w:val="21"/>
              </w:rPr>
            </w:pPr>
            <w:r>
              <w:rPr>
                <w:color w:val="000000"/>
                <w:szCs w:val="21"/>
              </w:rPr>
              <w:t>学    历</w:t>
            </w:r>
          </w:p>
        </w:tc>
        <w:tc>
          <w:tcPr>
            <w:tcW w:w="2234" w:type="dxa"/>
            <w:vAlign w:val="center"/>
          </w:tcPr>
          <w:p w14:paraId="51BED0B7">
            <w:pPr>
              <w:spacing w:line="360" w:lineRule="auto"/>
              <w:jc w:val="center"/>
              <w:rPr>
                <w:color w:val="000000"/>
                <w:szCs w:val="21"/>
              </w:rPr>
            </w:pPr>
          </w:p>
        </w:tc>
      </w:tr>
      <w:tr w14:paraId="3C135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164" w:type="dxa"/>
            <w:gridSpan w:val="6"/>
          </w:tcPr>
          <w:p w14:paraId="31A257E9">
            <w:pPr>
              <w:spacing w:line="360" w:lineRule="auto"/>
              <w:rPr>
                <w:color w:val="000000"/>
                <w:szCs w:val="21"/>
              </w:rPr>
            </w:pPr>
            <w:r>
              <w:rPr>
                <w:color w:val="000000"/>
                <w:szCs w:val="21"/>
              </w:rPr>
              <w:t>备注:</w:t>
            </w:r>
          </w:p>
        </w:tc>
      </w:tr>
    </w:tbl>
    <w:p w14:paraId="21B15E13">
      <w:pPr>
        <w:spacing w:line="360" w:lineRule="auto"/>
        <w:rPr>
          <w:b/>
          <w:color w:val="000000"/>
        </w:rPr>
      </w:pPr>
    </w:p>
    <w:p w14:paraId="2C72B9CC">
      <w:pPr>
        <w:spacing w:line="360" w:lineRule="auto"/>
        <w:rPr>
          <w:b/>
          <w:color w:val="000000"/>
        </w:rPr>
      </w:pPr>
    </w:p>
    <w:p w14:paraId="484E981B">
      <w:pPr>
        <w:rPr>
          <w:color w:val="000000"/>
        </w:rPr>
      </w:pPr>
    </w:p>
    <w:p w14:paraId="0A2E2B37">
      <w:pPr>
        <w:pStyle w:val="15"/>
        <w:widowControl/>
        <w:spacing w:line="360" w:lineRule="auto"/>
        <w:ind w:left="614" w:leftChars="100" w:hanging="404" w:hangingChars="200"/>
        <w:jc w:val="left"/>
        <w:rPr>
          <w:rFonts w:ascii="Times New Roman"/>
          <w:color w:val="000000"/>
          <w:sz w:val="21"/>
          <w:szCs w:val="21"/>
        </w:rPr>
      </w:pPr>
      <w:r>
        <w:rPr>
          <w:rFonts w:ascii="Times New Roman"/>
          <w:color w:val="000000"/>
          <w:sz w:val="21"/>
          <w:szCs w:val="21"/>
        </w:rPr>
        <w:t>投 标 人（盖章）：</w:t>
      </w:r>
    </w:p>
    <w:p w14:paraId="283C8392">
      <w:pPr>
        <w:pStyle w:val="15"/>
        <w:widowControl/>
        <w:spacing w:line="360" w:lineRule="auto"/>
        <w:ind w:left="614" w:leftChars="100" w:hanging="404" w:hangingChars="200"/>
        <w:jc w:val="left"/>
        <w:rPr>
          <w:rFonts w:ascii="Times New Roman"/>
          <w:color w:val="000000"/>
          <w:sz w:val="21"/>
          <w:szCs w:val="21"/>
        </w:rPr>
      </w:pPr>
      <w:r>
        <w:rPr>
          <w:rFonts w:ascii="Times New Roman"/>
          <w:color w:val="000000"/>
          <w:sz w:val="21"/>
          <w:szCs w:val="21"/>
        </w:rPr>
        <w:t>法定代表人或其授权代表（签字或盖章）：</w:t>
      </w:r>
    </w:p>
    <w:p w14:paraId="3490406C">
      <w:pPr>
        <w:pStyle w:val="15"/>
        <w:widowControl/>
        <w:spacing w:line="360" w:lineRule="auto"/>
        <w:ind w:left="614" w:leftChars="100" w:hanging="404" w:hangingChars="200"/>
        <w:jc w:val="left"/>
        <w:rPr>
          <w:rFonts w:ascii="Times New Roman"/>
          <w:color w:val="000000"/>
          <w:spacing w:val="0"/>
          <w:sz w:val="22"/>
          <w:szCs w:val="24"/>
        </w:rPr>
      </w:pPr>
      <w:r>
        <w:rPr>
          <w:rFonts w:ascii="Times New Roman"/>
          <w:color w:val="000000"/>
          <w:sz w:val="21"/>
          <w:szCs w:val="21"/>
        </w:rPr>
        <w:t>日</w:t>
      </w:r>
      <w:r>
        <w:rPr>
          <w:rFonts w:hint="eastAsia" w:ascii="Times New Roman"/>
          <w:color w:val="000000"/>
          <w:sz w:val="21"/>
          <w:szCs w:val="21"/>
        </w:rPr>
        <w:t xml:space="preserve"> </w:t>
      </w:r>
      <w:r>
        <w:rPr>
          <w:rFonts w:ascii="Times New Roman"/>
          <w:color w:val="000000"/>
          <w:sz w:val="21"/>
          <w:szCs w:val="21"/>
        </w:rPr>
        <w:t>期：</w:t>
      </w:r>
      <w:r>
        <w:rPr>
          <w:rFonts w:ascii="Times New Roman"/>
          <w:color w:val="000000"/>
          <w:spacing w:val="0"/>
          <w:sz w:val="22"/>
          <w:szCs w:val="24"/>
        </w:rPr>
        <w:br w:type="page"/>
      </w:r>
    </w:p>
    <w:p w14:paraId="1D04348C">
      <w:pPr>
        <w:spacing w:line="360" w:lineRule="auto"/>
        <w:jc w:val="center"/>
        <w:rPr>
          <w:b/>
          <w:color w:val="000000"/>
          <w:sz w:val="24"/>
          <w:szCs w:val="21"/>
        </w:rPr>
      </w:pPr>
      <w:r>
        <w:rPr>
          <w:b/>
          <w:color w:val="000000"/>
          <w:sz w:val="24"/>
          <w:szCs w:val="21"/>
        </w:rPr>
        <w:t>商务</w:t>
      </w:r>
      <w:r>
        <w:rPr>
          <w:rFonts w:hint="eastAsia"/>
          <w:b/>
          <w:color w:val="000000"/>
          <w:sz w:val="24"/>
          <w:szCs w:val="21"/>
        </w:rPr>
        <w:t>需求</w:t>
      </w:r>
      <w:r>
        <w:rPr>
          <w:b/>
          <w:color w:val="000000"/>
          <w:sz w:val="24"/>
          <w:szCs w:val="21"/>
        </w:rPr>
        <w:t>偏离表</w:t>
      </w:r>
    </w:p>
    <w:p w14:paraId="45609302">
      <w:pPr>
        <w:pStyle w:val="43"/>
        <w:ind w:left="0" w:leftChars="0"/>
        <w:rPr>
          <w:b/>
          <w:bCs/>
          <w:color w:val="000000"/>
          <w:sz w:val="24"/>
          <w:szCs w:val="21"/>
        </w:rPr>
      </w:pPr>
      <w:r>
        <w:rPr>
          <w:color w:val="000000"/>
          <w:szCs w:val="21"/>
        </w:rPr>
        <w:t xml:space="preserve">项目名称：            </w:t>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color w:val="000000"/>
          <w:szCs w:val="21"/>
        </w:rPr>
        <w:t xml:space="preserve"> </w:t>
      </w:r>
      <w:r>
        <w:rPr>
          <w:rFonts w:hint="eastAsia"/>
          <w:color w:val="000000"/>
          <w:szCs w:val="21"/>
        </w:rPr>
        <w:t>项目</w:t>
      </w:r>
      <w:r>
        <w:rPr>
          <w:color w:val="000000"/>
          <w:szCs w:val="21"/>
        </w:rPr>
        <w:t>编号：</w:t>
      </w:r>
      <w:r>
        <w:rPr>
          <w:color w:val="000000"/>
          <w:sz w:val="24"/>
        </w:rPr>
        <w:t xml:space="preserve">       </w:t>
      </w:r>
    </w:p>
    <w:tbl>
      <w:tblPr>
        <w:tblStyle w:val="44"/>
        <w:tblW w:w="874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29"/>
        <w:gridCol w:w="3334"/>
        <w:gridCol w:w="1260"/>
        <w:gridCol w:w="3020"/>
      </w:tblGrid>
      <w:tr w14:paraId="5B46F0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1129" w:type="dxa"/>
            <w:tcBorders>
              <w:top w:val="single" w:color="auto" w:sz="4" w:space="0"/>
              <w:left w:val="single" w:color="auto" w:sz="4" w:space="0"/>
              <w:bottom w:val="single" w:color="auto" w:sz="4" w:space="0"/>
              <w:right w:val="single" w:color="auto" w:sz="4" w:space="0"/>
            </w:tcBorders>
          </w:tcPr>
          <w:p w14:paraId="24F49DC1">
            <w:pPr>
              <w:snapToGrid w:val="0"/>
              <w:spacing w:before="120" w:beforeLines="50" w:line="400" w:lineRule="exact"/>
              <w:jc w:val="center"/>
              <w:rPr>
                <w:b/>
                <w:szCs w:val="21"/>
              </w:rPr>
            </w:pPr>
            <w:r>
              <w:rPr>
                <w:rFonts w:hint="eastAsia" w:ascii="宋体" w:hAnsi="宋体"/>
                <w:b/>
                <w:szCs w:val="21"/>
              </w:rPr>
              <w:t>序号</w:t>
            </w:r>
          </w:p>
        </w:tc>
        <w:tc>
          <w:tcPr>
            <w:tcW w:w="3334" w:type="dxa"/>
            <w:tcBorders>
              <w:top w:val="single" w:color="auto" w:sz="4" w:space="0"/>
              <w:left w:val="single" w:color="auto" w:sz="4" w:space="0"/>
              <w:bottom w:val="single" w:color="auto" w:sz="4" w:space="0"/>
              <w:right w:val="single" w:color="auto" w:sz="4" w:space="0"/>
            </w:tcBorders>
          </w:tcPr>
          <w:p w14:paraId="5754A96A">
            <w:pPr>
              <w:snapToGrid w:val="0"/>
              <w:spacing w:before="120" w:beforeLines="50" w:line="400" w:lineRule="exact"/>
              <w:jc w:val="center"/>
              <w:rPr>
                <w:b/>
                <w:szCs w:val="21"/>
              </w:rPr>
            </w:pPr>
            <w:r>
              <w:rPr>
                <w:b/>
                <w:szCs w:val="21"/>
              </w:rPr>
              <w:t>招标要求</w:t>
            </w:r>
          </w:p>
        </w:tc>
        <w:tc>
          <w:tcPr>
            <w:tcW w:w="1260" w:type="dxa"/>
            <w:tcBorders>
              <w:top w:val="single" w:color="auto" w:sz="4" w:space="0"/>
              <w:left w:val="single" w:color="auto" w:sz="4" w:space="0"/>
              <w:bottom w:val="single" w:color="auto" w:sz="4" w:space="0"/>
              <w:right w:val="single" w:color="auto" w:sz="4" w:space="0"/>
            </w:tcBorders>
          </w:tcPr>
          <w:p w14:paraId="65F4191A">
            <w:pPr>
              <w:snapToGrid w:val="0"/>
              <w:spacing w:before="120" w:beforeLines="50" w:line="400" w:lineRule="exact"/>
              <w:jc w:val="center"/>
              <w:rPr>
                <w:b/>
                <w:szCs w:val="21"/>
              </w:rPr>
            </w:pPr>
            <w:r>
              <w:rPr>
                <w:rFonts w:hint="eastAsia"/>
                <w:b/>
                <w:szCs w:val="21"/>
              </w:rPr>
              <w:t>投标响应</w:t>
            </w:r>
          </w:p>
        </w:tc>
        <w:tc>
          <w:tcPr>
            <w:tcW w:w="3020" w:type="dxa"/>
            <w:tcBorders>
              <w:top w:val="single" w:color="auto" w:sz="4" w:space="0"/>
              <w:left w:val="single" w:color="auto" w:sz="4" w:space="0"/>
              <w:bottom w:val="single" w:color="auto" w:sz="4" w:space="0"/>
              <w:right w:val="single" w:color="auto" w:sz="4" w:space="0"/>
            </w:tcBorders>
          </w:tcPr>
          <w:p w14:paraId="6073F33A">
            <w:pPr>
              <w:snapToGrid w:val="0"/>
              <w:spacing w:before="120" w:beforeLines="50" w:line="400" w:lineRule="exact"/>
              <w:jc w:val="center"/>
              <w:rPr>
                <w:b/>
                <w:szCs w:val="21"/>
              </w:rPr>
            </w:pPr>
            <w:r>
              <w:rPr>
                <w:rFonts w:hint="eastAsia" w:ascii="宋体" w:hAnsi="宋体"/>
                <w:b/>
                <w:szCs w:val="21"/>
              </w:rPr>
              <w:t>偏离说明</w:t>
            </w:r>
          </w:p>
        </w:tc>
      </w:tr>
      <w:tr w14:paraId="3A0513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4B8FF409">
            <w:pPr>
              <w:snapToGrid w:val="0"/>
              <w:spacing w:line="400" w:lineRule="exact"/>
              <w:rPr>
                <w:szCs w:val="21"/>
              </w:rPr>
            </w:pPr>
          </w:p>
        </w:tc>
        <w:tc>
          <w:tcPr>
            <w:tcW w:w="3334" w:type="dxa"/>
            <w:tcBorders>
              <w:top w:val="single" w:color="auto" w:sz="4" w:space="0"/>
              <w:left w:val="single" w:color="auto" w:sz="4" w:space="0"/>
              <w:bottom w:val="single" w:color="auto" w:sz="4" w:space="0"/>
              <w:right w:val="single" w:color="auto" w:sz="4" w:space="0"/>
            </w:tcBorders>
          </w:tcPr>
          <w:p w14:paraId="6C91CCC4">
            <w:pPr>
              <w:snapToGrid w:val="0"/>
              <w:spacing w:before="120" w:beforeLines="50" w:line="400" w:lineRule="exact"/>
              <w:rPr>
                <w:szCs w:val="21"/>
              </w:rPr>
            </w:pPr>
          </w:p>
        </w:tc>
        <w:tc>
          <w:tcPr>
            <w:tcW w:w="1260" w:type="dxa"/>
            <w:tcBorders>
              <w:top w:val="single" w:color="auto" w:sz="4" w:space="0"/>
              <w:left w:val="single" w:color="auto" w:sz="4" w:space="0"/>
              <w:bottom w:val="single" w:color="auto" w:sz="4" w:space="0"/>
              <w:right w:val="single" w:color="auto" w:sz="4" w:space="0"/>
            </w:tcBorders>
          </w:tcPr>
          <w:p w14:paraId="306970B1">
            <w:pPr>
              <w:snapToGrid w:val="0"/>
              <w:spacing w:before="120" w:beforeLines="50" w:line="400" w:lineRule="exact"/>
              <w:rPr>
                <w:szCs w:val="21"/>
              </w:rPr>
            </w:pPr>
          </w:p>
        </w:tc>
        <w:tc>
          <w:tcPr>
            <w:tcW w:w="3020" w:type="dxa"/>
            <w:tcBorders>
              <w:top w:val="single" w:color="auto" w:sz="4" w:space="0"/>
              <w:left w:val="single" w:color="auto" w:sz="4" w:space="0"/>
              <w:bottom w:val="single" w:color="auto" w:sz="4" w:space="0"/>
              <w:right w:val="single" w:color="auto" w:sz="4" w:space="0"/>
            </w:tcBorders>
          </w:tcPr>
          <w:p w14:paraId="581508F2">
            <w:pPr>
              <w:snapToGrid w:val="0"/>
              <w:spacing w:before="120" w:beforeLines="50" w:line="400" w:lineRule="exact"/>
              <w:rPr>
                <w:szCs w:val="21"/>
              </w:rPr>
            </w:pPr>
          </w:p>
        </w:tc>
      </w:tr>
      <w:tr w14:paraId="4DEACD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6FBD17A2">
            <w:pPr>
              <w:snapToGrid w:val="0"/>
              <w:spacing w:line="400" w:lineRule="exact"/>
              <w:rPr>
                <w:szCs w:val="21"/>
              </w:rPr>
            </w:pPr>
          </w:p>
        </w:tc>
        <w:tc>
          <w:tcPr>
            <w:tcW w:w="3334" w:type="dxa"/>
            <w:tcBorders>
              <w:top w:val="single" w:color="auto" w:sz="4" w:space="0"/>
              <w:left w:val="single" w:color="auto" w:sz="4" w:space="0"/>
              <w:bottom w:val="single" w:color="auto" w:sz="4" w:space="0"/>
              <w:right w:val="single" w:color="auto" w:sz="4" w:space="0"/>
            </w:tcBorders>
          </w:tcPr>
          <w:p w14:paraId="444098D6">
            <w:pPr>
              <w:snapToGrid w:val="0"/>
              <w:spacing w:before="120" w:beforeLines="50" w:line="400" w:lineRule="exact"/>
              <w:rPr>
                <w:szCs w:val="21"/>
              </w:rPr>
            </w:pPr>
          </w:p>
        </w:tc>
        <w:tc>
          <w:tcPr>
            <w:tcW w:w="1260" w:type="dxa"/>
            <w:tcBorders>
              <w:top w:val="single" w:color="auto" w:sz="4" w:space="0"/>
              <w:left w:val="single" w:color="auto" w:sz="4" w:space="0"/>
              <w:bottom w:val="single" w:color="auto" w:sz="4" w:space="0"/>
              <w:right w:val="single" w:color="auto" w:sz="4" w:space="0"/>
            </w:tcBorders>
          </w:tcPr>
          <w:p w14:paraId="7D3434A9">
            <w:pPr>
              <w:snapToGrid w:val="0"/>
              <w:spacing w:before="120" w:beforeLines="50" w:line="400" w:lineRule="exact"/>
              <w:rPr>
                <w:szCs w:val="21"/>
              </w:rPr>
            </w:pPr>
          </w:p>
        </w:tc>
        <w:tc>
          <w:tcPr>
            <w:tcW w:w="3020" w:type="dxa"/>
            <w:tcBorders>
              <w:top w:val="single" w:color="auto" w:sz="4" w:space="0"/>
              <w:left w:val="single" w:color="auto" w:sz="4" w:space="0"/>
              <w:bottom w:val="single" w:color="auto" w:sz="4" w:space="0"/>
              <w:right w:val="single" w:color="auto" w:sz="4" w:space="0"/>
            </w:tcBorders>
          </w:tcPr>
          <w:p w14:paraId="56D53F50">
            <w:pPr>
              <w:snapToGrid w:val="0"/>
              <w:spacing w:before="120" w:beforeLines="50" w:line="400" w:lineRule="exact"/>
              <w:rPr>
                <w:szCs w:val="21"/>
              </w:rPr>
            </w:pPr>
          </w:p>
        </w:tc>
      </w:tr>
      <w:tr w14:paraId="48749B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43CA837C">
            <w:pPr>
              <w:snapToGrid w:val="0"/>
              <w:spacing w:line="400" w:lineRule="exact"/>
              <w:rPr>
                <w:szCs w:val="21"/>
              </w:rPr>
            </w:pPr>
          </w:p>
        </w:tc>
        <w:tc>
          <w:tcPr>
            <w:tcW w:w="3334" w:type="dxa"/>
            <w:tcBorders>
              <w:top w:val="single" w:color="auto" w:sz="4" w:space="0"/>
              <w:left w:val="single" w:color="auto" w:sz="4" w:space="0"/>
              <w:bottom w:val="single" w:color="auto" w:sz="4" w:space="0"/>
              <w:right w:val="single" w:color="auto" w:sz="4" w:space="0"/>
            </w:tcBorders>
          </w:tcPr>
          <w:p w14:paraId="4B22F241">
            <w:pPr>
              <w:snapToGrid w:val="0"/>
              <w:spacing w:before="120" w:beforeLines="50" w:line="400" w:lineRule="exact"/>
              <w:rPr>
                <w:szCs w:val="21"/>
              </w:rPr>
            </w:pPr>
          </w:p>
        </w:tc>
        <w:tc>
          <w:tcPr>
            <w:tcW w:w="1260" w:type="dxa"/>
            <w:tcBorders>
              <w:top w:val="single" w:color="auto" w:sz="4" w:space="0"/>
              <w:left w:val="single" w:color="auto" w:sz="4" w:space="0"/>
              <w:bottom w:val="single" w:color="auto" w:sz="4" w:space="0"/>
              <w:right w:val="single" w:color="auto" w:sz="4" w:space="0"/>
            </w:tcBorders>
          </w:tcPr>
          <w:p w14:paraId="16B48906">
            <w:pPr>
              <w:snapToGrid w:val="0"/>
              <w:spacing w:before="120" w:beforeLines="50" w:line="400" w:lineRule="exact"/>
              <w:rPr>
                <w:szCs w:val="21"/>
              </w:rPr>
            </w:pPr>
          </w:p>
        </w:tc>
        <w:tc>
          <w:tcPr>
            <w:tcW w:w="3020" w:type="dxa"/>
            <w:tcBorders>
              <w:top w:val="single" w:color="auto" w:sz="4" w:space="0"/>
              <w:left w:val="single" w:color="auto" w:sz="4" w:space="0"/>
              <w:bottom w:val="single" w:color="auto" w:sz="4" w:space="0"/>
              <w:right w:val="single" w:color="auto" w:sz="4" w:space="0"/>
            </w:tcBorders>
          </w:tcPr>
          <w:p w14:paraId="26F963C1">
            <w:pPr>
              <w:snapToGrid w:val="0"/>
              <w:spacing w:before="120" w:beforeLines="50" w:line="400" w:lineRule="exact"/>
              <w:rPr>
                <w:szCs w:val="21"/>
              </w:rPr>
            </w:pPr>
          </w:p>
        </w:tc>
      </w:tr>
      <w:tr w14:paraId="55E0D1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3C8E0759">
            <w:pPr>
              <w:snapToGrid w:val="0"/>
              <w:spacing w:line="400" w:lineRule="exact"/>
              <w:rPr>
                <w:szCs w:val="21"/>
              </w:rPr>
            </w:pPr>
          </w:p>
        </w:tc>
        <w:tc>
          <w:tcPr>
            <w:tcW w:w="3334" w:type="dxa"/>
            <w:tcBorders>
              <w:top w:val="single" w:color="auto" w:sz="4" w:space="0"/>
              <w:left w:val="single" w:color="auto" w:sz="4" w:space="0"/>
              <w:bottom w:val="single" w:color="auto" w:sz="4" w:space="0"/>
              <w:right w:val="single" w:color="auto" w:sz="4" w:space="0"/>
            </w:tcBorders>
          </w:tcPr>
          <w:p w14:paraId="2FBCA2AC">
            <w:pPr>
              <w:snapToGrid w:val="0"/>
              <w:spacing w:before="120" w:beforeLines="50" w:line="400" w:lineRule="exact"/>
              <w:rPr>
                <w:szCs w:val="21"/>
              </w:rPr>
            </w:pPr>
          </w:p>
        </w:tc>
        <w:tc>
          <w:tcPr>
            <w:tcW w:w="1260" w:type="dxa"/>
            <w:tcBorders>
              <w:top w:val="single" w:color="auto" w:sz="4" w:space="0"/>
              <w:left w:val="single" w:color="auto" w:sz="4" w:space="0"/>
              <w:bottom w:val="single" w:color="auto" w:sz="4" w:space="0"/>
              <w:right w:val="single" w:color="auto" w:sz="4" w:space="0"/>
            </w:tcBorders>
          </w:tcPr>
          <w:p w14:paraId="72B962F1">
            <w:pPr>
              <w:snapToGrid w:val="0"/>
              <w:spacing w:before="120" w:beforeLines="50" w:line="400" w:lineRule="exact"/>
              <w:rPr>
                <w:szCs w:val="21"/>
              </w:rPr>
            </w:pPr>
          </w:p>
        </w:tc>
        <w:tc>
          <w:tcPr>
            <w:tcW w:w="3020" w:type="dxa"/>
            <w:tcBorders>
              <w:top w:val="single" w:color="auto" w:sz="4" w:space="0"/>
              <w:left w:val="single" w:color="auto" w:sz="4" w:space="0"/>
              <w:bottom w:val="single" w:color="auto" w:sz="4" w:space="0"/>
              <w:right w:val="single" w:color="auto" w:sz="4" w:space="0"/>
            </w:tcBorders>
          </w:tcPr>
          <w:p w14:paraId="4D15BC2C">
            <w:pPr>
              <w:snapToGrid w:val="0"/>
              <w:spacing w:before="120" w:beforeLines="50" w:line="400" w:lineRule="exact"/>
              <w:rPr>
                <w:szCs w:val="21"/>
              </w:rPr>
            </w:pPr>
          </w:p>
        </w:tc>
      </w:tr>
      <w:tr w14:paraId="0A1899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29" w:type="dxa"/>
            <w:tcBorders>
              <w:top w:val="single" w:color="auto" w:sz="4" w:space="0"/>
              <w:left w:val="single" w:color="auto" w:sz="4" w:space="0"/>
              <w:bottom w:val="single" w:color="auto" w:sz="4" w:space="0"/>
              <w:right w:val="single" w:color="auto" w:sz="4" w:space="0"/>
            </w:tcBorders>
            <w:vAlign w:val="center"/>
          </w:tcPr>
          <w:p w14:paraId="2CCA77B3">
            <w:pPr>
              <w:snapToGrid w:val="0"/>
              <w:spacing w:line="400" w:lineRule="exact"/>
              <w:rPr>
                <w:szCs w:val="21"/>
              </w:rPr>
            </w:pPr>
          </w:p>
        </w:tc>
        <w:tc>
          <w:tcPr>
            <w:tcW w:w="3334" w:type="dxa"/>
            <w:tcBorders>
              <w:top w:val="single" w:color="auto" w:sz="4" w:space="0"/>
              <w:left w:val="single" w:color="auto" w:sz="4" w:space="0"/>
              <w:bottom w:val="single" w:color="auto" w:sz="4" w:space="0"/>
              <w:right w:val="single" w:color="auto" w:sz="4" w:space="0"/>
            </w:tcBorders>
          </w:tcPr>
          <w:p w14:paraId="6E5EEA1D">
            <w:pPr>
              <w:snapToGrid w:val="0"/>
              <w:spacing w:before="120" w:beforeLines="50" w:line="400" w:lineRule="exact"/>
              <w:rPr>
                <w:szCs w:val="21"/>
              </w:rPr>
            </w:pPr>
          </w:p>
        </w:tc>
        <w:tc>
          <w:tcPr>
            <w:tcW w:w="1260" w:type="dxa"/>
            <w:tcBorders>
              <w:top w:val="single" w:color="auto" w:sz="4" w:space="0"/>
              <w:left w:val="single" w:color="auto" w:sz="4" w:space="0"/>
              <w:bottom w:val="single" w:color="auto" w:sz="4" w:space="0"/>
              <w:right w:val="single" w:color="auto" w:sz="4" w:space="0"/>
            </w:tcBorders>
          </w:tcPr>
          <w:p w14:paraId="4A483D71">
            <w:pPr>
              <w:snapToGrid w:val="0"/>
              <w:spacing w:before="120" w:beforeLines="50" w:line="400" w:lineRule="exact"/>
              <w:rPr>
                <w:szCs w:val="21"/>
              </w:rPr>
            </w:pPr>
          </w:p>
        </w:tc>
        <w:tc>
          <w:tcPr>
            <w:tcW w:w="3020" w:type="dxa"/>
            <w:tcBorders>
              <w:top w:val="single" w:color="auto" w:sz="4" w:space="0"/>
              <w:left w:val="single" w:color="auto" w:sz="4" w:space="0"/>
              <w:bottom w:val="single" w:color="auto" w:sz="4" w:space="0"/>
              <w:right w:val="single" w:color="auto" w:sz="4" w:space="0"/>
            </w:tcBorders>
          </w:tcPr>
          <w:p w14:paraId="5069E8E6">
            <w:pPr>
              <w:snapToGrid w:val="0"/>
              <w:spacing w:before="120" w:beforeLines="50" w:line="400" w:lineRule="exact"/>
              <w:rPr>
                <w:szCs w:val="21"/>
              </w:rPr>
            </w:pPr>
          </w:p>
        </w:tc>
      </w:tr>
      <w:tr w14:paraId="446ED4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29" w:type="dxa"/>
            <w:tcBorders>
              <w:top w:val="single" w:color="auto" w:sz="4" w:space="0"/>
              <w:left w:val="single" w:color="auto" w:sz="4" w:space="0"/>
              <w:bottom w:val="single" w:color="auto" w:sz="4" w:space="0"/>
              <w:right w:val="single" w:color="auto" w:sz="4" w:space="0"/>
            </w:tcBorders>
            <w:vAlign w:val="center"/>
          </w:tcPr>
          <w:p w14:paraId="6CB32A02">
            <w:pPr>
              <w:snapToGrid w:val="0"/>
              <w:spacing w:line="400" w:lineRule="exact"/>
              <w:rPr>
                <w:szCs w:val="21"/>
              </w:rPr>
            </w:pPr>
          </w:p>
        </w:tc>
        <w:tc>
          <w:tcPr>
            <w:tcW w:w="3334" w:type="dxa"/>
            <w:tcBorders>
              <w:top w:val="single" w:color="auto" w:sz="4" w:space="0"/>
              <w:left w:val="single" w:color="auto" w:sz="4" w:space="0"/>
              <w:bottom w:val="single" w:color="auto" w:sz="4" w:space="0"/>
              <w:right w:val="single" w:color="auto" w:sz="4" w:space="0"/>
            </w:tcBorders>
          </w:tcPr>
          <w:p w14:paraId="305F7CB9">
            <w:pPr>
              <w:snapToGrid w:val="0"/>
              <w:spacing w:before="120" w:beforeLines="50" w:line="400" w:lineRule="exact"/>
              <w:rPr>
                <w:szCs w:val="21"/>
              </w:rPr>
            </w:pPr>
          </w:p>
        </w:tc>
        <w:tc>
          <w:tcPr>
            <w:tcW w:w="1260" w:type="dxa"/>
            <w:tcBorders>
              <w:top w:val="single" w:color="auto" w:sz="4" w:space="0"/>
              <w:left w:val="single" w:color="auto" w:sz="4" w:space="0"/>
              <w:bottom w:val="single" w:color="auto" w:sz="4" w:space="0"/>
              <w:right w:val="single" w:color="auto" w:sz="4" w:space="0"/>
            </w:tcBorders>
          </w:tcPr>
          <w:p w14:paraId="5A40918F">
            <w:pPr>
              <w:snapToGrid w:val="0"/>
              <w:spacing w:before="120" w:beforeLines="50" w:line="400" w:lineRule="exact"/>
              <w:rPr>
                <w:szCs w:val="21"/>
              </w:rPr>
            </w:pPr>
          </w:p>
        </w:tc>
        <w:tc>
          <w:tcPr>
            <w:tcW w:w="3020" w:type="dxa"/>
            <w:tcBorders>
              <w:top w:val="single" w:color="auto" w:sz="4" w:space="0"/>
              <w:left w:val="single" w:color="auto" w:sz="4" w:space="0"/>
              <w:bottom w:val="single" w:color="auto" w:sz="4" w:space="0"/>
              <w:right w:val="single" w:color="auto" w:sz="4" w:space="0"/>
            </w:tcBorders>
          </w:tcPr>
          <w:p w14:paraId="7A1CF84F">
            <w:pPr>
              <w:snapToGrid w:val="0"/>
              <w:spacing w:before="120" w:beforeLines="50" w:line="400" w:lineRule="exact"/>
              <w:rPr>
                <w:szCs w:val="21"/>
              </w:rPr>
            </w:pPr>
          </w:p>
        </w:tc>
      </w:tr>
      <w:tr w14:paraId="63ED2E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29" w:type="dxa"/>
            <w:tcBorders>
              <w:top w:val="single" w:color="auto" w:sz="4" w:space="0"/>
              <w:left w:val="single" w:color="auto" w:sz="4" w:space="0"/>
              <w:bottom w:val="single" w:color="auto" w:sz="4" w:space="0"/>
              <w:right w:val="single" w:color="auto" w:sz="4" w:space="0"/>
            </w:tcBorders>
            <w:vAlign w:val="center"/>
          </w:tcPr>
          <w:p w14:paraId="6AED5269">
            <w:pPr>
              <w:snapToGrid w:val="0"/>
              <w:spacing w:line="400" w:lineRule="exact"/>
              <w:rPr>
                <w:szCs w:val="21"/>
              </w:rPr>
            </w:pPr>
          </w:p>
        </w:tc>
        <w:tc>
          <w:tcPr>
            <w:tcW w:w="3334" w:type="dxa"/>
            <w:tcBorders>
              <w:top w:val="single" w:color="auto" w:sz="4" w:space="0"/>
              <w:left w:val="single" w:color="auto" w:sz="4" w:space="0"/>
              <w:bottom w:val="single" w:color="auto" w:sz="4" w:space="0"/>
              <w:right w:val="single" w:color="auto" w:sz="4" w:space="0"/>
            </w:tcBorders>
          </w:tcPr>
          <w:p w14:paraId="2D7F6CF3">
            <w:pPr>
              <w:snapToGrid w:val="0"/>
              <w:spacing w:before="120" w:beforeLines="50" w:line="400" w:lineRule="exact"/>
              <w:rPr>
                <w:szCs w:val="21"/>
              </w:rPr>
            </w:pPr>
          </w:p>
        </w:tc>
        <w:tc>
          <w:tcPr>
            <w:tcW w:w="1260" w:type="dxa"/>
            <w:tcBorders>
              <w:top w:val="single" w:color="auto" w:sz="4" w:space="0"/>
              <w:left w:val="single" w:color="auto" w:sz="4" w:space="0"/>
              <w:bottom w:val="single" w:color="auto" w:sz="4" w:space="0"/>
              <w:right w:val="single" w:color="auto" w:sz="4" w:space="0"/>
            </w:tcBorders>
          </w:tcPr>
          <w:p w14:paraId="0C8361D9">
            <w:pPr>
              <w:snapToGrid w:val="0"/>
              <w:spacing w:before="120" w:beforeLines="50" w:line="400" w:lineRule="exact"/>
              <w:rPr>
                <w:szCs w:val="21"/>
              </w:rPr>
            </w:pPr>
          </w:p>
        </w:tc>
        <w:tc>
          <w:tcPr>
            <w:tcW w:w="3020" w:type="dxa"/>
            <w:tcBorders>
              <w:top w:val="single" w:color="auto" w:sz="4" w:space="0"/>
              <w:left w:val="single" w:color="auto" w:sz="4" w:space="0"/>
              <w:bottom w:val="single" w:color="auto" w:sz="4" w:space="0"/>
              <w:right w:val="single" w:color="auto" w:sz="4" w:space="0"/>
            </w:tcBorders>
          </w:tcPr>
          <w:p w14:paraId="274D84D2">
            <w:pPr>
              <w:snapToGrid w:val="0"/>
              <w:spacing w:before="120" w:beforeLines="50" w:line="400" w:lineRule="exact"/>
              <w:rPr>
                <w:szCs w:val="21"/>
              </w:rPr>
            </w:pPr>
          </w:p>
        </w:tc>
      </w:tr>
      <w:tr w14:paraId="5D860D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29" w:type="dxa"/>
            <w:tcBorders>
              <w:top w:val="single" w:color="auto" w:sz="4" w:space="0"/>
              <w:left w:val="single" w:color="auto" w:sz="4" w:space="0"/>
              <w:bottom w:val="single" w:color="auto" w:sz="4" w:space="0"/>
              <w:right w:val="single" w:color="auto" w:sz="4" w:space="0"/>
            </w:tcBorders>
            <w:vAlign w:val="center"/>
          </w:tcPr>
          <w:p w14:paraId="1D219A45">
            <w:pPr>
              <w:snapToGrid w:val="0"/>
              <w:spacing w:line="400" w:lineRule="exact"/>
              <w:rPr>
                <w:szCs w:val="21"/>
              </w:rPr>
            </w:pPr>
          </w:p>
        </w:tc>
        <w:tc>
          <w:tcPr>
            <w:tcW w:w="3334" w:type="dxa"/>
            <w:tcBorders>
              <w:top w:val="single" w:color="auto" w:sz="4" w:space="0"/>
              <w:left w:val="single" w:color="auto" w:sz="4" w:space="0"/>
              <w:bottom w:val="single" w:color="auto" w:sz="4" w:space="0"/>
              <w:right w:val="single" w:color="auto" w:sz="4" w:space="0"/>
            </w:tcBorders>
          </w:tcPr>
          <w:p w14:paraId="2D28181E">
            <w:pPr>
              <w:snapToGrid w:val="0"/>
              <w:spacing w:before="120" w:beforeLines="50" w:line="400" w:lineRule="exact"/>
              <w:rPr>
                <w:szCs w:val="21"/>
              </w:rPr>
            </w:pPr>
          </w:p>
        </w:tc>
        <w:tc>
          <w:tcPr>
            <w:tcW w:w="1260" w:type="dxa"/>
            <w:tcBorders>
              <w:top w:val="single" w:color="auto" w:sz="4" w:space="0"/>
              <w:left w:val="single" w:color="auto" w:sz="4" w:space="0"/>
              <w:bottom w:val="single" w:color="auto" w:sz="4" w:space="0"/>
              <w:right w:val="single" w:color="auto" w:sz="4" w:space="0"/>
            </w:tcBorders>
          </w:tcPr>
          <w:p w14:paraId="76320293">
            <w:pPr>
              <w:snapToGrid w:val="0"/>
              <w:spacing w:before="120" w:beforeLines="50" w:line="400" w:lineRule="exact"/>
              <w:rPr>
                <w:szCs w:val="21"/>
              </w:rPr>
            </w:pPr>
          </w:p>
        </w:tc>
        <w:tc>
          <w:tcPr>
            <w:tcW w:w="3020" w:type="dxa"/>
            <w:tcBorders>
              <w:top w:val="single" w:color="auto" w:sz="4" w:space="0"/>
              <w:left w:val="single" w:color="auto" w:sz="4" w:space="0"/>
              <w:bottom w:val="single" w:color="auto" w:sz="4" w:space="0"/>
              <w:right w:val="single" w:color="auto" w:sz="4" w:space="0"/>
            </w:tcBorders>
          </w:tcPr>
          <w:p w14:paraId="7799ACC6">
            <w:pPr>
              <w:snapToGrid w:val="0"/>
              <w:spacing w:before="120" w:beforeLines="50" w:line="400" w:lineRule="exact"/>
              <w:rPr>
                <w:szCs w:val="21"/>
              </w:rPr>
            </w:pPr>
          </w:p>
        </w:tc>
      </w:tr>
      <w:tr w14:paraId="072D2F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29" w:type="dxa"/>
            <w:tcBorders>
              <w:top w:val="single" w:color="auto" w:sz="4" w:space="0"/>
              <w:left w:val="single" w:color="auto" w:sz="4" w:space="0"/>
              <w:bottom w:val="single" w:color="auto" w:sz="4" w:space="0"/>
              <w:right w:val="single" w:color="auto" w:sz="4" w:space="0"/>
            </w:tcBorders>
          </w:tcPr>
          <w:p w14:paraId="7AADE0E9">
            <w:pPr>
              <w:snapToGrid w:val="0"/>
              <w:spacing w:before="120" w:beforeLines="50" w:line="400" w:lineRule="exact"/>
              <w:rPr>
                <w:szCs w:val="21"/>
              </w:rPr>
            </w:pPr>
            <w:r>
              <w:rPr>
                <w:szCs w:val="21"/>
              </w:rPr>
              <w:t>…</w:t>
            </w:r>
          </w:p>
        </w:tc>
        <w:tc>
          <w:tcPr>
            <w:tcW w:w="3334" w:type="dxa"/>
            <w:tcBorders>
              <w:top w:val="single" w:color="auto" w:sz="4" w:space="0"/>
              <w:left w:val="single" w:color="auto" w:sz="4" w:space="0"/>
              <w:bottom w:val="single" w:color="auto" w:sz="4" w:space="0"/>
              <w:right w:val="single" w:color="auto" w:sz="4" w:space="0"/>
            </w:tcBorders>
          </w:tcPr>
          <w:p w14:paraId="7B9A4D04">
            <w:pPr>
              <w:snapToGrid w:val="0"/>
              <w:spacing w:before="120" w:beforeLines="50" w:line="400" w:lineRule="exact"/>
              <w:rPr>
                <w:szCs w:val="21"/>
              </w:rPr>
            </w:pPr>
          </w:p>
        </w:tc>
        <w:tc>
          <w:tcPr>
            <w:tcW w:w="1260" w:type="dxa"/>
            <w:tcBorders>
              <w:top w:val="single" w:color="auto" w:sz="4" w:space="0"/>
              <w:left w:val="single" w:color="auto" w:sz="4" w:space="0"/>
              <w:bottom w:val="single" w:color="auto" w:sz="4" w:space="0"/>
              <w:right w:val="single" w:color="auto" w:sz="4" w:space="0"/>
            </w:tcBorders>
          </w:tcPr>
          <w:p w14:paraId="698994C0">
            <w:pPr>
              <w:snapToGrid w:val="0"/>
              <w:spacing w:before="120" w:beforeLines="50" w:line="400" w:lineRule="exact"/>
              <w:rPr>
                <w:szCs w:val="21"/>
              </w:rPr>
            </w:pPr>
          </w:p>
        </w:tc>
        <w:tc>
          <w:tcPr>
            <w:tcW w:w="3020" w:type="dxa"/>
            <w:tcBorders>
              <w:top w:val="single" w:color="auto" w:sz="4" w:space="0"/>
              <w:left w:val="single" w:color="auto" w:sz="4" w:space="0"/>
              <w:bottom w:val="single" w:color="auto" w:sz="4" w:space="0"/>
              <w:right w:val="single" w:color="auto" w:sz="4" w:space="0"/>
            </w:tcBorders>
          </w:tcPr>
          <w:p w14:paraId="5E1C8528">
            <w:pPr>
              <w:snapToGrid w:val="0"/>
              <w:spacing w:before="120" w:beforeLines="50" w:line="400" w:lineRule="exact"/>
              <w:rPr>
                <w:szCs w:val="21"/>
              </w:rPr>
            </w:pPr>
          </w:p>
        </w:tc>
      </w:tr>
    </w:tbl>
    <w:p w14:paraId="6B878872">
      <w:pPr>
        <w:pStyle w:val="15"/>
        <w:widowControl/>
        <w:spacing w:line="440" w:lineRule="exact"/>
        <w:jc w:val="left"/>
        <w:rPr>
          <w:rFonts w:ascii="Times New Roman"/>
          <w:b/>
          <w:bCs/>
          <w:spacing w:val="0"/>
          <w:kern w:val="2"/>
          <w:sz w:val="21"/>
          <w:szCs w:val="21"/>
        </w:rPr>
      </w:pPr>
      <w:r>
        <w:rPr>
          <w:rFonts w:hint="eastAsia" w:ascii="Times New Roman"/>
          <w:b/>
          <w:bCs/>
          <w:spacing w:val="0"/>
          <w:kern w:val="2"/>
          <w:sz w:val="21"/>
          <w:szCs w:val="21"/>
        </w:rPr>
        <w:t>注：由投标人根据第三章“采购需求”部分“</w:t>
      </w:r>
      <w:r>
        <w:rPr>
          <w:rFonts w:ascii="Times New Roman"/>
          <w:b/>
          <w:bCs/>
          <w:spacing w:val="0"/>
          <w:kern w:val="2"/>
          <w:sz w:val="21"/>
          <w:szCs w:val="21"/>
        </w:rPr>
        <w:t>商务需求</w:t>
      </w:r>
      <w:r>
        <w:rPr>
          <w:rFonts w:hint="eastAsia" w:ascii="Times New Roman"/>
          <w:b/>
          <w:bCs/>
          <w:spacing w:val="0"/>
          <w:kern w:val="2"/>
          <w:sz w:val="21"/>
          <w:szCs w:val="21"/>
        </w:rPr>
        <w:t>”条款进行响应，若均满足招标需求，请填写“商务需求均无偏离”。</w:t>
      </w:r>
    </w:p>
    <w:p w14:paraId="498A8063">
      <w:pPr>
        <w:widowControl/>
        <w:spacing w:line="360" w:lineRule="auto"/>
        <w:jc w:val="left"/>
        <w:rPr>
          <w:color w:val="000000"/>
          <w:sz w:val="24"/>
        </w:rPr>
      </w:pPr>
    </w:p>
    <w:p w14:paraId="616C4349">
      <w:pPr>
        <w:pStyle w:val="15"/>
        <w:widowControl/>
        <w:spacing w:line="360" w:lineRule="auto"/>
        <w:ind w:left="614" w:leftChars="100" w:hanging="404" w:hangingChars="200"/>
        <w:jc w:val="left"/>
        <w:rPr>
          <w:rFonts w:ascii="Times New Roman"/>
          <w:color w:val="000000"/>
          <w:sz w:val="21"/>
          <w:szCs w:val="21"/>
        </w:rPr>
      </w:pPr>
      <w:r>
        <w:rPr>
          <w:rFonts w:ascii="Times New Roman"/>
          <w:color w:val="000000"/>
          <w:sz w:val="21"/>
          <w:szCs w:val="21"/>
        </w:rPr>
        <w:t>投标人（盖章）：</w:t>
      </w:r>
    </w:p>
    <w:p w14:paraId="115E21E3">
      <w:pPr>
        <w:pStyle w:val="15"/>
        <w:widowControl/>
        <w:spacing w:line="360" w:lineRule="auto"/>
        <w:ind w:left="614" w:leftChars="100" w:hanging="404" w:hangingChars="200"/>
        <w:jc w:val="left"/>
        <w:rPr>
          <w:rFonts w:ascii="Times New Roman"/>
          <w:color w:val="000000"/>
          <w:sz w:val="21"/>
          <w:szCs w:val="21"/>
        </w:rPr>
      </w:pPr>
      <w:r>
        <w:rPr>
          <w:rFonts w:ascii="Times New Roman"/>
          <w:color w:val="000000"/>
          <w:sz w:val="21"/>
          <w:szCs w:val="21"/>
        </w:rPr>
        <w:t>法定代表人或其授权代表（签字或盖章）：</w:t>
      </w:r>
    </w:p>
    <w:p w14:paraId="6346B730">
      <w:pPr>
        <w:pStyle w:val="15"/>
        <w:widowControl/>
        <w:spacing w:line="360" w:lineRule="auto"/>
        <w:ind w:left="614" w:leftChars="100" w:hanging="404" w:hangingChars="200"/>
        <w:jc w:val="left"/>
        <w:rPr>
          <w:rFonts w:ascii="Times New Roman"/>
          <w:color w:val="000000"/>
          <w:spacing w:val="0"/>
          <w:sz w:val="24"/>
          <w:szCs w:val="24"/>
        </w:rPr>
      </w:pPr>
      <w:r>
        <w:rPr>
          <w:rFonts w:ascii="Times New Roman"/>
          <w:color w:val="000000"/>
          <w:sz w:val="21"/>
          <w:szCs w:val="21"/>
        </w:rPr>
        <w:t>日期：</w:t>
      </w:r>
      <w:r>
        <w:rPr>
          <w:rFonts w:ascii="Times New Roman"/>
          <w:color w:val="000000"/>
          <w:spacing w:val="0"/>
          <w:sz w:val="24"/>
          <w:szCs w:val="24"/>
        </w:rPr>
        <w:br w:type="page"/>
      </w:r>
    </w:p>
    <w:p w14:paraId="2AEE8F58">
      <w:pPr>
        <w:spacing w:line="360" w:lineRule="auto"/>
        <w:jc w:val="center"/>
        <w:rPr>
          <w:b/>
          <w:color w:val="000000"/>
          <w:sz w:val="24"/>
          <w:szCs w:val="21"/>
        </w:rPr>
      </w:pPr>
      <w:r>
        <w:rPr>
          <w:b/>
          <w:color w:val="000000"/>
          <w:sz w:val="24"/>
          <w:szCs w:val="21"/>
        </w:rPr>
        <w:t>技术</w:t>
      </w:r>
      <w:r>
        <w:rPr>
          <w:rFonts w:hint="eastAsia"/>
          <w:b/>
          <w:color w:val="000000"/>
          <w:sz w:val="24"/>
          <w:szCs w:val="21"/>
        </w:rPr>
        <w:t>需求</w:t>
      </w:r>
      <w:r>
        <w:rPr>
          <w:b/>
          <w:color w:val="000000"/>
          <w:sz w:val="24"/>
          <w:szCs w:val="21"/>
        </w:rPr>
        <w:t>偏离表</w:t>
      </w:r>
    </w:p>
    <w:p w14:paraId="1CFDF3D2">
      <w:pPr>
        <w:snapToGrid w:val="0"/>
        <w:spacing w:line="360" w:lineRule="auto"/>
        <w:rPr>
          <w:b/>
          <w:bCs/>
          <w:color w:val="000000"/>
          <w:sz w:val="24"/>
          <w:szCs w:val="21"/>
        </w:rPr>
      </w:pPr>
      <w:r>
        <w:rPr>
          <w:color w:val="000000"/>
          <w:szCs w:val="21"/>
        </w:rPr>
        <w:t xml:space="preserve">项目名称：            </w:t>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rFonts w:hint="eastAsia"/>
          <w:color w:val="000000"/>
          <w:szCs w:val="21"/>
        </w:rPr>
        <w:tab/>
      </w:r>
      <w:r>
        <w:rPr>
          <w:color w:val="000000"/>
          <w:szCs w:val="21"/>
        </w:rPr>
        <w:t xml:space="preserve"> </w:t>
      </w:r>
      <w:r>
        <w:rPr>
          <w:rFonts w:hint="eastAsia"/>
          <w:color w:val="000000"/>
          <w:szCs w:val="21"/>
        </w:rPr>
        <w:t>项目</w:t>
      </w:r>
      <w:r>
        <w:rPr>
          <w:color w:val="000000"/>
          <w:szCs w:val="21"/>
        </w:rPr>
        <w:t>编号：</w:t>
      </w:r>
      <w:r>
        <w:rPr>
          <w:color w:val="000000"/>
          <w:sz w:val="24"/>
        </w:rPr>
        <w:t xml:space="preserve"> </w:t>
      </w:r>
    </w:p>
    <w:tbl>
      <w:tblPr>
        <w:tblStyle w:val="44"/>
        <w:tblW w:w="9870"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3071"/>
        <w:gridCol w:w="3071"/>
        <w:gridCol w:w="2310"/>
      </w:tblGrid>
      <w:tr w14:paraId="2DE9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557F7264">
            <w:pPr>
              <w:adjustRightInd w:val="0"/>
              <w:snapToGrid w:val="0"/>
              <w:spacing w:line="400" w:lineRule="exact"/>
              <w:jc w:val="center"/>
              <w:rPr>
                <w:rFonts w:hint="eastAsia" w:ascii="宋体" w:hAnsi="宋体"/>
                <w:b/>
                <w:szCs w:val="21"/>
              </w:rPr>
            </w:pPr>
            <w:r>
              <w:rPr>
                <w:rFonts w:hint="eastAsia" w:ascii="宋体" w:hAnsi="宋体"/>
                <w:b/>
                <w:szCs w:val="21"/>
              </w:rPr>
              <w:t>序号</w:t>
            </w:r>
          </w:p>
        </w:tc>
        <w:tc>
          <w:tcPr>
            <w:tcW w:w="3071" w:type="dxa"/>
            <w:vAlign w:val="center"/>
          </w:tcPr>
          <w:p w14:paraId="15543B86">
            <w:pPr>
              <w:adjustRightInd w:val="0"/>
              <w:snapToGrid w:val="0"/>
              <w:spacing w:line="400" w:lineRule="exact"/>
              <w:jc w:val="center"/>
              <w:rPr>
                <w:rFonts w:hint="eastAsia" w:ascii="宋体" w:hAnsi="宋体"/>
                <w:b/>
                <w:szCs w:val="21"/>
              </w:rPr>
            </w:pPr>
            <w:r>
              <w:rPr>
                <w:rFonts w:hint="eastAsia" w:ascii="宋体" w:hAnsi="宋体"/>
                <w:b/>
                <w:szCs w:val="21"/>
              </w:rPr>
              <w:t>招标要求</w:t>
            </w:r>
          </w:p>
        </w:tc>
        <w:tc>
          <w:tcPr>
            <w:tcW w:w="3071" w:type="dxa"/>
            <w:vAlign w:val="center"/>
          </w:tcPr>
          <w:p w14:paraId="5B7C4B4F">
            <w:pPr>
              <w:adjustRightInd w:val="0"/>
              <w:snapToGrid w:val="0"/>
              <w:spacing w:line="400" w:lineRule="exact"/>
              <w:jc w:val="center"/>
              <w:rPr>
                <w:rFonts w:hint="eastAsia" w:ascii="宋体" w:hAnsi="宋体"/>
                <w:b/>
                <w:szCs w:val="21"/>
              </w:rPr>
            </w:pPr>
            <w:r>
              <w:rPr>
                <w:rFonts w:hint="eastAsia" w:ascii="宋体" w:hAnsi="宋体"/>
                <w:b/>
                <w:szCs w:val="21"/>
              </w:rPr>
              <w:t>投标响应</w:t>
            </w:r>
          </w:p>
        </w:tc>
        <w:tc>
          <w:tcPr>
            <w:tcW w:w="2310" w:type="dxa"/>
            <w:vAlign w:val="center"/>
          </w:tcPr>
          <w:p w14:paraId="4A62086A">
            <w:pPr>
              <w:adjustRightInd w:val="0"/>
              <w:snapToGrid w:val="0"/>
              <w:spacing w:line="400" w:lineRule="exact"/>
              <w:jc w:val="center"/>
              <w:rPr>
                <w:rFonts w:hint="eastAsia" w:ascii="宋体" w:hAnsi="宋体"/>
                <w:b/>
                <w:szCs w:val="21"/>
              </w:rPr>
            </w:pPr>
            <w:r>
              <w:rPr>
                <w:rFonts w:hint="eastAsia" w:ascii="宋体" w:hAnsi="宋体"/>
                <w:b/>
                <w:szCs w:val="21"/>
              </w:rPr>
              <w:t>偏离说明</w:t>
            </w:r>
          </w:p>
        </w:tc>
      </w:tr>
      <w:tr w14:paraId="0BA1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77D9D5EC">
            <w:pPr>
              <w:adjustRightInd w:val="0"/>
              <w:snapToGrid w:val="0"/>
              <w:spacing w:line="400" w:lineRule="exact"/>
              <w:jc w:val="center"/>
              <w:rPr>
                <w:rFonts w:hint="eastAsia" w:ascii="宋体" w:hAnsi="宋体"/>
                <w:szCs w:val="21"/>
              </w:rPr>
            </w:pPr>
          </w:p>
        </w:tc>
        <w:tc>
          <w:tcPr>
            <w:tcW w:w="3071" w:type="dxa"/>
            <w:vAlign w:val="center"/>
          </w:tcPr>
          <w:p w14:paraId="7AF0BC9C">
            <w:pPr>
              <w:adjustRightInd w:val="0"/>
              <w:snapToGrid w:val="0"/>
              <w:spacing w:line="400" w:lineRule="exact"/>
              <w:jc w:val="center"/>
              <w:rPr>
                <w:rFonts w:hint="eastAsia" w:ascii="宋体" w:hAnsi="宋体"/>
                <w:szCs w:val="21"/>
              </w:rPr>
            </w:pPr>
          </w:p>
        </w:tc>
        <w:tc>
          <w:tcPr>
            <w:tcW w:w="3071" w:type="dxa"/>
            <w:vAlign w:val="center"/>
          </w:tcPr>
          <w:p w14:paraId="0080B2DF">
            <w:pPr>
              <w:adjustRightInd w:val="0"/>
              <w:snapToGrid w:val="0"/>
              <w:spacing w:line="400" w:lineRule="exact"/>
              <w:jc w:val="center"/>
              <w:rPr>
                <w:rFonts w:hint="eastAsia" w:ascii="宋体" w:hAnsi="宋体"/>
                <w:szCs w:val="21"/>
              </w:rPr>
            </w:pPr>
          </w:p>
        </w:tc>
        <w:tc>
          <w:tcPr>
            <w:tcW w:w="2310" w:type="dxa"/>
            <w:vAlign w:val="center"/>
          </w:tcPr>
          <w:p w14:paraId="645AD4C6">
            <w:pPr>
              <w:adjustRightInd w:val="0"/>
              <w:snapToGrid w:val="0"/>
              <w:spacing w:line="400" w:lineRule="exact"/>
              <w:jc w:val="center"/>
              <w:rPr>
                <w:rFonts w:hint="eastAsia" w:ascii="宋体" w:hAnsi="宋体"/>
                <w:szCs w:val="21"/>
              </w:rPr>
            </w:pPr>
          </w:p>
        </w:tc>
      </w:tr>
      <w:tr w14:paraId="4FF2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527F218D">
            <w:pPr>
              <w:adjustRightInd w:val="0"/>
              <w:snapToGrid w:val="0"/>
              <w:spacing w:line="400" w:lineRule="exact"/>
              <w:jc w:val="center"/>
              <w:rPr>
                <w:rFonts w:hint="eastAsia" w:ascii="宋体" w:hAnsi="宋体"/>
                <w:szCs w:val="21"/>
              </w:rPr>
            </w:pPr>
          </w:p>
        </w:tc>
        <w:tc>
          <w:tcPr>
            <w:tcW w:w="3071" w:type="dxa"/>
            <w:vAlign w:val="center"/>
          </w:tcPr>
          <w:p w14:paraId="7236FB81">
            <w:pPr>
              <w:adjustRightInd w:val="0"/>
              <w:snapToGrid w:val="0"/>
              <w:spacing w:line="400" w:lineRule="exact"/>
              <w:jc w:val="center"/>
              <w:rPr>
                <w:rFonts w:hint="eastAsia" w:ascii="宋体" w:hAnsi="宋体"/>
                <w:szCs w:val="21"/>
              </w:rPr>
            </w:pPr>
          </w:p>
        </w:tc>
        <w:tc>
          <w:tcPr>
            <w:tcW w:w="3071" w:type="dxa"/>
            <w:vAlign w:val="center"/>
          </w:tcPr>
          <w:p w14:paraId="425B8989">
            <w:pPr>
              <w:adjustRightInd w:val="0"/>
              <w:snapToGrid w:val="0"/>
              <w:spacing w:line="400" w:lineRule="exact"/>
              <w:jc w:val="center"/>
              <w:rPr>
                <w:rFonts w:hint="eastAsia" w:ascii="宋体" w:hAnsi="宋体"/>
                <w:szCs w:val="21"/>
              </w:rPr>
            </w:pPr>
          </w:p>
        </w:tc>
        <w:tc>
          <w:tcPr>
            <w:tcW w:w="2310" w:type="dxa"/>
            <w:vAlign w:val="center"/>
          </w:tcPr>
          <w:p w14:paraId="4CB82868">
            <w:pPr>
              <w:adjustRightInd w:val="0"/>
              <w:snapToGrid w:val="0"/>
              <w:spacing w:line="400" w:lineRule="exact"/>
              <w:jc w:val="center"/>
              <w:rPr>
                <w:rFonts w:hint="eastAsia" w:ascii="宋体" w:hAnsi="宋体"/>
                <w:szCs w:val="21"/>
              </w:rPr>
            </w:pPr>
          </w:p>
        </w:tc>
      </w:tr>
      <w:tr w14:paraId="322B9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37E9F6BC">
            <w:pPr>
              <w:adjustRightInd w:val="0"/>
              <w:snapToGrid w:val="0"/>
              <w:spacing w:line="400" w:lineRule="exact"/>
              <w:jc w:val="center"/>
              <w:rPr>
                <w:rFonts w:hint="eastAsia" w:ascii="宋体" w:hAnsi="宋体"/>
                <w:szCs w:val="21"/>
              </w:rPr>
            </w:pPr>
          </w:p>
        </w:tc>
        <w:tc>
          <w:tcPr>
            <w:tcW w:w="3071" w:type="dxa"/>
            <w:vAlign w:val="center"/>
          </w:tcPr>
          <w:p w14:paraId="25AB6184">
            <w:pPr>
              <w:adjustRightInd w:val="0"/>
              <w:snapToGrid w:val="0"/>
              <w:spacing w:line="400" w:lineRule="exact"/>
              <w:jc w:val="center"/>
              <w:rPr>
                <w:rFonts w:hint="eastAsia" w:ascii="宋体" w:hAnsi="宋体"/>
                <w:szCs w:val="21"/>
              </w:rPr>
            </w:pPr>
          </w:p>
        </w:tc>
        <w:tc>
          <w:tcPr>
            <w:tcW w:w="3071" w:type="dxa"/>
            <w:vAlign w:val="center"/>
          </w:tcPr>
          <w:p w14:paraId="3AC8C8EA">
            <w:pPr>
              <w:adjustRightInd w:val="0"/>
              <w:snapToGrid w:val="0"/>
              <w:spacing w:line="400" w:lineRule="exact"/>
              <w:jc w:val="center"/>
              <w:rPr>
                <w:rFonts w:hint="eastAsia" w:ascii="宋体" w:hAnsi="宋体"/>
                <w:szCs w:val="21"/>
              </w:rPr>
            </w:pPr>
          </w:p>
        </w:tc>
        <w:tc>
          <w:tcPr>
            <w:tcW w:w="2310" w:type="dxa"/>
            <w:vAlign w:val="center"/>
          </w:tcPr>
          <w:p w14:paraId="43D0892E">
            <w:pPr>
              <w:adjustRightInd w:val="0"/>
              <w:snapToGrid w:val="0"/>
              <w:spacing w:line="400" w:lineRule="exact"/>
              <w:jc w:val="center"/>
              <w:rPr>
                <w:rFonts w:hint="eastAsia" w:ascii="宋体" w:hAnsi="宋体"/>
                <w:szCs w:val="21"/>
              </w:rPr>
            </w:pPr>
          </w:p>
        </w:tc>
      </w:tr>
      <w:tr w14:paraId="73C9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4C6DB25B">
            <w:pPr>
              <w:adjustRightInd w:val="0"/>
              <w:snapToGrid w:val="0"/>
              <w:spacing w:line="400" w:lineRule="exact"/>
              <w:jc w:val="center"/>
              <w:rPr>
                <w:rFonts w:hint="eastAsia" w:ascii="宋体" w:hAnsi="宋体"/>
                <w:szCs w:val="21"/>
              </w:rPr>
            </w:pPr>
          </w:p>
        </w:tc>
        <w:tc>
          <w:tcPr>
            <w:tcW w:w="3071" w:type="dxa"/>
            <w:vAlign w:val="center"/>
          </w:tcPr>
          <w:p w14:paraId="276037AF">
            <w:pPr>
              <w:adjustRightInd w:val="0"/>
              <w:snapToGrid w:val="0"/>
              <w:spacing w:line="400" w:lineRule="exact"/>
              <w:jc w:val="center"/>
              <w:rPr>
                <w:rFonts w:hint="eastAsia" w:ascii="宋体" w:hAnsi="宋体"/>
                <w:szCs w:val="21"/>
              </w:rPr>
            </w:pPr>
          </w:p>
        </w:tc>
        <w:tc>
          <w:tcPr>
            <w:tcW w:w="3071" w:type="dxa"/>
            <w:vAlign w:val="center"/>
          </w:tcPr>
          <w:p w14:paraId="3144FA42">
            <w:pPr>
              <w:adjustRightInd w:val="0"/>
              <w:snapToGrid w:val="0"/>
              <w:spacing w:line="400" w:lineRule="exact"/>
              <w:jc w:val="center"/>
              <w:rPr>
                <w:rFonts w:hint="eastAsia" w:ascii="宋体" w:hAnsi="宋体"/>
                <w:szCs w:val="21"/>
              </w:rPr>
            </w:pPr>
          </w:p>
        </w:tc>
        <w:tc>
          <w:tcPr>
            <w:tcW w:w="2310" w:type="dxa"/>
            <w:vAlign w:val="center"/>
          </w:tcPr>
          <w:p w14:paraId="3E418CF8">
            <w:pPr>
              <w:adjustRightInd w:val="0"/>
              <w:snapToGrid w:val="0"/>
              <w:spacing w:line="400" w:lineRule="exact"/>
              <w:jc w:val="center"/>
              <w:rPr>
                <w:rFonts w:hint="eastAsia" w:ascii="宋体" w:hAnsi="宋体"/>
                <w:szCs w:val="21"/>
              </w:rPr>
            </w:pPr>
          </w:p>
        </w:tc>
      </w:tr>
      <w:tr w14:paraId="06E0A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21F70D21">
            <w:pPr>
              <w:adjustRightInd w:val="0"/>
              <w:snapToGrid w:val="0"/>
              <w:spacing w:line="400" w:lineRule="exact"/>
              <w:jc w:val="center"/>
              <w:rPr>
                <w:rFonts w:hint="eastAsia" w:ascii="宋体" w:hAnsi="宋体"/>
                <w:szCs w:val="21"/>
              </w:rPr>
            </w:pPr>
          </w:p>
        </w:tc>
        <w:tc>
          <w:tcPr>
            <w:tcW w:w="3071" w:type="dxa"/>
            <w:vAlign w:val="center"/>
          </w:tcPr>
          <w:p w14:paraId="1DBF6B0E">
            <w:pPr>
              <w:adjustRightInd w:val="0"/>
              <w:snapToGrid w:val="0"/>
              <w:spacing w:line="400" w:lineRule="exact"/>
              <w:jc w:val="center"/>
              <w:rPr>
                <w:rFonts w:hint="eastAsia" w:ascii="宋体" w:hAnsi="宋体"/>
                <w:szCs w:val="21"/>
              </w:rPr>
            </w:pPr>
          </w:p>
        </w:tc>
        <w:tc>
          <w:tcPr>
            <w:tcW w:w="3071" w:type="dxa"/>
            <w:vAlign w:val="center"/>
          </w:tcPr>
          <w:p w14:paraId="537AB72D">
            <w:pPr>
              <w:adjustRightInd w:val="0"/>
              <w:snapToGrid w:val="0"/>
              <w:spacing w:line="400" w:lineRule="exact"/>
              <w:jc w:val="center"/>
              <w:rPr>
                <w:rFonts w:hint="eastAsia" w:ascii="宋体" w:hAnsi="宋体"/>
                <w:szCs w:val="21"/>
              </w:rPr>
            </w:pPr>
          </w:p>
        </w:tc>
        <w:tc>
          <w:tcPr>
            <w:tcW w:w="2310" w:type="dxa"/>
            <w:vAlign w:val="center"/>
          </w:tcPr>
          <w:p w14:paraId="25D210F1">
            <w:pPr>
              <w:adjustRightInd w:val="0"/>
              <w:snapToGrid w:val="0"/>
              <w:spacing w:line="400" w:lineRule="exact"/>
              <w:jc w:val="center"/>
              <w:rPr>
                <w:rFonts w:hint="eastAsia" w:ascii="宋体" w:hAnsi="宋体"/>
                <w:szCs w:val="21"/>
              </w:rPr>
            </w:pPr>
          </w:p>
        </w:tc>
      </w:tr>
      <w:tr w14:paraId="34FC3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747FA4D7">
            <w:pPr>
              <w:adjustRightInd w:val="0"/>
              <w:snapToGrid w:val="0"/>
              <w:spacing w:line="400" w:lineRule="exact"/>
              <w:jc w:val="center"/>
              <w:rPr>
                <w:rFonts w:hint="eastAsia" w:ascii="宋体" w:hAnsi="宋体"/>
                <w:szCs w:val="21"/>
              </w:rPr>
            </w:pPr>
          </w:p>
        </w:tc>
        <w:tc>
          <w:tcPr>
            <w:tcW w:w="3071" w:type="dxa"/>
            <w:vAlign w:val="center"/>
          </w:tcPr>
          <w:p w14:paraId="5FE3B574">
            <w:pPr>
              <w:adjustRightInd w:val="0"/>
              <w:snapToGrid w:val="0"/>
              <w:spacing w:line="400" w:lineRule="exact"/>
              <w:jc w:val="center"/>
              <w:rPr>
                <w:rFonts w:hint="eastAsia" w:ascii="宋体" w:hAnsi="宋体"/>
                <w:szCs w:val="21"/>
              </w:rPr>
            </w:pPr>
          </w:p>
        </w:tc>
        <w:tc>
          <w:tcPr>
            <w:tcW w:w="3071" w:type="dxa"/>
            <w:vAlign w:val="center"/>
          </w:tcPr>
          <w:p w14:paraId="3DB50BF7">
            <w:pPr>
              <w:adjustRightInd w:val="0"/>
              <w:snapToGrid w:val="0"/>
              <w:spacing w:line="400" w:lineRule="exact"/>
              <w:jc w:val="center"/>
              <w:rPr>
                <w:rFonts w:hint="eastAsia" w:ascii="宋体" w:hAnsi="宋体"/>
                <w:szCs w:val="21"/>
              </w:rPr>
            </w:pPr>
          </w:p>
        </w:tc>
        <w:tc>
          <w:tcPr>
            <w:tcW w:w="2310" w:type="dxa"/>
            <w:vAlign w:val="center"/>
          </w:tcPr>
          <w:p w14:paraId="6598E0FD">
            <w:pPr>
              <w:adjustRightInd w:val="0"/>
              <w:snapToGrid w:val="0"/>
              <w:spacing w:line="400" w:lineRule="exact"/>
              <w:jc w:val="center"/>
              <w:rPr>
                <w:rFonts w:hint="eastAsia" w:ascii="宋体" w:hAnsi="宋体"/>
                <w:szCs w:val="21"/>
              </w:rPr>
            </w:pPr>
          </w:p>
        </w:tc>
      </w:tr>
      <w:tr w14:paraId="18997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4AD9ED0E">
            <w:pPr>
              <w:adjustRightInd w:val="0"/>
              <w:snapToGrid w:val="0"/>
              <w:spacing w:line="400" w:lineRule="exact"/>
              <w:jc w:val="center"/>
              <w:rPr>
                <w:rFonts w:hint="eastAsia" w:ascii="宋体" w:hAnsi="宋体"/>
                <w:szCs w:val="21"/>
              </w:rPr>
            </w:pPr>
          </w:p>
        </w:tc>
        <w:tc>
          <w:tcPr>
            <w:tcW w:w="3071" w:type="dxa"/>
            <w:vAlign w:val="center"/>
          </w:tcPr>
          <w:p w14:paraId="2568166B">
            <w:pPr>
              <w:adjustRightInd w:val="0"/>
              <w:snapToGrid w:val="0"/>
              <w:spacing w:line="400" w:lineRule="exact"/>
              <w:jc w:val="center"/>
              <w:rPr>
                <w:rFonts w:hint="eastAsia" w:ascii="宋体" w:hAnsi="宋体"/>
                <w:szCs w:val="21"/>
              </w:rPr>
            </w:pPr>
          </w:p>
        </w:tc>
        <w:tc>
          <w:tcPr>
            <w:tcW w:w="3071" w:type="dxa"/>
            <w:vAlign w:val="center"/>
          </w:tcPr>
          <w:p w14:paraId="2530C2AA">
            <w:pPr>
              <w:adjustRightInd w:val="0"/>
              <w:snapToGrid w:val="0"/>
              <w:spacing w:line="400" w:lineRule="exact"/>
              <w:jc w:val="center"/>
              <w:rPr>
                <w:rFonts w:hint="eastAsia" w:ascii="宋体" w:hAnsi="宋体"/>
                <w:szCs w:val="21"/>
              </w:rPr>
            </w:pPr>
          </w:p>
        </w:tc>
        <w:tc>
          <w:tcPr>
            <w:tcW w:w="2310" w:type="dxa"/>
            <w:vAlign w:val="center"/>
          </w:tcPr>
          <w:p w14:paraId="5AA8CBA6">
            <w:pPr>
              <w:adjustRightInd w:val="0"/>
              <w:snapToGrid w:val="0"/>
              <w:spacing w:line="400" w:lineRule="exact"/>
              <w:jc w:val="center"/>
              <w:rPr>
                <w:rFonts w:hint="eastAsia" w:ascii="宋体" w:hAnsi="宋体"/>
                <w:szCs w:val="21"/>
              </w:rPr>
            </w:pPr>
          </w:p>
        </w:tc>
      </w:tr>
      <w:tr w14:paraId="69BC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vAlign w:val="center"/>
          </w:tcPr>
          <w:p w14:paraId="53282DD8">
            <w:pPr>
              <w:adjustRightInd w:val="0"/>
              <w:snapToGrid w:val="0"/>
              <w:spacing w:line="400" w:lineRule="exact"/>
              <w:jc w:val="center"/>
              <w:rPr>
                <w:rFonts w:hint="eastAsia" w:ascii="宋体" w:hAnsi="宋体"/>
                <w:szCs w:val="21"/>
              </w:rPr>
            </w:pPr>
          </w:p>
        </w:tc>
        <w:tc>
          <w:tcPr>
            <w:tcW w:w="3071" w:type="dxa"/>
            <w:vAlign w:val="center"/>
          </w:tcPr>
          <w:p w14:paraId="4773A251">
            <w:pPr>
              <w:adjustRightInd w:val="0"/>
              <w:snapToGrid w:val="0"/>
              <w:spacing w:line="400" w:lineRule="exact"/>
              <w:jc w:val="center"/>
              <w:rPr>
                <w:rFonts w:hint="eastAsia" w:ascii="宋体" w:hAnsi="宋体"/>
                <w:szCs w:val="21"/>
              </w:rPr>
            </w:pPr>
          </w:p>
        </w:tc>
        <w:tc>
          <w:tcPr>
            <w:tcW w:w="3071" w:type="dxa"/>
            <w:vAlign w:val="center"/>
          </w:tcPr>
          <w:p w14:paraId="3A26D804">
            <w:pPr>
              <w:adjustRightInd w:val="0"/>
              <w:snapToGrid w:val="0"/>
              <w:spacing w:line="400" w:lineRule="exact"/>
              <w:jc w:val="center"/>
              <w:rPr>
                <w:rFonts w:hint="eastAsia" w:ascii="宋体" w:hAnsi="宋体"/>
                <w:szCs w:val="21"/>
              </w:rPr>
            </w:pPr>
          </w:p>
        </w:tc>
        <w:tc>
          <w:tcPr>
            <w:tcW w:w="2310" w:type="dxa"/>
            <w:vAlign w:val="center"/>
          </w:tcPr>
          <w:p w14:paraId="7F39DC14">
            <w:pPr>
              <w:adjustRightInd w:val="0"/>
              <w:snapToGrid w:val="0"/>
              <w:spacing w:line="400" w:lineRule="exact"/>
              <w:jc w:val="center"/>
              <w:rPr>
                <w:rFonts w:hint="eastAsia" w:ascii="宋体" w:hAnsi="宋体"/>
                <w:szCs w:val="21"/>
              </w:rPr>
            </w:pPr>
          </w:p>
        </w:tc>
      </w:tr>
    </w:tbl>
    <w:p w14:paraId="0F23B209">
      <w:pPr>
        <w:snapToGrid w:val="0"/>
        <w:spacing w:line="360" w:lineRule="auto"/>
        <w:rPr>
          <w:b/>
          <w:color w:val="000000"/>
          <w:szCs w:val="21"/>
        </w:rPr>
      </w:pPr>
    </w:p>
    <w:p w14:paraId="6771B2C6">
      <w:pPr>
        <w:pStyle w:val="15"/>
        <w:widowControl/>
        <w:spacing w:line="440" w:lineRule="exact"/>
        <w:jc w:val="left"/>
        <w:rPr>
          <w:rFonts w:ascii="Times New Roman"/>
          <w:spacing w:val="0"/>
          <w:kern w:val="2"/>
          <w:sz w:val="21"/>
          <w:szCs w:val="21"/>
        </w:rPr>
      </w:pPr>
      <w:r>
        <w:rPr>
          <w:rFonts w:hint="eastAsia" w:ascii="Times New Roman"/>
          <w:b/>
          <w:bCs/>
          <w:spacing w:val="0"/>
          <w:kern w:val="2"/>
          <w:sz w:val="21"/>
          <w:szCs w:val="21"/>
        </w:rPr>
        <w:t>注：1、投标人应对照招标文件第三章“技术需求”部分  二、采购清单与技术要求  “二、技术要求”</w:t>
      </w:r>
      <w:r>
        <w:rPr>
          <w:rFonts w:hint="eastAsia" w:ascii="Times New Roman"/>
          <w:spacing w:val="0"/>
          <w:kern w:val="2"/>
          <w:sz w:val="21"/>
          <w:szCs w:val="21"/>
        </w:rPr>
        <w:t>，</w:t>
      </w:r>
      <w:r>
        <w:rPr>
          <w:rFonts w:hint="eastAsia" w:ascii="Times New Roman"/>
          <w:b/>
          <w:bCs/>
          <w:spacing w:val="0"/>
          <w:kern w:val="2"/>
          <w:sz w:val="21"/>
          <w:szCs w:val="21"/>
        </w:rPr>
        <w:t>逐项比较填写</w:t>
      </w:r>
      <w:r>
        <w:rPr>
          <w:rFonts w:hint="eastAsia" w:ascii="Times New Roman"/>
          <w:b/>
          <w:bCs/>
          <w:spacing w:val="0"/>
          <w:kern w:val="2"/>
          <w:sz w:val="21"/>
          <w:szCs w:val="21"/>
          <w:lang w:eastAsia="zh-CN"/>
        </w:rPr>
        <w:t>，</w:t>
      </w:r>
      <w:r>
        <w:rPr>
          <w:rFonts w:hint="eastAsia" w:ascii="Times New Roman"/>
          <w:b/>
          <w:bCs/>
          <w:spacing w:val="0"/>
          <w:kern w:val="2"/>
          <w:sz w:val="21"/>
          <w:szCs w:val="21"/>
          <w:lang w:val="en-US" w:eastAsia="zh-CN"/>
        </w:rPr>
        <w:t>未逐项比较填写的，按无效标处理</w:t>
      </w:r>
      <w:r>
        <w:rPr>
          <w:rFonts w:hint="eastAsia" w:ascii="Times New Roman"/>
          <w:spacing w:val="0"/>
          <w:kern w:val="2"/>
          <w:sz w:val="21"/>
          <w:szCs w:val="21"/>
        </w:rPr>
        <w:t>。</w:t>
      </w:r>
    </w:p>
    <w:p w14:paraId="0FE435EB">
      <w:pPr>
        <w:pStyle w:val="15"/>
        <w:widowControl/>
        <w:spacing w:line="440" w:lineRule="exact"/>
        <w:jc w:val="left"/>
        <w:rPr>
          <w:rFonts w:ascii="Times New Roman"/>
          <w:spacing w:val="0"/>
          <w:kern w:val="2"/>
          <w:sz w:val="21"/>
          <w:szCs w:val="21"/>
        </w:rPr>
      </w:pPr>
      <w:r>
        <w:rPr>
          <w:rFonts w:hint="eastAsia" w:ascii="Times New Roman"/>
          <w:spacing w:val="0"/>
          <w:kern w:val="2"/>
          <w:sz w:val="21"/>
          <w:szCs w:val="21"/>
        </w:rPr>
        <w:t xml:space="preserve">2、如有偏离的，须在本表中列明，并列出详细的偏离说明。如供应商未在本表中列出偏离说明， </w:t>
      </w:r>
    </w:p>
    <w:p w14:paraId="40F51FA2">
      <w:pPr>
        <w:pStyle w:val="15"/>
        <w:widowControl/>
        <w:spacing w:line="440" w:lineRule="exact"/>
        <w:jc w:val="left"/>
        <w:rPr>
          <w:rFonts w:ascii="Times New Roman"/>
          <w:spacing w:val="0"/>
          <w:kern w:val="2"/>
          <w:sz w:val="21"/>
          <w:szCs w:val="21"/>
        </w:rPr>
      </w:pPr>
      <w:r>
        <w:rPr>
          <w:rFonts w:hint="eastAsia" w:ascii="Times New Roman"/>
          <w:spacing w:val="0"/>
          <w:kern w:val="2"/>
          <w:sz w:val="21"/>
          <w:szCs w:val="21"/>
        </w:rPr>
        <w:t>即使其在投标文件的其他部分说明与采购文件要求有所不同或回避不答，亦视为完全符合采购文件中所要求的最佳值并写入合同。若中标供应商在定标及合同签订前，以上述事项为借口而不履行合同签订手续及执行合同，则视作其放弃中标资格，并追求其相关责任。</w:t>
      </w:r>
    </w:p>
    <w:p w14:paraId="16CB6A96">
      <w:pPr>
        <w:snapToGrid w:val="0"/>
        <w:spacing w:line="360" w:lineRule="auto"/>
        <w:jc w:val="center"/>
        <w:rPr>
          <w:b/>
          <w:bCs/>
          <w:color w:val="000000"/>
          <w:sz w:val="24"/>
          <w:szCs w:val="21"/>
        </w:rPr>
      </w:pPr>
    </w:p>
    <w:p w14:paraId="14C4C314">
      <w:pPr>
        <w:pStyle w:val="15"/>
        <w:widowControl/>
        <w:spacing w:line="360" w:lineRule="auto"/>
        <w:ind w:left="614" w:leftChars="100" w:hanging="404" w:hangingChars="200"/>
        <w:jc w:val="left"/>
        <w:rPr>
          <w:rFonts w:ascii="Times New Roman"/>
          <w:color w:val="000000"/>
          <w:sz w:val="21"/>
          <w:szCs w:val="21"/>
        </w:rPr>
      </w:pPr>
      <w:r>
        <w:rPr>
          <w:rFonts w:ascii="Times New Roman"/>
          <w:color w:val="000000"/>
          <w:sz w:val="21"/>
          <w:szCs w:val="21"/>
        </w:rPr>
        <w:t xml:space="preserve">投 标 人  （盖章）：                  </w:t>
      </w:r>
    </w:p>
    <w:p w14:paraId="5B7C8DC9">
      <w:pPr>
        <w:pStyle w:val="15"/>
        <w:widowControl/>
        <w:spacing w:line="360" w:lineRule="auto"/>
        <w:ind w:left="614" w:leftChars="100" w:hanging="404" w:hangingChars="200"/>
        <w:jc w:val="left"/>
        <w:rPr>
          <w:rFonts w:ascii="Times New Roman"/>
          <w:color w:val="000000"/>
          <w:sz w:val="21"/>
          <w:szCs w:val="21"/>
        </w:rPr>
      </w:pPr>
      <w:r>
        <w:rPr>
          <w:rFonts w:ascii="Times New Roman"/>
          <w:color w:val="000000"/>
          <w:sz w:val="21"/>
          <w:szCs w:val="21"/>
        </w:rPr>
        <w:t>法定代表人或其授权代表（签字或盖章）：</w:t>
      </w:r>
    </w:p>
    <w:p w14:paraId="545848B6">
      <w:pPr>
        <w:pStyle w:val="15"/>
        <w:widowControl/>
        <w:spacing w:line="360" w:lineRule="auto"/>
        <w:ind w:left="614" w:leftChars="100" w:hanging="404" w:hangingChars="200"/>
        <w:jc w:val="left"/>
        <w:rPr>
          <w:rFonts w:ascii="Times New Roman"/>
          <w:color w:val="000000"/>
          <w:sz w:val="21"/>
          <w:szCs w:val="21"/>
        </w:rPr>
      </w:pPr>
      <w:r>
        <w:rPr>
          <w:rFonts w:ascii="Times New Roman"/>
          <w:color w:val="000000"/>
          <w:sz w:val="21"/>
          <w:szCs w:val="21"/>
        </w:rPr>
        <w:t>日  期：</w:t>
      </w:r>
    </w:p>
    <w:p w14:paraId="59EA4F26">
      <w:pPr>
        <w:widowControl/>
        <w:spacing w:line="360" w:lineRule="auto"/>
        <w:ind w:firstLine="442" w:firstLineChars="200"/>
        <w:jc w:val="left"/>
        <w:rPr>
          <w:b/>
          <w:bCs/>
          <w:sz w:val="22"/>
        </w:rPr>
        <w:sectPr>
          <w:pgSz w:w="11907" w:h="16840"/>
          <w:pgMar w:top="1276" w:right="1474" w:bottom="1242" w:left="1474" w:header="851" w:footer="851" w:gutter="0"/>
          <w:cols w:space="720" w:num="1"/>
          <w:docGrid w:linePitch="312" w:charSpace="0"/>
        </w:sectPr>
      </w:pPr>
      <w:r>
        <w:rPr>
          <w:b/>
          <w:bCs/>
          <w:sz w:val="22"/>
        </w:rPr>
        <w:br w:type="page"/>
      </w:r>
    </w:p>
    <w:p w14:paraId="0CEB4744">
      <w:pPr>
        <w:widowControl/>
        <w:snapToGrid w:val="0"/>
        <w:spacing w:line="360" w:lineRule="auto"/>
        <w:jc w:val="center"/>
        <w:rPr>
          <w:rFonts w:hint="eastAsia" w:ascii="宋体" w:hAnsi="宋体" w:cs="宋体"/>
          <w:b/>
          <w:color w:val="000000"/>
          <w:sz w:val="24"/>
          <w:szCs w:val="21"/>
        </w:rPr>
      </w:pPr>
    </w:p>
    <w:p w14:paraId="3919A2BE">
      <w:pPr>
        <w:snapToGrid w:val="0"/>
        <w:spacing w:line="360" w:lineRule="auto"/>
        <w:jc w:val="center"/>
        <w:rPr>
          <w:rFonts w:hint="eastAsia" w:ascii="宋体" w:hAnsi="宋体" w:cs="宋体"/>
          <w:b/>
          <w:bCs/>
          <w:sz w:val="28"/>
          <w:szCs w:val="28"/>
        </w:rPr>
      </w:pPr>
      <w:r>
        <w:rPr>
          <w:rFonts w:hint="eastAsia" w:ascii="宋体" w:hAnsi="宋体" w:cs="宋体"/>
          <w:b/>
          <w:bCs/>
          <w:sz w:val="28"/>
          <w:szCs w:val="28"/>
        </w:rPr>
        <w:t>三、报价文件</w:t>
      </w:r>
    </w:p>
    <w:p w14:paraId="27851EDA">
      <w:pPr>
        <w:tabs>
          <w:tab w:val="left" w:pos="420"/>
        </w:tabs>
        <w:adjustRightInd w:val="0"/>
        <w:snapToGrid w:val="0"/>
        <w:spacing w:line="440" w:lineRule="exact"/>
        <w:ind w:firstLine="440" w:firstLineChars="200"/>
        <w:rPr>
          <w:rFonts w:hint="eastAsia" w:ascii="宋体" w:hAnsi="宋体" w:cs="宋体"/>
          <w:color w:val="000000"/>
          <w:sz w:val="22"/>
          <w:szCs w:val="22"/>
        </w:rPr>
      </w:pPr>
      <w:r>
        <w:rPr>
          <w:rFonts w:hint="eastAsia" w:ascii="宋体" w:hAnsi="宋体" w:cs="宋体"/>
          <w:color w:val="000000"/>
          <w:sz w:val="22"/>
          <w:szCs w:val="22"/>
        </w:rPr>
        <w:t>（1）开标一览表（格式见附件）；</w:t>
      </w:r>
    </w:p>
    <w:p w14:paraId="38FD6424">
      <w:pPr>
        <w:tabs>
          <w:tab w:val="left" w:pos="518"/>
        </w:tabs>
        <w:adjustRightInd w:val="0"/>
        <w:snapToGrid w:val="0"/>
        <w:spacing w:line="440" w:lineRule="exact"/>
        <w:ind w:firstLine="440" w:firstLineChars="200"/>
        <w:rPr>
          <w:rFonts w:hint="eastAsia" w:ascii="宋体" w:hAnsi="宋体" w:cs="宋体"/>
          <w:color w:val="000000"/>
          <w:sz w:val="22"/>
          <w:szCs w:val="22"/>
        </w:rPr>
      </w:pPr>
      <w:r>
        <w:rPr>
          <w:rFonts w:hint="eastAsia" w:ascii="宋体" w:hAnsi="宋体" w:cs="宋体"/>
          <w:color w:val="000000"/>
          <w:sz w:val="22"/>
          <w:szCs w:val="22"/>
        </w:rPr>
        <w:t>（2）分项报价表（格式见附件）；</w:t>
      </w:r>
    </w:p>
    <w:p w14:paraId="6BF795D6">
      <w:pPr>
        <w:tabs>
          <w:tab w:val="left" w:pos="518"/>
        </w:tabs>
        <w:adjustRightInd w:val="0"/>
        <w:snapToGrid w:val="0"/>
        <w:spacing w:line="440" w:lineRule="exact"/>
        <w:ind w:firstLine="440" w:firstLineChars="200"/>
        <w:rPr>
          <w:rFonts w:hint="eastAsia" w:ascii="宋体" w:hAnsi="宋体" w:cs="宋体"/>
          <w:color w:val="000000"/>
          <w:sz w:val="22"/>
          <w:szCs w:val="22"/>
        </w:rPr>
      </w:pPr>
      <w:r>
        <w:rPr>
          <w:rFonts w:hint="eastAsia" w:ascii="宋体" w:hAnsi="宋体" w:cs="宋体"/>
          <w:color w:val="000000"/>
          <w:sz w:val="22"/>
          <w:szCs w:val="22"/>
        </w:rPr>
        <w:t>（3）关于符合本国产品标准的声明函（格式见附件）；</w:t>
      </w:r>
    </w:p>
    <w:p w14:paraId="143C2E01">
      <w:pPr>
        <w:tabs>
          <w:tab w:val="left" w:pos="518"/>
        </w:tabs>
        <w:spacing w:line="440" w:lineRule="exact"/>
        <w:ind w:firstLine="440" w:firstLineChars="200"/>
        <w:rPr>
          <w:rFonts w:hint="eastAsia" w:ascii="宋体" w:hAnsi="宋体" w:cs="宋体"/>
          <w:color w:val="000000"/>
          <w:sz w:val="22"/>
          <w:szCs w:val="22"/>
          <w:lang w:val="zh-CN"/>
        </w:rPr>
      </w:pPr>
      <w:r>
        <w:rPr>
          <w:rFonts w:hint="eastAsia" w:ascii="宋体" w:hAnsi="宋体" w:cs="宋体"/>
          <w:color w:val="000000"/>
          <w:sz w:val="22"/>
          <w:szCs w:val="22"/>
        </w:rPr>
        <w:t>（4）</w:t>
      </w:r>
      <w:r>
        <w:rPr>
          <w:rFonts w:hint="eastAsia" w:ascii="宋体" w:hAnsi="宋体" w:cs="宋体"/>
          <w:color w:val="000000"/>
          <w:sz w:val="22"/>
          <w:szCs w:val="22"/>
          <w:lang w:val="zh-CN"/>
        </w:rPr>
        <w:t>关于本国产品成本比例的声明函</w:t>
      </w:r>
      <w:r>
        <w:rPr>
          <w:rFonts w:hint="eastAsia" w:ascii="宋体" w:hAnsi="宋体" w:cs="宋体"/>
          <w:color w:val="000000"/>
          <w:sz w:val="22"/>
          <w:szCs w:val="22"/>
        </w:rPr>
        <w:t>（格式见附件）；</w:t>
      </w:r>
    </w:p>
    <w:p w14:paraId="63BD8832">
      <w:pPr>
        <w:tabs>
          <w:tab w:val="left" w:pos="518"/>
        </w:tabs>
        <w:spacing w:line="440" w:lineRule="exact"/>
        <w:ind w:firstLine="440" w:firstLineChars="200"/>
        <w:rPr>
          <w:rFonts w:hint="eastAsia" w:ascii="宋体" w:hAnsi="宋体" w:cs="宋体"/>
          <w:color w:val="000000"/>
          <w:sz w:val="22"/>
          <w:szCs w:val="22"/>
        </w:rPr>
      </w:pPr>
      <w:r>
        <w:rPr>
          <w:rFonts w:hint="eastAsia" w:ascii="宋体" w:hAnsi="宋体" w:cs="宋体"/>
          <w:color w:val="000000"/>
          <w:sz w:val="22"/>
          <w:szCs w:val="22"/>
        </w:rPr>
        <w:t>（5）投标人针对报价需要说明的其他文件和说明（如有）。</w:t>
      </w:r>
    </w:p>
    <w:p w14:paraId="791EC9F7">
      <w:pPr>
        <w:snapToGrid w:val="0"/>
        <w:spacing w:line="360" w:lineRule="auto"/>
        <w:jc w:val="center"/>
        <w:rPr>
          <w:rFonts w:eastAsia="仿宋"/>
          <w:bCs/>
          <w:sz w:val="24"/>
          <w:lang w:bidi="ar"/>
        </w:rPr>
      </w:pPr>
    </w:p>
    <w:p w14:paraId="2D3706D6">
      <w:pPr>
        <w:widowControl/>
        <w:spacing w:line="360" w:lineRule="auto"/>
        <w:ind w:firstLine="422" w:firstLineChars="200"/>
        <w:jc w:val="left"/>
        <w:rPr>
          <w:color w:val="000000"/>
          <w:sz w:val="22"/>
        </w:rPr>
      </w:pPr>
      <w:r>
        <w:rPr>
          <w:rFonts w:eastAsia="仿宋"/>
          <w:b/>
          <w:bCs/>
          <w:szCs w:val="21"/>
        </w:rPr>
        <w:br w:type="page"/>
      </w:r>
    </w:p>
    <w:bookmarkEnd w:id="479"/>
    <w:bookmarkEnd w:id="631"/>
    <w:p w14:paraId="330E0E31">
      <w:pPr>
        <w:rPr>
          <w:b/>
          <w:color w:val="000000"/>
          <w:szCs w:val="21"/>
        </w:rPr>
      </w:pPr>
      <w:r>
        <w:rPr>
          <w:b/>
          <w:color w:val="000000"/>
          <w:szCs w:val="21"/>
        </w:rPr>
        <w:t xml:space="preserve"> </w:t>
      </w:r>
    </w:p>
    <w:p w14:paraId="3D434E75">
      <w:pPr>
        <w:spacing w:line="360" w:lineRule="auto"/>
        <w:jc w:val="center"/>
        <w:rPr>
          <w:b/>
          <w:sz w:val="24"/>
        </w:rPr>
      </w:pPr>
      <w:r>
        <w:rPr>
          <w:b/>
          <w:sz w:val="24"/>
        </w:rPr>
        <w:t>开标一览表</w:t>
      </w:r>
    </w:p>
    <w:p w14:paraId="5A25C47B">
      <w:pPr>
        <w:spacing w:line="360" w:lineRule="auto"/>
        <w:ind w:firstLine="420" w:firstLineChars="200"/>
        <w:rPr>
          <w:color w:val="000000"/>
          <w:szCs w:val="21"/>
        </w:rPr>
      </w:pPr>
      <w:r>
        <w:rPr>
          <w:color w:val="000000"/>
          <w:szCs w:val="21"/>
        </w:rPr>
        <w:t xml:space="preserve">项目名称：      </w:t>
      </w:r>
      <w:r>
        <w:rPr>
          <w:color w:val="000000"/>
          <w:szCs w:val="21"/>
        </w:rPr>
        <w:tab/>
      </w:r>
      <w:r>
        <w:rPr>
          <w:color w:val="000000"/>
          <w:szCs w:val="21"/>
        </w:rPr>
        <w:tab/>
      </w:r>
      <w:r>
        <w:rPr>
          <w:color w:val="000000"/>
          <w:szCs w:val="21"/>
        </w:rPr>
        <w:tab/>
      </w:r>
      <w:r>
        <w:rPr>
          <w:color w:val="000000"/>
          <w:szCs w:val="21"/>
        </w:rPr>
        <w:tab/>
      </w:r>
      <w:r>
        <w:rPr>
          <w:color w:val="000000"/>
          <w:szCs w:val="21"/>
        </w:rPr>
        <w:tab/>
      </w:r>
      <w:r>
        <w:rPr>
          <w:rFonts w:hint="eastAsia"/>
          <w:color w:val="000000"/>
          <w:szCs w:val="21"/>
        </w:rPr>
        <w:t>项目</w:t>
      </w:r>
      <w:r>
        <w:rPr>
          <w:color w:val="000000"/>
          <w:szCs w:val="21"/>
        </w:rPr>
        <w:t xml:space="preserve">编号： </w:t>
      </w:r>
      <w:r>
        <w:rPr>
          <w:color w:val="000000"/>
          <w:sz w:val="24"/>
        </w:rPr>
        <w:t xml:space="preserve"> </w:t>
      </w:r>
    </w:p>
    <w:tbl>
      <w:tblPr>
        <w:tblStyle w:val="44"/>
        <w:tblW w:w="934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53"/>
        <w:gridCol w:w="2210"/>
        <w:gridCol w:w="708"/>
        <w:gridCol w:w="2835"/>
        <w:gridCol w:w="2197"/>
        <w:gridCol w:w="638"/>
      </w:tblGrid>
      <w:tr w14:paraId="001274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98" w:hRule="atLeast"/>
          <w:jc w:val="center"/>
        </w:trPr>
        <w:tc>
          <w:tcPr>
            <w:tcW w:w="753" w:type="dxa"/>
            <w:vAlign w:val="center"/>
          </w:tcPr>
          <w:p w14:paraId="75EF84B0">
            <w:pPr>
              <w:snapToGrid w:val="0"/>
              <w:jc w:val="center"/>
              <w:rPr>
                <w:b/>
                <w:color w:val="000000"/>
                <w:szCs w:val="21"/>
              </w:rPr>
            </w:pPr>
            <w:r>
              <w:rPr>
                <w:rFonts w:hint="eastAsia"/>
                <w:b/>
                <w:color w:val="000000"/>
                <w:szCs w:val="21"/>
              </w:rPr>
              <w:t>标项</w:t>
            </w:r>
          </w:p>
        </w:tc>
        <w:tc>
          <w:tcPr>
            <w:tcW w:w="2210" w:type="dxa"/>
            <w:vAlign w:val="center"/>
          </w:tcPr>
          <w:p w14:paraId="00C24442">
            <w:pPr>
              <w:spacing w:line="360" w:lineRule="exact"/>
              <w:jc w:val="center"/>
              <w:rPr>
                <w:b/>
                <w:color w:val="000000"/>
                <w:szCs w:val="21"/>
              </w:rPr>
            </w:pPr>
            <w:r>
              <w:rPr>
                <w:b/>
                <w:color w:val="000000"/>
                <w:szCs w:val="21"/>
              </w:rPr>
              <w:t>项目名称</w:t>
            </w:r>
          </w:p>
        </w:tc>
        <w:tc>
          <w:tcPr>
            <w:tcW w:w="708" w:type="dxa"/>
            <w:tcBorders>
              <w:right w:val="single" w:color="auto" w:sz="4" w:space="0"/>
            </w:tcBorders>
            <w:vAlign w:val="center"/>
          </w:tcPr>
          <w:p w14:paraId="37C1563E">
            <w:pPr>
              <w:snapToGrid w:val="0"/>
              <w:jc w:val="center"/>
              <w:rPr>
                <w:b/>
                <w:color w:val="000000"/>
                <w:szCs w:val="21"/>
              </w:rPr>
            </w:pPr>
            <w:r>
              <w:rPr>
                <w:b/>
                <w:color w:val="000000"/>
                <w:szCs w:val="21"/>
              </w:rPr>
              <w:t>数量</w:t>
            </w:r>
          </w:p>
        </w:tc>
        <w:tc>
          <w:tcPr>
            <w:tcW w:w="2835" w:type="dxa"/>
            <w:tcBorders>
              <w:left w:val="single" w:color="auto" w:sz="4" w:space="0"/>
            </w:tcBorders>
            <w:vAlign w:val="center"/>
          </w:tcPr>
          <w:p w14:paraId="0F166032">
            <w:pPr>
              <w:snapToGrid w:val="0"/>
              <w:jc w:val="center"/>
              <w:rPr>
                <w:b/>
                <w:color w:val="000000"/>
                <w:szCs w:val="21"/>
              </w:rPr>
            </w:pPr>
            <w:r>
              <w:rPr>
                <w:b/>
                <w:color w:val="000000"/>
                <w:szCs w:val="21"/>
              </w:rPr>
              <w:t>投标</w:t>
            </w:r>
            <w:r>
              <w:rPr>
                <w:rFonts w:hint="eastAsia"/>
                <w:b/>
                <w:color w:val="000000"/>
                <w:szCs w:val="21"/>
              </w:rPr>
              <w:t>报</w:t>
            </w:r>
            <w:r>
              <w:rPr>
                <w:b/>
                <w:color w:val="000000"/>
                <w:szCs w:val="21"/>
              </w:rPr>
              <w:t>价</w:t>
            </w:r>
          </w:p>
          <w:p w14:paraId="68750AAB">
            <w:pPr>
              <w:snapToGrid w:val="0"/>
              <w:jc w:val="center"/>
              <w:rPr>
                <w:b/>
                <w:color w:val="000000"/>
                <w:szCs w:val="21"/>
              </w:rPr>
            </w:pPr>
            <w:r>
              <w:rPr>
                <w:b/>
                <w:color w:val="000000"/>
                <w:szCs w:val="21"/>
              </w:rPr>
              <w:t>（人民币/元）</w:t>
            </w:r>
          </w:p>
        </w:tc>
        <w:tc>
          <w:tcPr>
            <w:tcW w:w="2197" w:type="dxa"/>
            <w:vAlign w:val="center"/>
          </w:tcPr>
          <w:p w14:paraId="6D273E46">
            <w:pPr>
              <w:snapToGrid w:val="0"/>
              <w:jc w:val="center"/>
              <w:rPr>
                <w:b/>
                <w:szCs w:val="21"/>
              </w:rPr>
            </w:pPr>
            <w:r>
              <w:rPr>
                <w:b/>
                <w:szCs w:val="21"/>
              </w:rPr>
              <w:t>合同履</w:t>
            </w:r>
            <w:r>
              <w:rPr>
                <w:rFonts w:hint="eastAsia"/>
                <w:b/>
                <w:szCs w:val="21"/>
              </w:rPr>
              <w:t>约</w:t>
            </w:r>
          </w:p>
          <w:p w14:paraId="158D02D0">
            <w:pPr>
              <w:snapToGrid w:val="0"/>
              <w:jc w:val="center"/>
              <w:rPr>
                <w:b/>
                <w:color w:val="000000"/>
                <w:szCs w:val="21"/>
              </w:rPr>
            </w:pPr>
            <w:r>
              <w:rPr>
                <w:b/>
                <w:szCs w:val="21"/>
              </w:rPr>
              <w:t>期限</w:t>
            </w:r>
          </w:p>
        </w:tc>
        <w:tc>
          <w:tcPr>
            <w:tcW w:w="638" w:type="dxa"/>
            <w:vAlign w:val="center"/>
          </w:tcPr>
          <w:p w14:paraId="5DB190F2">
            <w:pPr>
              <w:snapToGrid w:val="0"/>
              <w:jc w:val="center"/>
              <w:rPr>
                <w:b/>
                <w:color w:val="000000"/>
                <w:szCs w:val="21"/>
              </w:rPr>
            </w:pPr>
            <w:r>
              <w:rPr>
                <w:rFonts w:hint="eastAsia"/>
                <w:b/>
                <w:color w:val="000000"/>
                <w:szCs w:val="21"/>
              </w:rPr>
              <w:t>备注</w:t>
            </w:r>
          </w:p>
        </w:tc>
      </w:tr>
      <w:tr w14:paraId="4D9B4C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65" w:hRule="atLeast"/>
          <w:jc w:val="center"/>
        </w:trPr>
        <w:tc>
          <w:tcPr>
            <w:tcW w:w="753" w:type="dxa"/>
            <w:vAlign w:val="center"/>
          </w:tcPr>
          <w:p w14:paraId="5F036B88">
            <w:pPr>
              <w:spacing w:line="360" w:lineRule="auto"/>
              <w:jc w:val="center"/>
              <w:rPr>
                <w:color w:val="000000"/>
                <w:szCs w:val="21"/>
              </w:rPr>
            </w:pPr>
            <w:r>
              <w:rPr>
                <w:color w:val="000000"/>
                <w:szCs w:val="21"/>
              </w:rPr>
              <w:t>1</w:t>
            </w:r>
          </w:p>
        </w:tc>
        <w:tc>
          <w:tcPr>
            <w:tcW w:w="2210" w:type="dxa"/>
            <w:vAlign w:val="center"/>
          </w:tcPr>
          <w:p w14:paraId="214132E6">
            <w:pPr>
              <w:jc w:val="center"/>
              <w:rPr>
                <w:color w:val="000000"/>
                <w:sz w:val="22"/>
                <w:szCs w:val="22"/>
              </w:rPr>
            </w:pPr>
            <w:r>
              <w:rPr>
                <w:rFonts w:hint="eastAsia"/>
                <w:color w:val="000000"/>
                <w:sz w:val="22"/>
                <w:szCs w:val="22"/>
              </w:rPr>
              <w:t>象山县丹山书院专用教室设备</w:t>
            </w:r>
          </w:p>
        </w:tc>
        <w:tc>
          <w:tcPr>
            <w:tcW w:w="708" w:type="dxa"/>
            <w:tcBorders>
              <w:bottom w:val="single" w:color="auto" w:sz="4" w:space="0"/>
              <w:right w:val="single" w:color="auto" w:sz="4" w:space="0"/>
            </w:tcBorders>
            <w:vAlign w:val="center"/>
          </w:tcPr>
          <w:p w14:paraId="5D4A77A5">
            <w:pPr>
              <w:spacing w:line="360" w:lineRule="auto"/>
              <w:jc w:val="center"/>
              <w:rPr>
                <w:color w:val="000000"/>
                <w:szCs w:val="21"/>
              </w:rPr>
            </w:pPr>
            <w:r>
              <w:rPr>
                <w:rFonts w:hint="eastAsia"/>
                <w:color w:val="000000"/>
                <w:szCs w:val="21"/>
              </w:rPr>
              <w:t>1批</w:t>
            </w:r>
          </w:p>
        </w:tc>
        <w:tc>
          <w:tcPr>
            <w:tcW w:w="2835" w:type="dxa"/>
            <w:tcBorders>
              <w:left w:val="single" w:color="auto" w:sz="4" w:space="0"/>
            </w:tcBorders>
            <w:vAlign w:val="center"/>
          </w:tcPr>
          <w:p w14:paraId="0CDCE9D5">
            <w:pPr>
              <w:spacing w:line="360" w:lineRule="auto"/>
              <w:jc w:val="left"/>
              <w:rPr>
                <w:color w:val="000000"/>
                <w:szCs w:val="21"/>
              </w:rPr>
            </w:pPr>
            <w:r>
              <w:rPr>
                <w:rFonts w:hint="eastAsia"/>
                <w:color w:val="000000"/>
                <w:szCs w:val="21"/>
              </w:rPr>
              <w:t>大写</w:t>
            </w:r>
            <w:r>
              <w:rPr>
                <w:color w:val="000000"/>
                <w:szCs w:val="21"/>
              </w:rPr>
              <w:t>：</w:t>
            </w:r>
          </w:p>
          <w:p w14:paraId="120351A5">
            <w:pPr>
              <w:pStyle w:val="43"/>
              <w:ind w:leftChars="0" w:hanging="420" w:hangingChars="200"/>
            </w:pPr>
            <w:r>
              <w:rPr>
                <w:rFonts w:hint="eastAsia"/>
              </w:rPr>
              <w:t>小写：</w:t>
            </w:r>
          </w:p>
        </w:tc>
        <w:tc>
          <w:tcPr>
            <w:tcW w:w="2197" w:type="dxa"/>
            <w:vAlign w:val="center"/>
          </w:tcPr>
          <w:p w14:paraId="245FE270">
            <w:pPr>
              <w:spacing w:line="360" w:lineRule="auto"/>
              <w:jc w:val="center"/>
              <w:rPr>
                <w:rFonts w:hint="eastAsia" w:eastAsia="宋体"/>
                <w:color w:val="000000"/>
                <w:szCs w:val="21"/>
                <w:lang w:eastAsia="zh-CN"/>
              </w:rPr>
            </w:pPr>
            <w:r>
              <w:rPr>
                <w:rFonts w:hint="eastAsia" w:ascii="Arial" w:hAnsi="Arial"/>
                <w:szCs w:val="22"/>
              </w:rPr>
              <w:t>签订合同且具备实施条件后30个工作日</w:t>
            </w:r>
            <w:r>
              <w:rPr>
                <w:rFonts w:hint="eastAsia" w:ascii="Arial" w:hAnsi="Arial" w:cs="宋体"/>
                <w:bCs/>
                <w:szCs w:val="21"/>
              </w:rPr>
              <w:t>完成供货安装调试</w:t>
            </w:r>
            <w:r>
              <w:rPr>
                <w:rFonts w:hint="eastAsia" w:ascii="Arial" w:hAnsi="Arial" w:cs="宋体"/>
                <w:bCs/>
                <w:szCs w:val="21"/>
                <w:lang w:eastAsia="zh-CN"/>
              </w:rPr>
              <w:t>。</w:t>
            </w:r>
          </w:p>
        </w:tc>
        <w:tc>
          <w:tcPr>
            <w:tcW w:w="638" w:type="dxa"/>
            <w:vAlign w:val="center"/>
          </w:tcPr>
          <w:p w14:paraId="0D7E9EB5">
            <w:pPr>
              <w:spacing w:line="360" w:lineRule="auto"/>
              <w:jc w:val="center"/>
              <w:rPr>
                <w:color w:val="000000"/>
                <w:szCs w:val="21"/>
              </w:rPr>
            </w:pPr>
          </w:p>
        </w:tc>
      </w:tr>
      <w:tr w14:paraId="49E99D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9" w:hRule="atLeast"/>
          <w:jc w:val="center"/>
        </w:trPr>
        <w:tc>
          <w:tcPr>
            <w:tcW w:w="2963" w:type="dxa"/>
            <w:gridSpan w:val="2"/>
            <w:tcBorders>
              <w:right w:val="single" w:color="auto" w:sz="4" w:space="0"/>
            </w:tcBorders>
            <w:vAlign w:val="center"/>
          </w:tcPr>
          <w:p w14:paraId="59C69D62">
            <w:pPr>
              <w:spacing w:line="360" w:lineRule="auto"/>
              <w:jc w:val="center"/>
              <w:rPr>
                <w:color w:val="000000"/>
                <w:szCs w:val="21"/>
              </w:rPr>
            </w:pPr>
          </w:p>
          <w:p w14:paraId="3390B189">
            <w:pPr>
              <w:spacing w:line="360" w:lineRule="auto"/>
              <w:jc w:val="center"/>
              <w:rPr>
                <w:color w:val="000000"/>
                <w:szCs w:val="21"/>
              </w:rPr>
            </w:pPr>
            <w:r>
              <w:rPr>
                <w:color w:val="000000"/>
                <w:szCs w:val="21"/>
              </w:rPr>
              <w:t>投标声明</w:t>
            </w:r>
          </w:p>
        </w:tc>
        <w:tc>
          <w:tcPr>
            <w:tcW w:w="6378" w:type="dxa"/>
            <w:gridSpan w:val="4"/>
            <w:tcBorders>
              <w:right w:val="single" w:color="auto" w:sz="4" w:space="0"/>
            </w:tcBorders>
            <w:vAlign w:val="center"/>
          </w:tcPr>
          <w:p w14:paraId="50F7B50D">
            <w:pPr>
              <w:spacing w:line="360" w:lineRule="auto"/>
              <w:jc w:val="center"/>
              <w:rPr>
                <w:color w:val="000000"/>
                <w:szCs w:val="21"/>
              </w:rPr>
            </w:pPr>
          </w:p>
        </w:tc>
      </w:tr>
    </w:tbl>
    <w:p w14:paraId="224163F5">
      <w:pPr>
        <w:spacing w:line="400" w:lineRule="exact"/>
        <w:rPr>
          <w:color w:val="000000"/>
          <w:szCs w:val="21"/>
        </w:rPr>
      </w:pPr>
    </w:p>
    <w:p w14:paraId="41A47616">
      <w:pPr>
        <w:widowControl/>
        <w:spacing w:line="360" w:lineRule="auto"/>
        <w:ind w:firstLine="420" w:firstLineChars="200"/>
        <w:jc w:val="left"/>
        <w:rPr>
          <w:color w:val="000000"/>
          <w:szCs w:val="22"/>
        </w:rPr>
      </w:pPr>
      <w:r>
        <w:rPr>
          <w:color w:val="000000"/>
          <w:szCs w:val="22"/>
        </w:rPr>
        <w:t xml:space="preserve">投 标 人  （盖章）：                  </w:t>
      </w:r>
    </w:p>
    <w:p w14:paraId="5D52F9CA">
      <w:pPr>
        <w:widowControl/>
        <w:spacing w:line="360" w:lineRule="auto"/>
        <w:ind w:firstLine="420" w:firstLineChars="200"/>
        <w:jc w:val="left"/>
        <w:rPr>
          <w:color w:val="000000"/>
          <w:szCs w:val="22"/>
        </w:rPr>
      </w:pPr>
      <w:r>
        <w:rPr>
          <w:color w:val="000000"/>
          <w:szCs w:val="22"/>
        </w:rPr>
        <w:t>法定代表人或其授权代表（签字或盖章）：</w:t>
      </w:r>
    </w:p>
    <w:p w14:paraId="5345A561">
      <w:pPr>
        <w:widowControl/>
        <w:spacing w:line="360" w:lineRule="auto"/>
        <w:ind w:firstLine="420" w:firstLineChars="200"/>
        <w:jc w:val="left"/>
        <w:rPr>
          <w:color w:val="000000"/>
          <w:szCs w:val="22"/>
        </w:rPr>
      </w:pPr>
      <w:r>
        <w:rPr>
          <w:color w:val="000000"/>
          <w:szCs w:val="22"/>
        </w:rPr>
        <w:t>日  期：</w:t>
      </w:r>
    </w:p>
    <w:p w14:paraId="31E662C4">
      <w:pPr>
        <w:spacing w:line="360" w:lineRule="auto"/>
        <w:jc w:val="center"/>
        <w:rPr>
          <w:b/>
          <w:color w:val="000000"/>
          <w:sz w:val="24"/>
          <w:szCs w:val="21"/>
        </w:rPr>
      </w:pPr>
      <w:r>
        <w:rPr>
          <w:b/>
          <w:color w:val="000000"/>
          <w:sz w:val="24"/>
          <w:szCs w:val="21"/>
        </w:rPr>
        <w:br w:type="page"/>
      </w:r>
    </w:p>
    <w:p w14:paraId="6E67BB96">
      <w:pPr>
        <w:spacing w:line="360" w:lineRule="auto"/>
        <w:jc w:val="center"/>
        <w:rPr>
          <w:b/>
          <w:sz w:val="24"/>
        </w:rPr>
      </w:pPr>
      <w:r>
        <w:rPr>
          <w:b/>
          <w:sz w:val="24"/>
        </w:rPr>
        <w:t>分项报价表</w:t>
      </w:r>
    </w:p>
    <w:p w14:paraId="1C946726">
      <w:pPr>
        <w:pStyle w:val="15"/>
        <w:spacing w:line="360" w:lineRule="auto"/>
        <w:ind w:firstLine="420"/>
        <w:rPr>
          <w:rFonts w:ascii="Arial" w:hAnsi="Arial"/>
          <w:sz w:val="21"/>
          <w:u w:val="single"/>
        </w:rPr>
      </w:pPr>
      <w:r>
        <w:rPr>
          <w:rFonts w:ascii="Arial" w:hAnsi="Arial"/>
          <w:sz w:val="21"/>
        </w:rPr>
        <w:t>项目名称：</w:t>
      </w:r>
      <w:r>
        <w:rPr>
          <w:rFonts w:ascii="Arial" w:hAnsi="Arial"/>
          <w:sz w:val="21"/>
          <w:u w:val="single"/>
        </w:rPr>
        <w:t xml:space="preserve">                                    </w:t>
      </w:r>
      <w:r>
        <w:rPr>
          <w:rFonts w:ascii="Arial" w:hAnsi="Arial"/>
          <w:sz w:val="21"/>
        </w:rPr>
        <w:t xml:space="preserve"> 项目编号：</w:t>
      </w:r>
      <w:r>
        <w:rPr>
          <w:rFonts w:ascii="Arial" w:hAnsi="Arial"/>
          <w:sz w:val="21"/>
          <w:u w:val="single"/>
        </w:rPr>
        <w:t xml:space="preserve">              </w:t>
      </w:r>
      <w:r>
        <w:rPr>
          <w:rFonts w:hint="eastAsia" w:ascii="Arial" w:hAnsi="Arial"/>
          <w:sz w:val="21"/>
          <w:u w:val="single"/>
        </w:rPr>
        <w:t xml:space="preserve">                  </w:t>
      </w:r>
      <w:r>
        <w:rPr>
          <w:rFonts w:ascii="Arial" w:hAnsi="Arial"/>
          <w:sz w:val="21"/>
          <w:u w:val="single"/>
        </w:rPr>
        <w:t xml:space="preserve"> </w:t>
      </w:r>
    </w:p>
    <w:tbl>
      <w:tblPr>
        <w:tblStyle w:val="44"/>
        <w:tblW w:w="9582" w:type="dxa"/>
        <w:tblInd w:w="-18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935"/>
        <w:gridCol w:w="862"/>
        <w:gridCol w:w="863"/>
        <w:gridCol w:w="1065"/>
        <w:gridCol w:w="1065"/>
        <w:gridCol w:w="1373"/>
        <w:gridCol w:w="1444"/>
      </w:tblGrid>
      <w:tr w14:paraId="08A95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tblHeader/>
        </w:trPr>
        <w:tc>
          <w:tcPr>
            <w:tcW w:w="975" w:type="dxa"/>
            <w:vAlign w:val="center"/>
          </w:tcPr>
          <w:p w14:paraId="0445E7D0">
            <w:pPr>
              <w:widowControl/>
              <w:jc w:val="center"/>
              <w:textAlignment w:val="center"/>
              <w:rPr>
                <w:rFonts w:ascii="Arial" w:hAnsi="Arial"/>
                <w:b/>
                <w:bCs/>
                <w:sz w:val="18"/>
                <w:szCs w:val="18"/>
              </w:rPr>
            </w:pPr>
            <w:r>
              <w:rPr>
                <w:rFonts w:hint="eastAsia" w:ascii="Arial" w:hAnsi="Arial"/>
                <w:b/>
                <w:bCs/>
                <w:sz w:val="18"/>
                <w:szCs w:val="18"/>
              </w:rPr>
              <w:t>序号</w:t>
            </w:r>
          </w:p>
        </w:tc>
        <w:tc>
          <w:tcPr>
            <w:tcW w:w="1935" w:type="dxa"/>
            <w:vAlign w:val="center"/>
          </w:tcPr>
          <w:p w14:paraId="08DAC339">
            <w:pPr>
              <w:widowControl/>
              <w:jc w:val="center"/>
              <w:textAlignment w:val="center"/>
              <w:rPr>
                <w:rFonts w:ascii="Arial" w:hAnsi="Arial"/>
                <w:b/>
                <w:bCs/>
                <w:sz w:val="18"/>
                <w:szCs w:val="18"/>
              </w:rPr>
            </w:pPr>
            <w:r>
              <w:rPr>
                <w:rFonts w:hint="eastAsia" w:ascii="宋体" w:hAnsi="宋体" w:cs="宋体"/>
                <w:b/>
                <w:bCs/>
                <w:color w:val="000000"/>
                <w:kern w:val="0"/>
                <w:sz w:val="20"/>
                <w:szCs w:val="20"/>
                <w:lang w:bidi="ar"/>
              </w:rPr>
              <w:t>货物名称</w:t>
            </w:r>
          </w:p>
        </w:tc>
        <w:tc>
          <w:tcPr>
            <w:tcW w:w="862" w:type="dxa"/>
            <w:vAlign w:val="center"/>
          </w:tcPr>
          <w:p w14:paraId="4B801F13">
            <w:pPr>
              <w:widowControl/>
              <w:jc w:val="center"/>
              <w:textAlignment w:val="center"/>
              <w:rPr>
                <w:rFonts w:ascii="Arial" w:hAnsi="Arial"/>
                <w:b/>
                <w:bCs/>
                <w:sz w:val="18"/>
                <w:szCs w:val="18"/>
              </w:rPr>
            </w:pPr>
            <w:r>
              <w:rPr>
                <w:rFonts w:hint="eastAsia" w:ascii="宋体" w:hAnsi="宋体" w:cs="宋体"/>
                <w:b/>
                <w:bCs/>
                <w:color w:val="000000"/>
                <w:kern w:val="0"/>
                <w:sz w:val="20"/>
                <w:szCs w:val="20"/>
                <w:lang w:bidi="ar"/>
              </w:rPr>
              <w:t>数量</w:t>
            </w:r>
          </w:p>
        </w:tc>
        <w:tc>
          <w:tcPr>
            <w:tcW w:w="863" w:type="dxa"/>
            <w:vAlign w:val="center"/>
          </w:tcPr>
          <w:p w14:paraId="0D34ECAE">
            <w:pPr>
              <w:widowControl/>
              <w:jc w:val="center"/>
              <w:textAlignment w:val="center"/>
              <w:rPr>
                <w:rFonts w:ascii="Arial" w:hAnsi="Arial"/>
                <w:b/>
                <w:bCs/>
                <w:sz w:val="18"/>
                <w:szCs w:val="18"/>
              </w:rPr>
            </w:pPr>
            <w:r>
              <w:rPr>
                <w:rFonts w:hint="eastAsia" w:ascii="宋体" w:hAnsi="宋体" w:cs="宋体"/>
                <w:b/>
                <w:bCs/>
                <w:color w:val="000000"/>
                <w:kern w:val="0"/>
                <w:sz w:val="20"/>
                <w:szCs w:val="20"/>
                <w:lang w:bidi="ar"/>
              </w:rPr>
              <w:t>单位</w:t>
            </w:r>
          </w:p>
        </w:tc>
        <w:tc>
          <w:tcPr>
            <w:tcW w:w="1065" w:type="dxa"/>
            <w:vAlign w:val="center"/>
          </w:tcPr>
          <w:p w14:paraId="42687B58">
            <w:pPr>
              <w:widowControl/>
              <w:jc w:val="center"/>
              <w:textAlignment w:val="center"/>
              <w:rPr>
                <w:rFonts w:ascii="Arial" w:hAnsi="Arial"/>
                <w:b/>
                <w:bCs/>
                <w:sz w:val="18"/>
                <w:szCs w:val="18"/>
              </w:rPr>
            </w:pPr>
            <w:r>
              <w:rPr>
                <w:rFonts w:hint="eastAsia" w:ascii="宋体" w:hAnsi="宋体" w:cs="宋体"/>
                <w:b/>
                <w:bCs/>
                <w:color w:val="000000"/>
                <w:kern w:val="0"/>
                <w:sz w:val="20"/>
                <w:szCs w:val="20"/>
                <w:lang w:bidi="ar"/>
              </w:rPr>
              <w:t>产地品牌</w:t>
            </w:r>
          </w:p>
        </w:tc>
        <w:tc>
          <w:tcPr>
            <w:tcW w:w="1065" w:type="dxa"/>
            <w:vAlign w:val="center"/>
          </w:tcPr>
          <w:p w14:paraId="3D50B849">
            <w:pPr>
              <w:widowControl/>
              <w:jc w:val="center"/>
              <w:textAlignment w:val="center"/>
              <w:rPr>
                <w:rFonts w:ascii="Arial" w:hAnsi="Arial"/>
                <w:b/>
                <w:bCs/>
                <w:sz w:val="18"/>
                <w:szCs w:val="18"/>
              </w:rPr>
            </w:pPr>
            <w:r>
              <w:rPr>
                <w:rFonts w:hint="eastAsia" w:ascii="宋体" w:hAnsi="宋体" w:cs="宋体"/>
                <w:b/>
                <w:bCs/>
                <w:color w:val="000000"/>
                <w:kern w:val="0"/>
                <w:sz w:val="20"/>
                <w:szCs w:val="20"/>
                <w:lang w:bidi="ar"/>
              </w:rPr>
              <w:t>规格型号</w:t>
            </w:r>
          </w:p>
        </w:tc>
        <w:tc>
          <w:tcPr>
            <w:tcW w:w="1373" w:type="dxa"/>
            <w:vAlign w:val="center"/>
          </w:tcPr>
          <w:p w14:paraId="5CBA8FC6">
            <w:pPr>
              <w:widowControl/>
              <w:jc w:val="center"/>
              <w:textAlignment w:val="center"/>
              <w:rPr>
                <w:rFonts w:ascii="Arial" w:hAnsi="Arial"/>
                <w:b/>
                <w:bCs/>
                <w:sz w:val="18"/>
                <w:szCs w:val="18"/>
              </w:rPr>
            </w:pPr>
            <w:r>
              <w:rPr>
                <w:rFonts w:hint="eastAsia" w:ascii="宋体" w:hAnsi="宋体" w:cs="宋体"/>
                <w:b/>
                <w:bCs/>
                <w:color w:val="000000"/>
                <w:kern w:val="0"/>
                <w:sz w:val="20"/>
                <w:szCs w:val="20"/>
                <w:lang w:bidi="ar"/>
              </w:rPr>
              <w:t xml:space="preserve">单价（元）         </w:t>
            </w:r>
          </w:p>
        </w:tc>
        <w:tc>
          <w:tcPr>
            <w:tcW w:w="1444" w:type="dxa"/>
            <w:vAlign w:val="center"/>
          </w:tcPr>
          <w:p w14:paraId="7C2A952A">
            <w:pPr>
              <w:widowControl/>
              <w:jc w:val="center"/>
              <w:textAlignment w:val="center"/>
              <w:rPr>
                <w:rFonts w:ascii="Arial" w:hAnsi="Arial"/>
                <w:b/>
                <w:bCs/>
                <w:sz w:val="18"/>
                <w:szCs w:val="18"/>
              </w:rPr>
            </w:pPr>
            <w:r>
              <w:rPr>
                <w:rFonts w:hint="eastAsia" w:ascii="宋体" w:hAnsi="宋体" w:cs="宋体"/>
                <w:b/>
                <w:bCs/>
                <w:color w:val="000000"/>
                <w:kern w:val="0"/>
                <w:sz w:val="20"/>
                <w:szCs w:val="20"/>
                <w:lang w:bidi="ar"/>
              </w:rPr>
              <w:t>合价</w:t>
            </w:r>
            <w:r>
              <w:rPr>
                <w:rFonts w:hint="eastAsia" w:ascii="宋体" w:hAnsi="宋体" w:cs="宋体"/>
                <w:b/>
                <w:bCs/>
                <w:kern w:val="0"/>
                <w:szCs w:val="21"/>
              </w:rPr>
              <w:t>（元）</w:t>
            </w:r>
          </w:p>
        </w:tc>
      </w:tr>
      <w:tr w14:paraId="19B81C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582" w:type="dxa"/>
            <w:gridSpan w:val="8"/>
            <w:vAlign w:val="center"/>
          </w:tcPr>
          <w:p w14:paraId="6490952F">
            <w:pPr>
              <w:widowControl/>
              <w:jc w:val="center"/>
              <w:textAlignment w:val="center"/>
              <w:rPr>
                <w:rFonts w:ascii="Arial" w:hAnsi="Arial"/>
                <w:sz w:val="18"/>
                <w:szCs w:val="18"/>
              </w:rPr>
            </w:pPr>
            <w:r>
              <w:rPr>
                <w:rFonts w:hint="eastAsia" w:ascii="宋体" w:hAnsi="宋体"/>
                <w:b/>
                <w:sz w:val="20"/>
                <w:szCs w:val="20"/>
              </w:rPr>
              <w:t>（1）</w:t>
            </w:r>
            <w:r>
              <w:rPr>
                <w:rFonts w:hint="eastAsia" w:ascii="宋体" w:hAnsi="宋体" w:cs="宋体"/>
                <w:b/>
                <w:color w:val="000000" w:themeColor="text1"/>
                <w:kern w:val="0"/>
                <w:szCs w:val="21"/>
                <w:lang w:bidi="ar"/>
                <w14:textFill>
                  <w14:solidFill>
                    <w14:schemeClr w14:val="tx1"/>
                  </w14:solidFill>
                </w14:textFill>
              </w:rPr>
              <w:t>生物实验室</w:t>
            </w:r>
          </w:p>
        </w:tc>
      </w:tr>
      <w:tr w14:paraId="6856B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471D6D45">
            <w:pPr>
              <w:widowControl/>
              <w:jc w:val="center"/>
              <w:textAlignment w:val="center"/>
              <w:rPr>
                <w:rFonts w:ascii="Arial" w:hAnsi="Arial"/>
                <w:sz w:val="18"/>
                <w:szCs w:val="18"/>
              </w:rPr>
            </w:pPr>
            <w:r>
              <w:rPr>
                <w:rFonts w:hint="eastAsia" w:ascii="Arial" w:hAnsi="Arial"/>
                <w:sz w:val="18"/>
                <w:szCs w:val="18"/>
              </w:rPr>
              <w:t>1</w:t>
            </w:r>
          </w:p>
        </w:tc>
        <w:tc>
          <w:tcPr>
            <w:tcW w:w="1935" w:type="dxa"/>
            <w:vAlign w:val="center"/>
          </w:tcPr>
          <w:p w14:paraId="4EF5CD20">
            <w:pPr>
              <w:widowControl/>
              <w:jc w:val="center"/>
              <w:textAlignment w:val="center"/>
            </w:pPr>
          </w:p>
        </w:tc>
        <w:tc>
          <w:tcPr>
            <w:tcW w:w="862" w:type="dxa"/>
            <w:vAlign w:val="center"/>
          </w:tcPr>
          <w:p w14:paraId="46CB3564">
            <w:pPr>
              <w:widowControl/>
              <w:jc w:val="center"/>
              <w:textAlignment w:val="center"/>
            </w:pPr>
          </w:p>
        </w:tc>
        <w:tc>
          <w:tcPr>
            <w:tcW w:w="863" w:type="dxa"/>
            <w:vAlign w:val="center"/>
          </w:tcPr>
          <w:p w14:paraId="7CCC2553">
            <w:pPr>
              <w:widowControl/>
              <w:jc w:val="center"/>
              <w:textAlignment w:val="center"/>
            </w:pPr>
          </w:p>
        </w:tc>
        <w:tc>
          <w:tcPr>
            <w:tcW w:w="1065" w:type="dxa"/>
            <w:vAlign w:val="center"/>
          </w:tcPr>
          <w:p w14:paraId="3EC0E5DA">
            <w:pPr>
              <w:jc w:val="center"/>
            </w:pPr>
          </w:p>
        </w:tc>
        <w:tc>
          <w:tcPr>
            <w:tcW w:w="1065" w:type="dxa"/>
            <w:vAlign w:val="center"/>
          </w:tcPr>
          <w:p w14:paraId="093EAA0D">
            <w:pPr>
              <w:jc w:val="center"/>
            </w:pPr>
          </w:p>
        </w:tc>
        <w:tc>
          <w:tcPr>
            <w:tcW w:w="1373" w:type="dxa"/>
            <w:vAlign w:val="center"/>
          </w:tcPr>
          <w:p w14:paraId="440E5DA2">
            <w:pPr>
              <w:jc w:val="center"/>
            </w:pPr>
          </w:p>
        </w:tc>
        <w:tc>
          <w:tcPr>
            <w:tcW w:w="1444" w:type="dxa"/>
            <w:vAlign w:val="center"/>
          </w:tcPr>
          <w:p w14:paraId="762AF06E"/>
        </w:tc>
      </w:tr>
      <w:tr w14:paraId="5EA66E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60DDF001">
            <w:pPr>
              <w:widowControl/>
              <w:jc w:val="center"/>
              <w:textAlignment w:val="center"/>
              <w:rPr>
                <w:rFonts w:ascii="Arial" w:hAnsi="Arial" w:cs="Arial"/>
                <w:sz w:val="18"/>
                <w:szCs w:val="18"/>
              </w:rPr>
            </w:pPr>
            <w:r>
              <w:rPr>
                <w:rFonts w:hint="eastAsia" w:ascii="Arial" w:hAnsi="Arial" w:cs="Arial"/>
                <w:sz w:val="18"/>
                <w:szCs w:val="18"/>
              </w:rPr>
              <w:t>2</w:t>
            </w:r>
          </w:p>
        </w:tc>
        <w:tc>
          <w:tcPr>
            <w:tcW w:w="1935" w:type="dxa"/>
            <w:vAlign w:val="center"/>
          </w:tcPr>
          <w:p w14:paraId="3D4D464E">
            <w:pPr>
              <w:widowControl/>
              <w:jc w:val="center"/>
              <w:textAlignment w:val="center"/>
              <w:rPr>
                <w:rFonts w:hint="eastAsia" w:ascii="宋体" w:hAnsi="宋体" w:cs="宋体"/>
                <w:color w:val="000000"/>
                <w:kern w:val="0"/>
                <w:sz w:val="20"/>
                <w:szCs w:val="20"/>
                <w:lang w:bidi="ar"/>
              </w:rPr>
            </w:pPr>
          </w:p>
        </w:tc>
        <w:tc>
          <w:tcPr>
            <w:tcW w:w="862" w:type="dxa"/>
            <w:vAlign w:val="center"/>
          </w:tcPr>
          <w:p w14:paraId="588F0669">
            <w:pPr>
              <w:widowControl/>
              <w:jc w:val="center"/>
              <w:textAlignment w:val="center"/>
              <w:rPr>
                <w:rFonts w:ascii="Arial" w:hAnsi="Arial" w:cs="Arial"/>
                <w:sz w:val="18"/>
                <w:szCs w:val="18"/>
              </w:rPr>
            </w:pPr>
          </w:p>
        </w:tc>
        <w:tc>
          <w:tcPr>
            <w:tcW w:w="863" w:type="dxa"/>
            <w:vAlign w:val="center"/>
          </w:tcPr>
          <w:p w14:paraId="01F5CF74">
            <w:pPr>
              <w:widowControl/>
              <w:jc w:val="center"/>
              <w:textAlignment w:val="center"/>
              <w:rPr>
                <w:rFonts w:hint="eastAsia" w:ascii="宋体" w:hAnsi="宋体" w:cs="宋体"/>
                <w:sz w:val="18"/>
                <w:szCs w:val="18"/>
              </w:rPr>
            </w:pPr>
          </w:p>
        </w:tc>
        <w:tc>
          <w:tcPr>
            <w:tcW w:w="1065" w:type="dxa"/>
            <w:vAlign w:val="center"/>
          </w:tcPr>
          <w:p w14:paraId="4E24386E">
            <w:pPr>
              <w:jc w:val="center"/>
              <w:rPr>
                <w:rFonts w:ascii="Arial" w:hAnsi="Arial"/>
                <w:sz w:val="18"/>
                <w:szCs w:val="18"/>
              </w:rPr>
            </w:pPr>
          </w:p>
        </w:tc>
        <w:tc>
          <w:tcPr>
            <w:tcW w:w="1065" w:type="dxa"/>
            <w:vAlign w:val="center"/>
          </w:tcPr>
          <w:p w14:paraId="5E95C301">
            <w:pPr>
              <w:jc w:val="center"/>
              <w:rPr>
                <w:rFonts w:ascii="Arial" w:hAnsi="Arial"/>
                <w:sz w:val="18"/>
                <w:szCs w:val="18"/>
              </w:rPr>
            </w:pPr>
          </w:p>
        </w:tc>
        <w:tc>
          <w:tcPr>
            <w:tcW w:w="1373" w:type="dxa"/>
            <w:vAlign w:val="center"/>
          </w:tcPr>
          <w:p w14:paraId="3266F58D">
            <w:pPr>
              <w:jc w:val="center"/>
              <w:rPr>
                <w:rFonts w:ascii="Arial" w:hAnsi="Arial"/>
                <w:sz w:val="18"/>
                <w:szCs w:val="18"/>
              </w:rPr>
            </w:pPr>
          </w:p>
        </w:tc>
        <w:tc>
          <w:tcPr>
            <w:tcW w:w="1444" w:type="dxa"/>
            <w:vAlign w:val="center"/>
          </w:tcPr>
          <w:p w14:paraId="32E6E330">
            <w:pPr>
              <w:rPr>
                <w:rFonts w:ascii="Arial" w:hAnsi="Arial"/>
                <w:sz w:val="18"/>
                <w:szCs w:val="18"/>
              </w:rPr>
            </w:pPr>
          </w:p>
        </w:tc>
      </w:tr>
      <w:tr w14:paraId="418C6F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31E6F1BD">
            <w:pPr>
              <w:widowControl/>
              <w:jc w:val="center"/>
              <w:textAlignment w:val="center"/>
              <w:rPr>
                <w:rFonts w:ascii="Arial" w:hAnsi="Arial" w:cs="Arial"/>
                <w:sz w:val="18"/>
                <w:szCs w:val="18"/>
              </w:rPr>
            </w:pPr>
            <w:r>
              <w:rPr>
                <w:rFonts w:hint="eastAsia" w:ascii="Arial" w:hAnsi="Arial" w:cs="Arial"/>
                <w:sz w:val="18"/>
                <w:szCs w:val="18"/>
              </w:rPr>
              <w:t>.........</w:t>
            </w:r>
          </w:p>
        </w:tc>
        <w:tc>
          <w:tcPr>
            <w:tcW w:w="1935" w:type="dxa"/>
            <w:vAlign w:val="center"/>
          </w:tcPr>
          <w:p w14:paraId="03D4A499">
            <w:pPr>
              <w:widowControl/>
              <w:jc w:val="center"/>
              <w:textAlignment w:val="center"/>
              <w:rPr>
                <w:rFonts w:hint="eastAsia" w:ascii="宋体" w:hAnsi="宋体" w:cs="宋体"/>
                <w:color w:val="000000"/>
                <w:kern w:val="0"/>
                <w:sz w:val="20"/>
                <w:szCs w:val="20"/>
                <w:lang w:bidi="ar"/>
              </w:rPr>
            </w:pPr>
          </w:p>
        </w:tc>
        <w:tc>
          <w:tcPr>
            <w:tcW w:w="862" w:type="dxa"/>
            <w:vAlign w:val="center"/>
          </w:tcPr>
          <w:p w14:paraId="0FBB3942">
            <w:pPr>
              <w:widowControl/>
              <w:jc w:val="center"/>
              <w:textAlignment w:val="center"/>
              <w:rPr>
                <w:rFonts w:ascii="Arial" w:hAnsi="Arial" w:cs="Arial"/>
                <w:sz w:val="18"/>
                <w:szCs w:val="18"/>
              </w:rPr>
            </w:pPr>
          </w:p>
        </w:tc>
        <w:tc>
          <w:tcPr>
            <w:tcW w:w="863" w:type="dxa"/>
            <w:vAlign w:val="center"/>
          </w:tcPr>
          <w:p w14:paraId="1C904AE2">
            <w:pPr>
              <w:widowControl/>
              <w:jc w:val="center"/>
              <w:textAlignment w:val="center"/>
              <w:rPr>
                <w:rFonts w:hint="eastAsia" w:ascii="宋体" w:hAnsi="宋体" w:cs="宋体"/>
                <w:sz w:val="18"/>
                <w:szCs w:val="18"/>
              </w:rPr>
            </w:pPr>
          </w:p>
        </w:tc>
        <w:tc>
          <w:tcPr>
            <w:tcW w:w="1065" w:type="dxa"/>
            <w:vAlign w:val="center"/>
          </w:tcPr>
          <w:p w14:paraId="66957287">
            <w:pPr>
              <w:jc w:val="center"/>
              <w:rPr>
                <w:rFonts w:ascii="Arial" w:hAnsi="Arial"/>
                <w:sz w:val="18"/>
                <w:szCs w:val="18"/>
              </w:rPr>
            </w:pPr>
          </w:p>
        </w:tc>
        <w:tc>
          <w:tcPr>
            <w:tcW w:w="1065" w:type="dxa"/>
            <w:vAlign w:val="center"/>
          </w:tcPr>
          <w:p w14:paraId="0E578840">
            <w:pPr>
              <w:jc w:val="center"/>
              <w:rPr>
                <w:rFonts w:ascii="Arial" w:hAnsi="Arial"/>
                <w:sz w:val="18"/>
                <w:szCs w:val="18"/>
              </w:rPr>
            </w:pPr>
          </w:p>
        </w:tc>
        <w:tc>
          <w:tcPr>
            <w:tcW w:w="1373" w:type="dxa"/>
            <w:vAlign w:val="center"/>
          </w:tcPr>
          <w:p w14:paraId="4F12C59B">
            <w:pPr>
              <w:jc w:val="center"/>
              <w:rPr>
                <w:rFonts w:ascii="Arial" w:hAnsi="Arial"/>
                <w:sz w:val="18"/>
                <w:szCs w:val="18"/>
              </w:rPr>
            </w:pPr>
          </w:p>
        </w:tc>
        <w:tc>
          <w:tcPr>
            <w:tcW w:w="1444" w:type="dxa"/>
            <w:vAlign w:val="center"/>
          </w:tcPr>
          <w:p w14:paraId="1E33BAA8">
            <w:pPr>
              <w:rPr>
                <w:rFonts w:ascii="Arial" w:hAnsi="Arial"/>
                <w:sz w:val="18"/>
                <w:szCs w:val="18"/>
              </w:rPr>
            </w:pPr>
          </w:p>
        </w:tc>
      </w:tr>
      <w:tr w14:paraId="5F150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582" w:type="dxa"/>
            <w:gridSpan w:val="8"/>
            <w:vAlign w:val="center"/>
          </w:tcPr>
          <w:p w14:paraId="4398FC55">
            <w:pPr>
              <w:widowControl/>
              <w:jc w:val="center"/>
              <w:textAlignment w:val="center"/>
              <w:rPr>
                <w:rFonts w:ascii="Arial" w:hAnsi="Arial"/>
                <w:sz w:val="18"/>
                <w:szCs w:val="18"/>
              </w:rPr>
            </w:pPr>
            <w:r>
              <w:rPr>
                <w:rFonts w:hint="eastAsia" w:ascii="宋体" w:hAnsi="宋体"/>
                <w:b/>
                <w:sz w:val="20"/>
                <w:szCs w:val="20"/>
              </w:rPr>
              <w:t>（2）小学科学、初中化学共用实验室</w:t>
            </w:r>
          </w:p>
        </w:tc>
      </w:tr>
      <w:tr w14:paraId="4C290E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4601DF9F">
            <w:pPr>
              <w:widowControl/>
              <w:jc w:val="center"/>
              <w:textAlignment w:val="center"/>
              <w:rPr>
                <w:rFonts w:ascii="Arial" w:hAnsi="Arial" w:cs="Arial"/>
                <w:sz w:val="18"/>
                <w:szCs w:val="18"/>
                <w:lang w:val="zh-TW" w:eastAsia="zh-TW"/>
              </w:rPr>
            </w:pPr>
            <w:r>
              <w:rPr>
                <w:rFonts w:hint="eastAsia" w:ascii="Arial" w:hAnsi="Arial"/>
                <w:sz w:val="18"/>
                <w:szCs w:val="18"/>
              </w:rPr>
              <w:t>1</w:t>
            </w:r>
          </w:p>
        </w:tc>
        <w:tc>
          <w:tcPr>
            <w:tcW w:w="1935" w:type="dxa"/>
            <w:vAlign w:val="center"/>
          </w:tcPr>
          <w:p w14:paraId="50ECC355">
            <w:pPr>
              <w:widowControl/>
              <w:jc w:val="center"/>
              <w:textAlignment w:val="center"/>
              <w:rPr>
                <w:rFonts w:hint="eastAsia" w:ascii="宋体" w:hAnsi="宋体" w:cs="宋体"/>
                <w:sz w:val="18"/>
                <w:szCs w:val="18"/>
              </w:rPr>
            </w:pPr>
          </w:p>
        </w:tc>
        <w:tc>
          <w:tcPr>
            <w:tcW w:w="862" w:type="dxa"/>
            <w:vAlign w:val="center"/>
          </w:tcPr>
          <w:p w14:paraId="260E754A">
            <w:pPr>
              <w:widowControl/>
              <w:jc w:val="center"/>
              <w:textAlignment w:val="center"/>
              <w:rPr>
                <w:rFonts w:ascii="Arial" w:hAnsi="Arial" w:cs="Arial"/>
                <w:sz w:val="18"/>
                <w:szCs w:val="18"/>
              </w:rPr>
            </w:pPr>
          </w:p>
        </w:tc>
        <w:tc>
          <w:tcPr>
            <w:tcW w:w="863" w:type="dxa"/>
            <w:vAlign w:val="center"/>
          </w:tcPr>
          <w:p w14:paraId="13B65075">
            <w:pPr>
              <w:widowControl/>
              <w:jc w:val="center"/>
              <w:textAlignment w:val="center"/>
              <w:rPr>
                <w:rFonts w:hint="eastAsia" w:ascii="宋体" w:hAnsi="宋体" w:cs="宋体"/>
                <w:sz w:val="18"/>
                <w:szCs w:val="18"/>
              </w:rPr>
            </w:pPr>
          </w:p>
        </w:tc>
        <w:tc>
          <w:tcPr>
            <w:tcW w:w="1065" w:type="dxa"/>
            <w:vAlign w:val="center"/>
          </w:tcPr>
          <w:p w14:paraId="5439514C">
            <w:pPr>
              <w:jc w:val="center"/>
              <w:rPr>
                <w:rFonts w:ascii="Arial" w:hAnsi="Arial"/>
                <w:sz w:val="18"/>
                <w:szCs w:val="18"/>
              </w:rPr>
            </w:pPr>
          </w:p>
        </w:tc>
        <w:tc>
          <w:tcPr>
            <w:tcW w:w="1065" w:type="dxa"/>
            <w:vAlign w:val="center"/>
          </w:tcPr>
          <w:p w14:paraId="35F0C4AD">
            <w:pPr>
              <w:jc w:val="center"/>
              <w:rPr>
                <w:rFonts w:ascii="Arial" w:hAnsi="Arial"/>
                <w:sz w:val="18"/>
                <w:szCs w:val="18"/>
              </w:rPr>
            </w:pPr>
          </w:p>
        </w:tc>
        <w:tc>
          <w:tcPr>
            <w:tcW w:w="1373" w:type="dxa"/>
            <w:vAlign w:val="center"/>
          </w:tcPr>
          <w:p w14:paraId="70B5E22F">
            <w:pPr>
              <w:jc w:val="center"/>
              <w:rPr>
                <w:rFonts w:ascii="Arial" w:hAnsi="Arial"/>
                <w:sz w:val="18"/>
                <w:szCs w:val="18"/>
              </w:rPr>
            </w:pPr>
          </w:p>
        </w:tc>
        <w:tc>
          <w:tcPr>
            <w:tcW w:w="1444" w:type="dxa"/>
            <w:vAlign w:val="center"/>
          </w:tcPr>
          <w:p w14:paraId="0CB30DE7">
            <w:pPr>
              <w:rPr>
                <w:rFonts w:ascii="Arial" w:hAnsi="Arial"/>
                <w:sz w:val="18"/>
                <w:szCs w:val="18"/>
              </w:rPr>
            </w:pPr>
          </w:p>
        </w:tc>
      </w:tr>
      <w:tr w14:paraId="6251B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5E2D0E9A">
            <w:pPr>
              <w:widowControl/>
              <w:jc w:val="center"/>
              <w:textAlignment w:val="center"/>
              <w:rPr>
                <w:rFonts w:ascii="Arial" w:hAnsi="Arial" w:cs="Arial"/>
                <w:sz w:val="18"/>
                <w:szCs w:val="18"/>
                <w:lang w:val="zh-TW" w:eastAsia="zh-TW"/>
              </w:rPr>
            </w:pPr>
            <w:r>
              <w:rPr>
                <w:rFonts w:hint="eastAsia" w:ascii="Arial" w:hAnsi="Arial" w:cs="Arial"/>
                <w:sz w:val="18"/>
                <w:szCs w:val="18"/>
              </w:rPr>
              <w:t>2</w:t>
            </w:r>
          </w:p>
        </w:tc>
        <w:tc>
          <w:tcPr>
            <w:tcW w:w="1935" w:type="dxa"/>
            <w:vAlign w:val="center"/>
          </w:tcPr>
          <w:p w14:paraId="0196189E">
            <w:pPr>
              <w:widowControl/>
              <w:jc w:val="center"/>
              <w:textAlignment w:val="center"/>
              <w:rPr>
                <w:rFonts w:hint="eastAsia" w:ascii="宋体" w:hAnsi="宋体" w:cs="宋体"/>
                <w:sz w:val="18"/>
                <w:szCs w:val="18"/>
              </w:rPr>
            </w:pPr>
          </w:p>
        </w:tc>
        <w:tc>
          <w:tcPr>
            <w:tcW w:w="862" w:type="dxa"/>
            <w:vAlign w:val="center"/>
          </w:tcPr>
          <w:p w14:paraId="763B23BC">
            <w:pPr>
              <w:widowControl/>
              <w:jc w:val="center"/>
              <w:textAlignment w:val="center"/>
              <w:rPr>
                <w:rFonts w:ascii="Arial" w:hAnsi="Arial" w:cs="Arial"/>
                <w:sz w:val="18"/>
                <w:szCs w:val="18"/>
              </w:rPr>
            </w:pPr>
          </w:p>
        </w:tc>
        <w:tc>
          <w:tcPr>
            <w:tcW w:w="863" w:type="dxa"/>
            <w:vAlign w:val="center"/>
          </w:tcPr>
          <w:p w14:paraId="55D6E84B">
            <w:pPr>
              <w:widowControl/>
              <w:jc w:val="center"/>
              <w:textAlignment w:val="center"/>
              <w:rPr>
                <w:rFonts w:hint="eastAsia" w:ascii="宋体" w:hAnsi="宋体" w:cs="宋体"/>
                <w:sz w:val="18"/>
                <w:szCs w:val="18"/>
              </w:rPr>
            </w:pPr>
          </w:p>
        </w:tc>
        <w:tc>
          <w:tcPr>
            <w:tcW w:w="1065" w:type="dxa"/>
            <w:vAlign w:val="center"/>
          </w:tcPr>
          <w:p w14:paraId="309A7A83">
            <w:pPr>
              <w:jc w:val="center"/>
              <w:rPr>
                <w:rFonts w:ascii="Arial" w:hAnsi="Arial"/>
                <w:sz w:val="18"/>
                <w:szCs w:val="18"/>
              </w:rPr>
            </w:pPr>
          </w:p>
        </w:tc>
        <w:tc>
          <w:tcPr>
            <w:tcW w:w="1065" w:type="dxa"/>
            <w:vAlign w:val="center"/>
          </w:tcPr>
          <w:p w14:paraId="315AB155">
            <w:pPr>
              <w:jc w:val="center"/>
              <w:rPr>
                <w:rFonts w:ascii="Arial" w:hAnsi="Arial"/>
                <w:sz w:val="18"/>
                <w:szCs w:val="18"/>
              </w:rPr>
            </w:pPr>
          </w:p>
        </w:tc>
        <w:tc>
          <w:tcPr>
            <w:tcW w:w="1373" w:type="dxa"/>
            <w:vAlign w:val="center"/>
          </w:tcPr>
          <w:p w14:paraId="7F51D720">
            <w:pPr>
              <w:jc w:val="center"/>
              <w:rPr>
                <w:rFonts w:ascii="Arial" w:hAnsi="Arial"/>
                <w:sz w:val="18"/>
                <w:szCs w:val="18"/>
              </w:rPr>
            </w:pPr>
          </w:p>
        </w:tc>
        <w:tc>
          <w:tcPr>
            <w:tcW w:w="1444" w:type="dxa"/>
            <w:vAlign w:val="center"/>
          </w:tcPr>
          <w:p w14:paraId="01B6F13F">
            <w:pPr>
              <w:jc w:val="center"/>
              <w:rPr>
                <w:rFonts w:ascii="Arial" w:hAnsi="Arial"/>
                <w:sz w:val="18"/>
                <w:szCs w:val="18"/>
              </w:rPr>
            </w:pPr>
          </w:p>
        </w:tc>
      </w:tr>
      <w:tr w14:paraId="5C0B5F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73478BDF">
            <w:pPr>
              <w:widowControl/>
              <w:jc w:val="center"/>
              <w:textAlignment w:val="center"/>
              <w:rPr>
                <w:rFonts w:ascii="Arial" w:hAnsi="Arial" w:cs="Arial"/>
                <w:sz w:val="18"/>
                <w:szCs w:val="18"/>
                <w:lang w:val="zh-TW" w:eastAsia="zh-TW"/>
              </w:rPr>
            </w:pPr>
            <w:r>
              <w:rPr>
                <w:rFonts w:hint="eastAsia" w:ascii="Arial" w:hAnsi="Arial" w:cs="Arial"/>
                <w:sz w:val="18"/>
                <w:szCs w:val="18"/>
              </w:rPr>
              <w:t>.........</w:t>
            </w:r>
          </w:p>
        </w:tc>
        <w:tc>
          <w:tcPr>
            <w:tcW w:w="1935" w:type="dxa"/>
            <w:vAlign w:val="center"/>
          </w:tcPr>
          <w:p w14:paraId="1ACDD4B6">
            <w:pPr>
              <w:widowControl/>
              <w:jc w:val="center"/>
              <w:textAlignment w:val="center"/>
              <w:rPr>
                <w:rFonts w:hint="eastAsia" w:ascii="宋体" w:hAnsi="宋体" w:cs="宋体"/>
                <w:sz w:val="18"/>
                <w:szCs w:val="18"/>
              </w:rPr>
            </w:pPr>
          </w:p>
        </w:tc>
        <w:tc>
          <w:tcPr>
            <w:tcW w:w="862" w:type="dxa"/>
            <w:vAlign w:val="center"/>
          </w:tcPr>
          <w:p w14:paraId="656616C4">
            <w:pPr>
              <w:widowControl/>
              <w:jc w:val="center"/>
              <w:textAlignment w:val="center"/>
              <w:rPr>
                <w:rFonts w:ascii="Arial" w:hAnsi="Arial" w:cs="Arial"/>
                <w:sz w:val="18"/>
                <w:szCs w:val="18"/>
              </w:rPr>
            </w:pPr>
          </w:p>
        </w:tc>
        <w:tc>
          <w:tcPr>
            <w:tcW w:w="863" w:type="dxa"/>
            <w:vAlign w:val="center"/>
          </w:tcPr>
          <w:p w14:paraId="18845671">
            <w:pPr>
              <w:widowControl/>
              <w:jc w:val="center"/>
              <w:textAlignment w:val="center"/>
              <w:rPr>
                <w:rFonts w:hint="eastAsia" w:ascii="宋体" w:hAnsi="宋体" w:cs="宋体"/>
                <w:sz w:val="18"/>
                <w:szCs w:val="18"/>
              </w:rPr>
            </w:pPr>
          </w:p>
        </w:tc>
        <w:tc>
          <w:tcPr>
            <w:tcW w:w="1065" w:type="dxa"/>
            <w:vAlign w:val="center"/>
          </w:tcPr>
          <w:p w14:paraId="27F4DC7B">
            <w:pPr>
              <w:jc w:val="center"/>
              <w:rPr>
                <w:rFonts w:ascii="Arial" w:hAnsi="Arial"/>
                <w:sz w:val="18"/>
                <w:szCs w:val="18"/>
              </w:rPr>
            </w:pPr>
          </w:p>
        </w:tc>
        <w:tc>
          <w:tcPr>
            <w:tcW w:w="1065" w:type="dxa"/>
            <w:vAlign w:val="center"/>
          </w:tcPr>
          <w:p w14:paraId="77BB33B2">
            <w:pPr>
              <w:jc w:val="center"/>
              <w:rPr>
                <w:rFonts w:ascii="Arial" w:hAnsi="Arial"/>
                <w:sz w:val="18"/>
                <w:szCs w:val="18"/>
              </w:rPr>
            </w:pPr>
          </w:p>
        </w:tc>
        <w:tc>
          <w:tcPr>
            <w:tcW w:w="1373" w:type="dxa"/>
            <w:vAlign w:val="center"/>
          </w:tcPr>
          <w:p w14:paraId="63BB2BC6">
            <w:pPr>
              <w:jc w:val="center"/>
              <w:rPr>
                <w:rFonts w:ascii="Arial" w:hAnsi="Arial"/>
                <w:sz w:val="18"/>
                <w:szCs w:val="18"/>
              </w:rPr>
            </w:pPr>
          </w:p>
        </w:tc>
        <w:tc>
          <w:tcPr>
            <w:tcW w:w="1444" w:type="dxa"/>
            <w:vAlign w:val="center"/>
          </w:tcPr>
          <w:p w14:paraId="1E8B2B5D">
            <w:pPr>
              <w:jc w:val="center"/>
              <w:rPr>
                <w:rFonts w:ascii="Arial" w:hAnsi="Arial"/>
                <w:sz w:val="18"/>
                <w:szCs w:val="18"/>
              </w:rPr>
            </w:pPr>
          </w:p>
        </w:tc>
      </w:tr>
      <w:tr w14:paraId="50396D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582" w:type="dxa"/>
            <w:gridSpan w:val="8"/>
            <w:vAlign w:val="center"/>
          </w:tcPr>
          <w:p w14:paraId="3B6942EE">
            <w:pPr>
              <w:widowControl/>
              <w:jc w:val="center"/>
              <w:textAlignment w:val="center"/>
              <w:rPr>
                <w:b/>
                <w:bCs/>
              </w:rPr>
            </w:pPr>
            <w:r>
              <w:rPr>
                <w:rFonts w:hint="eastAsia" w:ascii="宋体" w:hAnsi="宋体"/>
                <w:b/>
                <w:sz w:val="20"/>
                <w:szCs w:val="20"/>
              </w:rPr>
              <w:t>（3）科学准备室</w:t>
            </w:r>
          </w:p>
        </w:tc>
      </w:tr>
      <w:tr w14:paraId="7D576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46229F00">
            <w:pPr>
              <w:widowControl/>
              <w:jc w:val="center"/>
              <w:textAlignment w:val="center"/>
              <w:rPr>
                <w:rFonts w:ascii="Arial" w:hAnsi="Arial" w:cs="Arial"/>
                <w:sz w:val="18"/>
                <w:szCs w:val="18"/>
                <w:lang w:val="zh-TW" w:eastAsia="zh-TW"/>
              </w:rPr>
            </w:pPr>
            <w:r>
              <w:rPr>
                <w:rFonts w:hint="eastAsia" w:ascii="Arial" w:hAnsi="Arial"/>
                <w:sz w:val="18"/>
                <w:szCs w:val="18"/>
              </w:rPr>
              <w:t>1</w:t>
            </w:r>
          </w:p>
        </w:tc>
        <w:tc>
          <w:tcPr>
            <w:tcW w:w="1935" w:type="dxa"/>
            <w:vAlign w:val="center"/>
          </w:tcPr>
          <w:p w14:paraId="393AAB27">
            <w:pPr>
              <w:widowControl/>
              <w:jc w:val="center"/>
              <w:textAlignment w:val="center"/>
            </w:pPr>
          </w:p>
        </w:tc>
        <w:tc>
          <w:tcPr>
            <w:tcW w:w="862" w:type="dxa"/>
            <w:vAlign w:val="center"/>
          </w:tcPr>
          <w:p w14:paraId="1AC4BD14">
            <w:pPr>
              <w:widowControl/>
              <w:jc w:val="center"/>
              <w:textAlignment w:val="center"/>
            </w:pPr>
          </w:p>
        </w:tc>
        <w:tc>
          <w:tcPr>
            <w:tcW w:w="863" w:type="dxa"/>
            <w:vAlign w:val="center"/>
          </w:tcPr>
          <w:p w14:paraId="08966DCE">
            <w:pPr>
              <w:widowControl/>
              <w:jc w:val="center"/>
              <w:textAlignment w:val="center"/>
            </w:pPr>
          </w:p>
        </w:tc>
        <w:tc>
          <w:tcPr>
            <w:tcW w:w="1065" w:type="dxa"/>
            <w:vAlign w:val="center"/>
          </w:tcPr>
          <w:p w14:paraId="0DFF1A88">
            <w:pPr>
              <w:jc w:val="center"/>
            </w:pPr>
          </w:p>
        </w:tc>
        <w:tc>
          <w:tcPr>
            <w:tcW w:w="1065" w:type="dxa"/>
            <w:vAlign w:val="center"/>
          </w:tcPr>
          <w:p w14:paraId="0EA98AB5">
            <w:pPr>
              <w:jc w:val="center"/>
            </w:pPr>
          </w:p>
        </w:tc>
        <w:tc>
          <w:tcPr>
            <w:tcW w:w="1373" w:type="dxa"/>
            <w:vAlign w:val="center"/>
          </w:tcPr>
          <w:p w14:paraId="193AF72E">
            <w:pPr>
              <w:jc w:val="center"/>
            </w:pPr>
          </w:p>
        </w:tc>
        <w:tc>
          <w:tcPr>
            <w:tcW w:w="1444" w:type="dxa"/>
            <w:vAlign w:val="center"/>
          </w:tcPr>
          <w:p w14:paraId="062966BF"/>
        </w:tc>
      </w:tr>
      <w:tr w14:paraId="70529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1D4B4307">
            <w:pPr>
              <w:widowControl/>
              <w:jc w:val="center"/>
              <w:textAlignment w:val="center"/>
              <w:rPr>
                <w:rFonts w:ascii="Arial" w:hAnsi="Arial" w:cs="Arial"/>
                <w:sz w:val="18"/>
                <w:szCs w:val="18"/>
                <w:lang w:val="zh-TW" w:eastAsia="zh-TW"/>
              </w:rPr>
            </w:pPr>
            <w:r>
              <w:rPr>
                <w:rFonts w:hint="eastAsia" w:ascii="Arial" w:hAnsi="Arial" w:cs="Arial"/>
                <w:sz w:val="18"/>
                <w:szCs w:val="18"/>
              </w:rPr>
              <w:t>2</w:t>
            </w:r>
          </w:p>
        </w:tc>
        <w:tc>
          <w:tcPr>
            <w:tcW w:w="1935" w:type="dxa"/>
            <w:vAlign w:val="center"/>
          </w:tcPr>
          <w:p w14:paraId="6B57209B">
            <w:pPr>
              <w:widowControl/>
              <w:jc w:val="center"/>
              <w:textAlignment w:val="center"/>
              <w:rPr>
                <w:rFonts w:hint="eastAsia" w:ascii="宋体" w:hAnsi="宋体" w:cs="宋体"/>
                <w:sz w:val="18"/>
                <w:szCs w:val="18"/>
              </w:rPr>
            </w:pPr>
          </w:p>
        </w:tc>
        <w:tc>
          <w:tcPr>
            <w:tcW w:w="862" w:type="dxa"/>
            <w:vAlign w:val="center"/>
          </w:tcPr>
          <w:p w14:paraId="088ADBF0">
            <w:pPr>
              <w:widowControl/>
              <w:jc w:val="center"/>
              <w:textAlignment w:val="center"/>
              <w:rPr>
                <w:rFonts w:ascii="Arial" w:hAnsi="Arial" w:cs="Arial"/>
                <w:sz w:val="18"/>
                <w:szCs w:val="18"/>
              </w:rPr>
            </w:pPr>
          </w:p>
        </w:tc>
        <w:tc>
          <w:tcPr>
            <w:tcW w:w="863" w:type="dxa"/>
            <w:vAlign w:val="center"/>
          </w:tcPr>
          <w:p w14:paraId="522442F4">
            <w:pPr>
              <w:widowControl/>
              <w:jc w:val="center"/>
              <w:textAlignment w:val="center"/>
              <w:rPr>
                <w:rFonts w:hint="eastAsia" w:ascii="宋体" w:hAnsi="宋体" w:cs="宋体"/>
                <w:sz w:val="18"/>
                <w:szCs w:val="18"/>
              </w:rPr>
            </w:pPr>
          </w:p>
        </w:tc>
        <w:tc>
          <w:tcPr>
            <w:tcW w:w="1065" w:type="dxa"/>
            <w:vAlign w:val="center"/>
          </w:tcPr>
          <w:p w14:paraId="54297064">
            <w:pPr>
              <w:jc w:val="center"/>
              <w:rPr>
                <w:rFonts w:ascii="Arial" w:hAnsi="Arial"/>
                <w:sz w:val="18"/>
                <w:szCs w:val="18"/>
              </w:rPr>
            </w:pPr>
          </w:p>
        </w:tc>
        <w:tc>
          <w:tcPr>
            <w:tcW w:w="1065" w:type="dxa"/>
            <w:vAlign w:val="center"/>
          </w:tcPr>
          <w:p w14:paraId="54C99FCB">
            <w:pPr>
              <w:jc w:val="center"/>
              <w:rPr>
                <w:rFonts w:ascii="Arial" w:hAnsi="Arial"/>
                <w:sz w:val="18"/>
                <w:szCs w:val="18"/>
              </w:rPr>
            </w:pPr>
          </w:p>
        </w:tc>
        <w:tc>
          <w:tcPr>
            <w:tcW w:w="1373" w:type="dxa"/>
            <w:vAlign w:val="center"/>
          </w:tcPr>
          <w:p w14:paraId="56040510">
            <w:pPr>
              <w:jc w:val="center"/>
              <w:rPr>
                <w:rFonts w:ascii="Arial" w:hAnsi="Arial"/>
                <w:sz w:val="18"/>
                <w:szCs w:val="18"/>
              </w:rPr>
            </w:pPr>
          </w:p>
        </w:tc>
        <w:tc>
          <w:tcPr>
            <w:tcW w:w="1444" w:type="dxa"/>
            <w:vAlign w:val="center"/>
          </w:tcPr>
          <w:p w14:paraId="73431A3D">
            <w:pPr>
              <w:rPr>
                <w:rFonts w:ascii="Arial" w:hAnsi="Arial"/>
                <w:sz w:val="18"/>
                <w:szCs w:val="18"/>
              </w:rPr>
            </w:pPr>
          </w:p>
        </w:tc>
      </w:tr>
      <w:tr w14:paraId="2C3275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2B95DD27">
            <w:pPr>
              <w:widowControl/>
              <w:jc w:val="center"/>
              <w:textAlignment w:val="center"/>
              <w:rPr>
                <w:rFonts w:ascii="Arial" w:hAnsi="Arial" w:cs="Arial"/>
                <w:sz w:val="18"/>
                <w:szCs w:val="18"/>
                <w:lang w:val="zh-TW" w:eastAsia="zh-TW"/>
              </w:rPr>
            </w:pPr>
            <w:r>
              <w:rPr>
                <w:rFonts w:hint="eastAsia" w:ascii="Arial" w:hAnsi="Arial" w:cs="Arial"/>
                <w:sz w:val="18"/>
                <w:szCs w:val="18"/>
              </w:rPr>
              <w:t>.........</w:t>
            </w:r>
          </w:p>
        </w:tc>
        <w:tc>
          <w:tcPr>
            <w:tcW w:w="1935" w:type="dxa"/>
            <w:vAlign w:val="center"/>
          </w:tcPr>
          <w:p w14:paraId="2F51E0A2">
            <w:pPr>
              <w:widowControl/>
              <w:jc w:val="center"/>
              <w:textAlignment w:val="center"/>
              <w:rPr>
                <w:rFonts w:hint="eastAsia" w:ascii="宋体" w:hAnsi="宋体" w:cs="宋体"/>
                <w:sz w:val="18"/>
                <w:szCs w:val="18"/>
              </w:rPr>
            </w:pPr>
          </w:p>
        </w:tc>
        <w:tc>
          <w:tcPr>
            <w:tcW w:w="862" w:type="dxa"/>
            <w:vAlign w:val="center"/>
          </w:tcPr>
          <w:p w14:paraId="73237AEB">
            <w:pPr>
              <w:widowControl/>
              <w:jc w:val="center"/>
              <w:textAlignment w:val="center"/>
              <w:rPr>
                <w:rFonts w:ascii="Arial" w:hAnsi="Arial" w:cs="Arial"/>
                <w:sz w:val="18"/>
                <w:szCs w:val="18"/>
              </w:rPr>
            </w:pPr>
          </w:p>
        </w:tc>
        <w:tc>
          <w:tcPr>
            <w:tcW w:w="863" w:type="dxa"/>
            <w:vAlign w:val="center"/>
          </w:tcPr>
          <w:p w14:paraId="332F81EF">
            <w:pPr>
              <w:widowControl/>
              <w:jc w:val="center"/>
              <w:textAlignment w:val="center"/>
              <w:rPr>
                <w:rFonts w:hint="eastAsia" w:ascii="宋体" w:hAnsi="宋体" w:cs="宋体"/>
                <w:sz w:val="18"/>
                <w:szCs w:val="18"/>
              </w:rPr>
            </w:pPr>
          </w:p>
        </w:tc>
        <w:tc>
          <w:tcPr>
            <w:tcW w:w="1065" w:type="dxa"/>
            <w:vAlign w:val="center"/>
          </w:tcPr>
          <w:p w14:paraId="40986B57">
            <w:pPr>
              <w:jc w:val="center"/>
              <w:rPr>
                <w:rFonts w:ascii="Arial" w:hAnsi="Arial"/>
                <w:sz w:val="18"/>
                <w:szCs w:val="18"/>
              </w:rPr>
            </w:pPr>
          </w:p>
        </w:tc>
        <w:tc>
          <w:tcPr>
            <w:tcW w:w="1065" w:type="dxa"/>
            <w:vAlign w:val="center"/>
          </w:tcPr>
          <w:p w14:paraId="325AC751">
            <w:pPr>
              <w:jc w:val="center"/>
              <w:rPr>
                <w:rFonts w:ascii="Arial" w:hAnsi="Arial"/>
                <w:sz w:val="18"/>
                <w:szCs w:val="18"/>
              </w:rPr>
            </w:pPr>
          </w:p>
        </w:tc>
        <w:tc>
          <w:tcPr>
            <w:tcW w:w="1373" w:type="dxa"/>
            <w:vAlign w:val="center"/>
          </w:tcPr>
          <w:p w14:paraId="5F9D38AE">
            <w:pPr>
              <w:jc w:val="center"/>
              <w:rPr>
                <w:rFonts w:ascii="Arial" w:hAnsi="Arial"/>
                <w:sz w:val="18"/>
                <w:szCs w:val="18"/>
              </w:rPr>
            </w:pPr>
          </w:p>
        </w:tc>
        <w:tc>
          <w:tcPr>
            <w:tcW w:w="1444" w:type="dxa"/>
            <w:vAlign w:val="center"/>
          </w:tcPr>
          <w:p w14:paraId="2D944547">
            <w:pPr>
              <w:rPr>
                <w:rFonts w:ascii="Arial" w:hAnsi="Arial"/>
                <w:sz w:val="18"/>
                <w:szCs w:val="18"/>
              </w:rPr>
            </w:pPr>
          </w:p>
        </w:tc>
      </w:tr>
      <w:tr w14:paraId="1FA0A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582" w:type="dxa"/>
            <w:gridSpan w:val="8"/>
            <w:vAlign w:val="center"/>
          </w:tcPr>
          <w:p w14:paraId="26BF9AC1">
            <w:pPr>
              <w:widowControl/>
              <w:jc w:val="center"/>
              <w:textAlignment w:val="center"/>
              <w:rPr>
                <w:rFonts w:ascii="Arial" w:hAnsi="Arial"/>
                <w:sz w:val="18"/>
                <w:szCs w:val="18"/>
              </w:rPr>
            </w:pPr>
            <w:r>
              <w:rPr>
                <w:rFonts w:hint="eastAsia" w:ascii="宋体" w:hAnsi="宋体"/>
                <w:b/>
                <w:sz w:val="20"/>
                <w:szCs w:val="20"/>
              </w:rPr>
              <w:t>（4）科学仪器室</w:t>
            </w:r>
          </w:p>
        </w:tc>
      </w:tr>
      <w:tr w14:paraId="7ABAC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722B6F6A">
            <w:pPr>
              <w:widowControl/>
              <w:jc w:val="center"/>
              <w:textAlignment w:val="center"/>
              <w:rPr>
                <w:rFonts w:ascii="Arial" w:hAnsi="Arial" w:cs="Arial"/>
                <w:sz w:val="18"/>
                <w:szCs w:val="18"/>
                <w:lang w:val="zh-TW" w:eastAsia="zh-TW"/>
              </w:rPr>
            </w:pPr>
            <w:r>
              <w:rPr>
                <w:rFonts w:hint="eastAsia" w:ascii="Arial" w:hAnsi="Arial"/>
                <w:sz w:val="18"/>
                <w:szCs w:val="18"/>
              </w:rPr>
              <w:t>1</w:t>
            </w:r>
          </w:p>
        </w:tc>
        <w:tc>
          <w:tcPr>
            <w:tcW w:w="1935" w:type="dxa"/>
            <w:vAlign w:val="center"/>
          </w:tcPr>
          <w:p w14:paraId="075E36C3">
            <w:pPr>
              <w:widowControl/>
              <w:jc w:val="center"/>
              <w:textAlignment w:val="center"/>
              <w:rPr>
                <w:rFonts w:hint="eastAsia" w:ascii="宋体" w:hAnsi="宋体" w:cs="宋体"/>
                <w:sz w:val="18"/>
                <w:szCs w:val="18"/>
              </w:rPr>
            </w:pPr>
          </w:p>
        </w:tc>
        <w:tc>
          <w:tcPr>
            <w:tcW w:w="862" w:type="dxa"/>
            <w:vAlign w:val="center"/>
          </w:tcPr>
          <w:p w14:paraId="4467970E">
            <w:pPr>
              <w:widowControl/>
              <w:jc w:val="center"/>
              <w:textAlignment w:val="center"/>
              <w:rPr>
                <w:rFonts w:ascii="Arial" w:hAnsi="Arial" w:cs="Arial"/>
                <w:sz w:val="18"/>
                <w:szCs w:val="18"/>
              </w:rPr>
            </w:pPr>
          </w:p>
        </w:tc>
        <w:tc>
          <w:tcPr>
            <w:tcW w:w="863" w:type="dxa"/>
            <w:vAlign w:val="center"/>
          </w:tcPr>
          <w:p w14:paraId="551AC11C">
            <w:pPr>
              <w:widowControl/>
              <w:jc w:val="center"/>
              <w:textAlignment w:val="center"/>
              <w:rPr>
                <w:rFonts w:hint="eastAsia" w:ascii="宋体" w:hAnsi="宋体" w:cs="宋体"/>
                <w:sz w:val="18"/>
                <w:szCs w:val="18"/>
              </w:rPr>
            </w:pPr>
          </w:p>
        </w:tc>
        <w:tc>
          <w:tcPr>
            <w:tcW w:w="1065" w:type="dxa"/>
            <w:vAlign w:val="center"/>
          </w:tcPr>
          <w:p w14:paraId="7E6F44E1">
            <w:pPr>
              <w:jc w:val="center"/>
              <w:rPr>
                <w:rFonts w:ascii="Arial" w:hAnsi="Arial"/>
                <w:sz w:val="18"/>
                <w:szCs w:val="18"/>
              </w:rPr>
            </w:pPr>
          </w:p>
        </w:tc>
        <w:tc>
          <w:tcPr>
            <w:tcW w:w="1065" w:type="dxa"/>
            <w:vAlign w:val="center"/>
          </w:tcPr>
          <w:p w14:paraId="0DB279A8">
            <w:pPr>
              <w:jc w:val="center"/>
              <w:rPr>
                <w:rFonts w:ascii="Arial" w:hAnsi="Arial"/>
                <w:sz w:val="18"/>
                <w:szCs w:val="18"/>
              </w:rPr>
            </w:pPr>
          </w:p>
        </w:tc>
        <w:tc>
          <w:tcPr>
            <w:tcW w:w="1373" w:type="dxa"/>
            <w:vAlign w:val="center"/>
          </w:tcPr>
          <w:p w14:paraId="12F1D6B5">
            <w:pPr>
              <w:jc w:val="center"/>
              <w:rPr>
                <w:rFonts w:ascii="Arial" w:hAnsi="Arial"/>
                <w:sz w:val="18"/>
                <w:szCs w:val="18"/>
              </w:rPr>
            </w:pPr>
          </w:p>
        </w:tc>
        <w:tc>
          <w:tcPr>
            <w:tcW w:w="1444" w:type="dxa"/>
            <w:vAlign w:val="center"/>
          </w:tcPr>
          <w:p w14:paraId="62C6ABD4">
            <w:pPr>
              <w:jc w:val="center"/>
              <w:rPr>
                <w:rFonts w:ascii="Arial" w:hAnsi="Arial"/>
                <w:sz w:val="18"/>
                <w:szCs w:val="18"/>
              </w:rPr>
            </w:pPr>
          </w:p>
        </w:tc>
      </w:tr>
      <w:tr w14:paraId="30F8D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6A9EFA62">
            <w:pPr>
              <w:widowControl/>
              <w:jc w:val="center"/>
              <w:textAlignment w:val="center"/>
              <w:rPr>
                <w:rFonts w:ascii="Arial" w:hAnsi="Arial" w:cs="Arial"/>
                <w:sz w:val="18"/>
                <w:szCs w:val="18"/>
                <w:lang w:val="zh-TW" w:eastAsia="zh-TW"/>
              </w:rPr>
            </w:pPr>
            <w:r>
              <w:rPr>
                <w:rFonts w:hint="eastAsia" w:ascii="Arial" w:hAnsi="Arial" w:cs="Arial"/>
                <w:sz w:val="18"/>
                <w:szCs w:val="18"/>
              </w:rPr>
              <w:t>2</w:t>
            </w:r>
          </w:p>
        </w:tc>
        <w:tc>
          <w:tcPr>
            <w:tcW w:w="1935" w:type="dxa"/>
            <w:vAlign w:val="center"/>
          </w:tcPr>
          <w:p w14:paraId="6FF861BB">
            <w:pPr>
              <w:widowControl/>
              <w:jc w:val="center"/>
              <w:textAlignment w:val="center"/>
              <w:rPr>
                <w:rFonts w:hint="eastAsia" w:ascii="宋体" w:hAnsi="宋体" w:cs="宋体"/>
                <w:sz w:val="18"/>
                <w:szCs w:val="18"/>
              </w:rPr>
            </w:pPr>
          </w:p>
        </w:tc>
        <w:tc>
          <w:tcPr>
            <w:tcW w:w="862" w:type="dxa"/>
            <w:vAlign w:val="center"/>
          </w:tcPr>
          <w:p w14:paraId="26CA44DC">
            <w:pPr>
              <w:widowControl/>
              <w:jc w:val="center"/>
              <w:textAlignment w:val="center"/>
              <w:rPr>
                <w:rFonts w:ascii="Arial" w:hAnsi="Arial" w:cs="Arial"/>
                <w:sz w:val="18"/>
                <w:szCs w:val="18"/>
              </w:rPr>
            </w:pPr>
          </w:p>
        </w:tc>
        <w:tc>
          <w:tcPr>
            <w:tcW w:w="863" w:type="dxa"/>
            <w:vAlign w:val="center"/>
          </w:tcPr>
          <w:p w14:paraId="38C08490">
            <w:pPr>
              <w:widowControl/>
              <w:jc w:val="center"/>
              <w:textAlignment w:val="center"/>
              <w:rPr>
                <w:rFonts w:hint="eastAsia" w:ascii="宋体" w:hAnsi="宋体" w:cs="宋体"/>
                <w:sz w:val="18"/>
                <w:szCs w:val="18"/>
              </w:rPr>
            </w:pPr>
          </w:p>
        </w:tc>
        <w:tc>
          <w:tcPr>
            <w:tcW w:w="1065" w:type="dxa"/>
            <w:vAlign w:val="center"/>
          </w:tcPr>
          <w:p w14:paraId="4CAA5D95">
            <w:pPr>
              <w:jc w:val="center"/>
              <w:rPr>
                <w:rFonts w:ascii="Arial" w:hAnsi="Arial"/>
                <w:sz w:val="18"/>
                <w:szCs w:val="18"/>
              </w:rPr>
            </w:pPr>
          </w:p>
        </w:tc>
        <w:tc>
          <w:tcPr>
            <w:tcW w:w="1065" w:type="dxa"/>
            <w:vAlign w:val="center"/>
          </w:tcPr>
          <w:p w14:paraId="3ED4EBBB">
            <w:pPr>
              <w:jc w:val="center"/>
              <w:rPr>
                <w:rFonts w:ascii="Arial" w:hAnsi="Arial"/>
                <w:sz w:val="18"/>
                <w:szCs w:val="18"/>
              </w:rPr>
            </w:pPr>
          </w:p>
        </w:tc>
        <w:tc>
          <w:tcPr>
            <w:tcW w:w="1373" w:type="dxa"/>
            <w:vAlign w:val="center"/>
          </w:tcPr>
          <w:p w14:paraId="09642D2B">
            <w:pPr>
              <w:jc w:val="center"/>
              <w:rPr>
                <w:rFonts w:ascii="Arial" w:hAnsi="Arial"/>
                <w:sz w:val="18"/>
                <w:szCs w:val="18"/>
              </w:rPr>
            </w:pPr>
          </w:p>
        </w:tc>
        <w:tc>
          <w:tcPr>
            <w:tcW w:w="1444" w:type="dxa"/>
            <w:vAlign w:val="center"/>
          </w:tcPr>
          <w:p w14:paraId="632581FE">
            <w:pPr>
              <w:rPr>
                <w:rFonts w:ascii="Arial" w:hAnsi="Arial"/>
                <w:sz w:val="18"/>
                <w:szCs w:val="18"/>
              </w:rPr>
            </w:pPr>
          </w:p>
        </w:tc>
      </w:tr>
      <w:tr w14:paraId="554822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545185D1">
            <w:pPr>
              <w:widowControl/>
              <w:jc w:val="center"/>
              <w:textAlignment w:val="center"/>
              <w:rPr>
                <w:rFonts w:ascii="Arial" w:hAnsi="Arial" w:cs="Arial"/>
                <w:sz w:val="18"/>
                <w:szCs w:val="18"/>
                <w:lang w:val="zh-TW" w:eastAsia="zh-TW"/>
              </w:rPr>
            </w:pPr>
            <w:r>
              <w:rPr>
                <w:rFonts w:hint="eastAsia" w:ascii="Arial" w:hAnsi="Arial" w:cs="Arial"/>
                <w:sz w:val="18"/>
                <w:szCs w:val="18"/>
              </w:rPr>
              <w:t>.........</w:t>
            </w:r>
          </w:p>
        </w:tc>
        <w:tc>
          <w:tcPr>
            <w:tcW w:w="1935" w:type="dxa"/>
            <w:vAlign w:val="center"/>
          </w:tcPr>
          <w:p w14:paraId="568784A2">
            <w:pPr>
              <w:widowControl/>
              <w:jc w:val="center"/>
              <w:textAlignment w:val="center"/>
              <w:rPr>
                <w:rFonts w:hint="eastAsia" w:ascii="宋体" w:hAnsi="宋体" w:cs="宋体"/>
                <w:sz w:val="18"/>
                <w:szCs w:val="18"/>
              </w:rPr>
            </w:pPr>
          </w:p>
        </w:tc>
        <w:tc>
          <w:tcPr>
            <w:tcW w:w="862" w:type="dxa"/>
            <w:vAlign w:val="center"/>
          </w:tcPr>
          <w:p w14:paraId="27F80F4C">
            <w:pPr>
              <w:widowControl/>
              <w:jc w:val="center"/>
              <w:textAlignment w:val="center"/>
              <w:rPr>
                <w:rFonts w:ascii="Arial" w:hAnsi="Arial" w:cs="Arial"/>
                <w:sz w:val="18"/>
                <w:szCs w:val="18"/>
              </w:rPr>
            </w:pPr>
          </w:p>
        </w:tc>
        <w:tc>
          <w:tcPr>
            <w:tcW w:w="863" w:type="dxa"/>
            <w:vAlign w:val="center"/>
          </w:tcPr>
          <w:p w14:paraId="726FA548">
            <w:pPr>
              <w:widowControl/>
              <w:jc w:val="center"/>
              <w:textAlignment w:val="center"/>
              <w:rPr>
                <w:rFonts w:hint="eastAsia" w:ascii="宋体" w:hAnsi="宋体" w:cs="宋体"/>
                <w:sz w:val="18"/>
                <w:szCs w:val="18"/>
              </w:rPr>
            </w:pPr>
          </w:p>
        </w:tc>
        <w:tc>
          <w:tcPr>
            <w:tcW w:w="1065" w:type="dxa"/>
            <w:vAlign w:val="center"/>
          </w:tcPr>
          <w:p w14:paraId="4024B0B8">
            <w:pPr>
              <w:jc w:val="center"/>
              <w:rPr>
                <w:rFonts w:ascii="Arial" w:hAnsi="Arial"/>
                <w:sz w:val="18"/>
                <w:szCs w:val="18"/>
              </w:rPr>
            </w:pPr>
          </w:p>
        </w:tc>
        <w:tc>
          <w:tcPr>
            <w:tcW w:w="1065" w:type="dxa"/>
            <w:vAlign w:val="center"/>
          </w:tcPr>
          <w:p w14:paraId="5A9C5C88">
            <w:pPr>
              <w:jc w:val="center"/>
              <w:rPr>
                <w:rFonts w:ascii="Arial" w:hAnsi="Arial"/>
                <w:sz w:val="18"/>
                <w:szCs w:val="18"/>
              </w:rPr>
            </w:pPr>
          </w:p>
        </w:tc>
        <w:tc>
          <w:tcPr>
            <w:tcW w:w="1373" w:type="dxa"/>
            <w:vAlign w:val="center"/>
          </w:tcPr>
          <w:p w14:paraId="3B96B781">
            <w:pPr>
              <w:jc w:val="center"/>
              <w:rPr>
                <w:rFonts w:ascii="Arial" w:hAnsi="Arial"/>
                <w:sz w:val="18"/>
                <w:szCs w:val="18"/>
              </w:rPr>
            </w:pPr>
          </w:p>
        </w:tc>
        <w:tc>
          <w:tcPr>
            <w:tcW w:w="1444" w:type="dxa"/>
            <w:vAlign w:val="center"/>
          </w:tcPr>
          <w:p w14:paraId="200AB17F">
            <w:pPr>
              <w:rPr>
                <w:rFonts w:ascii="Arial" w:hAnsi="Arial"/>
                <w:sz w:val="18"/>
                <w:szCs w:val="18"/>
              </w:rPr>
            </w:pPr>
          </w:p>
        </w:tc>
      </w:tr>
      <w:tr w14:paraId="7153C1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582" w:type="dxa"/>
            <w:gridSpan w:val="8"/>
            <w:vAlign w:val="center"/>
          </w:tcPr>
          <w:p w14:paraId="4B64B3D5">
            <w:pPr>
              <w:widowControl/>
              <w:jc w:val="center"/>
              <w:textAlignment w:val="center"/>
              <w:rPr>
                <w:rFonts w:ascii="Arial" w:hAnsi="Arial"/>
                <w:sz w:val="18"/>
                <w:szCs w:val="18"/>
              </w:rPr>
            </w:pPr>
            <w:r>
              <w:rPr>
                <w:rFonts w:hint="eastAsia" w:ascii="宋体" w:hAnsi="宋体"/>
                <w:b/>
                <w:sz w:val="20"/>
                <w:szCs w:val="20"/>
              </w:rPr>
              <w:t>（5）化学仪器室、药品室、危化品室</w:t>
            </w:r>
          </w:p>
        </w:tc>
      </w:tr>
      <w:tr w14:paraId="618B8F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3527C507">
            <w:pPr>
              <w:widowControl/>
              <w:jc w:val="center"/>
              <w:textAlignment w:val="center"/>
              <w:rPr>
                <w:rFonts w:ascii="Arial" w:hAnsi="Arial" w:cs="Arial"/>
                <w:sz w:val="18"/>
                <w:szCs w:val="18"/>
                <w:lang w:val="zh-TW" w:eastAsia="zh-TW"/>
              </w:rPr>
            </w:pPr>
            <w:r>
              <w:rPr>
                <w:rFonts w:hint="eastAsia" w:ascii="Arial" w:hAnsi="Arial"/>
                <w:sz w:val="18"/>
                <w:szCs w:val="18"/>
              </w:rPr>
              <w:t>1</w:t>
            </w:r>
          </w:p>
        </w:tc>
        <w:tc>
          <w:tcPr>
            <w:tcW w:w="1935" w:type="dxa"/>
            <w:vAlign w:val="center"/>
          </w:tcPr>
          <w:p w14:paraId="51BE6EFD">
            <w:pPr>
              <w:widowControl/>
              <w:jc w:val="center"/>
              <w:textAlignment w:val="center"/>
              <w:rPr>
                <w:rFonts w:hint="eastAsia" w:ascii="宋体" w:hAnsi="宋体" w:cs="宋体"/>
                <w:sz w:val="18"/>
                <w:szCs w:val="18"/>
              </w:rPr>
            </w:pPr>
          </w:p>
        </w:tc>
        <w:tc>
          <w:tcPr>
            <w:tcW w:w="862" w:type="dxa"/>
            <w:vAlign w:val="center"/>
          </w:tcPr>
          <w:p w14:paraId="11B4CAC3">
            <w:pPr>
              <w:widowControl/>
              <w:jc w:val="center"/>
              <w:textAlignment w:val="center"/>
              <w:rPr>
                <w:rFonts w:ascii="Arial" w:hAnsi="Arial" w:cs="Arial"/>
                <w:sz w:val="18"/>
                <w:szCs w:val="18"/>
              </w:rPr>
            </w:pPr>
          </w:p>
        </w:tc>
        <w:tc>
          <w:tcPr>
            <w:tcW w:w="863" w:type="dxa"/>
            <w:vAlign w:val="center"/>
          </w:tcPr>
          <w:p w14:paraId="5FD34F10">
            <w:pPr>
              <w:widowControl/>
              <w:jc w:val="center"/>
              <w:textAlignment w:val="center"/>
              <w:rPr>
                <w:rFonts w:hint="eastAsia" w:ascii="宋体" w:hAnsi="宋体" w:cs="宋体"/>
                <w:sz w:val="18"/>
                <w:szCs w:val="18"/>
              </w:rPr>
            </w:pPr>
          </w:p>
        </w:tc>
        <w:tc>
          <w:tcPr>
            <w:tcW w:w="1065" w:type="dxa"/>
            <w:vAlign w:val="center"/>
          </w:tcPr>
          <w:p w14:paraId="488D09CE">
            <w:pPr>
              <w:jc w:val="center"/>
              <w:rPr>
                <w:rFonts w:ascii="Arial" w:hAnsi="Arial"/>
                <w:sz w:val="18"/>
                <w:szCs w:val="18"/>
              </w:rPr>
            </w:pPr>
          </w:p>
        </w:tc>
        <w:tc>
          <w:tcPr>
            <w:tcW w:w="1065" w:type="dxa"/>
            <w:vAlign w:val="center"/>
          </w:tcPr>
          <w:p w14:paraId="65BDFA60">
            <w:pPr>
              <w:jc w:val="center"/>
              <w:rPr>
                <w:rFonts w:ascii="Arial" w:hAnsi="Arial"/>
                <w:sz w:val="18"/>
                <w:szCs w:val="18"/>
              </w:rPr>
            </w:pPr>
          </w:p>
        </w:tc>
        <w:tc>
          <w:tcPr>
            <w:tcW w:w="1373" w:type="dxa"/>
            <w:vAlign w:val="center"/>
          </w:tcPr>
          <w:p w14:paraId="443B2D36">
            <w:pPr>
              <w:jc w:val="center"/>
              <w:rPr>
                <w:rFonts w:ascii="Arial" w:hAnsi="Arial"/>
                <w:sz w:val="18"/>
                <w:szCs w:val="18"/>
              </w:rPr>
            </w:pPr>
          </w:p>
        </w:tc>
        <w:tc>
          <w:tcPr>
            <w:tcW w:w="1444" w:type="dxa"/>
            <w:vAlign w:val="center"/>
          </w:tcPr>
          <w:p w14:paraId="2D423F85">
            <w:pPr>
              <w:rPr>
                <w:rFonts w:ascii="Arial" w:hAnsi="Arial"/>
                <w:sz w:val="18"/>
                <w:szCs w:val="18"/>
              </w:rPr>
            </w:pPr>
          </w:p>
        </w:tc>
      </w:tr>
      <w:tr w14:paraId="29038B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41FBFFB3">
            <w:pPr>
              <w:widowControl/>
              <w:jc w:val="center"/>
              <w:textAlignment w:val="center"/>
              <w:rPr>
                <w:rFonts w:ascii="Arial" w:hAnsi="Arial" w:cs="Arial"/>
                <w:sz w:val="18"/>
                <w:szCs w:val="18"/>
                <w:lang w:val="zh-TW" w:eastAsia="zh-TW"/>
              </w:rPr>
            </w:pPr>
            <w:r>
              <w:rPr>
                <w:rFonts w:hint="eastAsia" w:ascii="Arial" w:hAnsi="Arial" w:cs="Arial"/>
                <w:sz w:val="18"/>
                <w:szCs w:val="18"/>
              </w:rPr>
              <w:t>2</w:t>
            </w:r>
          </w:p>
        </w:tc>
        <w:tc>
          <w:tcPr>
            <w:tcW w:w="1935" w:type="dxa"/>
            <w:vAlign w:val="center"/>
          </w:tcPr>
          <w:p w14:paraId="7B8D5A47">
            <w:pPr>
              <w:widowControl/>
              <w:jc w:val="center"/>
              <w:textAlignment w:val="center"/>
              <w:rPr>
                <w:rFonts w:hint="eastAsia" w:ascii="宋体" w:hAnsi="宋体" w:cs="宋体"/>
                <w:sz w:val="18"/>
                <w:szCs w:val="18"/>
              </w:rPr>
            </w:pPr>
          </w:p>
        </w:tc>
        <w:tc>
          <w:tcPr>
            <w:tcW w:w="862" w:type="dxa"/>
            <w:vAlign w:val="center"/>
          </w:tcPr>
          <w:p w14:paraId="78CD5757">
            <w:pPr>
              <w:widowControl/>
              <w:jc w:val="center"/>
              <w:textAlignment w:val="center"/>
              <w:rPr>
                <w:rFonts w:ascii="Arial" w:hAnsi="Arial" w:cs="Arial"/>
                <w:sz w:val="18"/>
                <w:szCs w:val="18"/>
              </w:rPr>
            </w:pPr>
          </w:p>
        </w:tc>
        <w:tc>
          <w:tcPr>
            <w:tcW w:w="863" w:type="dxa"/>
            <w:vAlign w:val="center"/>
          </w:tcPr>
          <w:p w14:paraId="789CA70D">
            <w:pPr>
              <w:widowControl/>
              <w:jc w:val="center"/>
              <w:textAlignment w:val="center"/>
              <w:rPr>
                <w:rFonts w:hint="eastAsia" w:ascii="宋体" w:hAnsi="宋体" w:cs="宋体"/>
                <w:sz w:val="18"/>
                <w:szCs w:val="18"/>
              </w:rPr>
            </w:pPr>
          </w:p>
        </w:tc>
        <w:tc>
          <w:tcPr>
            <w:tcW w:w="1065" w:type="dxa"/>
            <w:vAlign w:val="center"/>
          </w:tcPr>
          <w:p w14:paraId="2CC1A711">
            <w:pPr>
              <w:jc w:val="center"/>
              <w:rPr>
                <w:rFonts w:ascii="Arial" w:hAnsi="Arial"/>
                <w:sz w:val="18"/>
                <w:szCs w:val="18"/>
              </w:rPr>
            </w:pPr>
          </w:p>
        </w:tc>
        <w:tc>
          <w:tcPr>
            <w:tcW w:w="1065" w:type="dxa"/>
            <w:vAlign w:val="center"/>
          </w:tcPr>
          <w:p w14:paraId="1C330F12">
            <w:pPr>
              <w:jc w:val="center"/>
              <w:rPr>
                <w:rFonts w:ascii="Arial" w:hAnsi="Arial"/>
                <w:sz w:val="18"/>
                <w:szCs w:val="18"/>
              </w:rPr>
            </w:pPr>
          </w:p>
        </w:tc>
        <w:tc>
          <w:tcPr>
            <w:tcW w:w="1373" w:type="dxa"/>
            <w:vAlign w:val="center"/>
          </w:tcPr>
          <w:p w14:paraId="6DD5DB7C">
            <w:pPr>
              <w:jc w:val="center"/>
              <w:rPr>
                <w:rFonts w:ascii="Arial" w:hAnsi="Arial"/>
                <w:sz w:val="18"/>
                <w:szCs w:val="18"/>
              </w:rPr>
            </w:pPr>
          </w:p>
        </w:tc>
        <w:tc>
          <w:tcPr>
            <w:tcW w:w="1444" w:type="dxa"/>
            <w:vAlign w:val="center"/>
          </w:tcPr>
          <w:p w14:paraId="40521BDC">
            <w:pPr>
              <w:rPr>
                <w:rFonts w:ascii="Arial" w:hAnsi="Arial"/>
                <w:sz w:val="18"/>
                <w:szCs w:val="18"/>
              </w:rPr>
            </w:pPr>
          </w:p>
        </w:tc>
      </w:tr>
      <w:tr w14:paraId="72583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080ACF3E">
            <w:pPr>
              <w:widowControl/>
              <w:jc w:val="center"/>
              <w:textAlignment w:val="center"/>
              <w:rPr>
                <w:rFonts w:ascii="Arial" w:hAnsi="Arial" w:cs="Arial"/>
                <w:sz w:val="18"/>
                <w:szCs w:val="18"/>
                <w:lang w:val="zh-TW" w:eastAsia="zh-TW"/>
              </w:rPr>
            </w:pPr>
            <w:r>
              <w:rPr>
                <w:rFonts w:hint="eastAsia" w:ascii="Arial" w:hAnsi="Arial" w:cs="Arial"/>
                <w:sz w:val="18"/>
                <w:szCs w:val="18"/>
              </w:rPr>
              <w:t>.........</w:t>
            </w:r>
          </w:p>
        </w:tc>
        <w:tc>
          <w:tcPr>
            <w:tcW w:w="1935" w:type="dxa"/>
            <w:vAlign w:val="center"/>
          </w:tcPr>
          <w:p w14:paraId="21BD4408">
            <w:pPr>
              <w:widowControl/>
              <w:jc w:val="center"/>
              <w:textAlignment w:val="center"/>
              <w:rPr>
                <w:rFonts w:hint="eastAsia" w:ascii="宋体" w:hAnsi="宋体" w:cs="宋体"/>
                <w:sz w:val="18"/>
                <w:szCs w:val="18"/>
              </w:rPr>
            </w:pPr>
          </w:p>
        </w:tc>
        <w:tc>
          <w:tcPr>
            <w:tcW w:w="862" w:type="dxa"/>
            <w:vAlign w:val="center"/>
          </w:tcPr>
          <w:p w14:paraId="74E7BDD2">
            <w:pPr>
              <w:widowControl/>
              <w:jc w:val="center"/>
              <w:textAlignment w:val="center"/>
              <w:rPr>
                <w:rFonts w:ascii="Arial" w:hAnsi="Arial" w:cs="Arial"/>
                <w:sz w:val="18"/>
                <w:szCs w:val="18"/>
              </w:rPr>
            </w:pPr>
          </w:p>
        </w:tc>
        <w:tc>
          <w:tcPr>
            <w:tcW w:w="863" w:type="dxa"/>
            <w:vAlign w:val="center"/>
          </w:tcPr>
          <w:p w14:paraId="796A1619">
            <w:pPr>
              <w:widowControl/>
              <w:jc w:val="center"/>
              <w:textAlignment w:val="center"/>
              <w:rPr>
                <w:rFonts w:hint="eastAsia" w:ascii="宋体" w:hAnsi="宋体" w:cs="宋体"/>
                <w:sz w:val="18"/>
                <w:szCs w:val="18"/>
              </w:rPr>
            </w:pPr>
          </w:p>
        </w:tc>
        <w:tc>
          <w:tcPr>
            <w:tcW w:w="1065" w:type="dxa"/>
            <w:vAlign w:val="center"/>
          </w:tcPr>
          <w:p w14:paraId="75DEC42D">
            <w:pPr>
              <w:jc w:val="center"/>
              <w:rPr>
                <w:rFonts w:ascii="Arial" w:hAnsi="Arial"/>
                <w:sz w:val="18"/>
                <w:szCs w:val="18"/>
              </w:rPr>
            </w:pPr>
          </w:p>
        </w:tc>
        <w:tc>
          <w:tcPr>
            <w:tcW w:w="1065" w:type="dxa"/>
            <w:vAlign w:val="center"/>
          </w:tcPr>
          <w:p w14:paraId="7E18DF5D">
            <w:pPr>
              <w:jc w:val="center"/>
              <w:rPr>
                <w:rFonts w:ascii="Arial" w:hAnsi="Arial"/>
                <w:sz w:val="18"/>
                <w:szCs w:val="18"/>
              </w:rPr>
            </w:pPr>
          </w:p>
        </w:tc>
        <w:tc>
          <w:tcPr>
            <w:tcW w:w="1373" w:type="dxa"/>
            <w:vAlign w:val="center"/>
          </w:tcPr>
          <w:p w14:paraId="1B3DFE14">
            <w:pPr>
              <w:jc w:val="center"/>
              <w:rPr>
                <w:rFonts w:ascii="Arial" w:hAnsi="Arial"/>
                <w:sz w:val="18"/>
                <w:szCs w:val="18"/>
              </w:rPr>
            </w:pPr>
          </w:p>
        </w:tc>
        <w:tc>
          <w:tcPr>
            <w:tcW w:w="1444" w:type="dxa"/>
            <w:vAlign w:val="center"/>
          </w:tcPr>
          <w:p w14:paraId="34491285">
            <w:pPr>
              <w:rPr>
                <w:rFonts w:ascii="Arial" w:hAnsi="Arial"/>
                <w:sz w:val="18"/>
                <w:szCs w:val="18"/>
              </w:rPr>
            </w:pPr>
          </w:p>
        </w:tc>
      </w:tr>
      <w:tr w14:paraId="39144D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582" w:type="dxa"/>
            <w:gridSpan w:val="8"/>
            <w:vAlign w:val="center"/>
          </w:tcPr>
          <w:p w14:paraId="3D246A71">
            <w:pPr>
              <w:widowControl/>
              <w:jc w:val="center"/>
              <w:textAlignment w:val="center"/>
              <w:rPr>
                <w:rFonts w:ascii="Arial" w:hAnsi="Arial"/>
                <w:b/>
                <w:bCs/>
                <w:sz w:val="18"/>
                <w:szCs w:val="18"/>
              </w:rPr>
            </w:pPr>
            <w:r>
              <w:rPr>
                <w:rFonts w:hint="eastAsia" w:ascii="宋体" w:hAnsi="宋体"/>
                <w:b/>
                <w:sz w:val="20"/>
                <w:szCs w:val="20"/>
              </w:rPr>
              <w:t>（6）小学科学实验室</w:t>
            </w:r>
          </w:p>
        </w:tc>
      </w:tr>
      <w:tr w14:paraId="740C3C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5AE01A9E">
            <w:pPr>
              <w:widowControl/>
              <w:jc w:val="center"/>
              <w:textAlignment w:val="center"/>
              <w:rPr>
                <w:rFonts w:ascii="Arial" w:hAnsi="Arial" w:cs="Arial"/>
                <w:sz w:val="18"/>
                <w:szCs w:val="18"/>
                <w:lang w:val="zh-TW" w:eastAsia="zh-TW"/>
              </w:rPr>
            </w:pPr>
            <w:r>
              <w:rPr>
                <w:rFonts w:hint="eastAsia" w:ascii="Arial" w:hAnsi="Arial"/>
                <w:sz w:val="18"/>
                <w:szCs w:val="18"/>
              </w:rPr>
              <w:t>1</w:t>
            </w:r>
          </w:p>
        </w:tc>
        <w:tc>
          <w:tcPr>
            <w:tcW w:w="1935" w:type="dxa"/>
            <w:vAlign w:val="center"/>
          </w:tcPr>
          <w:p w14:paraId="626A169C">
            <w:pPr>
              <w:widowControl/>
              <w:jc w:val="center"/>
              <w:textAlignment w:val="center"/>
              <w:rPr>
                <w:rFonts w:hint="eastAsia" w:ascii="宋体" w:hAnsi="宋体" w:cs="宋体"/>
                <w:sz w:val="18"/>
                <w:szCs w:val="18"/>
              </w:rPr>
            </w:pPr>
          </w:p>
        </w:tc>
        <w:tc>
          <w:tcPr>
            <w:tcW w:w="862" w:type="dxa"/>
            <w:vAlign w:val="center"/>
          </w:tcPr>
          <w:p w14:paraId="1AF23824">
            <w:pPr>
              <w:widowControl/>
              <w:jc w:val="center"/>
              <w:textAlignment w:val="center"/>
              <w:rPr>
                <w:rFonts w:ascii="Arial" w:hAnsi="Arial" w:cs="Arial"/>
                <w:sz w:val="18"/>
                <w:szCs w:val="18"/>
              </w:rPr>
            </w:pPr>
          </w:p>
        </w:tc>
        <w:tc>
          <w:tcPr>
            <w:tcW w:w="863" w:type="dxa"/>
            <w:vAlign w:val="center"/>
          </w:tcPr>
          <w:p w14:paraId="59606BE8">
            <w:pPr>
              <w:widowControl/>
              <w:jc w:val="center"/>
              <w:textAlignment w:val="center"/>
              <w:rPr>
                <w:rFonts w:hint="eastAsia" w:ascii="宋体" w:hAnsi="宋体" w:cs="宋体"/>
                <w:sz w:val="18"/>
                <w:szCs w:val="18"/>
              </w:rPr>
            </w:pPr>
          </w:p>
        </w:tc>
        <w:tc>
          <w:tcPr>
            <w:tcW w:w="1065" w:type="dxa"/>
            <w:vAlign w:val="center"/>
          </w:tcPr>
          <w:p w14:paraId="63189146">
            <w:pPr>
              <w:jc w:val="center"/>
              <w:rPr>
                <w:rFonts w:ascii="Arial" w:hAnsi="Arial"/>
                <w:sz w:val="18"/>
                <w:szCs w:val="18"/>
              </w:rPr>
            </w:pPr>
          </w:p>
        </w:tc>
        <w:tc>
          <w:tcPr>
            <w:tcW w:w="1065" w:type="dxa"/>
            <w:vAlign w:val="center"/>
          </w:tcPr>
          <w:p w14:paraId="408A1D25">
            <w:pPr>
              <w:jc w:val="center"/>
              <w:rPr>
                <w:rFonts w:ascii="Arial" w:hAnsi="Arial"/>
                <w:sz w:val="18"/>
                <w:szCs w:val="18"/>
              </w:rPr>
            </w:pPr>
          </w:p>
        </w:tc>
        <w:tc>
          <w:tcPr>
            <w:tcW w:w="1373" w:type="dxa"/>
            <w:vAlign w:val="center"/>
          </w:tcPr>
          <w:p w14:paraId="0D8CF1CE">
            <w:pPr>
              <w:jc w:val="center"/>
              <w:rPr>
                <w:rFonts w:ascii="Arial" w:hAnsi="Arial"/>
                <w:sz w:val="18"/>
                <w:szCs w:val="18"/>
              </w:rPr>
            </w:pPr>
          </w:p>
        </w:tc>
        <w:tc>
          <w:tcPr>
            <w:tcW w:w="1444" w:type="dxa"/>
            <w:vAlign w:val="center"/>
          </w:tcPr>
          <w:p w14:paraId="73252BBF">
            <w:pPr>
              <w:rPr>
                <w:rFonts w:ascii="Arial" w:hAnsi="Arial"/>
                <w:sz w:val="18"/>
                <w:szCs w:val="18"/>
              </w:rPr>
            </w:pPr>
          </w:p>
        </w:tc>
      </w:tr>
      <w:tr w14:paraId="58152D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1470DC8A">
            <w:pPr>
              <w:widowControl/>
              <w:jc w:val="center"/>
              <w:textAlignment w:val="center"/>
              <w:rPr>
                <w:rFonts w:ascii="Arial" w:hAnsi="Arial" w:cs="Arial"/>
                <w:sz w:val="18"/>
                <w:szCs w:val="18"/>
                <w:lang w:val="zh-TW" w:eastAsia="zh-TW"/>
              </w:rPr>
            </w:pPr>
            <w:r>
              <w:rPr>
                <w:rFonts w:hint="eastAsia" w:ascii="Arial" w:hAnsi="Arial" w:cs="Arial"/>
                <w:sz w:val="18"/>
                <w:szCs w:val="18"/>
              </w:rPr>
              <w:t>2</w:t>
            </w:r>
          </w:p>
        </w:tc>
        <w:tc>
          <w:tcPr>
            <w:tcW w:w="1935" w:type="dxa"/>
            <w:vAlign w:val="center"/>
          </w:tcPr>
          <w:p w14:paraId="48C959E6">
            <w:pPr>
              <w:widowControl/>
              <w:jc w:val="center"/>
              <w:textAlignment w:val="center"/>
              <w:rPr>
                <w:rFonts w:hint="eastAsia" w:ascii="宋体" w:hAnsi="宋体" w:cs="宋体"/>
                <w:sz w:val="18"/>
                <w:szCs w:val="18"/>
              </w:rPr>
            </w:pPr>
          </w:p>
        </w:tc>
        <w:tc>
          <w:tcPr>
            <w:tcW w:w="862" w:type="dxa"/>
            <w:vAlign w:val="center"/>
          </w:tcPr>
          <w:p w14:paraId="6F8A9622">
            <w:pPr>
              <w:widowControl/>
              <w:jc w:val="center"/>
              <w:textAlignment w:val="center"/>
              <w:rPr>
                <w:rFonts w:ascii="Arial" w:hAnsi="Arial" w:cs="Arial"/>
                <w:sz w:val="18"/>
                <w:szCs w:val="18"/>
              </w:rPr>
            </w:pPr>
          </w:p>
        </w:tc>
        <w:tc>
          <w:tcPr>
            <w:tcW w:w="863" w:type="dxa"/>
            <w:vAlign w:val="center"/>
          </w:tcPr>
          <w:p w14:paraId="32AE7E6E">
            <w:pPr>
              <w:widowControl/>
              <w:jc w:val="center"/>
              <w:textAlignment w:val="center"/>
              <w:rPr>
                <w:rFonts w:hint="eastAsia" w:ascii="宋体" w:hAnsi="宋体" w:cs="宋体"/>
                <w:sz w:val="18"/>
                <w:szCs w:val="18"/>
              </w:rPr>
            </w:pPr>
          </w:p>
        </w:tc>
        <w:tc>
          <w:tcPr>
            <w:tcW w:w="1065" w:type="dxa"/>
            <w:vAlign w:val="center"/>
          </w:tcPr>
          <w:p w14:paraId="6B3500F9">
            <w:pPr>
              <w:jc w:val="center"/>
              <w:rPr>
                <w:rFonts w:ascii="Arial" w:hAnsi="Arial"/>
                <w:sz w:val="18"/>
                <w:szCs w:val="18"/>
              </w:rPr>
            </w:pPr>
          </w:p>
        </w:tc>
        <w:tc>
          <w:tcPr>
            <w:tcW w:w="1065" w:type="dxa"/>
            <w:vAlign w:val="center"/>
          </w:tcPr>
          <w:p w14:paraId="6B734771">
            <w:pPr>
              <w:jc w:val="center"/>
              <w:rPr>
                <w:rFonts w:ascii="Arial" w:hAnsi="Arial"/>
                <w:sz w:val="18"/>
                <w:szCs w:val="18"/>
              </w:rPr>
            </w:pPr>
          </w:p>
        </w:tc>
        <w:tc>
          <w:tcPr>
            <w:tcW w:w="1373" w:type="dxa"/>
            <w:vAlign w:val="center"/>
          </w:tcPr>
          <w:p w14:paraId="4088A4F9">
            <w:pPr>
              <w:jc w:val="center"/>
              <w:rPr>
                <w:rFonts w:ascii="Arial" w:hAnsi="Arial"/>
                <w:sz w:val="18"/>
                <w:szCs w:val="18"/>
              </w:rPr>
            </w:pPr>
          </w:p>
        </w:tc>
        <w:tc>
          <w:tcPr>
            <w:tcW w:w="1444" w:type="dxa"/>
            <w:vAlign w:val="center"/>
          </w:tcPr>
          <w:p w14:paraId="552DC616">
            <w:pPr>
              <w:rPr>
                <w:rFonts w:ascii="Arial" w:hAnsi="Arial"/>
                <w:sz w:val="18"/>
                <w:szCs w:val="18"/>
              </w:rPr>
            </w:pPr>
          </w:p>
        </w:tc>
      </w:tr>
      <w:tr w14:paraId="3E6AE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3F8C172D">
            <w:pPr>
              <w:widowControl/>
              <w:jc w:val="center"/>
              <w:textAlignment w:val="center"/>
              <w:rPr>
                <w:rFonts w:ascii="Arial" w:hAnsi="Arial" w:cs="Arial"/>
                <w:sz w:val="18"/>
                <w:szCs w:val="18"/>
                <w:lang w:val="zh-TW" w:eastAsia="zh-TW"/>
              </w:rPr>
            </w:pPr>
            <w:r>
              <w:rPr>
                <w:rFonts w:hint="eastAsia" w:ascii="Arial" w:hAnsi="Arial" w:cs="Arial"/>
                <w:sz w:val="18"/>
                <w:szCs w:val="18"/>
              </w:rPr>
              <w:t>.........</w:t>
            </w:r>
          </w:p>
        </w:tc>
        <w:tc>
          <w:tcPr>
            <w:tcW w:w="1935" w:type="dxa"/>
            <w:vAlign w:val="center"/>
          </w:tcPr>
          <w:p w14:paraId="7C61E82B">
            <w:pPr>
              <w:widowControl/>
              <w:jc w:val="center"/>
              <w:textAlignment w:val="center"/>
              <w:rPr>
                <w:rFonts w:hint="eastAsia" w:ascii="宋体" w:hAnsi="宋体" w:cs="宋体"/>
                <w:sz w:val="18"/>
                <w:szCs w:val="18"/>
              </w:rPr>
            </w:pPr>
          </w:p>
        </w:tc>
        <w:tc>
          <w:tcPr>
            <w:tcW w:w="862" w:type="dxa"/>
            <w:vAlign w:val="center"/>
          </w:tcPr>
          <w:p w14:paraId="5314BD1F">
            <w:pPr>
              <w:widowControl/>
              <w:jc w:val="center"/>
              <w:textAlignment w:val="center"/>
              <w:rPr>
                <w:rFonts w:ascii="Arial" w:hAnsi="Arial" w:cs="Arial"/>
                <w:sz w:val="18"/>
                <w:szCs w:val="18"/>
              </w:rPr>
            </w:pPr>
          </w:p>
        </w:tc>
        <w:tc>
          <w:tcPr>
            <w:tcW w:w="863" w:type="dxa"/>
            <w:vAlign w:val="center"/>
          </w:tcPr>
          <w:p w14:paraId="5DA81FB5">
            <w:pPr>
              <w:widowControl/>
              <w:jc w:val="center"/>
              <w:textAlignment w:val="center"/>
              <w:rPr>
                <w:rFonts w:hint="eastAsia" w:ascii="宋体" w:hAnsi="宋体" w:cs="宋体"/>
                <w:sz w:val="18"/>
                <w:szCs w:val="18"/>
              </w:rPr>
            </w:pPr>
          </w:p>
        </w:tc>
        <w:tc>
          <w:tcPr>
            <w:tcW w:w="1065" w:type="dxa"/>
            <w:vAlign w:val="center"/>
          </w:tcPr>
          <w:p w14:paraId="15D54D9B">
            <w:pPr>
              <w:jc w:val="center"/>
              <w:rPr>
                <w:rFonts w:ascii="Arial" w:hAnsi="Arial"/>
                <w:sz w:val="18"/>
                <w:szCs w:val="18"/>
              </w:rPr>
            </w:pPr>
          </w:p>
        </w:tc>
        <w:tc>
          <w:tcPr>
            <w:tcW w:w="1065" w:type="dxa"/>
            <w:vAlign w:val="center"/>
          </w:tcPr>
          <w:p w14:paraId="330EE789">
            <w:pPr>
              <w:jc w:val="center"/>
              <w:rPr>
                <w:rFonts w:ascii="Arial" w:hAnsi="Arial"/>
                <w:sz w:val="18"/>
                <w:szCs w:val="18"/>
              </w:rPr>
            </w:pPr>
          </w:p>
        </w:tc>
        <w:tc>
          <w:tcPr>
            <w:tcW w:w="1373" w:type="dxa"/>
            <w:vAlign w:val="center"/>
          </w:tcPr>
          <w:p w14:paraId="5DD53D66">
            <w:pPr>
              <w:jc w:val="center"/>
              <w:rPr>
                <w:rFonts w:ascii="Arial" w:hAnsi="Arial"/>
                <w:sz w:val="18"/>
                <w:szCs w:val="18"/>
              </w:rPr>
            </w:pPr>
          </w:p>
        </w:tc>
        <w:tc>
          <w:tcPr>
            <w:tcW w:w="1444" w:type="dxa"/>
            <w:vAlign w:val="center"/>
          </w:tcPr>
          <w:p w14:paraId="58A14898">
            <w:pPr>
              <w:rPr>
                <w:rFonts w:ascii="Arial" w:hAnsi="Arial"/>
                <w:sz w:val="18"/>
                <w:szCs w:val="18"/>
              </w:rPr>
            </w:pPr>
          </w:p>
        </w:tc>
      </w:tr>
      <w:tr w14:paraId="4D3FD6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582" w:type="dxa"/>
            <w:gridSpan w:val="8"/>
            <w:vAlign w:val="center"/>
          </w:tcPr>
          <w:p w14:paraId="2642017D">
            <w:pPr>
              <w:widowControl/>
              <w:jc w:val="center"/>
              <w:textAlignment w:val="center"/>
              <w:rPr>
                <w:rFonts w:ascii="Arial" w:hAnsi="Arial"/>
                <w:sz w:val="18"/>
                <w:szCs w:val="18"/>
              </w:rPr>
            </w:pPr>
            <w:r>
              <w:rPr>
                <w:rFonts w:hint="eastAsia" w:ascii="宋体" w:hAnsi="宋体"/>
                <w:b/>
                <w:sz w:val="20"/>
                <w:szCs w:val="20"/>
              </w:rPr>
              <w:t>（7）物理实验室</w:t>
            </w:r>
          </w:p>
        </w:tc>
      </w:tr>
      <w:tr w14:paraId="2FF51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2507636C">
            <w:pPr>
              <w:widowControl/>
              <w:jc w:val="center"/>
              <w:textAlignment w:val="center"/>
              <w:rPr>
                <w:rFonts w:ascii="Arial" w:hAnsi="Arial" w:cs="Arial"/>
                <w:sz w:val="18"/>
                <w:szCs w:val="18"/>
                <w:lang w:val="zh-TW" w:eastAsia="zh-TW"/>
              </w:rPr>
            </w:pPr>
            <w:r>
              <w:rPr>
                <w:rFonts w:hint="eastAsia" w:ascii="Arial" w:hAnsi="Arial"/>
                <w:sz w:val="18"/>
                <w:szCs w:val="18"/>
              </w:rPr>
              <w:t>1</w:t>
            </w:r>
          </w:p>
        </w:tc>
        <w:tc>
          <w:tcPr>
            <w:tcW w:w="1935" w:type="dxa"/>
            <w:vAlign w:val="center"/>
          </w:tcPr>
          <w:p w14:paraId="277DE421">
            <w:pPr>
              <w:widowControl/>
              <w:jc w:val="center"/>
              <w:textAlignment w:val="center"/>
              <w:rPr>
                <w:rFonts w:hint="eastAsia" w:ascii="宋体" w:hAnsi="宋体" w:cs="宋体"/>
                <w:sz w:val="18"/>
                <w:szCs w:val="18"/>
              </w:rPr>
            </w:pPr>
          </w:p>
        </w:tc>
        <w:tc>
          <w:tcPr>
            <w:tcW w:w="862" w:type="dxa"/>
            <w:vAlign w:val="center"/>
          </w:tcPr>
          <w:p w14:paraId="23A57AD1">
            <w:pPr>
              <w:widowControl/>
              <w:jc w:val="center"/>
              <w:textAlignment w:val="center"/>
              <w:rPr>
                <w:rFonts w:ascii="Arial" w:hAnsi="Arial" w:cs="Arial"/>
                <w:sz w:val="18"/>
                <w:szCs w:val="18"/>
              </w:rPr>
            </w:pPr>
          </w:p>
        </w:tc>
        <w:tc>
          <w:tcPr>
            <w:tcW w:w="863" w:type="dxa"/>
            <w:vAlign w:val="center"/>
          </w:tcPr>
          <w:p w14:paraId="1E655994">
            <w:pPr>
              <w:widowControl/>
              <w:jc w:val="center"/>
              <w:textAlignment w:val="center"/>
              <w:rPr>
                <w:rFonts w:hint="eastAsia" w:ascii="宋体" w:hAnsi="宋体" w:cs="宋体"/>
                <w:sz w:val="18"/>
                <w:szCs w:val="18"/>
              </w:rPr>
            </w:pPr>
          </w:p>
        </w:tc>
        <w:tc>
          <w:tcPr>
            <w:tcW w:w="1065" w:type="dxa"/>
            <w:vAlign w:val="center"/>
          </w:tcPr>
          <w:p w14:paraId="312A3857">
            <w:pPr>
              <w:jc w:val="center"/>
              <w:rPr>
                <w:rFonts w:ascii="Arial" w:hAnsi="Arial"/>
                <w:sz w:val="18"/>
                <w:szCs w:val="18"/>
              </w:rPr>
            </w:pPr>
          </w:p>
        </w:tc>
        <w:tc>
          <w:tcPr>
            <w:tcW w:w="1065" w:type="dxa"/>
            <w:vAlign w:val="center"/>
          </w:tcPr>
          <w:p w14:paraId="3BC03693">
            <w:pPr>
              <w:jc w:val="center"/>
              <w:rPr>
                <w:rFonts w:ascii="Arial" w:hAnsi="Arial"/>
                <w:sz w:val="18"/>
                <w:szCs w:val="18"/>
              </w:rPr>
            </w:pPr>
          </w:p>
        </w:tc>
        <w:tc>
          <w:tcPr>
            <w:tcW w:w="1373" w:type="dxa"/>
            <w:vAlign w:val="center"/>
          </w:tcPr>
          <w:p w14:paraId="57FA7E7E">
            <w:pPr>
              <w:jc w:val="center"/>
              <w:rPr>
                <w:rFonts w:ascii="Arial" w:hAnsi="Arial"/>
                <w:sz w:val="18"/>
                <w:szCs w:val="18"/>
              </w:rPr>
            </w:pPr>
          </w:p>
        </w:tc>
        <w:tc>
          <w:tcPr>
            <w:tcW w:w="1444" w:type="dxa"/>
            <w:vAlign w:val="center"/>
          </w:tcPr>
          <w:p w14:paraId="3FD3807D">
            <w:pPr>
              <w:rPr>
                <w:rFonts w:ascii="Arial" w:hAnsi="Arial"/>
                <w:sz w:val="18"/>
                <w:szCs w:val="18"/>
              </w:rPr>
            </w:pPr>
          </w:p>
        </w:tc>
      </w:tr>
      <w:tr w14:paraId="27804E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689905C8">
            <w:pPr>
              <w:widowControl/>
              <w:jc w:val="center"/>
              <w:textAlignment w:val="center"/>
              <w:rPr>
                <w:rFonts w:ascii="Arial" w:hAnsi="Arial" w:cs="Arial"/>
                <w:sz w:val="18"/>
                <w:szCs w:val="18"/>
                <w:lang w:val="zh-TW" w:eastAsia="zh-TW"/>
              </w:rPr>
            </w:pPr>
            <w:r>
              <w:rPr>
                <w:rFonts w:hint="eastAsia" w:ascii="Arial" w:hAnsi="Arial" w:cs="Arial"/>
                <w:sz w:val="18"/>
                <w:szCs w:val="18"/>
              </w:rPr>
              <w:t>2</w:t>
            </w:r>
          </w:p>
        </w:tc>
        <w:tc>
          <w:tcPr>
            <w:tcW w:w="1935" w:type="dxa"/>
            <w:vAlign w:val="center"/>
          </w:tcPr>
          <w:p w14:paraId="517FB8A0">
            <w:pPr>
              <w:widowControl/>
              <w:jc w:val="center"/>
              <w:textAlignment w:val="center"/>
              <w:rPr>
                <w:rFonts w:hint="eastAsia" w:ascii="宋体" w:hAnsi="宋体" w:cs="宋体"/>
                <w:sz w:val="18"/>
                <w:szCs w:val="18"/>
              </w:rPr>
            </w:pPr>
          </w:p>
        </w:tc>
        <w:tc>
          <w:tcPr>
            <w:tcW w:w="862" w:type="dxa"/>
            <w:vAlign w:val="center"/>
          </w:tcPr>
          <w:p w14:paraId="2BDAAC57">
            <w:pPr>
              <w:widowControl/>
              <w:jc w:val="center"/>
              <w:textAlignment w:val="center"/>
              <w:rPr>
                <w:rFonts w:ascii="Arial" w:hAnsi="Arial" w:cs="Arial"/>
                <w:sz w:val="18"/>
                <w:szCs w:val="18"/>
              </w:rPr>
            </w:pPr>
          </w:p>
        </w:tc>
        <w:tc>
          <w:tcPr>
            <w:tcW w:w="863" w:type="dxa"/>
            <w:vAlign w:val="center"/>
          </w:tcPr>
          <w:p w14:paraId="7F1253C1">
            <w:pPr>
              <w:widowControl/>
              <w:jc w:val="center"/>
              <w:textAlignment w:val="center"/>
              <w:rPr>
                <w:rFonts w:hint="eastAsia" w:ascii="宋体" w:hAnsi="宋体" w:cs="宋体"/>
                <w:sz w:val="18"/>
                <w:szCs w:val="18"/>
              </w:rPr>
            </w:pPr>
          </w:p>
        </w:tc>
        <w:tc>
          <w:tcPr>
            <w:tcW w:w="1065" w:type="dxa"/>
            <w:vAlign w:val="center"/>
          </w:tcPr>
          <w:p w14:paraId="7D23FE42">
            <w:pPr>
              <w:jc w:val="center"/>
              <w:rPr>
                <w:rFonts w:ascii="Arial" w:hAnsi="Arial"/>
                <w:sz w:val="18"/>
                <w:szCs w:val="18"/>
              </w:rPr>
            </w:pPr>
          </w:p>
        </w:tc>
        <w:tc>
          <w:tcPr>
            <w:tcW w:w="1065" w:type="dxa"/>
            <w:vAlign w:val="center"/>
          </w:tcPr>
          <w:p w14:paraId="68DE2096">
            <w:pPr>
              <w:jc w:val="center"/>
              <w:rPr>
                <w:rFonts w:ascii="Arial" w:hAnsi="Arial"/>
                <w:sz w:val="18"/>
                <w:szCs w:val="18"/>
              </w:rPr>
            </w:pPr>
          </w:p>
        </w:tc>
        <w:tc>
          <w:tcPr>
            <w:tcW w:w="1373" w:type="dxa"/>
            <w:vAlign w:val="center"/>
          </w:tcPr>
          <w:p w14:paraId="2C950903">
            <w:pPr>
              <w:jc w:val="center"/>
              <w:rPr>
                <w:rFonts w:ascii="Arial" w:hAnsi="Arial"/>
                <w:sz w:val="18"/>
                <w:szCs w:val="18"/>
              </w:rPr>
            </w:pPr>
          </w:p>
        </w:tc>
        <w:tc>
          <w:tcPr>
            <w:tcW w:w="1444" w:type="dxa"/>
            <w:vAlign w:val="center"/>
          </w:tcPr>
          <w:p w14:paraId="6C878EDB">
            <w:pPr>
              <w:rPr>
                <w:rFonts w:ascii="Arial" w:hAnsi="Arial"/>
                <w:sz w:val="18"/>
                <w:szCs w:val="18"/>
              </w:rPr>
            </w:pPr>
          </w:p>
        </w:tc>
      </w:tr>
      <w:tr w14:paraId="783532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004DE14E">
            <w:pPr>
              <w:widowControl/>
              <w:jc w:val="center"/>
              <w:textAlignment w:val="center"/>
              <w:rPr>
                <w:rFonts w:ascii="Arial" w:hAnsi="Arial" w:cs="Arial"/>
                <w:sz w:val="18"/>
                <w:szCs w:val="18"/>
                <w:lang w:val="zh-TW"/>
              </w:rPr>
            </w:pPr>
            <w:r>
              <w:rPr>
                <w:rFonts w:hint="eastAsia" w:ascii="Arial" w:hAnsi="Arial" w:cs="Arial"/>
                <w:sz w:val="18"/>
                <w:szCs w:val="18"/>
              </w:rPr>
              <w:t>.........</w:t>
            </w:r>
          </w:p>
        </w:tc>
        <w:tc>
          <w:tcPr>
            <w:tcW w:w="1935" w:type="dxa"/>
            <w:vAlign w:val="center"/>
          </w:tcPr>
          <w:p w14:paraId="46C90CCE">
            <w:pPr>
              <w:widowControl/>
              <w:jc w:val="center"/>
              <w:textAlignment w:val="center"/>
              <w:rPr>
                <w:rFonts w:hint="eastAsia" w:ascii="宋体" w:hAnsi="宋体" w:cs="宋体"/>
                <w:sz w:val="18"/>
                <w:szCs w:val="18"/>
              </w:rPr>
            </w:pPr>
          </w:p>
        </w:tc>
        <w:tc>
          <w:tcPr>
            <w:tcW w:w="862" w:type="dxa"/>
            <w:vAlign w:val="center"/>
          </w:tcPr>
          <w:p w14:paraId="29FD1FC4">
            <w:pPr>
              <w:widowControl/>
              <w:jc w:val="center"/>
              <w:textAlignment w:val="center"/>
              <w:rPr>
                <w:rFonts w:ascii="Arial" w:hAnsi="Arial" w:cs="Arial"/>
                <w:sz w:val="18"/>
                <w:szCs w:val="18"/>
              </w:rPr>
            </w:pPr>
          </w:p>
        </w:tc>
        <w:tc>
          <w:tcPr>
            <w:tcW w:w="863" w:type="dxa"/>
            <w:vAlign w:val="center"/>
          </w:tcPr>
          <w:p w14:paraId="6EB87DC3">
            <w:pPr>
              <w:widowControl/>
              <w:jc w:val="center"/>
              <w:textAlignment w:val="center"/>
              <w:rPr>
                <w:rFonts w:hint="eastAsia" w:ascii="宋体" w:hAnsi="宋体" w:cs="宋体"/>
                <w:sz w:val="18"/>
                <w:szCs w:val="18"/>
              </w:rPr>
            </w:pPr>
          </w:p>
        </w:tc>
        <w:tc>
          <w:tcPr>
            <w:tcW w:w="1065" w:type="dxa"/>
            <w:vAlign w:val="center"/>
          </w:tcPr>
          <w:p w14:paraId="36BDA0B2">
            <w:pPr>
              <w:jc w:val="center"/>
              <w:rPr>
                <w:rFonts w:ascii="Arial" w:hAnsi="Arial"/>
                <w:sz w:val="18"/>
                <w:szCs w:val="18"/>
              </w:rPr>
            </w:pPr>
          </w:p>
        </w:tc>
        <w:tc>
          <w:tcPr>
            <w:tcW w:w="1065" w:type="dxa"/>
            <w:vAlign w:val="center"/>
          </w:tcPr>
          <w:p w14:paraId="23CA9413">
            <w:pPr>
              <w:jc w:val="center"/>
              <w:rPr>
                <w:rFonts w:ascii="Arial" w:hAnsi="Arial"/>
                <w:sz w:val="18"/>
                <w:szCs w:val="18"/>
              </w:rPr>
            </w:pPr>
          </w:p>
        </w:tc>
        <w:tc>
          <w:tcPr>
            <w:tcW w:w="1373" w:type="dxa"/>
            <w:vAlign w:val="center"/>
          </w:tcPr>
          <w:p w14:paraId="2D9F545A">
            <w:pPr>
              <w:jc w:val="center"/>
              <w:rPr>
                <w:rFonts w:ascii="Arial" w:hAnsi="Arial"/>
                <w:sz w:val="18"/>
                <w:szCs w:val="18"/>
              </w:rPr>
            </w:pPr>
          </w:p>
        </w:tc>
        <w:tc>
          <w:tcPr>
            <w:tcW w:w="1444" w:type="dxa"/>
            <w:vAlign w:val="center"/>
          </w:tcPr>
          <w:p w14:paraId="5473C40E">
            <w:pPr>
              <w:rPr>
                <w:rFonts w:ascii="Arial" w:hAnsi="Arial"/>
                <w:sz w:val="18"/>
                <w:szCs w:val="18"/>
              </w:rPr>
            </w:pPr>
          </w:p>
        </w:tc>
      </w:tr>
      <w:tr w14:paraId="2CA88B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582" w:type="dxa"/>
            <w:gridSpan w:val="8"/>
            <w:vAlign w:val="center"/>
          </w:tcPr>
          <w:p w14:paraId="2BD5303E">
            <w:pPr>
              <w:widowControl/>
              <w:jc w:val="center"/>
              <w:textAlignment w:val="center"/>
              <w:rPr>
                <w:rFonts w:ascii="Arial" w:hAnsi="Arial"/>
                <w:sz w:val="18"/>
                <w:szCs w:val="18"/>
              </w:rPr>
            </w:pPr>
            <w:r>
              <w:rPr>
                <w:rFonts w:hint="eastAsia" w:ascii="宋体" w:hAnsi="宋体"/>
                <w:b/>
                <w:sz w:val="20"/>
                <w:szCs w:val="20"/>
              </w:rPr>
              <w:t>（8）物理仪器室</w:t>
            </w:r>
          </w:p>
        </w:tc>
      </w:tr>
      <w:tr w14:paraId="67FA7D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58FD54B7">
            <w:pPr>
              <w:widowControl/>
              <w:jc w:val="center"/>
              <w:textAlignment w:val="center"/>
              <w:rPr>
                <w:rFonts w:ascii="Arial" w:hAnsi="Arial" w:cs="Arial"/>
                <w:sz w:val="18"/>
                <w:szCs w:val="18"/>
                <w:lang w:val="zh-TW" w:eastAsia="zh-TW"/>
              </w:rPr>
            </w:pPr>
            <w:r>
              <w:rPr>
                <w:rFonts w:hint="eastAsia" w:ascii="Arial" w:hAnsi="Arial"/>
                <w:sz w:val="18"/>
                <w:szCs w:val="18"/>
              </w:rPr>
              <w:t>1</w:t>
            </w:r>
          </w:p>
        </w:tc>
        <w:tc>
          <w:tcPr>
            <w:tcW w:w="1935" w:type="dxa"/>
            <w:vAlign w:val="center"/>
          </w:tcPr>
          <w:p w14:paraId="09A7E3CC">
            <w:pPr>
              <w:widowControl/>
              <w:jc w:val="center"/>
              <w:textAlignment w:val="center"/>
              <w:rPr>
                <w:rFonts w:hint="eastAsia" w:ascii="宋体" w:hAnsi="宋体" w:cs="宋体"/>
                <w:sz w:val="18"/>
                <w:szCs w:val="18"/>
              </w:rPr>
            </w:pPr>
          </w:p>
        </w:tc>
        <w:tc>
          <w:tcPr>
            <w:tcW w:w="862" w:type="dxa"/>
            <w:vAlign w:val="center"/>
          </w:tcPr>
          <w:p w14:paraId="08DAD17E">
            <w:pPr>
              <w:widowControl/>
              <w:jc w:val="center"/>
              <w:textAlignment w:val="center"/>
              <w:rPr>
                <w:rFonts w:ascii="Arial" w:hAnsi="Arial" w:cs="Arial"/>
                <w:sz w:val="18"/>
                <w:szCs w:val="18"/>
              </w:rPr>
            </w:pPr>
          </w:p>
        </w:tc>
        <w:tc>
          <w:tcPr>
            <w:tcW w:w="863" w:type="dxa"/>
            <w:vAlign w:val="center"/>
          </w:tcPr>
          <w:p w14:paraId="4DA39415">
            <w:pPr>
              <w:widowControl/>
              <w:jc w:val="center"/>
              <w:textAlignment w:val="center"/>
              <w:rPr>
                <w:rFonts w:hint="eastAsia" w:ascii="宋体" w:hAnsi="宋体" w:cs="宋体"/>
                <w:sz w:val="18"/>
                <w:szCs w:val="18"/>
              </w:rPr>
            </w:pPr>
          </w:p>
        </w:tc>
        <w:tc>
          <w:tcPr>
            <w:tcW w:w="1065" w:type="dxa"/>
            <w:vAlign w:val="center"/>
          </w:tcPr>
          <w:p w14:paraId="1774C425">
            <w:pPr>
              <w:jc w:val="center"/>
              <w:rPr>
                <w:rFonts w:ascii="Arial" w:hAnsi="Arial"/>
                <w:sz w:val="18"/>
                <w:szCs w:val="18"/>
              </w:rPr>
            </w:pPr>
          </w:p>
        </w:tc>
        <w:tc>
          <w:tcPr>
            <w:tcW w:w="1065" w:type="dxa"/>
            <w:vAlign w:val="center"/>
          </w:tcPr>
          <w:p w14:paraId="75958319">
            <w:pPr>
              <w:jc w:val="center"/>
              <w:rPr>
                <w:rFonts w:ascii="Arial" w:hAnsi="Arial"/>
                <w:sz w:val="18"/>
                <w:szCs w:val="18"/>
              </w:rPr>
            </w:pPr>
          </w:p>
        </w:tc>
        <w:tc>
          <w:tcPr>
            <w:tcW w:w="1373" w:type="dxa"/>
            <w:vAlign w:val="center"/>
          </w:tcPr>
          <w:p w14:paraId="03D3571D">
            <w:pPr>
              <w:jc w:val="center"/>
              <w:rPr>
                <w:rFonts w:ascii="Arial" w:hAnsi="Arial"/>
                <w:sz w:val="18"/>
                <w:szCs w:val="18"/>
              </w:rPr>
            </w:pPr>
          </w:p>
        </w:tc>
        <w:tc>
          <w:tcPr>
            <w:tcW w:w="1444" w:type="dxa"/>
            <w:vAlign w:val="center"/>
          </w:tcPr>
          <w:p w14:paraId="5DC19EEB">
            <w:pPr>
              <w:rPr>
                <w:rFonts w:ascii="Arial" w:hAnsi="Arial"/>
                <w:sz w:val="18"/>
                <w:szCs w:val="18"/>
              </w:rPr>
            </w:pPr>
          </w:p>
        </w:tc>
      </w:tr>
      <w:tr w14:paraId="74F8C6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0FB6390A">
            <w:pPr>
              <w:widowControl/>
              <w:jc w:val="center"/>
              <w:textAlignment w:val="center"/>
              <w:rPr>
                <w:rFonts w:hint="eastAsia" w:ascii="宋体" w:hAnsi="宋体" w:cs="宋体"/>
                <w:color w:val="000000"/>
                <w:kern w:val="0"/>
                <w:sz w:val="20"/>
                <w:szCs w:val="20"/>
                <w:lang w:bidi="ar"/>
              </w:rPr>
            </w:pPr>
            <w:r>
              <w:rPr>
                <w:rFonts w:hint="eastAsia" w:ascii="Arial" w:hAnsi="Arial" w:cs="Arial"/>
                <w:sz w:val="18"/>
                <w:szCs w:val="18"/>
              </w:rPr>
              <w:t>2</w:t>
            </w:r>
          </w:p>
        </w:tc>
        <w:tc>
          <w:tcPr>
            <w:tcW w:w="1935" w:type="dxa"/>
            <w:vAlign w:val="center"/>
          </w:tcPr>
          <w:p w14:paraId="5CB700C2">
            <w:pPr>
              <w:widowControl/>
              <w:jc w:val="center"/>
              <w:textAlignment w:val="center"/>
              <w:rPr>
                <w:rFonts w:hint="eastAsia" w:ascii="宋体" w:hAnsi="宋体" w:cs="宋体"/>
                <w:sz w:val="18"/>
                <w:szCs w:val="18"/>
              </w:rPr>
            </w:pPr>
          </w:p>
        </w:tc>
        <w:tc>
          <w:tcPr>
            <w:tcW w:w="862" w:type="dxa"/>
            <w:vAlign w:val="center"/>
          </w:tcPr>
          <w:p w14:paraId="73A5014B">
            <w:pPr>
              <w:widowControl/>
              <w:jc w:val="center"/>
              <w:textAlignment w:val="center"/>
              <w:rPr>
                <w:rFonts w:ascii="Arial" w:hAnsi="Arial" w:cs="Arial"/>
                <w:sz w:val="18"/>
                <w:szCs w:val="18"/>
              </w:rPr>
            </w:pPr>
          </w:p>
        </w:tc>
        <w:tc>
          <w:tcPr>
            <w:tcW w:w="863" w:type="dxa"/>
            <w:vAlign w:val="center"/>
          </w:tcPr>
          <w:p w14:paraId="1C2F8CE4">
            <w:pPr>
              <w:widowControl/>
              <w:jc w:val="center"/>
              <w:textAlignment w:val="center"/>
              <w:rPr>
                <w:rFonts w:hint="eastAsia" w:ascii="宋体" w:hAnsi="宋体" w:cs="宋体"/>
                <w:sz w:val="18"/>
                <w:szCs w:val="18"/>
              </w:rPr>
            </w:pPr>
          </w:p>
        </w:tc>
        <w:tc>
          <w:tcPr>
            <w:tcW w:w="1065" w:type="dxa"/>
            <w:vAlign w:val="center"/>
          </w:tcPr>
          <w:p w14:paraId="673CB701">
            <w:pPr>
              <w:jc w:val="center"/>
              <w:rPr>
                <w:rFonts w:ascii="Arial" w:hAnsi="Arial"/>
                <w:sz w:val="18"/>
                <w:szCs w:val="18"/>
              </w:rPr>
            </w:pPr>
          </w:p>
        </w:tc>
        <w:tc>
          <w:tcPr>
            <w:tcW w:w="1065" w:type="dxa"/>
            <w:vAlign w:val="center"/>
          </w:tcPr>
          <w:p w14:paraId="1F4599B3">
            <w:pPr>
              <w:jc w:val="center"/>
              <w:rPr>
                <w:rFonts w:ascii="Arial" w:hAnsi="Arial"/>
                <w:sz w:val="18"/>
                <w:szCs w:val="18"/>
              </w:rPr>
            </w:pPr>
          </w:p>
        </w:tc>
        <w:tc>
          <w:tcPr>
            <w:tcW w:w="1373" w:type="dxa"/>
            <w:vAlign w:val="center"/>
          </w:tcPr>
          <w:p w14:paraId="4C2636ED">
            <w:pPr>
              <w:jc w:val="center"/>
              <w:rPr>
                <w:rFonts w:ascii="Arial" w:hAnsi="Arial"/>
                <w:sz w:val="18"/>
                <w:szCs w:val="18"/>
              </w:rPr>
            </w:pPr>
          </w:p>
        </w:tc>
        <w:tc>
          <w:tcPr>
            <w:tcW w:w="1444" w:type="dxa"/>
            <w:vAlign w:val="center"/>
          </w:tcPr>
          <w:p w14:paraId="71160633">
            <w:pPr>
              <w:rPr>
                <w:rFonts w:ascii="Arial" w:hAnsi="Arial"/>
                <w:sz w:val="18"/>
                <w:szCs w:val="18"/>
              </w:rPr>
            </w:pPr>
          </w:p>
        </w:tc>
      </w:tr>
      <w:tr w14:paraId="2133A4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06D63769">
            <w:pPr>
              <w:widowControl/>
              <w:jc w:val="center"/>
              <w:textAlignment w:val="center"/>
              <w:rPr>
                <w:rFonts w:ascii="Arial" w:hAnsi="Arial" w:cs="Arial"/>
                <w:sz w:val="18"/>
                <w:szCs w:val="18"/>
                <w:lang w:val="zh-TW"/>
              </w:rPr>
            </w:pPr>
            <w:r>
              <w:rPr>
                <w:rFonts w:hint="eastAsia" w:ascii="Arial" w:hAnsi="Arial" w:cs="Arial"/>
                <w:sz w:val="18"/>
                <w:szCs w:val="18"/>
              </w:rPr>
              <w:t>.........</w:t>
            </w:r>
          </w:p>
        </w:tc>
        <w:tc>
          <w:tcPr>
            <w:tcW w:w="1935" w:type="dxa"/>
            <w:vAlign w:val="center"/>
          </w:tcPr>
          <w:p w14:paraId="63187303">
            <w:pPr>
              <w:widowControl/>
              <w:jc w:val="center"/>
              <w:textAlignment w:val="center"/>
              <w:rPr>
                <w:rFonts w:hint="eastAsia" w:ascii="宋体" w:hAnsi="宋体" w:cs="宋体"/>
                <w:sz w:val="18"/>
                <w:szCs w:val="18"/>
              </w:rPr>
            </w:pPr>
          </w:p>
        </w:tc>
        <w:tc>
          <w:tcPr>
            <w:tcW w:w="862" w:type="dxa"/>
            <w:vAlign w:val="center"/>
          </w:tcPr>
          <w:p w14:paraId="3C0118F3">
            <w:pPr>
              <w:widowControl/>
              <w:jc w:val="center"/>
              <w:textAlignment w:val="center"/>
              <w:rPr>
                <w:rFonts w:ascii="Arial" w:hAnsi="Arial" w:cs="Arial"/>
                <w:sz w:val="18"/>
                <w:szCs w:val="18"/>
              </w:rPr>
            </w:pPr>
          </w:p>
        </w:tc>
        <w:tc>
          <w:tcPr>
            <w:tcW w:w="863" w:type="dxa"/>
            <w:vAlign w:val="center"/>
          </w:tcPr>
          <w:p w14:paraId="1126FA79">
            <w:pPr>
              <w:widowControl/>
              <w:jc w:val="center"/>
              <w:textAlignment w:val="center"/>
              <w:rPr>
                <w:rFonts w:hint="eastAsia" w:ascii="宋体" w:hAnsi="宋体" w:cs="宋体"/>
                <w:sz w:val="18"/>
                <w:szCs w:val="18"/>
              </w:rPr>
            </w:pPr>
          </w:p>
        </w:tc>
        <w:tc>
          <w:tcPr>
            <w:tcW w:w="1065" w:type="dxa"/>
            <w:vAlign w:val="center"/>
          </w:tcPr>
          <w:p w14:paraId="1F639F6B">
            <w:pPr>
              <w:jc w:val="center"/>
              <w:rPr>
                <w:rFonts w:ascii="Arial" w:hAnsi="Arial"/>
                <w:sz w:val="18"/>
                <w:szCs w:val="18"/>
              </w:rPr>
            </w:pPr>
          </w:p>
        </w:tc>
        <w:tc>
          <w:tcPr>
            <w:tcW w:w="1065" w:type="dxa"/>
            <w:vAlign w:val="center"/>
          </w:tcPr>
          <w:p w14:paraId="4BE78CD5">
            <w:pPr>
              <w:jc w:val="center"/>
              <w:rPr>
                <w:rFonts w:ascii="Arial" w:hAnsi="Arial"/>
                <w:sz w:val="18"/>
                <w:szCs w:val="18"/>
              </w:rPr>
            </w:pPr>
          </w:p>
        </w:tc>
        <w:tc>
          <w:tcPr>
            <w:tcW w:w="1373" w:type="dxa"/>
            <w:vAlign w:val="center"/>
          </w:tcPr>
          <w:p w14:paraId="0D12B3BB">
            <w:pPr>
              <w:jc w:val="center"/>
              <w:rPr>
                <w:rFonts w:ascii="Arial" w:hAnsi="Arial"/>
                <w:sz w:val="18"/>
                <w:szCs w:val="18"/>
              </w:rPr>
            </w:pPr>
          </w:p>
        </w:tc>
        <w:tc>
          <w:tcPr>
            <w:tcW w:w="1444" w:type="dxa"/>
            <w:vAlign w:val="center"/>
          </w:tcPr>
          <w:p w14:paraId="2185B313">
            <w:pPr>
              <w:jc w:val="center"/>
              <w:rPr>
                <w:rFonts w:ascii="Arial" w:hAnsi="Arial"/>
                <w:sz w:val="18"/>
                <w:szCs w:val="18"/>
              </w:rPr>
            </w:pPr>
          </w:p>
        </w:tc>
      </w:tr>
      <w:tr w14:paraId="339741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582" w:type="dxa"/>
            <w:gridSpan w:val="8"/>
            <w:vAlign w:val="center"/>
          </w:tcPr>
          <w:p w14:paraId="554783C7">
            <w:pPr>
              <w:widowControl/>
              <w:jc w:val="center"/>
              <w:textAlignment w:val="center"/>
              <w:rPr>
                <w:b/>
                <w:bCs/>
              </w:rPr>
            </w:pPr>
            <w:r>
              <w:rPr>
                <w:rFonts w:hint="eastAsia" w:ascii="宋体" w:hAnsi="宋体"/>
                <w:b/>
                <w:sz w:val="20"/>
                <w:szCs w:val="20"/>
              </w:rPr>
              <w:t>（9）生物仪器室</w:t>
            </w:r>
          </w:p>
        </w:tc>
      </w:tr>
      <w:tr w14:paraId="0BC766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4CBAE3BD">
            <w:pPr>
              <w:widowControl/>
              <w:jc w:val="center"/>
              <w:textAlignment w:val="center"/>
              <w:rPr>
                <w:rFonts w:ascii="Arial" w:hAnsi="Arial" w:cs="Arial"/>
                <w:sz w:val="18"/>
                <w:szCs w:val="18"/>
                <w:lang w:val="zh-TW" w:eastAsia="zh-TW"/>
              </w:rPr>
            </w:pPr>
            <w:r>
              <w:rPr>
                <w:rFonts w:hint="eastAsia" w:ascii="Arial" w:hAnsi="Arial"/>
                <w:sz w:val="18"/>
                <w:szCs w:val="18"/>
              </w:rPr>
              <w:t>1</w:t>
            </w:r>
          </w:p>
        </w:tc>
        <w:tc>
          <w:tcPr>
            <w:tcW w:w="1935" w:type="dxa"/>
            <w:vAlign w:val="center"/>
          </w:tcPr>
          <w:p w14:paraId="38BFACDE">
            <w:pPr>
              <w:widowControl/>
              <w:jc w:val="center"/>
              <w:textAlignment w:val="center"/>
              <w:rPr>
                <w:rFonts w:hint="eastAsia" w:ascii="宋体" w:hAnsi="宋体" w:cs="宋体"/>
                <w:sz w:val="18"/>
                <w:szCs w:val="18"/>
              </w:rPr>
            </w:pPr>
          </w:p>
        </w:tc>
        <w:tc>
          <w:tcPr>
            <w:tcW w:w="862" w:type="dxa"/>
            <w:vAlign w:val="center"/>
          </w:tcPr>
          <w:p w14:paraId="2C578702">
            <w:pPr>
              <w:widowControl/>
              <w:jc w:val="center"/>
              <w:textAlignment w:val="center"/>
              <w:rPr>
                <w:rFonts w:ascii="Arial" w:hAnsi="Arial" w:cs="Arial"/>
                <w:sz w:val="18"/>
                <w:szCs w:val="18"/>
              </w:rPr>
            </w:pPr>
          </w:p>
        </w:tc>
        <w:tc>
          <w:tcPr>
            <w:tcW w:w="863" w:type="dxa"/>
            <w:vAlign w:val="center"/>
          </w:tcPr>
          <w:p w14:paraId="34E320B5">
            <w:pPr>
              <w:widowControl/>
              <w:jc w:val="center"/>
              <w:textAlignment w:val="center"/>
              <w:rPr>
                <w:rFonts w:hint="eastAsia" w:ascii="宋体" w:hAnsi="宋体" w:cs="宋体"/>
                <w:sz w:val="18"/>
                <w:szCs w:val="18"/>
              </w:rPr>
            </w:pPr>
          </w:p>
        </w:tc>
        <w:tc>
          <w:tcPr>
            <w:tcW w:w="1065" w:type="dxa"/>
            <w:vAlign w:val="center"/>
          </w:tcPr>
          <w:p w14:paraId="086A9673">
            <w:pPr>
              <w:jc w:val="center"/>
              <w:rPr>
                <w:rFonts w:ascii="Arial" w:hAnsi="Arial"/>
                <w:sz w:val="18"/>
                <w:szCs w:val="18"/>
              </w:rPr>
            </w:pPr>
          </w:p>
        </w:tc>
        <w:tc>
          <w:tcPr>
            <w:tcW w:w="1065" w:type="dxa"/>
            <w:vAlign w:val="center"/>
          </w:tcPr>
          <w:p w14:paraId="7C1A7352">
            <w:pPr>
              <w:jc w:val="center"/>
              <w:rPr>
                <w:rFonts w:ascii="Arial" w:hAnsi="Arial"/>
                <w:sz w:val="18"/>
                <w:szCs w:val="18"/>
              </w:rPr>
            </w:pPr>
          </w:p>
        </w:tc>
        <w:tc>
          <w:tcPr>
            <w:tcW w:w="1373" w:type="dxa"/>
            <w:vAlign w:val="bottom"/>
          </w:tcPr>
          <w:p w14:paraId="1DC6FDD0">
            <w:pPr>
              <w:rPr>
                <w:rFonts w:ascii="Arial" w:hAnsi="Arial"/>
                <w:sz w:val="18"/>
                <w:szCs w:val="18"/>
              </w:rPr>
            </w:pPr>
          </w:p>
        </w:tc>
        <w:tc>
          <w:tcPr>
            <w:tcW w:w="1444" w:type="dxa"/>
            <w:vAlign w:val="center"/>
          </w:tcPr>
          <w:p w14:paraId="7603D320">
            <w:pPr>
              <w:rPr>
                <w:rFonts w:ascii="Arial" w:hAnsi="Arial"/>
                <w:sz w:val="18"/>
                <w:szCs w:val="18"/>
              </w:rPr>
            </w:pPr>
          </w:p>
        </w:tc>
      </w:tr>
      <w:tr w14:paraId="17949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7BA736B1">
            <w:pPr>
              <w:widowControl/>
              <w:jc w:val="center"/>
              <w:textAlignment w:val="center"/>
              <w:rPr>
                <w:rFonts w:ascii="Arial" w:hAnsi="Arial" w:cs="Arial"/>
                <w:sz w:val="18"/>
                <w:szCs w:val="18"/>
                <w:lang w:val="zh-TW"/>
              </w:rPr>
            </w:pPr>
            <w:r>
              <w:rPr>
                <w:rFonts w:hint="eastAsia" w:ascii="Arial" w:hAnsi="Arial" w:cs="Arial"/>
                <w:sz w:val="18"/>
                <w:szCs w:val="18"/>
              </w:rPr>
              <w:t>2</w:t>
            </w:r>
          </w:p>
        </w:tc>
        <w:tc>
          <w:tcPr>
            <w:tcW w:w="1935" w:type="dxa"/>
            <w:vAlign w:val="center"/>
          </w:tcPr>
          <w:p w14:paraId="58EA118C">
            <w:pPr>
              <w:widowControl/>
              <w:jc w:val="center"/>
              <w:textAlignment w:val="center"/>
              <w:rPr>
                <w:rFonts w:hint="eastAsia" w:ascii="宋体" w:hAnsi="宋体" w:cs="宋体"/>
                <w:sz w:val="18"/>
                <w:szCs w:val="18"/>
              </w:rPr>
            </w:pPr>
          </w:p>
        </w:tc>
        <w:tc>
          <w:tcPr>
            <w:tcW w:w="862" w:type="dxa"/>
            <w:vAlign w:val="center"/>
          </w:tcPr>
          <w:p w14:paraId="26AFFB68">
            <w:pPr>
              <w:widowControl/>
              <w:jc w:val="center"/>
              <w:textAlignment w:val="center"/>
              <w:rPr>
                <w:rFonts w:ascii="Arial" w:hAnsi="Arial" w:cs="Arial"/>
                <w:sz w:val="18"/>
                <w:szCs w:val="18"/>
              </w:rPr>
            </w:pPr>
          </w:p>
        </w:tc>
        <w:tc>
          <w:tcPr>
            <w:tcW w:w="863" w:type="dxa"/>
            <w:vAlign w:val="center"/>
          </w:tcPr>
          <w:p w14:paraId="484C8C90">
            <w:pPr>
              <w:widowControl/>
              <w:jc w:val="center"/>
              <w:textAlignment w:val="center"/>
              <w:rPr>
                <w:rFonts w:hint="eastAsia" w:ascii="宋体" w:hAnsi="宋体" w:cs="宋体"/>
                <w:sz w:val="18"/>
                <w:szCs w:val="18"/>
              </w:rPr>
            </w:pPr>
          </w:p>
        </w:tc>
        <w:tc>
          <w:tcPr>
            <w:tcW w:w="1065" w:type="dxa"/>
            <w:vAlign w:val="center"/>
          </w:tcPr>
          <w:p w14:paraId="3BB94A9A">
            <w:pPr>
              <w:jc w:val="center"/>
              <w:rPr>
                <w:rFonts w:ascii="Arial" w:hAnsi="Arial"/>
                <w:sz w:val="18"/>
                <w:szCs w:val="18"/>
              </w:rPr>
            </w:pPr>
          </w:p>
        </w:tc>
        <w:tc>
          <w:tcPr>
            <w:tcW w:w="1065" w:type="dxa"/>
            <w:vAlign w:val="center"/>
          </w:tcPr>
          <w:p w14:paraId="4E6FCB10">
            <w:pPr>
              <w:jc w:val="center"/>
              <w:rPr>
                <w:rFonts w:ascii="Arial" w:hAnsi="Arial"/>
                <w:sz w:val="18"/>
                <w:szCs w:val="18"/>
              </w:rPr>
            </w:pPr>
          </w:p>
        </w:tc>
        <w:tc>
          <w:tcPr>
            <w:tcW w:w="1373" w:type="dxa"/>
            <w:vAlign w:val="bottom"/>
          </w:tcPr>
          <w:p w14:paraId="31CE0BD7">
            <w:pPr>
              <w:rPr>
                <w:rFonts w:ascii="Arial" w:hAnsi="Arial"/>
                <w:sz w:val="18"/>
                <w:szCs w:val="18"/>
              </w:rPr>
            </w:pPr>
          </w:p>
        </w:tc>
        <w:tc>
          <w:tcPr>
            <w:tcW w:w="1444" w:type="dxa"/>
            <w:vAlign w:val="center"/>
          </w:tcPr>
          <w:p w14:paraId="48A90794">
            <w:pPr>
              <w:rPr>
                <w:rFonts w:ascii="Arial" w:hAnsi="Arial"/>
                <w:sz w:val="18"/>
                <w:szCs w:val="18"/>
              </w:rPr>
            </w:pPr>
          </w:p>
        </w:tc>
      </w:tr>
      <w:tr w14:paraId="0332A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3A41D08D">
            <w:pPr>
              <w:widowControl/>
              <w:jc w:val="center"/>
              <w:textAlignment w:val="center"/>
              <w:rPr>
                <w:rFonts w:ascii="Arial" w:hAnsi="Arial" w:cs="Arial"/>
                <w:sz w:val="18"/>
                <w:szCs w:val="18"/>
                <w:lang w:val="zh-TW"/>
              </w:rPr>
            </w:pPr>
            <w:r>
              <w:rPr>
                <w:rFonts w:hint="eastAsia" w:ascii="Arial" w:hAnsi="Arial" w:cs="Arial"/>
                <w:sz w:val="18"/>
                <w:szCs w:val="18"/>
              </w:rPr>
              <w:t>.........</w:t>
            </w:r>
          </w:p>
        </w:tc>
        <w:tc>
          <w:tcPr>
            <w:tcW w:w="1935" w:type="dxa"/>
            <w:vAlign w:val="center"/>
          </w:tcPr>
          <w:p w14:paraId="09EA76FC">
            <w:pPr>
              <w:widowControl/>
              <w:jc w:val="center"/>
              <w:textAlignment w:val="center"/>
              <w:rPr>
                <w:rFonts w:hint="eastAsia" w:ascii="宋体" w:hAnsi="宋体" w:cs="宋体"/>
                <w:sz w:val="18"/>
                <w:szCs w:val="18"/>
              </w:rPr>
            </w:pPr>
          </w:p>
        </w:tc>
        <w:tc>
          <w:tcPr>
            <w:tcW w:w="862" w:type="dxa"/>
            <w:vAlign w:val="center"/>
          </w:tcPr>
          <w:p w14:paraId="02E35926">
            <w:pPr>
              <w:widowControl/>
              <w:jc w:val="center"/>
              <w:textAlignment w:val="center"/>
              <w:rPr>
                <w:rFonts w:ascii="Arial" w:hAnsi="Arial" w:cs="Arial"/>
                <w:sz w:val="18"/>
                <w:szCs w:val="18"/>
              </w:rPr>
            </w:pPr>
          </w:p>
        </w:tc>
        <w:tc>
          <w:tcPr>
            <w:tcW w:w="863" w:type="dxa"/>
            <w:vAlign w:val="center"/>
          </w:tcPr>
          <w:p w14:paraId="66DFB1BD">
            <w:pPr>
              <w:widowControl/>
              <w:jc w:val="center"/>
              <w:textAlignment w:val="center"/>
              <w:rPr>
                <w:rFonts w:hint="eastAsia" w:ascii="宋体" w:hAnsi="宋体" w:cs="宋体"/>
                <w:sz w:val="18"/>
                <w:szCs w:val="18"/>
              </w:rPr>
            </w:pPr>
          </w:p>
        </w:tc>
        <w:tc>
          <w:tcPr>
            <w:tcW w:w="1065" w:type="dxa"/>
            <w:vAlign w:val="center"/>
          </w:tcPr>
          <w:p w14:paraId="2EB27C93">
            <w:pPr>
              <w:jc w:val="center"/>
              <w:rPr>
                <w:rFonts w:ascii="Arial" w:hAnsi="Arial"/>
                <w:sz w:val="18"/>
                <w:szCs w:val="18"/>
              </w:rPr>
            </w:pPr>
          </w:p>
        </w:tc>
        <w:tc>
          <w:tcPr>
            <w:tcW w:w="1065" w:type="dxa"/>
            <w:vAlign w:val="center"/>
          </w:tcPr>
          <w:p w14:paraId="1061E6E0">
            <w:pPr>
              <w:jc w:val="center"/>
              <w:rPr>
                <w:rFonts w:ascii="Arial" w:hAnsi="Arial"/>
                <w:sz w:val="18"/>
                <w:szCs w:val="18"/>
              </w:rPr>
            </w:pPr>
          </w:p>
        </w:tc>
        <w:tc>
          <w:tcPr>
            <w:tcW w:w="1373" w:type="dxa"/>
            <w:vAlign w:val="bottom"/>
          </w:tcPr>
          <w:p w14:paraId="16E2E031">
            <w:pPr>
              <w:rPr>
                <w:rFonts w:ascii="Arial" w:hAnsi="Arial"/>
                <w:sz w:val="18"/>
                <w:szCs w:val="18"/>
              </w:rPr>
            </w:pPr>
          </w:p>
        </w:tc>
        <w:tc>
          <w:tcPr>
            <w:tcW w:w="1444" w:type="dxa"/>
            <w:vAlign w:val="center"/>
          </w:tcPr>
          <w:p w14:paraId="18BF6FDA">
            <w:pPr>
              <w:rPr>
                <w:rFonts w:ascii="Arial" w:hAnsi="Arial"/>
                <w:sz w:val="18"/>
                <w:szCs w:val="18"/>
              </w:rPr>
            </w:pPr>
          </w:p>
        </w:tc>
      </w:tr>
      <w:tr w14:paraId="666DE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582" w:type="dxa"/>
            <w:gridSpan w:val="8"/>
            <w:vAlign w:val="center"/>
          </w:tcPr>
          <w:p w14:paraId="4A136DF3">
            <w:pPr>
              <w:widowControl/>
              <w:jc w:val="center"/>
              <w:textAlignment w:val="center"/>
              <w:rPr>
                <w:rFonts w:ascii="Arial" w:hAnsi="Arial"/>
                <w:sz w:val="18"/>
                <w:szCs w:val="18"/>
              </w:rPr>
            </w:pPr>
            <w:r>
              <w:rPr>
                <w:rFonts w:hint="eastAsia" w:ascii="宋体" w:hAnsi="宋体"/>
                <w:b/>
                <w:sz w:val="20"/>
                <w:szCs w:val="20"/>
              </w:rPr>
              <w:t>（10）实验室数据管理</w:t>
            </w:r>
          </w:p>
        </w:tc>
      </w:tr>
      <w:tr w14:paraId="2C087F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2177DD2D">
            <w:pPr>
              <w:widowControl/>
              <w:jc w:val="center"/>
              <w:textAlignment w:val="center"/>
              <w:rPr>
                <w:rFonts w:ascii="Arial" w:hAnsi="Arial" w:cs="Arial"/>
                <w:sz w:val="18"/>
                <w:szCs w:val="18"/>
                <w:lang w:val="zh-TW" w:eastAsia="zh-TW"/>
              </w:rPr>
            </w:pPr>
            <w:r>
              <w:rPr>
                <w:rFonts w:hint="eastAsia" w:ascii="Arial" w:hAnsi="Arial"/>
                <w:sz w:val="18"/>
                <w:szCs w:val="18"/>
              </w:rPr>
              <w:t>1</w:t>
            </w:r>
          </w:p>
        </w:tc>
        <w:tc>
          <w:tcPr>
            <w:tcW w:w="1935" w:type="dxa"/>
            <w:vAlign w:val="center"/>
          </w:tcPr>
          <w:p w14:paraId="0E6CD354">
            <w:pPr>
              <w:widowControl/>
              <w:jc w:val="center"/>
              <w:textAlignment w:val="center"/>
              <w:rPr>
                <w:rFonts w:hint="eastAsia" w:ascii="宋体" w:hAnsi="宋体" w:cs="宋体"/>
                <w:sz w:val="18"/>
                <w:szCs w:val="18"/>
              </w:rPr>
            </w:pPr>
          </w:p>
        </w:tc>
        <w:tc>
          <w:tcPr>
            <w:tcW w:w="862" w:type="dxa"/>
            <w:vAlign w:val="center"/>
          </w:tcPr>
          <w:p w14:paraId="7FF3F808">
            <w:pPr>
              <w:widowControl/>
              <w:jc w:val="center"/>
              <w:textAlignment w:val="center"/>
              <w:rPr>
                <w:rFonts w:ascii="Arial" w:hAnsi="Arial" w:cs="Arial"/>
                <w:sz w:val="18"/>
                <w:szCs w:val="18"/>
              </w:rPr>
            </w:pPr>
          </w:p>
        </w:tc>
        <w:tc>
          <w:tcPr>
            <w:tcW w:w="863" w:type="dxa"/>
            <w:vAlign w:val="center"/>
          </w:tcPr>
          <w:p w14:paraId="4D7F45CA">
            <w:pPr>
              <w:widowControl/>
              <w:jc w:val="center"/>
              <w:textAlignment w:val="center"/>
              <w:rPr>
                <w:rFonts w:hint="eastAsia" w:ascii="宋体" w:hAnsi="宋体" w:cs="宋体"/>
                <w:sz w:val="18"/>
                <w:szCs w:val="18"/>
              </w:rPr>
            </w:pPr>
          </w:p>
        </w:tc>
        <w:tc>
          <w:tcPr>
            <w:tcW w:w="1065" w:type="dxa"/>
            <w:vAlign w:val="center"/>
          </w:tcPr>
          <w:p w14:paraId="26A52C07">
            <w:pPr>
              <w:jc w:val="center"/>
              <w:rPr>
                <w:rFonts w:ascii="Arial" w:hAnsi="Arial"/>
                <w:sz w:val="18"/>
                <w:szCs w:val="18"/>
              </w:rPr>
            </w:pPr>
          </w:p>
        </w:tc>
        <w:tc>
          <w:tcPr>
            <w:tcW w:w="1065" w:type="dxa"/>
            <w:vAlign w:val="center"/>
          </w:tcPr>
          <w:p w14:paraId="2996D39F">
            <w:pPr>
              <w:jc w:val="center"/>
              <w:rPr>
                <w:rFonts w:ascii="Arial" w:hAnsi="Arial"/>
                <w:sz w:val="18"/>
                <w:szCs w:val="18"/>
              </w:rPr>
            </w:pPr>
          </w:p>
        </w:tc>
        <w:tc>
          <w:tcPr>
            <w:tcW w:w="1373" w:type="dxa"/>
            <w:vAlign w:val="center"/>
          </w:tcPr>
          <w:p w14:paraId="1A4154C1">
            <w:pPr>
              <w:jc w:val="center"/>
              <w:rPr>
                <w:rFonts w:ascii="Arial" w:hAnsi="Arial"/>
                <w:sz w:val="18"/>
                <w:szCs w:val="18"/>
              </w:rPr>
            </w:pPr>
          </w:p>
        </w:tc>
        <w:tc>
          <w:tcPr>
            <w:tcW w:w="1444" w:type="dxa"/>
            <w:vAlign w:val="center"/>
          </w:tcPr>
          <w:p w14:paraId="575D295B">
            <w:pPr>
              <w:jc w:val="center"/>
              <w:rPr>
                <w:rFonts w:ascii="Arial" w:hAnsi="Arial"/>
                <w:sz w:val="18"/>
                <w:szCs w:val="18"/>
              </w:rPr>
            </w:pPr>
          </w:p>
        </w:tc>
      </w:tr>
      <w:tr w14:paraId="7E519E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5D12D303">
            <w:pPr>
              <w:widowControl/>
              <w:jc w:val="center"/>
              <w:textAlignment w:val="center"/>
              <w:rPr>
                <w:rFonts w:ascii="Arial" w:hAnsi="Arial" w:cs="Arial"/>
                <w:sz w:val="18"/>
                <w:szCs w:val="18"/>
                <w:lang w:val="zh-TW" w:eastAsia="zh-TW"/>
              </w:rPr>
            </w:pPr>
            <w:r>
              <w:rPr>
                <w:rFonts w:hint="eastAsia" w:ascii="Arial" w:hAnsi="Arial" w:cs="Arial"/>
                <w:sz w:val="18"/>
                <w:szCs w:val="18"/>
              </w:rPr>
              <w:t>2</w:t>
            </w:r>
          </w:p>
        </w:tc>
        <w:tc>
          <w:tcPr>
            <w:tcW w:w="1935" w:type="dxa"/>
            <w:vAlign w:val="center"/>
          </w:tcPr>
          <w:p w14:paraId="3636052A">
            <w:pPr>
              <w:widowControl/>
              <w:jc w:val="center"/>
              <w:textAlignment w:val="center"/>
              <w:rPr>
                <w:rFonts w:hint="eastAsia" w:ascii="宋体" w:hAnsi="宋体" w:cs="宋体"/>
                <w:sz w:val="18"/>
                <w:szCs w:val="18"/>
              </w:rPr>
            </w:pPr>
          </w:p>
        </w:tc>
        <w:tc>
          <w:tcPr>
            <w:tcW w:w="862" w:type="dxa"/>
            <w:vAlign w:val="center"/>
          </w:tcPr>
          <w:p w14:paraId="5170E563">
            <w:pPr>
              <w:widowControl/>
              <w:jc w:val="center"/>
              <w:textAlignment w:val="center"/>
              <w:rPr>
                <w:rFonts w:ascii="Arial" w:hAnsi="Arial" w:cs="Arial"/>
                <w:sz w:val="18"/>
                <w:szCs w:val="18"/>
              </w:rPr>
            </w:pPr>
          </w:p>
        </w:tc>
        <w:tc>
          <w:tcPr>
            <w:tcW w:w="863" w:type="dxa"/>
            <w:vAlign w:val="center"/>
          </w:tcPr>
          <w:p w14:paraId="731CEB97">
            <w:pPr>
              <w:widowControl/>
              <w:jc w:val="center"/>
              <w:textAlignment w:val="center"/>
              <w:rPr>
                <w:rFonts w:hint="eastAsia" w:ascii="宋体" w:hAnsi="宋体" w:cs="宋体"/>
                <w:sz w:val="18"/>
                <w:szCs w:val="18"/>
              </w:rPr>
            </w:pPr>
          </w:p>
        </w:tc>
        <w:tc>
          <w:tcPr>
            <w:tcW w:w="1065" w:type="dxa"/>
            <w:vAlign w:val="center"/>
          </w:tcPr>
          <w:p w14:paraId="3786FDE3">
            <w:pPr>
              <w:jc w:val="center"/>
              <w:rPr>
                <w:rFonts w:ascii="Arial" w:hAnsi="Arial"/>
                <w:sz w:val="18"/>
                <w:szCs w:val="18"/>
              </w:rPr>
            </w:pPr>
          </w:p>
        </w:tc>
        <w:tc>
          <w:tcPr>
            <w:tcW w:w="1065" w:type="dxa"/>
            <w:vAlign w:val="center"/>
          </w:tcPr>
          <w:p w14:paraId="50C6B505">
            <w:pPr>
              <w:jc w:val="center"/>
              <w:rPr>
                <w:rFonts w:ascii="Arial" w:hAnsi="Arial"/>
                <w:sz w:val="18"/>
                <w:szCs w:val="18"/>
              </w:rPr>
            </w:pPr>
          </w:p>
        </w:tc>
        <w:tc>
          <w:tcPr>
            <w:tcW w:w="1373" w:type="dxa"/>
            <w:vAlign w:val="center"/>
          </w:tcPr>
          <w:p w14:paraId="721B6C90">
            <w:pPr>
              <w:jc w:val="center"/>
              <w:rPr>
                <w:rFonts w:ascii="Arial" w:hAnsi="Arial"/>
                <w:sz w:val="18"/>
                <w:szCs w:val="18"/>
              </w:rPr>
            </w:pPr>
          </w:p>
        </w:tc>
        <w:tc>
          <w:tcPr>
            <w:tcW w:w="1444" w:type="dxa"/>
            <w:vAlign w:val="center"/>
          </w:tcPr>
          <w:p w14:paraId="2120B1CC">
            <w:pPr>
              <w:rPr>
                <w:rFonts w:ascii="Arial" w:hAnsi="Arial"/>
                <w:sz w:val="18"/>
                <w:szCs w:val="18"/>
              </w:rPr>
            </w:pPr>
          </w:p>
        </w:tc>
      </w:tr>
      <w:tr w14:paraId="28F28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1C430137">
            <w:pPr>
              <w:widowControl/>
              <w:jc w:val="center"/>
              <w:textAlignment w:val="center"/>
              <w:rPr>
                <w:rFonts w:ascii="Arial" w:hAnsi="Arial" w:cs="Arial"/>
                <w:sz w:val="18"/>
                <w:szCs w:val="18"/>
                <w:lang w:val="zh-TW" w:eastAsia="zh-TW"/>
              </w:rPr>
            </w:pPr>
            <w:r>
              <w:rPr>
                <w:rFonts w:hint="eastAsia" w:ascii="Arial" w:hAnsi="Arial" w:cs="Arial"/>
                <w:sz w:val="18"/>
                <w:szCs w:val="18"/>
              </w:rPr>
              <w:t>.........</w:t>
            </w:r>
          </w:p>
        </w:tc>
        <w:tc>
          <w:tcPr>
            <w:tcW w:w="1935" w:type="dxa"/>
            <w:vAlign w:val="center"/>
          </w:tcPr>
          <w:p w14:paraId="519264EF">
            <w:pPr>
              <w:widowControl/>
              <w:jc w:val="center"/>
              <w:textAlignment w:val="center"/>
              <w:rPr>
                <w:rFonts w:hint="eastAsia" w:ascii="宋体" w:hAnsi="宋体" w:cs="宋体"/>
                <w:sz w:val="18"/>
                <w:szCs w:val="18"/>
              </w:rPr>
            </w:pPr>
          </w:p>
        </w:tc>
        <w:tc>
          <w:tcPr>
            <w:tcW w:w="862" w:type="dxa"/>
            <w:vAlign w:val="center"/>
          </w:tcPr>
          <w:p w14:paraId="78370960">
            <w:pPr>
              <w:widowControl/>
              <w:jc w:val="center"/>
              <w:textAlignment w:val="center"/>
              <w:rPr>
                <w:rFonts w:ascii="Arial" w:hAnsi="Arial" w:cs="Arial"/>
                <w:sz w:val="18"/>
                <w:szCs w:val="18"/>
              </w:rPr>
            </w:pPr>
          </w:p>
        </w:tc>
        <w:tc>
          <w:tcPr>
            <w:tcW w:w="863" w:type="dxa"/>
            <w:vAlign w:val="center"/>
          </w:tcPr>
          <w:p w14:paraId="726F9EEF">
            <w:pPr>
              <w:widowControl/>
              <w:jc w:val="center"/>
              <w:textAlignment w:val="center"/>
              <w:rPr>
                <w:rFonts w:hint="eastAsia" w:ascii="宋体" w:hAnsi="宋体" w:cs="宋体"/>
                <w:sz w:val="18"/>
                <w:szCs w:val="18"/>
              </w:rPr>
            </w:pPr>
          </w:p>
        </w:tc>
        <w:tc>
          <w:tcPr>
            <w:tcW w:w="1065" w:type="dxa"/>
            <w:vAlign w:val="center"/>
          </w:tcPr>
          <w:p w14:paraId="3F3128CA">
            <w:pPr>
              <w:jc w:val="center"/>
              <w:rPr>
                <w:rFonts w:ascii="Arial" w:hAnsi="Arial"/>
                <w:sz w:val="18"/>
                <w:szCs w:val="18"/>
              </w:rPr>
            </w:pPr>
          </w:p>
        </w:tc>
        <w:tc>
          <w:tcPr>
            <w:tcW w:w="1065" w:type="dxa"/>
            <w:vAlign w:val="center"/>
          </w:tcPr>
          <w:p w14:paraId="5BF6B1DC">
            <w:pPr>
              <w:jc w:val="center"/>
              <w:rPr>
                <w:rFonts w:ascii="Arial" w:hAnsi="Arial"/>
                <w:sz w:val="18"/>
                <w:szCs w:val="18"/>
              </w:rPr>
            </w:pPr>
          </w:p>
        </w:tc>
        <w:tc>
          <w:tcPr>
            <w:tcW w:w="1373" w:type="dxa"/>
            <w:vAlign w:val="center"/>
          </w:tcPr>
          <w:p w14:paraId="22123504">
            <w:pPr>
              <w:jc w:val="center"/>
              <w:rPr>
                <w:rFonts w:ascii="Arial" w:hAnsi="Arial"/>
                <w:sz w:val="18"/>
                <w:szCs w:val="18"/>
              </w:rPr>
            </w:pPr>
          </w:p>
        </w:tc>
        <w:tc>
          <w:tcPr>
            <w:tcW w:w="1444" w:type="dxa"/>
            <w:vAlign w:val="center"/>
          </w:tcPr>
          <w:p w14:paraId="2F88AA1A">
            <w:pPr>
              <w:rPr>
                <w:rFonts w:ascii="Arial" w:hAnsi="Arial"/>
                <w:sz w:val="18"/>
                <w:szCs w:val="18"/>
              </w:rPr>
            </w:pPr>
          </w:p>
        </w:tc>
      </w:tr>
      <w:tr w14:paraId="2BC5D2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75" w:type="dxa"/>
            <w:vAlign w:val="center"/>
          </w:tcPr>
          <w:p w14:paraId="7AD239A1">
            <w:pPr>
              <w:widowControl/>
              <w:jc w:val="center"/>
              <w:textAlignment w:val="center"/>
              <w:rPr>
                <w:rFonts w:ascii="Arial" w:hAnsi="Arial" w:cs="Arial"/>
                <w:sz w:val="18"/>
                <w:szCs w:val="18"/>
              </w:rPr>
            </w:pPr>
          </w:p>
        </w:tc>
        <w:tc>
          <w:tcPr>
            <w:tcW w:w="1935" w:type="dxa"/>
            <w:vAlign w:val="center"/>
          </w:tcPr>
          <w:p w14:paraId="6DF9BD7C">
            <w:pPr>
              <w:widowControl/>
              <w:jc w:val="center"/>
              <w:textAlignment w:val="center"/>
              <w:rPr>
                <w:rFonts w:hint="eastAsia" w:ascii="宋体" w:hAnsi="宋体" w:cs="宋体"/>
                <w:sz w:val="18"/>
                <w:szCs w:val="18"/>
              </w:rPr>
            </w:pPr>
          </w:p>
        </w:tc>
        <w:tc>
          <w:tcPr>
            <w:tcW w:w="862" w:type="dxa"/>
            <w:vAlign w:val="center"/>
          </w:tcPr>
          <w:p w14:paraId="20E742BF">
            <w:pPr>
              <w:widowControl/>
              <w:jc w:val="center"/>
              <w:textAlignment w:val="center"/>
              <w:rPr>
                <w:rFonts w:ascii="Arial" w:hAnsi="Arial" w:cs="Arial"/>
                <w:sz w:val="18"/>
                <w:szCs w:val="18"/>
              </w:rPr>
            </w:pPr>
          </w:p>
        </w:tc>
        <w:tc>
          <w:tcPr>
            <w:tcW w:w="863" w:type="dxa"/>
            <w:vAlign w:val="center"/>
          </w:tcPr>
          <w:p w14:paraId="62F8673C">
            <w:pPr>
              <w:widowControl/>
              <w:jc w:val="center"/>
              <w:textAlignment w:val="center"/>
              <w:rPr>
                <w:rFonts w:hint="eastAsia" w:ascii="宋体" w:hAnsi="宋体" w:cs="宋体"/>
                <w:sz w:val="18"/>
                <w:szCs w:val="18"/>
              </w:rPr>
            </w:pPr>
          </w:p>
        </w:tc>
        <w:tc>
          <w:tcPr>
            <w:tcW w:w="1065" w:type="dxa"/>
            <w:vAlign w:val="center"/>
          </w:tcPr>
          <w:p w14:paraId="6E9D5E6F">
            <w:pPr>
              <w:jc w:val="center"/>
              <w:rPr>
                <w:rFonts w:ascii="Arial" w:hAnsi="Arial"/>
                <w:sz w:val="18"/>
                <w:szCs w:val="18"/>
              </w:rPr>
            </w:pPr>
          </w:p>
        </w:tc>
        <w:tc>
          <w:tcPr>
            <w:tcW w:w="1065" w:type="dxa"/>
            <w:vAlign w:val="center"/>
          </w:tcPr>
          <w:p w14:paraId="263CA8E9">
            <w:pPr>
              <w:jc w:val="center"/>
              <w:rPr>
                <w:rFonts w:ascii="Arial" w:hAnsi="Arial"/>
                <w:sz w:val="18"/>
                <w:szCs w:val="18"/>
              </w:rPr>
            </w:pPr>
          </w:p>
        </w:tc>
        <w:tc>
          <w:tcPr>
            <w:tcW w:w="1373" w:type="dxa"/>
            <w:vAlign w:val="center"/>
          </w:tcPr>
          <w:p w14:paraId="0028AB5F">
            <w:pPr>
              <w:jc w:val="center"/>
              <w:rPr>
                <w:rFonts w:ascii="Arial" w:hAnsi="Arial"/>
                <w:sz w:val="18"/>
                <w:szCs w:val="18"/>
              </w:rPr>
            </w:pPr>
          </w:p>
        </w:tc>
        <w:tc>
          <w:tcPr>
            <w:tcW w:w="1444" w:type="dxa"/>
            <w:vAlign w:val="center"/>
          </w:tcPr>
          <w:p w14:paraId="3342FBE2">
            <w:pPr>
              <w:rPr>
                <w:rFonts w:ascii="Arial" w:hAnsi="Arial"/>
                <w:sz w:val="18"/>
                <w:szCs w:val="18"/>
              </w:rPr>
            </w:pPr>
          </w:p>
        </w:tc>
      </w:tr>
      <w:tr w14:paraId="25D43A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138" w:type="dxa"/>
            <w:gridSpan w:val="7"/>
            <w:vAlign w:val="center"/>
          </w:tcPr>
          <w:p w14:paraId="5F2BAEC9">
            <w:pPr>
              <w:snapToGrid w:val="0"/>
              <w:spacing w:line="400" w:lineRule="exact"/>
              <w:jc w:val="right"/>
              <w:rPr>
                <w:rFonts w:ascii="Arial" w:hAnsi="Arial"/>
                <w:sz w:val="18"/>
                <w:szCs w:val="18"/>
              </w:rPr>
            </w:pPr>
            <w:r>
              <w:rPr>
                <w:rFonts w:hint="eastAsia" w:ascii="Arial" w:hAnsi="Arial"/>
                <w:b/>
                <w:bCs/>
              </w:rPr>
              <w:t>总价（元）</w:t>
            </w:r>
          </w:p>
        </w:tc>
        <w:tc>
          <w:tcPr>
            <w:tcW w:w="1444" w:type="dxa"/>
          </w:tcPr>
          <w:p w14:paraId="29DD3202">
            <w:pPr>
              <w:snapToGrid w:val="0"/>
              <w:spacing w:line="400" w:lineRule="exact"/>
              <w:jc w:val="center"/>
              <w:rPr>
                <w:rFonts w:ascii="Arial" w:hAnsi="Arial"/>
                <w:sz w:val="18"/>
                <w:szCs w:val="18"/>
              </w:rPr>
            </w:pPr>
          </w:p>
        </w:tc>
      </w:tr>
    </w:tbl>
    <w:p w14:paraId="59C82304">
      <w:pPr>
        <w:snapToGrid w:val="0"/>
        <w:spacing w:before="120" w:beforeLines="50" w:line="360" w:lineRule="auto"/>
        <w:jc w:val="left"/>
        <w:rPr>
          <w:rFonts w:ascii="Arial" w:hAnsi="Arial"/>
        </w:rPr>
      </w:pPr>
      <w:r>
        <w:rPr>
          <w:rFonts w:ascii="Arial" w:hAnsi="Arial"/>
          <w:b/>
          <w:bCs/>
        </w:rPr>
        <w:t>注：</w:t>
      </w:r>
      <w:r>
        <w:rPr>
          <w:rFonts w:hint="eastAsia" w:ascii="Arial" w:hAnsi="Arial"/>
        </w:rPr>
        <w:t>1、“分项报价表”总价</w:t>
      </w:r>
      <w:r>
        <w:rPr>
          <w:rFonts w:ascii="Arial" w:hAnsi="Arial"/>
        </w:rPr>
        <w:t>应与</w:t>
      </w:r>
      <w:r>
        <w:rPr>
          <w:rFonts w:hint="eastAsia" w:ascii="Arial" w:hAnsi="Arial"/>
        </w:rPr>
        <w:t>“</w:t>
      </w:r>
      <w:r>
        <w:rPr>
          <w:rFonts w:ascii="Arial" w:hAnsi="Arial"/>
        </w:rPr>
        <w:t>开标一览表</w:t>
      </w:r>
      <w:r>
        <w:rPr>
          <w:rFonts w:hint="eastAsia" w:ascii="Arial" w:hAnsi="Arial"/>
        </w:rPr>
        <w:t>”“</w:t>
      </w:r>
      <w:r>
        <w:rPr>
          <w:rFonts w:ascii="Arial" w:hAnsi="Arial"/>
        </w:rPr>
        <w:t>投标报价</w:t>
      </w:r>
      <w:r>
        <w:rPr>
          <w:rFonts w:hint="eastAsia" w:ascii="Arial" w:hAnsi="Arial"/>
        </w:rPr>
        <w:t>”</w:t>
      </w:r>
      <w:r>
        <w:rPr>
          <w:rFonts w:ascii="Arial" w:hAnsi="Arial"/>
        </w:rPr>
        <w:t>一致。</w:t>
      </w:r>
    </w:p>
    <w:p w14:paraId="6DF42E69">
      <w:pPr>
        <w:snapToGrid w:val="0"/>
        <w:spacing w:before="120" w:beforeLines="50" w:line="360" w:lineRule="auto"/>
        <w:ind w:firstLine="420" w:firstLineChars="200"/>
        <w:jc w:val="left"/>
        <w:rPr>
          <w:rFonts w:ascii="Arial" w:hAnsi="Arial"/>
        </w:rPr>
      </w:pPr>
      <w:r>
        <w:rPr>
          <w:rFonts w:hint="eastAsia" w:ascii="Arial" w:hAnsi="Arial"/>
        </w:rPr>
        <w:t>2、分项报价应包含第三章“技术需求”部分所有清单内容，如有缺漏，计入总价内。</w:t>
      </w:r>
    </w:p>
    <w:p w14:paraId="4BA569CE">
      <w:pPr>
        <w:widowControl/>
        <w:spacing w:before="240" w:beforeLines="100" w:line="360" w:lineRule="auto"/>
        <w:ind w:firstLine="420" w:firstLineChars="200"/>
        <w:jc w:val="left"/>
        <w:rPr>
          <w:color w:val="000000"/>
          <w:szCs w:val="21"/>
        </w:rPr>
      </w:pPr>
      <w:r>
        <w:rPr>
          <w:color w:val="000000"/>
          <w:szCs w:val="21"/>
        </w:rPr>
        <w:t xml:space="preserve">投 标 人  （盖章）：                  </w:t>
      </w:r>
    </w:p>
    <w:p w14:paraId="23D8E0D3">
      <w:pPr>
        <w:widowControl/>
        <w:spacing w:line="360" w:lineRule="auto"/>
        <w:ind w:firstLine="420" w:firstLineChars="200"/>
        <w:jc w:val="left"/>
        <w:rPr>
          <w:color w:val="000000"/>
          <w:szCs w:val="21"/>
        </w:rPr>
      </w:pPr>
      <w:r>
        <w:rPr>
          <w:color w:val="000000"/>
          <w:szCs w:val="21"/>
        </w:rPr>
        <w:t>法定代表人或其授权代表（签字或盖章）：</w:t>
      </w:r>
    </w:p>
    <w:p w14:paraId="5235C216">
      <w:pPr>
        <w:widowControl/>
        <w:spacing w:line="360" w:lineRule="auto"/>
        <w:ind w:firstLine="420" w:firstLineChars="200"/>
        <w:jc w:val="left"/>
        <w:rPr>
          <w:color w:val="000000"/>
          <w:szCs w:val="21"/>
        </w:rPr>
      </w:pPr>
      <w:r>
        <w:rPr>
          <w:color w:val="000000"/>
          <w:szCs w:val="21"/>
        </w:rPr>
        <w:t>日  期：</w:t>
      </w:r>
    </w:p>
    <w:p w14:paraId="7363B21C">
      <w:pPr>
        <w:rPr>
          <w:color w:val="000000"/>
          <w:szCs w:val="21"/>
        </w:rPr>
      </w:pPr>
      <w:r>
        <w:rPr>
          <w:color w:val="000000"/>
          <w:szCs w:val="21"/>
        </w:rPr>
        <w:br w:type="page"/>
      </w:r>
    </w:p>
    <w:p w14:paraId="52B4E07F">
      <w:pPr>
        <w:pStyle w:val="15"/>
        <w:spacing w:line="520" w:lineRule="exact"/>
        <w:jc w:val="center"/>
        <w:rPr>
          <w:rFonts w:ascii="Times New Roman"/>
          <w:b/>
          <w:sz w:val="21"/>
          <w:szCs w:val="21"/>
        </w:rPr>
      </w:pPr>
      <w:r>
        <w:rPr>
          <w:rFonts w:hint="eastAsia" w:ascii="Times New Roman"/>
          <w:b/>
          <w:sz w:val="21"/>
          <w:szCs w:val="21"/>
        </w:rPr>
        <w:t>关于符合本国产品标准的声明函</w:t>
      </w:r>
    </w:p>
    <w:p w14:paraId="00153997">
      <w:pPr>
        <w:spacing w:line="360" w:lineRule="auto"/>
        <w:ind w:firstLine="480"/>
        <w:rPr>
          <w:rFonts w:hint="eastAsia" w:ascii="宋体" w:hAnsi="宋体" w:cs="宋体"/>
          <w:szCs w:val="21"/>
        </w:rPr>
      </w:pPr>
    </w:p>
    <w:p w14:paraId="494EF3FA">
      <w:pPr>
        <w:spacing w:line="360" w:lineRule="auto"/>
        <w:ind w:firstLine="480"/>
        <w:rPr>
          <w:rFonts w:hint="eastAsia" w:ascii="宋体" w:hAnsi="宋体" w:cs="宋体"/>
          <w:szCs w:val="21"/>
        </w:rPr>
      </w:pPr>
      <w:r>
        <w:rPr>
          <w:rFonts w:hint="eastAsia" w:ascii="宋体" w:hAnsi="宋体" w:cs="宋体"/>
          <w:szCs w:val="21"/>
        </w:rPr>
        <w:t>本公司（单位）郑重声明，根据《国务院办公厅关于在政府采购中实施本国产品标准及相关政策的通知》（国办发[2025]34号）的规定，本公司（单位）提供的以下产品属于本国产品。具体情况如下：</w:t>
      </w:r>
    </w:p>
    <w:p w14:paraId="74F29868">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教室专用演示设备</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教室专用演示设备</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教室专用演示设备</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教室专用演示设备</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19CDCC6A">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教师实验课椅</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教师实验课椅</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教师实验课椅</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教师实验课椅</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0727B117">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教师水龙头＋水槽</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教师水龙头＋水槽</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教师水龙头＋水槽</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教师水龙头＋水槽</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18C163C6">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生物学生专用实践设备</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生物学生专用实践设备</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生物学生专用实践设备</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生物学生专用实践设备</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4E1D610B">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学生三联高低位龙头</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学生三联高低位龙头</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学生三联高低位龙头</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学生三联高低位龙头</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5820D316">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实验室专用水槽柜</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实验室专用水槽柜</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实验室专用水槽柜</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实验室专用水槽柜</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7E4EE900">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多功能实验下水装置</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多功能实验下水装置</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多功能实验下水装置</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多功能实验下水装置</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344DA86D">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多功能</w:t>
      </w:r>
      <w:r>
        <w:rPr>
          <w:rFonts w:hint="eastAsia" w:ascii="宋体" w:hAnsi="宋体" w:cs="宋体"/>
          <w:szCs w:val="21"/>
          <w:u w:val="single"/>
          <w:lang w:val="en-US" w:eastAsia="zh-CN"/>
        </w:rPr>
        <w:t>柜（</w:t>
      </w:r>
      <w:r>
        <w:rPr>
          <w:rFonts w:hint="eastAsia" w:ascii="宋体" w:hAnsi="宋体" w:cs="宋体"/>
          <w:szCs w:val="21"/>
          <w:u w:val="single"/>
        </w:rPr>
        <w:t>柱</w:t>
      </w:r>
      <w:r>
        <w:rPr>
          <w:rFonts w:hint="eastAsia" w:ascii="宋体" w:hAnsi="宋体" w:cs="宋体"/>
          <w:szCs w:val="21"/>
          <w:u w:val="single"/>
          <w:lang w:val="en-US" w:eastAsia="zh-CN"/>
        </w:rPr>
        <w:t>）</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多功能柱</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多功能柱</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多功能柱</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22432827">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学生电源</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学生电源</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学生电源</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学生电源</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05682FBF">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安全电源总控</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安全电源总控</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安全电源总控</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安全电源总控</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08FC621F">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安全光源</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安全光源</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安全光源</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安全光源</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554CE76C">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实验凳</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实验凳</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实验凳</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实验凳</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025701DD">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安全终端装置</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安全终端装置</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安全终端装置</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安全终端装置</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5EEF36C7">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系统安装辅件1</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系统安装辅件1</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系统安装辅件1</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系统安装辅件1</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1A1552AE">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排水布管</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排水布管</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排水布管</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排水布管</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3F119449">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给水布管</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给水布管</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给水布管</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给水布管</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20727B67">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仪器柜</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仪器柜</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仪器柜</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仪器柜</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62F4F1D0">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教室专用演示设备</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教室专用演示设备</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教室专用演示设备</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教室专用演示设备</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69ED98C5">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教师实验课椅</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教师实验课椅</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教师实验课椅</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教师实验课椅</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5B0AA019">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科学、化学学生专用实践设备</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科学、化学学生专用实践设备</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科学、化学学生专用实践设备</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科学、化学学生专用实践设备</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41ACB374">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实验室专用水槽</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实验室专用水槽</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实验室专用水槽</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实验室专用水槽</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196D30DA">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三联高低位龙头</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三联高低位龙头</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三联高低位龙头</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三联高低位龙头</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0CF7C828">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实验室专用排水设备模块</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实验室专用排水设备模块</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实验室专用排水设备模块</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实验室专用排水设备模块</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18C65969">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多功能实验下水装置</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多功能实验下水装置</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多功能实验下水装置</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多功能实验下水装置</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0C60D170">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实验凳</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实验凳</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实验凳</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实验凳</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794F6351">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万向罩</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万向罩</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万向罩</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万向罩</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75A20C04">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洗眼器</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洗眼器</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洗眼器</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洗眼器</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64B3DD60">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室内行程通风系统</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室内行程通风系统</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室内行程通风系统</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室内行程通风系统</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6340A9AE">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室外行程通风系统</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室外行程通风系统</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室外行程通风系统</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室外行程通风系统</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42BA5113">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通风风机</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通风风机</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通风风机</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通风风机</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00C53014">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风机控制配套设备</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风机控制配套设备</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风机控制配套设备</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风机控制配套设备</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27D23181">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顶装智能系统总控柜</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顶装智能系统总控柜</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顶装智能系统总控柜</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顶装智能系统总控柜</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45C1EB38">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安全终端装置</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安全终端装置</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安全终端装置</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安全终端装置</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3B69A204">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顶装智能控制模块</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顶装智能控制模块</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顶装智能控制模块</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顶装智能控制模块</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5E794D5E">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APP控制模块</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APP控制模块</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APP控制模块</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APP控制模块</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6E99E7C9">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湿温度监视模块</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湿温度监视模块</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湿温度监视模块</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湿温度监视模块</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215E05A7">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顶装内主体结构</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顶装内主体结构</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顶装内主体结构</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顶装内主体结构</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2F0BA66B">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智能吊装集成箱</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智能吊装集成箱</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智能吊装集成箱</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智能吊装集成箱</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6CFC2D09">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顶装固定支架</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顶装固定支架</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顶装固定支架</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顶装固定支架</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2158AE21">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顶装固定支架护罩</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顶装固定支架护罩</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顶装固定支架护罩</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顶装固定支架护罩</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621CE534">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顶装摇臂动力装置</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顶装摇臂动力装置</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顶装摇臂动力装置</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顶装摇臂动力装置</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0991E518">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顶装摇臂智能软件控制器</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顶装摇臂智能软件控制器</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顶装摇臂智能软件控制器</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顶装摇臂智能软件控制器</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3D0E7E18">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智能电源腔体</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智能电源腔体</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智能电源腔体</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智能电源腔体</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70083748">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摇臂显示器</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摇臂显示器</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摇臂显示器</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摇臂显示器</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063DB9D3">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多功能电源模块</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。多功能电源模块的中国境内生产的组件成本占比≥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多功能电源模块</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多功能电源模块</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090E8017">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急停控制装置</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急停控制装置</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急停控制装置</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急停控制装置</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0C549AD2">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模块化供电线路</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模块化供电线路</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模块化供电线路</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模块化供电线路</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24C42110">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智能照明控制装置</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智能照明控制装置</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智能照明控制装置</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智能照明控制装置</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13353430">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万向吸风罩一体式集成</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万向吸风罩一体式集成</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万向吸风罩一体式集成</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万向吸风罩一体式集成</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7B1FD2F3">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自动给排水模块套装</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自动给排水模块套装</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自动给排水模块套装</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自动给排水模块套装</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0EECB95A">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给水布管</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给水布管</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给水布管</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给水布管</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2A8F7BF3">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排水布管</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排水布管</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排水布管</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排水布管</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5D92F357">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系统安装辅件</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系统安装辅件</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系统安装辅件</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系统安装辅件</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698E372E">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仪器柜</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仪器柜</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仪器柜</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仪器柜</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0FE7D31B">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边台承载设备</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边台承载设备</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边台承载设备</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边台承载设备</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4B9A5BCB">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仪器柜</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仪器柜</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仪器柜</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仪器柜</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7BC0624B">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边台承载设备</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边台承载设备</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边台承载设备</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边台承载设备</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1E87D880">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水龙头＋水槽</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水龙头＋水槽</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水龙头＋水槽</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水龙头＋水槽</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5C8966B6">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滴水架</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滴水架</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滴水架</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滴水架</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1E364782">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操作台集成架</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操作台集成架</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操作台集成架</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操作台集成架</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23621594">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仪器柜</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仪器柜</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仪器柜</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仪器柜</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04E28FF5">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PP试剂柜</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PP试剂柜</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PP试剂柜</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PP试剂柜</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02B95E88">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净气型易燃品毒害品储存柜</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净气型易燃品毒害品储存柜</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净气型易燃品毒害品储存柜</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净气型易燃品毒害品储存柜</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1C6C478C">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净气型防火柜</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净气型防火柜</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净气型防火柜</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净气型防火柜</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01018BED">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教室专用演示设备</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教室专用演示设备</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教室专用演示设备</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教室专用演示设备</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3361A0D8">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教师实验课椅</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教师实验课椅</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教师实验课椅</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教师实验课椅</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43645C94">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科学学生实践设备</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科学学生实践设备</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科学学生实践设备</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科学学生实践设备</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7C40847F">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实验凳</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实验凳</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实验凳</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实验凳</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522805DB">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仪器柜</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仪器柜</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仪器柜</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仪器柜</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64757700">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认识植物和比较与测量实验箱</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认识植物和比较与测量实验箱</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认识植物和比较与测量实验箱</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识植物和比较与测量实验箱</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0963300B">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物体的形状、特征实验和认识动物实验箱</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物体的形状、特征实验和认识动物实验箱</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物体的形状、特征实验和认识动物实验箱</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物体的形状、特征实验和认识动物实验箱</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3D36BED5">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地球家园和认识不同的材料实验箱</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地球家园和认识不同的材料实验箱</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地球家园和认识不同的材料实验箱</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地球家园和认识不同的材料实验箱</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7843CAFD">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水的主题实验箱</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水的主题实验箱</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水的主题实验箱</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水的主题实验箱</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5BCF5567">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空气和天气的实验箱</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空气和天气的实验箱</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空气和天气的实验箱</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空气和天气的实验箱</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3C0C363F">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动物的一生和太阳月球的实验箱</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动物的一生和太阳月球的实验箱</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动物的一生和太阳月球的实验箱</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动物的一生和太阳月球的实验箱</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3B89E2F5">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能量的主题实验箱</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能量的主题实验箱</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能量的主题实验箱</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能量的主题实验箱</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33D4A334">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演示实验展示台</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演示实验展示台</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演示实验展示台</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演示实验展示台</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7F85BF54">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控制柜</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控制柜</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控制柜</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控制柜</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4909F79F">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顶装智能控制模块</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顶装智能控制模块</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顶装智能控制模块</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顶装智能控制模块</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1E6D5D37">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移动端控制模块</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移动端控制模块</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移动端控制模块</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移动端控制模块</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649DC146">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温湿度监视模块</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温湿度监视模块</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温湿度监视模块</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温湿度监视模块</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130C8069">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主体框架</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主体框架</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主体框架</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主体框架</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61A6F7C9">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电源升降模块</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电源升降模块</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电源升降模块</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电源升降模块</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5D7CCA56">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升降电源主体</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升降电源主体</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升降电源主体</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升降电源主体</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176B29CC">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低压电源模块</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低压电源模块</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低压电源模块</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低压电源模块</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052F47D0">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高压电源模块</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高压电源模块</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高压电源模块</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高压电源模块</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01E29BBB">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USB充电模块</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USB充电模块</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USB充电模块</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USB充电模块</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6D7D0C01">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网络模块</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网络模块</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网络模块</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网络模块</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71426F9C">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系统安装辅件1</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系统安装辅件1</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系统安装辅件1</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系统安装辅件1</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1CC09E26">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智能照明</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智能照明</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智能照明</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智能照明</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247FCFA1">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系统安装辅件</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系统安装辅件</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系统安装辅件</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系统安装辅件</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564D1353">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教室专用演示设备</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教室专用演示设备</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教室专用演示设备</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教室专用演示设备</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65EB4E10">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教师实验课椅</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教师实验课椅</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教师实验课椅</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教师实验课椅</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0F1E9FC5">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物理学生实践设备</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物理学生实践设备</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物理学生实践设备</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物理学生实践设备</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24E407E2">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防静电实验凳</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防静电实验凳</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防静电实验凳</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防静电实验凳</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5B0F2F3C">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仪器柜</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仪器柜</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仪器柜</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仪器柜</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7093EB3C">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控制柜</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控制柜</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控制柜</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控制柜</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75B43FD9">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顶装智能控制模块</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顶装智能控制模块</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顶装智能控制模块</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顶装智能控制模块</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1F026D22">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移动端控制模块</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移动端控制模块</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移动端控制模块</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移动端控制模块</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3B216A39">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温湿度监视模块</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温湿度监视模块</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温湿度监视模块</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温湿度监视模块</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0BF4E161">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主体框架</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主体框架</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主体框架</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主体框架</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4C770374">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电源升降模块</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电源升降模块</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电源升降模块</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电源升降模块</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0CCC6258">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升降电源主体</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升降电源主体</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升降电源主体</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升降电源主体</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17E57E59">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低压电源模块</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低压电源模块</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低压电源模块</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低压电源模块</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5A2CCE88">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高压电源模块</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高压电源模块</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高压电源模块</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高压电源模块</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03FC2C13">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USB充电模块</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USB充电模块</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USB充电模块</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USB充电模块</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7C338142">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网络模块</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网络模块</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网络模块</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主网络模块</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5EF2AF32">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系统安装辅件1</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系统安装辅件1</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系统安装辅件1</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系统安装辅件1</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1F37F280">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智能照明</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智能照明</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智能照明</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智能照明</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405ECA1A">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系统安装辅件</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系统安装辅件</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系统安装辅件</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系统安装辅件</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0F7C2ABB">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边台承载设备</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边台承载设备</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边台承载设备</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边台承载设备</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297FEEE6">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水龙头＋水槽</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水龙头＋水槽</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水龙头＋水槽</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水龙头＋水槽</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2BFCB26A">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仪器柜</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仪器柜</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仪器柜</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仪器柜</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18556394">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仪器柜</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仪器柜</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仪器柜</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仪器柜</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1ED9DACB">
      <w:pPr>
        <w:numPr>
          <w:ilvl w:val="0"/>
          <w:numId w:val="47"/>
        </w:numPr>
        <w:spacing w:line="360" w:lineRule="auto"/>
        <w:ind w:firstLine="630" w:firstLineChars="300"/>
        <w:rPr>
          <w:rFonts w:hint="eastAsia" w:ascii="宋体" w:hAnsi="宋体" w:cs="宋体"/>
          <w:szCs w:val="21"/>
        </w:rPr>
      </w:pPr>
      <w:r>
        <w:rPr>
          <w:rFonts w:hint="eastAsia" w:ascii="宋体" w:hAnsi="宋体" w:cs="宋体"/>
          <w:szCs w:val="21"/>
          <w:u w:val="single"/>
        </w:rPr>
        <w:t>实验室数据备份管理装置</w:t>
      </w:r>
      <w:r>
        <w:rPr>
          <w:rFonts w:hint="eastAsia" w:ascii="宋体" w:hAnsi="宋体" w:cs="宋体"/>
          <w:szCs w:val="21"/>
        </w:rPr>
        <w:t>，生产厂为</w:t>
      </w:r>
      <w:r>
        <w:rPr>
          <w:rFonts w:hint="eastAsia" w:ascii="宋体" w:hAnsi="宋体" w:cs="宋体"/>
          <w:szCs w:val="21"/>
          <w:u w:val="single"/>
        </w:rPr>
        <w:t>（厂名）</w:t>
      </w:r>
      <w:r>
        <w:rPr>
          <w:rFonts w:hint="eastAsia" w:ascii="宋体" w:hAnsi="宋体" w:cs="宋体"/>
          <w:szCs w:val="21"/>
        </w:rPr>
        <w:t>，厂址为</w:t>
      </w:r>
      <w:r>
        <w:rPr>
          <w:rFonts w:hint="eastAsia" w:ascii="宋体" w:hAnsi="宋体" w:cs="宋体"/>
          <w:szCs w:val="21"/>
          <w:u w:val="single"/>
        </w:rPr>
        <w:t>（生产厂址）</w:t>
      </w:r>
      <w:r>
        <w:rPr>
          <w:rFonts w:hint="eastAsia" w:ascii="宋体" w:hAnsi="宋体" w:cs="宋体"/>
          <w:szCs w:val="21"/>
        </w:rPr>
        <w:t>。</w:t>
      </w:r>
      <w:r>
        <w:rPr>
          <w:rFonts w:hint="eastAsia" w:ascii="宋体" w:hAnsi="宋体" w:cs="宋体"/>
          <w:szCs w:val="21"/>
          <w:u w:val="single"/>
        </w:rPr>
        <w:t>实验室数据备份管理装置</w:t>
      </w:r>
      <w:r>
        <w:rPr>
          <w:rFonts w:hint="eastAsia" w:ascii="宋体" w:hAnsi="宋体" w:cs="宋体"/>
          <w:szCs w:val="21"/>
        </w:rPr>
        <w:t>的中国境内生产的组件成本占比≥</w:t>
      </w:r>
      <w:r>
        <w:rPr>
          <w:rFonts w:hint="eastAsia" w:ascii="宋体" w:hAnsi="宋体" w:cs="宋体"/>
          <w:szCs w:val="21"/>
          <w:u w:val="single"/>
        </w:rPr>
        <w:t>（规定比例）（可不填）</w:t>
      </w:r>
      <w:r>
        <w:rPr>
          <w:rFonts w:hint="eastAsia" w:ascii="宋体" w:hAnsi="宋体" w:cs="宋体"/>
          <w:szCs w:val="21"/>
        </w:rPr>
        <w:t>。</w:t>
      </w:r>
      <w:r>
        <w:rPr>
          <w:rFonts w:hint="eastAsia" w:ascii="宋体" w:hAnsi="宋体" w:cs="宋体"/>
          <w:szCs w:val="21"/>
          <w:u w:val="single"/>
        </w:rPr>
        <w:t>实验室数据备份管理装置</w:t>
      </w:r>
      <w:r>
        <w:rPr>
          <w:rFonts w:hint="eastAsia" w:ascii="宋体" w:hAnsi="宋体" w:cs="宋体"/>
          <w:szCs w:val="21"/>
        </w:rPr>
        <w:t>的</w:t>
      </w:r>
      <w:r>
        <w:rPr>
          <w:rFonts w:hint="eastAsia" w:ascii="宋体" w:hAnsi="宋体" w:cs="宋体"/>
          <w:szCs w:val="21"/>
          <w:u w:val="single"/>
        </w:rPr>
        <w:t>（关键组件）（可不填）</w:t>
      </w:r>
      <w:r>
        <w:rPr>
          <w:rFonts w:hint="eastAsia" w:ascii="宋体" w:hAnsi="宋体" w:cs="宋体"/>
          <w:szCs w:val="21"/>
        </w:rPr>
        <w:t>在中国境内生产。</w:t>
      </w:r>
      <w:r>
        <w:rPr>
          <w:rFonts w:hint="eastAsia" w:ascii="宋体" w:hAnsi="宋体" w:cs="宋体"/>
          <w:szCs w:val="21"/>
          <w:u w:val="single"/>
        </w:rPr>
        <w:t>实验室数据备份管理装置</w:t>
      </w:r>
      <w:r>
        <w:rPr>
          <w:rFonts w:hint="eastAsia" w:ascii="宋体" w:hAnsi="宋体" w:cs="宋体"/>
          <w:szCs w:val="21"/>
        </w:rPr>
        <w:t>的</w:t>
      </w:r>
      <w:r>
        <w:rPr>
          <w:rFonts w:hint="eastAsia" w:ascii="宋体" w:hAnsi="宋体" w:cs="宋体"/>
          <w:szCs w:val="21"/>
          <w:u w:val="single"/>
        </w:rPr>
        <w:t>（关键工序）（可不填）</w:t>
      </w:r>
      <w:r>
        <w:rPr>
          <w:rFonts w:hint="eastAsia" w:ascii="宋体" w:hAnsi="宋体" w:cs="宋体"/>
          <w:szCs w:val="21"/>
        </w:rPr>
        <w:t>在中国境内完成。</w:t>
      </w:r>
    </w:p>
    <w:p w14:paraId="26AB4FCD">
      <w:pPr>
        <w:rPr>
          <w:rFonts w:hint="eastAsia" w:ascii="宋体" w:hAnsi="宋体" w:cs="宋体"/>
        </w:rPr>
      </w:pPr>
    </w:p>
    <w:p w14:paraId="15212BD7">
      <w:pPr>
        <w:spacing w:line="360" w:lineRule="auto"/>
        <w:ind w:firstLine="444" w:firstLineChars="200"/>
        <w:rPr>
          <w:rFonts w:hint="eastAsia" w:ascii="宋体" w:hAnsi="宋体"/>
          <w:spacing w:val="6"/>
          <w:szCs w:val="21"/>
        </w:rPr>
      </w:pPr>
      <w:r>
        <w:rPr>
          <w:rFonts w:ascii="宋体" w:hAnsi="宋体"/>
          <w:spacing w:val="6"/>
          <w:szCs w:val="21"/>
        </w:rPr>
        <w:t>本企业对上述声明内容的真实性负责。如有虚假，将依法承担相应责任。</w:t>
      </w:r>
    </w:p>
    <w:p w14:paraId="349B8BB5">
      <w:pPr>
        <w:spacing w:line="360" w:lineRule="auto"/>
      </w:pPr>
    </w:p>
    <w:p w14:paraId="4E4B65DC">
      <w:pPr>
        <w:spacing w:line="360" w:lineRule="auto"/>
      </w:pPr>
      <w:r>
        <w:rPr>
          <w:rFonts w:hint="eastAsia"/>
        </w:rPr>
        <w:t>备注：</w:t>
      </w:r>
    </w:p>
    <w:p w14:paraId="3D8F9139">
      <w:pPr>
        <w:spacing w:line="360" w:lineRule="auto"/>
      </w:pPr>
      <w:r>
        <w:rPr>
          <w:rFonts w:hint="eastAsia"/>
        </w:rPr>
        <w:t>1、产品如有型号，请在“产品名称”栏一并填写。</w:t>
      </w:r>
    </w:p>
    <w:p w14:paraId="47C30B8D">
      <w:pPr>
        <w:numPr>
          <w:ilvl w:val="0"/>
          <w:numId w:val="48"/>
        </w:numPr>
        <w:spacing w:line="360" w:lineRule="auto"/>
      </w:pPr>
      <w:r>
        <w:rPr>
          <w:rFonts w:hint="eastAsia"/>
        </w:rPr>
        <w:t>厂名：生产厂名与厂址应与生产厂营业执照载明的相关信息保持一致。</w:t>
      </w:r>
    </w:p>
    <w:p w14:paraId="209F03E1">
      <w:pPr>
        <w:numPr>
          <w:ilvl w:val="0"/>
          <w:numId w:val="48"/>
        </w:numPr>
        <w:spacing w:line="360" w:lineRule="auto"/>
      </w:pPr>
      <w:r>
        <w:rPr>
          <w:rFonts w:hint="eastAsia"/>
        </w:rPr>
        <w:t>规定比例：该产品的中国境内生产的组件成本占比相关要求实施前，“规定比例”栏可不填，下同。</w:t>
      </w:r>
    </w:p>
    <w:p w14:paraId="0F64988C">
      <w:pPr>
        <w:numPr>
          <w:ilvl w:val="0"/>
          <w:numId w:val="48"/>
        </w:numPr>
        <w:spacing w:line="360" w:lineRule="auto"/>
      </w:pPr>
      <w:r>
        <w:rPr>
          <w:rFonts w:hint="eastAsia"/>
        </w:rPr>
        <w:t>关键组件：该产品的关键组件要求实施前，“关键组件”栏可不填，下同。</w:t>
      </w:r>
    </w:p>
    <w:p w14:paraId="213CE31E">
      <w:pPr>
        <w:numPr>
          <w:ilvl w:val="0"/>
          <w:numId w:val="48"/>
        </w:numPr>
        <w:spacing w:line="360" w:lineRule="auto"/>
      </w:pPr>
      <w:r>
        <w:rPr>
          <w:rFonts w:hint="eastAsia"/>
        </w:rPr>
        <w:t>关键工序</w:t>
      </w:r>
      <w:r>
        <w:t>：该产品的关键</w:t>
      </w:r>
      <w:r>
        <w:rPr>
          <w:rFonts w:hint="eastAsia"/>
        </w:rPr>
        <w:t>工序</w:t>
      </w:r>
      <w:r>
        <w:t>要求实施前，“关键</w:t>
      </w:r>
      <w:r>
        <w:rPr>
          <w:rFonts w:hint="eastAsia"/>
        </w:rPr>
        <w:t>工序</w:t>
      </w:r>
      <w:r>
        <w:t>”栏可不填，下同。</w:t>
      </w:r>
    </w:p>
    <w:p w14:paraId="37E1A87A">
      <w:pPr>
        <w:spacing w:line="360" w:lineRule="auto"/>
      </w:pPr>
      <w:r>
        <w:rPr>
          <w:rFonts w:hint="eastAsia"/>
        </w:rPr>
        <w:t>本公司(单位)对上述声明内容的真实性负责。如有虚假，愿承担相应法律责任。</w:t>
      </w:r>
    </w:p>
    <w:p w14:paraId="67091B19">
      <w:pPr>
        <w:pStyle w:val="54"/>
        <w:ind w:firstLine="444"/>
        <w:rPr>
          <w:rFonts w:hint="eastAsia" w:ascii="宋体" w:hAnsi="宋体" w:eastAsia="宋体" w:cs="Times New Roman"/>
          <w:spacing w:val="6"/>
          <w:kern w:val="2"/>
          <w:sz w:val="21"/>
        </w:rPr>
      </w:pPr>
      <w:r>
        <w:rPr>
          <w:rFonts w:ascii="宋体" w:hAnsi="宋体" w:eastAsia="宋体" w:cs="Times New Roman"/>
          <w:spacing w:val="6"/>
          <w:kern w:val="2"/>
          <w:sz w:val="21"/>
        </w:rPr>
        <w:t xml:space="preserve">供应商（盖章）： </w:t>
      </w:r>
    </w:p>
    <w:p w14:paraId="6361728F">
      <w:pPr>
        <w:pStyle w:val="54"/>
        <w:ind w:firstLine="444"/>
        <w:rPr>
          <w:rFonts w:hint="eastAsia" w:ascii="宋体" w:hAnsi="宋体" w:eastAsia="宋体" w:cs="Times New Roman"/>
          <w:spacing w:val="6"/>
          <w:kern w:val="2"/>
          <w:sz w:val="21"/>
          <w:lang w:val="zh-CN"/>
        </w:rPr>
      </w:pPr>
      <w:r>
        <w:rPr>
          <w:rFonts w:ascii="宋体" w:hAnsi="宋体" w:eastAsia="宋体" w:cs="Times New Roman"/>
          <w:spacing w:val="6"/>
          <w:kern w:val="2"/>
          <w:sz w:val="21"/>
        </w:rPr>
        <w:t>日期：</w:t>
      </w:r>
    </w:p>
    <w:p w14:paraId="2C74C80B">
      <w:pPr>
        <w:widowControl/>
        <w:spacing w:line="360" w:lineRule="auto"/>
        <w:ind w:firstLine="420" w:firstLineChars="200"/>
        <w:jc w:val="left"/>
        <w:rPr>
          <w:color w:val="000000"/>
          <w:szCs w:val="21"/>
        </w:rPr>
      </w:pPr>
      <w:r>
        <w:rPr>
          <w:rFonts w:hint="eastAsia"/>
          <w:lang w:val="zh-CN"/>
        </w:rPr>
        <w:br w:type="page"/>
      </w:r>
    </w:p>
    <w:p w14:paraId="172B1DA6">
      <w:pPr>
        <w:widowControl/>
        <w:spacing w:line="360" w:lineRule="auto"/>
        <w:jc w:val="center"/>
        <w:rPr>
          <w:rFonts w:hint="eastAsia" w:ascii="宋体" w:hAnsi="宋体" w:cs="宋体"/>
          <w:b/>
          <w:color w:val="000000"/>
          <w:kern w:val="0"/>
          <w:sz w:val="30"/>
          <w:szCs w:val="30"/>
          <w:lang w:val="zh-CN"/>
        </w:rPr>
      </w:pPr>
      <w:r>
        <w:rPr>
          <w:rFonts w:hint="eastAsia" w:ascii="宋体" w:hAnsi="宋体" w:cs="宋体"/>
          <w:b/>
          <w:color w:val="000000"/>
          <w:kern w:val="0"/>
          <w:sz w:val="30"/>
          <w:szCs w:val="30"/>
          <w:lang w:val="zh-CN"/>
        </w:rPr>
        <w:t>关于本国产品成本比例的声明函</w:t>
      </w:r>
    </w:p>
    <w:p w14:paraId="6C1D2000">
      <w:pPr>
        <w:widowControl/>
        <w:spacing w:line="360" w:lineRule="auto"/>
        <w:jc w:val="center"/>
        <w:rPr>
          <w:rFonts w:hint="eastAsia" w:ascii="宋体" w:hAnsi="宋体" w:cs="宋体"/>
          <w:b/>
          <w:color w:val="000000"/>
          <w:kern w:val="0"/>
          <w:sz w:val="24"/>
          <w:lang w:val="zh-CN"/>
        </w:rPr>
      </w:pPr>
      <w:r>
        <w:rPr>
          <w:rFonts w:hint="eastAsia" w:ascii="宋体" w:hAnsi="宋体" w:cs="宋体"/>
          <w:b/>
          <w:color w:val="000000"/>
          <w:kern w:val="0"/>
          <w:sz w:val="24"/>
          <w:lang w:val="zh-CN"/>
        </w:rPr>
        <w:t>（当采购项目或者采购包中含有多种产品时）</w:t>
      </w:r>
    </w:p>
    <w:p w14:paraId="346190C5">
      <w:pPr>
        <w:snapToGrid w:val="0"/>
        <w:spacing w:line="360" w:lineRule="auto"/>
        <w:ind w:firstLine="504" w:firstLineChars="200"/>
        <w:rPr>
          <w:rFonts w:hint="eastAsia" w:ascii="宋体" w:hAnsi="宋体" w:cs="宋体"/>
          <w:color w:val="000000"/>
          <w:spacing w:val="6"/>
          <w:kern w:val="0"/>
          <w:sz w:val="24"/>
        </w:rPr>
      </w:pPr>
    </w:p>
    <w:p w14:paraId="1DFB9748">
      <w:pPr>
        <w:snapToGrid w:val="0"/>
        <w:spacing w:line="360" w:lineRule="auto"/>
        <w:ind w:firstLine="464" w:firstLineChars="200"/>
        <w:rPr>
          <w:rFonts w:hint="eastAsia" w:ascii="宋体" w:hAnsi="宋体" w:cs="宋体"/>
          <w:color w:val="000000"/>
          <w:spacing w:val="6"/>
          <w:kern w:val="0"/>
          <w:sz w:val="22"/>
          <w:szCs w:val="22"/>
        </w:rPr>
      </w:pPr>
      <w:r>
        <w:rPr>
          <w:rFonts w:hint="eastAsia" w:ascii="宋体" w:hAnsi="宋体" w:cs="宋体"/>
          <w:color w:val="000000"/>
          <w:spacing w:val="6"/>
          <w:kern w:val="0"/>
          <w:sz w:val="22"/>
          <w:szCs w:val="22"/>
        </w:rPr>
        <w:t>本公司（单位）郑重声明，根据《国务院办公厅关于在政府采购中实施本国产品标准及相关政策的通知》（国办发〔2025〕34号）的规定，本公司（单位）提供的符合本国产品标准的产品成本之和占提供的全部产品成本之和的比例达到</w:t>
      </w:r>
      <w:r>
        <w:rPr>
          <w:rFonts w:hint="eastAsia" w:ascii="宋体" w:hAnsi="宋体" w:cs="宋体"/>
          <w:color w:val="000000"/>
          <w:spacing w:val="6"/>
          <w:kern w:val="0"/>
          <w:sz w:val="22"/>
          <w:szCs w:val="22"/>
          <w:u w:val="single"/>
        </w:rPr>
        <w:t xml:space="preserve">    </w:t>
      </w:r>
      <w:r>
        <w:rPr>
          <w:rFonts w:hint="eastAsia" w:ascii="宋体" w:hAnsi="宋体" w:cs="宋体"/>
          <w:color w:val="000000"/>
          <w:spacing w:val="6"/>
          <w:kern w:val="0"/>
          <w:sz w:val="22"/>
          <w:szCs w:val="22"/>
        </w:rPr>
        <w:t>%。</w:t>
      </w:r>
    </w:p>
    <w:p w14:paraId="57E76418">
      <w:pPr>
        <w:snapToGrid w:val="0"/>
        <w:spacing w:line="360" w:lineRule="auto"/>
        <w:ind w:firstLine="464" w:firstLineChars="200"/>
        <w:rPr>
          <w:rFonts w:hint="eastAsia" w:ascii="宋体" w:hAnsi="宋体" w:cs="宋体"/>
          <w:color w:val="000000"/>
          <w:spacing w:val="6"/>
          <w:kern w:val="0"/>
          <w:sz w:val="22"/>
          <w:szCs w:val="22"/>
        </w:rPr>
      </w:pPr>
      <w:r>
        <w:rPr>
          <w:rFonts w:hint="eastAsia" w:ascii="宋体" w:hAnsi="宋体" w:cs="宋体"/>
          <w:color w:val="000000"/>
          <w:spacing w:val="6"/>
          <w:kern w:val="0"/>
          <w:sz w:val="22"/>
          <w:szCs w:val="22"/>
        </w:rPr>
        <w:t>本公司（单位）对上述声明内容的真实性负责。如有虚假，愿承担相应法律责任。</w:t>
      </w:r>
    </w:p>
    <w:p w14:paraId="62F7DCBC">
      <w:pPr>
        <w:snapToGrid w:val="0"/>
        <w:spacing w:line="360" w:lineRule="auto"/>
        <w:ind w:firstLine="504" w:firstLineChars="200"/>
        <w:rPr>
          <w:rFonts w:hint="eastAsia" w:ascii="宋体" w:hAnsi="宋体" w:cs="宋体"/>
          <w:color w:val="000000"/>
          <w:spacing w:val="6"/>
          <w:kern w:val="0"/>
          <w:sz w:val="24"/>
        </w:rPr>
      </w:pPr>
    </w:p>
    <w:p w14:paraId="59DC0757">
      <w:pPr>
        <w:spacing w:line="360" w:lineRule="auto"/>
      </w:pPr>
      <w:r>
        <w:rPr>
          <w:rFonts w:hint="eastAsia"/>
        </w:rPr>
        <w:t>注：当采购项目或者采购包中含有多种产品，供应商为该采购项目或者采购包提供的符合本国产品 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691275C9">
      <w:pPr>
        <w:spacing w:line="360" w:lineRule="auto"/>
        <w:ind w:firstLine="4800" w:firstLineChars="2000"/>
        <w:rPr>
          <w:rFonts w:hint="eastAsia" w:ascii="宋体" w:hAnsi="宋体" w:cs="宋体"/>
          <w:color w:val="000000"/>
          <w:sz w:val="24"/>
        </w:rPr>
      </w:pPr>
    </w:p>
    <w:p w14:paraId="043D906A">
      <w:pPr>
        <w:spacing w:line="360" w:lineRule="auto"/>
        <w:ind w:firstLine="4800" w:firstLineChars="2000"/>
        <w:rPr>
          <w:rFonts w:hint="eastAsia" w:ascii="宋体" w:hAnsi="宋体" w:cs="宋体"/>
          <w:color w:val="000000"/>
          <w:sz w:val="24"/>
        </w:rPr>
      </w:pPr>
    </w:p>
    <w:p w14:paraId="48D9F7AB">
      <w:pPr>
        <w:pStyle w:val="54"/>
        <w:ind w:firstLine="444"/>
        <w:rPr>
          <w:rFonts w:hint="eastAsia" w:ascii="宋体" w:hAnsi="宋体" w:eastAsia="宋体" w:cs="Times New Roman"/>
          <w:spacing w:val="6"/>
          <w:kern w:val="2"/>
          <w:sz w:val="21"/>
        </w:rPr>
      </w:pPr>
      <w:r>
        <w:rPr>
          <w:rFonts w:ascii="宋体" w:hAnsi="宋体" w:eastAsia="宋体" w:cs="Times New Roman"/>
          <w:spacing w:val="6"/>
          <w:kern w:val="2"/>
          <w:sz w:val="21"/>
        </w:rPr>
        <w:t xml:space="preserve">供应商（盖章）： </w:t>
      </w:r>
    </w:p>
    <w:p w14:paraId="6CFF27B2">
      <w:pPr>
        <w:pStyle w:val="54"/>
        <w:ind w:firstLine="444"/>
        <w:rPr>
          <w:rFonts w:hint="eastAsia" w:ascii="宋体" w:hAnsi="宋体" w:eastAsia="宋体" w:cs="Times New Roman"/>
          <w:spacing w:val="6"/>
          <w:kern w:val="2"/>
          <w:sz w:val="21"/>
        </w:rPr>
      </w:pPr>
      <w:r>
        <w:rPr>
          <w:rFonts w:ascii="宋体" w:hAnsi="宋体" w:eastAsia="宋体" w:cs="Times New Roman"/>
          <w:spacing w:val="6"/>
          <w:kern w:val="2"/>
          <w:sz w:val="21"/>
        </w:rPr>
        <w:t>日期：</w:t>
      </w:r>
    </w:p>
    <w:p w14:paraId="13A2C9EF">
      <w:pPr>
        <w:rPr>
          <w:rFonts w:hint="eastAsia" w:ascii="宋体" w:hAnsi="宋体"/>
          <w:spacing w:val="6"/>
          <w:szCs w:val="21"/>
        </w:rPr>
      </w:pPr>
      <w:r>
        <w:rPr>
          <w:rFonts w:ascii="宋体" w:hAnsi="宋体"/>
          <w:spacing w:val="6"/>
          <w:szCs w:val="21"/>
        </w:rPr>
        <w:br w:type="page"/>
      </w:r>
    </w:p>
    <w:p w14:paraId="67298973">
      <w:pPr>
        <w:widowControl/>
        <w:rPr>
          <w:rFonts w:hint="eastAsia" w:ascii="宋体" w:hAnsi="宋体" w:cs="宋体"/>
          <w:b/>
          <w:bCs/>
          <w:color w:val="000000"/>
          <w:szCs w:val="21"/>
        </w:rPr>
      </w:pPr>
    </w:p>
    <w:p w14:paraId="3F8AE063">
      <w:pPr>
        <w:keepNext/>
        <w:keepLines/>
        <w:jc w:val="left"/>
        <w:outlineLvl w:val="1"/>
        <w:rPr>
          <w:rFonts w:hint="eastAsia" w:ascii="宋体" w:hAnsi="宋体" w:cs="宋体"/>
          <w:b/>
          <w:color w:val="000000"/>
          <w:sz w:val="32"/>
          <w:szCs w:val="32"/>
        </w:rPr>
      </w:pPr>
      <w:r>
        <w:rPr>
          <w:rFonts w:hint="eastAsia" w:ascii="宋体" w:hAnsi="宋体" w:cs="宋体"/>
          <w:b/>
          <w:bCs/>
          <w:color w:val="000000"/>
          <w:sz w:val="28"/>
          <w:szCs w:val="28"/>
        </w:rPr>
        <w:t>附：</w:t>
      </w:r>
      <w:r>
        <w:rPr>
          <w:rStyle w:val="47"/>
          <w:rFonts w:hint="eastAsia" w:ascii="宋体" w:hAnsi="宋体" w:cs="宋体"/>
          <w:bCs w:val="0"/>
          <w:color w:val="000000"/>
          <w:sz w:val="32"/>
          <w:szCs w:val="32"/>
          <w:shd w:val="clear" w:color="auto" w:fill="FFFFFF"/>
        </w:rPr>
        <w:t>中国境内生产的组件成本核算基本规则</w:t>
      </w:r>
    </w:p>
    <w:p w14:paraId="4DCF071D">
      <w:pPr>
        <w:pStyle w:val="39"/>
        <w:shd w:val="clear" w:color="auto" w:fill="FFFFFF"/>
        <w:spacing w:before="30" w:beforeAutospacing="0" w:after="30" w:afterAutospacing="0" w:line="360" w:lineRule="auto"/>
        <w:rPr>
          <w:rFonts w:cs="宋体"/>
          <w:color w:val="000000"/>
        </w:rPr>
      </w:pPr>
    </w:p>
    <w:p w14:paraId="1A50B283">
      <w:pPr>
        <w:pStyle w:val="39"/>
        <w:shd w:val="clear" w:color="auto" w:fill="FFFFFF"/>
        <w:spacing w:before="30" w:beforeAutospacing="0" w:after="30" w:afterAutospacing="0" w:line="360" w:lineRule="auto"/>
        <w:ind w:firstLine="420"/>
        <w:rPr>
          <w:rFonts w:cs="宋体"/>
          <w:color w:val="000000"/>
        </w:rPr>
      </w:pPr>
      <w:r>
        <w:rPr>
          <w:rFonts w:hint="eastAsia" w:cs="宋体"/>
          <w:color w:val="000000"/>
          <w:shd w:val="clear" w:color="auto" w:fill="FFFFFF"/>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4DD104D">
      <w:pPr>
        <w:pStyle w:val="39"/>
        <w:shd w:val="clear" w:color="auto" w:fill="FFFFFF"/>
        <w:spacing w:before="30" w:beforeAutospacing="0" w:after="30" w:afterAutospacing="0" w:line="360" w:lineRule="auto"/>
        <w:ind w:firstLine="420"/>
        <w:rPr>
          <w:rFonts w:cs="宋体"/>
          <w:color w:val="000000"/>
        </w:rPr>
      </w:pPr>
      <w:r>
        <w:rPr>
          <w:rFonts w:hint="eastAsia" w:cs="宋体"/>
          <w:color w:val="000000"/>
          <w:shd w:val="clear" w:color="auto" w:fill="FFFFFF"/>
        </w:rPr>
        <w:t>一、产品的一级组件是指直接组成产品的组件。产品的二级组件是指直接组成产品一级组件的组件。一级组件不可分解的，视同二级组件。</w:t>
      </w:r>
    </w:p>
    <w:p w14:paraId="4FC7231A">
      <w:pPr>
        <w:pStyle w:val="39"/>
        <w:shd w:val="clear" w:color="auto" w:fill="FFFFFF"/>
        <w:spacing w:before="30" w:beforeAutospacing="0" w:after="30" w:afterAutospacing="0" w:line="360" w:lineRule="auto"/>
        <w:ind w:firstLine="420"/>
        <w:rPr>
          <w:rFonts w:cs="宋体"/>
          <w:color w:val="000000"/>
        </w:rPr>
      </w:pPr>
      <w:r>
        <w:rPr>
          <w:rFonts w:hint="eastAsia" w:cs="宋体"/>
          <w:color w:val="000000"/>
          <w:shd w:val="clear" w:color="auto" w:fill="FFFFFF"/>
        </w:rPr>
        <w:t>二、二级组件在中国境内生产的，其全部成本计入中国境内生产的组件成本；二级组件不在中国境内生产的，其成本不计入中国境内生产的组件成本。</w:t>
      </w:r>
    </w:p>
    <w:p w14:paraId="259A8113">
      <w:pPr>
        <w:pStyle w:val="39"/>
        <w:shd w:val="clear" w:color="auto" w:fill="FFFFFF"/>
        <w:spacing w:before="30" w:beforeAutospacing="0" w:after="30" w:afterAutospacing="0" w:line="360" w:lineRule="auto"/>
        <w:ind w:firstLine="420"/>
        <w:rPr>
          <w:rFonts w:cs="宋体"/>
          <w:color w:val="000000"/>
        </w:rPr>
      </w:pPr>
      <w:r>
        <w:rPr>
          <w:rFonts w:hint="eastAsia" w:cs="宋体"/>
          <w:color w:val="000000"/>
          <w:shd w:val="clear" w:color="auto" w:fill="FFFFFF"/>
        </w:rPr>
        <w:t>三、产品总成本和组件成本以相关会计核算数据、采购合同、进货记录等为基础进行计算。</w:t>
      </w:r>
    </w:p>
    <w:p w14:paraId="33568D92">
      <w:pPr>
        <w:pStyle w:val="39"/>
        <w:shd w:val="clear" w:color="auto" w:fill="FFFFFF"/>
        <w:spacing w:before="30" w:beforeAutospacing="0" w:after="30" w:afterAutospacing="0" w:line="360" w:lineRule="auto"/>
        <w:ind w:firstLine="420"/>
        <w:rPr>
          <w:rFonts w:cs="宋体"/>
          <w:color w:val="000000"/>
        </w:rPr>
      </w:pPr>
      <w:r>
        <w:rPr>
          <w:rFonts w:hint="eastAsia" w:cs="宋体"/>
          <w:color w:val="000000"/>
          <w:shd w:val="clear" w:color="auto" w:fill="FFFFFF"/>
        </w:rPr>
        <w:t>四、需要对成本核算规则予以进一步明确的其他有关事项，由财政部会同有关部门另行规定。</w:t>
      </w:r>
    </w:p>
    <w:p w14:paraId="1A81E173">
      <w:pPr>
        <w:pStyle w:val="54"/>
        <w:ind w:firstLine="444"/>
        <w:rPr>
          <w:rFonts w:hint="eastAsia" w:ascii="宋体" w:hAnsi="宋体" w:eastAsia="宋体" w:cs="Times New Roman"/>
          <w:spacing w:val="6"/>
          <w:kern w:val="2"/>
          <w:sz w:val="21"/>
          <w:lang w:val="zh-CN"/>
        </w:rPr>
      </w:pPr>
    </w:p>
    <w:p w14:paraId="03B2B03A">
      <w:pPr>
        <w:snapToGrid w:val="0"/>
        <w:spacing w:line="360" w:lineRule="auto"/>
        <w:jc w:val="center"/>
        <w:rPr>
          <w:rFonts w:hint="eastAsia" w:ascii="宋体" w:hAnsi="宋体" w:cs="宋体"/>
          <w:b/>
          <w:bCs/>
          <w:sz w:val="28"/>
          <w:szCs w:val="28"/>
        </w:rPr>
      </w:pPr>
      <w:r>
        <w:rPr>
          <w:rFonts w:eastAsia="仿宋"/>
          <w:color w:val="000000"/>
        </w:rPr>
        <w:br w:type="page"/>
      </w:r>
      <w:r>
        <w:rPr>
          <w:rFonts w:hint="eastAsia" w:ascii="宋体" w:hAnsi="宋体" w:cs="宋体"/>
          <w:b/>
          <w:color w:val="000000"/>
          <w:sz w:val="32"/>
          <w:szCs w:val="32"/>
        </w:rPr>
        <w:t>四、电子备份投标文件</w:t>
      </w:r>
    </w:p>
    <w:p w14:paraId="791F646D">
      <w:pPr>
        <w:snapToGrid w:val="0"/>
        <w:spacing w:line="360" w:lineRule="auto"/>
        <w:rPr>
          <w:rFonts w:hint="eastAsia" w:ascii="宋体" w:hAnsi="宋体" w:cs="宋体"/>
          <w:szCs w:val="21"/>
        </w:rPr>
      </w:pPr>
    </w:p>
    <w:p w14:paraId="445CB51D">
      <w:pPr>
        <w:snapToGrid w:val="0"/>
        <w:spacing w:line="360" w:lineRule="auto"/>
        <w:ind w:firstLine="210" w:firstLineChars="100"/>
        <w:rPr>
          <w:rFonts w:hint="eastAsia" w:ascii="宋体" w:hAnsi="宋体" w:cs="宋体"/>
          <w:b/>
          <w:sz w:val="28"/>
          <w:szCs w:val="28"/>
          <w:lang w:bidi="ar"/>
        </w:rPr>
      </w:pPr>
      <w:r>
        <w:rPr>
          <w:rFonts w:hint="eastAsia" w:ascii="宋体" w:hAnsi="宋体" w:cs="宋体"/>
          <w:szCs w:val="21"/>
        </w:rPr>
        <w:t>电子备份投标文件</w:t>
      </w:r>
      <w:r>
        <w:rPr>
          <w:rFonts w:hint="eastAsia" w:ascii="宋体" w:hAnsi="宋体" w:cs="宋体"/>
        </w:rPr>
        <w:t>的外包装封面格式：</w:t>
      </w:r>
    </w:p>
    <w:p w14:paraId="339CFBC4">
      <w:pPr>
        <w:snapToGrid w:val="0"/>
        <w:spacing w:line="360" w:lineRule="auto"/>
        <w:jc w:val="center"/>
        <w:rPr>
          <w:rFonts w:hint="eastAsia" w:ascii="宋体" w:hAnsi="宋体" w:cs="宋体"/>
          <w:sz w:val="40"/>
          <w:szCs w:val="40"/>
        </w:rPr>
      </w:pPr>
    </w:p>
    <w:p w14:paraId="28736D10">
      <w:pPr>
        <w:snapToGrid w:val="0"/>
        <w:spacing w:line="360" w:lineRule="auto"/>
        <w:jc w:val="center"/>
        <w:rPr>
          <w:rFonts w:hint="eastAsia" w:ascii="宋体" w:hAnsi="宋体" w:cs="宋体"/>
          <w:sz w:val="40"/>
          <w:szCs w:val="40"/>
        </w:rPr>
      </w:pPr>
      <w:r>
        <w:rPr>
          <w:rFonts w:hint="eastAsia" w:ascii="宋体" w:hAnsi="宋体" w:cs="宋体"/>
          <w:sz w:val="40"/>
          <w:szCs w:val="40"/>
        </w:rPr>
        <w:t>电子备份投标文件</w:t>
      </w:r>
    </w:p>
    <w:p w14:paraId="6F2BD700">
      <w:pPr>
        <w:pStyle w:val="2"/>
      </w:pPr>
    </w:p>
    <w:p w14:paraId="7FE4132E">
      <w:pPr>
        <w:spacing w:line="480" w:lineRule="auto"/>
        <w:ind w:firstLine="1080" w:firstLineChars="450"/>
        <w:rPr>
          <w:rFonts w:hint="eastAsia" w:ascii="宋体" w:hAnsi="宋体" w:cs="宋体"/>
          <w:bCs/>
          <w:sz w:val="24"/>
        </w:rPr>
      </w:pPr>
      <w:r>
        <w:rPr>
          <w:rFonts w:hint="eastAsia" w:ascii="宋体" w:hAnsi="宋体" w:cs="宋体"/>
          <w:bCs/>
          <w:sz w:val="24"/>
          <w:lang w:bidi="ar"/>
        </w:rPr>
        <w:t>项目名称：</w:t>
      </w:r>
      <w:r>
        <w:rPr>
          <w:rFonts w:hint="eastAsia" w:ascii="宋体" w:hAnsi="宋体" w:cs="宋体"/>
          <w:bCs/>
          <w:i/>
          <w:sz w:val="24"/>
          <w:u w:val="single"/>
          <w:lang w:bidi="ar"/>
        </w:rPr>
        <w:t xml:space="preserve"> </w:t>
      </w:r>
      <w:r>
        <w:rPr>
          <w:rFonts w:hint="eastAsia" w:ascii="宋体" w:hAnsi="宋体" w:cs="宋体"/>
          <w:bCs/>
          <w:sz w:val="24"/>
          <w:u w:val="single"/>
        </w:rPr>
        <w:t xml:space="preserve">                                             </w:t>
      </w:r>
    </w:p>
    <w:p w14:paraId="6BC0D966">
      <w:pPr>
        <w:spacing w:line="480" w:lineRule="auto"/>
        <w:ind w:firstLine="1080" w:firstLineChars="450"/>
        <w:rPr>
          <w:rFonts w:hint="eastAsia" w:ascii="宋体" w:hAnsi="宋体" w:cs="宋体"/>
          <w:bCs/>
          <w:sz w:val="24"/>
        </w:rPr>
      </w:pPr>
      <w:r>
        <w:rPr>
          <w:rFonts w:hint="eastAsia" w:ascii="宋体" w:hAnsi="宋体" w:cs="宋体"/>
          <w:bCs/>
          <w:sz w:val="24"/>
          <w:lang w:bidi="ar"/>
        </w:rPr>
        <w:t>项目编号：</w:t>
      </w:r>
      <w:r>
        <w:rPr>
          <w:rFonts w:hint="eastAsia" w:ascii="宋体" w:hAnsi="宋体" w:cs="宋体"/>
          <w:bCs/>
          <w:sz w:val="24"/>
          <w:u w:val="single"/>
        </w:rPr>
        <w:t xml:space="preserve">                                              </w:t>
      </w:r>
      <w:r>
        <w:rPr>
          <w:rFonts w:hint="eastAsia" w:ascii="宋体" w:hAnsi="宋体" w:cs="宋体"/>
          <w:bCs/>
          <w:sz w:val="24"/>
          <w:lang w:bidi="ar"/>
        </w:rPr>
        <w:t xml:space="preserve">  </w:t>
      </w:r>
    </w:p>
    <w:p w14:paraId="60610A79">
      <w:pPr>
        <w:spacing w:line="480" w:lineRule="auto"/>
        <w:ind w:firstLine="1080" w:firstLineChars="450"/>
        <w:rPr>
          <w:rFonts w:hint="eastAsia" w:ascii="宋体" w:hAnsi="宋体" w:cs="宋体"/>
          <w:bCs/>
          <w:sz w:val="24"/>
          <w:u w:val="single"/>
          <w:lang w:bidi="ar"/>
        </w:rPr>
      </w:pPr>
      <w:r>
        <w:rPr>
          <w:rFonts w:hint="eastAsia" w:ascii="宋体" w:hAnsi="宋体" w:cs="宋体"/>
          <w:bCs/>
          <w:sz w:val="24"/>
          <w:lang w:bidi="ar"/>
        </w:rPr>
        <w:t>投标人名称：</w:t>
      </w:r>
      <w:r>
        <w:rPr>
          <w:rFonts w:hint="eastAsia" w:ascii="宋体" w:hAnsi="宋体" w:cs="宋体"/>
          <w:bCs/>
          <w:sz w:val="24"/>
          <w:u w:val="single"/>
          <w:lang w:bidi="ar"/>
        </w:rPr>
        <w:t xml:space="preserve">        </w:t>
      </w:r>
      <w:r>
        <w:rPr>
          <w:rFonts w:hint="eastAsia" w:ascii="宋体" w:hAnsi="宋体" w:cs="宋体"/>
          <w:bCs/>
          <w:sz w:val="24"/>
          <w:u w:val="single"/>
        </w:rPr>
        <w:t xml:space="preserve">[填写单位名称并盖章] </w:t>
      </w:r>
      <w:r>
        <w:rPr>
          <w:rFonts w:hint="eastAsia" w:ascii="宋体" w:hAnsi="宋体" w:cs="宋体"/>
          <w:bCs/>
          <w:sz w:val="24"/>
          <w:u w:val="single"/>
          <w:lang w:bidi="ar"/>
        </w:rPr>
        <w:t xml:space="preserve">            </w:t>
      </w:r>
    </w:p>
    <w:p w14:paraId="05DBBDDF">
      <w:pPr>
        <w:spacing w:line="480" w:lineRule="auto"/>
        <w:ind w:firstLine="1080" w:firstLineChars="450"/>
        <w:rPr>
          <w:rFonts w:hint="eastAsia" w:ascii="宋体" w:hAnsi="宋体" w:cs="宋体"/>
          <w:bCs/>
          <w:sz w:val="24"/>
          <w:lang w:bidi="ar"/>
        </w:rPr>
      </w:pPr>
      <w:r>
        <w:rPr>
          <w:rFonts w:hint="eastAsia" w:ascii="宋体" w:hAnsi="宋体" w:cs="宋体"/>
          <w:bCs/>
          <w:sz w:val="24"/>
          <w:lang w:bidi="ar"/>
        </w:rPr>
        <w:t xml:space="preserve">标项： </w:t>
      </w:r>
      <w:r>
        <w:rPr>
          <w:rFonts w:hint="eastAsia" w:ascii="宋体" w:hAnsi="宋体" w:cs="宋体"/>
          <w:bCs/>
          <w:sz w:val="24"/>
          <w:u w:val="single"/>
          <w:lang w:bidi="ar"/>
        </w:rPr>
        <w:t xml:space="preserve">     1     </w:t>
      </w:r>
    </w:p>
    <w:p w14:paraId="5A0FB56E">
      <w:pPr>
        <w:snapToGrid w:val="0"/>
        <w:spacing w:line="480" w:lineRule="auto"/>
        <w:ind w:firstLine="1080" w:firstLineChars="450"/>
        <w:rPr>
          <w:rFonts w:hint="eastAsia" w:ascii="宋体" w:hAnsi="宋体" w:cs="宋体"/>
          <w:bCs/>
          <w:sz w:val="24"/>
        </w:rPr>
      </w:pPr>
      <w:r>
        <w:rPr>
          <w:rFonts w:hint="eastAsia" w:ascii="宋体" w:hAnsi="宋体" w:cs="宋体"/>
          <w:bCs/>
          <w:sz w:val="24"/>
          <w:lang w:bidi="ar"/>
        </w:rPr>
        <w:t>供应商地址：</w:t>
      </w:r>
      <w:r>
        <w:rPr>
          <w:rFonts w:hint="eastAsia" w:ascii="宋体" w:hAnsi="宋体" w:cs="宋体"/>
          <w:bCs/>
          <w:sz w:val="24"/>
          <w:u w:val="single"/>
          <w:lang w:bidi="ar"/>
        </w:rPr>
        <w:t xml:space="preserve">                                       </w:t>
      </w:r>
    </w:p>
    <w:p w14:paraId="27B01740">
      <w:pPr>
        <w:snapToGrid w:val="0"/>
        <w:spacing w:line="480" w:lineRule="auto"/>
        <w:ind w:firstLine="1080" w:firstLineChars="450"/>
        <w:rPr>
          <w:rFonts w:hint="eastAsia" w:ascii="宋体" w:hAnsi="宋体" w:cs="宋体"/>
          <w:sz w:val="24"/>
        </w:rPr>
      </w:pPr>
      <w:r>
        <w:rPr>
          <w:rFonts w:hint="eastAsia" w:ascii="宋体" w:hAnsi="宋体" w:cs="宋体"/>
          <w:bCs/>
          <w:sz w:val="24"/>
          <w:lang w:bidi="ar"/>
        </w:rPr>
        <w:t>法定代表人或其被授权代表</w:t>
      </w:r>
      <w:r>
        <w:rPr>
          <w:rFonts w:hint="eastAsia" w:ascii="宋体" w:hAnsi="宋体" w:cs="宋体"/>
          <w:sz w:val="24"/>
        </w:rPr>
        <w:t>：</w:t>
      </w:r>
      <w:r>
        <w:rPr>
          <w:rFonts w:hint="eastAsia" w:ascii="宋体" w:hAnsi="宋体" w:cs="宋体"/>
          <w:bCs/>
          <w:sz w:val="24"/>
          <w:u w:val="single"/>
        </w:rPr>
        <w:t xml:space="preserve">     [签字或盖章]           </w:t>
      </w:r>
    </w:p>
    <w:p w14:paraId="2978C75F">
      <w:pPr>
        <w:snapToGrid w:val="0"/>
        <w:spacing w:line="360" w:lineRule="auto"/>
        <w:jc w:val="center"/>
        <w:rPr>
          <w:rFonts w:hint="eastAsia" w:ascii="宋体" w:hAnsi="宋体" w:cs="宋体"/>
          <w:bCs/>
          <w:sz w:val="24"/>
          <w:lang w:bidi="ar"/>
        </w:rPr>
      </w:pPr>
      <w:r>
        <w:rPr>
          <w:rFonts w:hint="eastAsia" w:ascii="宋体" w:hAnsi="宋体" w:cs="宋体"/>
          <w:bCs/>
          <w:sz w:val="24"/>
          <w:lang w:bidi="ar"/>
        </w:rPr>
        <w:t>年  月  日</w:t>
      </w:r>
    </w:p>
    <w:p w14:paraId="1985482D">
      <w:pPr>
        <w:rPr>
          <w:color w:val="000000"/>
        </w:rPr>
      </w:pPr>
    </w:p>
    <w:sectPr>
      <w:headerReference r:id="rId15" w:type="default"/>
      <w:footerReference r:id="rId16" w:type="default"/>
      <w:pgSz w:w="11907" w:h="16840"/>
      <w:pgMar w:top="1276" w:right="1474" w:bottom="1242" w:left="1474" w:header="720" w:footer="720" w:gutter="0"/>
      <w:cols w:space="720" w:num="1"/>
      <w:docGrid w:linePitch="28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华文楷体">
    <w:altName w:val="宋体"/>
    <w:panose1 w:val="02010600040101010101"/>
    <w:charset w:val="86"/>
    <w:family w:val="auto"/>
    <w:pitch w:val="default"/>
    <w:sig w:usb0="00000000" w:usb1="00000000" w:usb2="00000010" w:usb3="00000000" w:csb0="0004009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Helvetica">
    <w:altName w:val="Arial"/>
    <w:panose1 w:val="020B0504020202020204"/>
    <w:charset w:val="00"/>
    <w:family w:val="swiss"/>
    <w:pitch w:val="default"/>
    <w:sig w:usb0="00000000" w:usb1="00000000" w:usb2="00000000" w:usb3="00000000" w:csb0="00000000" w:csb1="00000000"/>
  </w:font>
  <w:font w:name="ヒラギノ角ゴ Pro W3">
    <w:altName w:val="Times New Roman"/>
    <w:panose1 w:val="00000000000000000000"/>
    <w:charset w:val="00"/>
    <w:family w:val="roman"/>
    <w:pitch w:val="default"/>
    <w:sig w:usb0="00000000" w:usb1="00000000" w:usb2="00000000" w:usb3="00000000" w:csb0="00040001" w:csb1="00000000"/>
  </w:font>
  <w:font w:name="Arial Unicode MS">
    <w:altName w:val="Malgun Gothic Semilight"/>
    <w:panose1 w:val="020B0604020202020204"/>
    <w:charset w:val="86"/>
    <w:family w:val="swiss"/>
    <w:pitch w:val="default"/>
    <w:sig w:usb0="00000000" w:usb1="00000000" w:usb2="0000003F" w:usb3="00000000" w:csb0="603F01FF" w:csb1="FFFF0000"/>
  </w:font>
  <w:font w:name="Malgun Gothic Semilight">
    <w:panose1 w:val="020B0502040204020203"/>
    <w:charset w:val="86"/>
    <w:family w:val="auto"/>
    <w:pitch w:val="default"/>
    <w:sig w:usb0="900002AF" w:usb1="01D77CFB" w:usb2="00000012" w:usb3="00000000" w:csb0="203E01BD" w:csb1="D7FF0000"/>
  </w:font>
  <w:font w:name="幼圆">
    <w:altName w:val="宋体"/>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99D22">
    <w:pPr>
      <w:pStyle w:val="26"/>
      <w:tabs>
        <w:tab w:val="center" w:pos="4479"/>
        <w:tab w:val="left" w:pos="640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426C2">
    <w:pPr>
      <w:pStyle w:val="26"/>
      <w:tabs>
        <w:tab w:val="center" w:pos="4479"/>
        <w:tab w:val="left" w:pos="6405"/>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D0493F">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MSHnA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MSHnAtAgAAVwQAAA4AAAAAAAAAAQAgAAAAHwEAAGRycy9lMm9Eb2MueG1sUEsFBgAAAAAG&#10;AAYAWQEAAL4FAAAAAA==&#10;">
              <v:fill on="f" focussize="0,0"/>
              <v:stroke on="f" weight="0.5pt"/>
              <v:imagedata o:title=""/>
              <o:lock v:ext="edit" aspectratio="f"/>
              <v:textbox inset="0mm,0mm,0mm,0mm" style="mso-fit-shape-to-text:t;">
                <w:txbxContent>
                  <w:p w14:paraId="4BD0493F">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02B6C">
    <w:pPr>
      <w:pStyle w:val="26"/>
      <w:tabs>
        <w:tab w:val="center" w:pos="4479"/>
        <w:tab w:val="left" w:pos="6405"/>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166AF9">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RKA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gfkSgKwIAAFcEAAAOAAAAAAAAAAEAIAAAAB8BAABkcnMvZTJvRG9jLnhtbFBLBQYAAAAABgAG&#10;AFkBAAC8BQAAAAA=&#10;">
              <v:fill on="f" focussize="0,0"/>
              <v:stroke on="f" weight="0.5pt"/>
              <v:imagedata o:title=""/>
              <o:lock v:ext="edit" aspectratio="f"/>
              <v:textbox inset="0mm,0mm,0mm,0mm" style="mso-fit-shape-to-text:t;">
                <w:txbxContent>
                  <w:p w14:paraId="04166AF9">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9C218">
    <w:pPr>
      <w:pStyle w:val="26"/>
      <w:tabs>
        <w:tab w:val="center" w:pos="4479"/>
        <w:tab w:val="left" w:pos="6405"/>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364FB1">
                          <w:pPr>
                            <w:pStyle w:val="26"/>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DKzo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Z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kDKzotAgAAVwQAAA4AAAAAAAAAAQAgAAAAHwEAAGRycy9lMm9Eb2MueG1sUEsFBgAAAAAG&#10;AAYAWQEAAL4FAAAAAA==&#10;">
              <v:fill on="f" focussize="0,0"/>
              <v:stroke on="f" weight="0.5pt"/>
              <v:imagedata o:title=""/>
              <o:lock v:ext="edit" aspectratio="f"/>
              <v:textbox inset="0mm,0mm,0mm,0mm" style="mso-fit-shape-to-text:t;">
                <w:txbxContent>
                  <w:p w14:paraId="3E364FB1">
                    <w:pPr>
                      <w:pStyle w:val="26"/>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B6F18">
    <w:pP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3A7DAA">
                          <w:pPr>
                            <w:pStyle w:val="26"/>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L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LgtAgAAVwQAAA4AAAAAAAAAAQAgAAAAHwEAAGRycy9lMm9Eb2MueG1sUEsFBgAAAAAG&#10;AAYAWQEAAL4FAAAAAA==&#10;">
              <v:fill on="f" focussize="0,0"/>
              <v:stroke on="f" weight="0.5pt"/>
              <v:imagedata o:title=""/>
              <o:lock v:ext="edit" aspectratio="f"/>
              <v:textbox inset="0mm,0mm,0mm,0mm" style="mso-fit-shape-to-text:t;">
                <w:txbxContent>
                  <w:p w14:paraId="283A7DAA">
                    <w:pPr>
                      <w:pStyle w:val="26"/>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1AC88">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2D4511">
                          <w:pPr>
                            <w:pStyle w:val="26"/>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2NaItAgAAVw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tX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Y2NaItAgAAVwQAAA4AAAAAAAAAAQAgAAAAHwEAAGRycy9lMm9Eb2MueG1sUEsFBgAAAAAG&#10;AAYAWQEAAL4FAAAAAA==&#10;">
              <v:fill on="f" focussize="0,0"/>
              <v:stroke on="f" weight="0.5pt"/>
              <v:imagedata o:title=""/>
              <o:lock v:ext="edit" aspectratio="f"/>
              <v:textbox inset="0mm,0mm,0mm,0mm" style="mso-fit-shape-to-text:t;">
                <w:txbxContent>
                  <w:p w14:paraId="2F2D4511">
                    <w:pPr>
                      <w:pStyle w:val="26"/>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78513">
    <w:pPr>
      <w:pStyle w:val="26"/>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F0A9C7">
                          <w:pPr>
                            <w:pStyle w:val="26"/>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57ZuItAgAAVw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57ZuItAgAAVwQAAA4AAAAAAAAAAQAgAAAAHwEAAGRycy9lMm9Eb2MueG1sUEsFBgAAAAAG&#10;AAYAWQEAAL4FAAAAAA==&#10;">
              <v:fill on="f" focussize="0,0"/>
              <v:stroke on="f" weight="0.5pt"/>
              <v:imagedata o:title=""/>
              <o:lock v:ext="edit" aspectratio="f"/>
              <v:textbox inset="0mm,0mm,0mm,0mm" style="mso-fit-shape-to-text:t;">
                <w:txbxContent>
                  <w:p w14:paraId="2CF0A9C7">
                    <w:pPr>
                      <w:pStyle w:val="26"/>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6C3D2">
    <w:pPr>
      <w:pStyle w:val="26"/>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0882BC">
                          <w:pPr>
                            <w:pStyle w:val="26"/>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gwGI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vX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7gwGItAgAAVwQAAA4AAAAAAAAAAQAgAAAAHwEAAGRycy9lMm9Eb2MueG1sUEsFBgAAAAAG&#10;AAYAWQEAAL4FAAAAAA==&#10;">
              <v:fill on="f" focussize="0,0"/>
              <v:stroke on="f" weight="0.5pt"/>
              <v:imagedata o:title=""/>
              <o:lock v:ext="edit" aspectratio="f"/>
              <v:textbox inset="0mm,0mm,0mm,0mm" style="mso-fit-shape-to-text:t;">
                <w:txbxContent>
                  <w:p w14:paraId="580882BC">
                    <w:pPr>
                      <w:pStyle w:val="26"/>
                    </w:pPr>
                    <w:r>
                      <w:fldChar w:fldCharType="begin"/>
                    </w:r>
                    <w:r>
                      <w:instrText xml:space="preserve"> PAGE  \* MERGEFORMAT </w:instrText>
                    </w:r>
                    <w:r>
                      <w:fldChar w:fldCharType="separate"/>
                    </w:r>
                    <w:r>
                      <w:t>82</w:t>
                    </w:r>
                    <w:r>
                      <w:fldChar w:fldCharType="end"/>
                    </w:r>
                  </w:p>
                </w:txbxContent>
              </v:textbox>
            </v:shape>
          </w:pict>
        </mc:Fallback>
      </mc:AlternateContent>
    </w:r>
  </w:p>
  <w:p w14:paraId="1F6335CB">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2E20E">
    <w:pPr>
      <w:pStyle w:val="2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B5757">
    <w:pPr>
      <w:pStyle w:val="40"/>
      <w:tabs>
        <w:tab w:val="center" w:pos="4535"/>
        <w:tab w:val="right" w:pos="9070"/>
      </w:tabs>
      <w:ind w:firstLine="180" w:firstLineChars="100"/>
      <w:jc w:val="both"/>
      <w:rPr>
        <w:rFonts w:ascii="仿宋_GB2312" w:eastAsia="仿宋_GB2312"/>
        <w:b w:val="0"/>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8CF1B">
    <w:pPr>
      <w:pStyle w:val="28"/>
      <w:pBdr>
        <w:bottom w:val="none" w:color="auto" w:sz="0" w:space="1"/>
      </w:pBdr>
      <w:tabs>
        <w:tab w:val="left" w:pos="5943"/>
      </w:tabs>
      <w:jc w:val="left"/>
    </w:pPr>
    <w:r>
      <w:rPr>
        <w:rFonts w:hint="eastAsia"/>
      </w:rPr>
      <w:tab/>
    </w: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97CA6">
    <w:pPr>
      <w:pStyle w:val="28"/>
      <w:pBdr>
        <w:bottom w:val="none" w:color="auto" w:sz="0" w:space="1"/>
      </w:pBdr>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0903F">
    <w:pPr>
      <w:pStyle w:val="28"/>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61A07">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76922"/>
    <w:multiLevelType w:val="singleLevel"/>
    <w:tmpl w:val="82676922"/>
    <w:lvl w:ilvl="0" w:tentative="0">
      <w:start w:val="1"/>
      <w:numFmt w:val="decimal"/>
      <w:lvlText w:val="%1."/>
      <w:lvlJc w:val="left"/>
      <w:pPr>
        <w:tabs>
          <w:tab w:val="left" w:pos="312"/>
        </w:tabs>
      </w:pPr>
    </w:lvl>
  </w:abstractNum>
  <w:abstractNum w:abstractNumId="1">
    <w:nsid w:val="839992E6"/>
    <w:multiLevelType w:val="singleLevel"/>
    <w:tmpl w:val="839992E6"/>
    <w:lvl w:ilvl="0" w:tentative="0">
      <w:start w:val="1"/>
      <w:numFmt w:val="decimal"/>
      <w:lvlText w:val="%1."/>
      <w:lvlJc w:val="left"/>
      <w:pPr>
        <w:tabs>
          <w:tab w:val="left" w:pos="312"/>
        </w:tabs>
      </w:pPr>
    </w:lvl>
  </w:abstractNum>
  <w:abstractNum w:abstractNumId="2">
    <w:nsid w:val="86939FBD"/>
    <w:multiLevelType w:val="singleLevel"/>
    <w:tmpl w:val="86939FBD"/>
    <w:lvl w:ilvl="0" w:tentative="0">
      <w:start w:val="1"/>
      <w:numFmt w:val="decimal"/>
      <w:lvlText w:val="%1."/>
      <w:lvlJc w:val="left"/>
      <w:pPr>
        <w:tabs>
          <w:tab w:val="left" w:pos="312"/>
        </w:tabs>
      </w:pPr>
    </w:lvl>
  </w:abstractNum>
  <w:abstractNum w:abstractNumId="3">
    <w:nsid w:val="9BD71AE9"/>
    <w:multiLevelType w:val="singleLevel"/>
    <w:tmpl w:val="9BD71AE9"/>
    <w:lvl w:ilvl="0" w:tentative="0">
      <w:start w:val="1"/>
      <w:numFmt w:val="decimal"/>
      <w:lvlText w:val="%1."/>
      <w:lvlJc w:val="left"/>
      <w:pPr>
        <w:tabs>
          <w:tab w:val="left" w:pos="312"/>
        </w:tabs>
      </w:pPr>
    </w:lvl>
  </w:abstractNum>
  <w:abstractNum w:abstractNumId="4">
    <w:nsid w:val="A82BDBFF"/>
    <w:multiLevelType w:val="singleLevel"/>
    <w:tmpl w:val="A82BDBFF"/>
    <w:lvl w:ilvl="0" w:tentative="0">
      <w:start w:val="1"/>
      <w:numFmt w:val="decimal"/>
      <w:lvlText w:val="%1."/>
      <w:lvlJc w:val="left"/>
      <w:pPr>
        <w:tabs>
          <w:tab w:val="left" w:pos="312"/>
        </w:tabs>
      </w:pPr>
    </w:lvl>
  </w:abstractNum>
  <w:abstractNum w:abstractNumId="5">
    <w:nsid w:val="B2134720"/>
    <w:multiLevelType w:val="singleLevel"/>
    <w:tmpl w:val="B2134720"/>
    <w:lvl w:ilvl="0" w:tentative="0">
      <w:start w:val="2"/>
      <w:numFmt w:val="chineseCounting"/>
      <w:suff w:val="space"/>
      <w:lvlText w:val="第%1部分"/>
      <w:lvlJc w:val="left"/>
      <w:rPr>
        <w:rFonts w:hint="eastAsia"/>
      </w:rPr>
    </w:lvl>
  </w:abstractNum>
  <w:abstractNum w:abstractNumId="6">
    <w:nsid w:val="B281BC9F"/>
    <w:multiLevelType w:val="singleLevel"/>
    <w:tmpl w:val="B281BC9F"/>
    <w:lvl w:ilvl="0" w:tentative="0">
      <w:start w:val="1"/>
      <w:numFmt w:val="decimal"/>
      <w:suff w:val="nothing"/>
      <w:lvlText w:val="%1、"/>
      <w:lvlJc w:val="left"/>
    </w:lvl>
  </w:abstractNum>
  <w:abstractNum w:abstractNumId="7">
    <w:nsid w:val="B9754D59"/>
    <w:multiLevelType w:val="singleLevel"/>
    <w:tmpl w:val="B9754D59"/>
    <w:lvl w:ilvl="0" w:tentative="0">
      <w:start w:val="1"/>
      <w:numFmt w:val="decimal"/>
      <w:lvlText w:val="%1."/>
      <w:lvlJc w:val="left"/>
      <w:pPr>
        <w:tabs>
          <w:tab w:val="left" w:pos="312"/>
        </w:tabs>
      </w:pPr>
    </w:lvl>
  </w:abstractNum>
  <w:abstractNum w:abstractNumId="8">
    <w:nsid w:val="D0E9FE66"/>
    <w:multiLevelType w:val="singleLevel"/>
    <w:tmpl w:val="D0E9FE66"/>
    <w:lvl w:ilvl="0" w:tentative="0">
      <w:start w:val="1"/>
      <w:numFmt w:val="decimal"/>
      <w:lvlText w:val="%1."/>
      <w:lvlJc w:val="left"/>
      <w:pPr>
        <w:tabs>
          <w:tab w:val="left" w:pos="312"/>
        </w:tabs>
      </w:pPr>
    </w:lvl>
  </w:abstractNum>
  <w:abstractNum w:abstractNumId="9">
    <w:nsid w:val="D2EF280F"/>
    <w:multiLevelType w:val="singleLevel"/>
    <w:tmpl w:val="D2EF280F"/>
    <w:lvl w:ilvl="0" w:tentative="0">
      <w:start w:val="1"/>
      <w:numFmt w:val="decimal"/>
      <w:lvlText w:val="%1."/>
      <w:lvlJc w:val="left"/>
      <w:pPr>
        <w:tabs>
          <w:tab w:val="left" w:pos="312"/>
        </w:tabs>
      </w:pPr>
    </w:lvl>
  </w:abstractNum>
  <w:abstractNum w:abstractNumId="10">
    <w:nsid w:val="E587743F"/>
    <w:multiLevelType w:val="singleLevel"/>
    <w:tmpl w:val="E587743F"/>
    <w:lvl w:ilvl="0" w:tentative="0">
      <w:start w:val="6"/>
      <w:numFmt w:val="decimal"/>
      <w:lvlText w:val="%1."/>
      <w:lvlJc w:val="left"/>
      <w:pPr>
        <w:tabs>
          <w:tab w:val="left" w:pos="312"/>
        </w:tabs>
      </w:pPr>
    </w:lvl>
  </w:abstractNum>
  <w:abstractNum w:abstractNumId="11">
    <w:nsid w:val="F5E80F08"/>
    <w:multiLevelType w:val="singleLevel"/>
    <w:tmpl w:val="F5E80F08"/>
    <w:lvl w:ilvl="0" w:tentative="0">
      <w:start w:val="23"/>
      <w:numFmt w:val="decimal"/>
      <w:suff w:val="space"/>
      <w:lvlText w:val="%1."/>
      <w:lvlJc w:val="left"/>
    </w:lvl>
  </w:abstractNum>
  <w:abstractNum w:abstractNumId="12">
    <w:nsid w:val="FC2DB04E"/>
    <w:multiLevelType w:val="singleLevel"/>
    <w:tmpl w:val="FC2DB04E"/>
    <w:lvl w:ilvl="0" w:tentative="0">
      <w:start w:val="1"/>
      <w:numFmt w:val="decimal"/>
      <w:lvlText w:val="%1."/>
      <w:lvlJc w:val="left"/>
      <w:pPr>
        <w:tabs>
          <w:tab w:val="left" w:pos="312"/>
        </w:tabs>
      </w:pPr>
    </w:lvl>
  </w:abstractNum>
  <w:abstractNum w:abstractNumId="13">
    <w:nsid w:val="00000003"/>
    <w:multiLevelType w:val="singleLevel"/>
    <w:tmpl w:val="00000003"/>
    <w:lvl w:ilvl="0" w:tentative="0">
      <w:start w:val="1"/>
      <w:numFmt w:val="decimal"/>
      <w:suff w:val="nothing"/>
      <w:lvlText w:val="%1、"/>
      <w:lvlJc w:val="left"/>
      <w:pPr>
        <w:tabs>
          <w:tab w:val="left" w:pos="0"/>
        </w:tabs>
        <w:ind w:left="0" w:firstLine="0"/>
      </w:pPr>
    </w:lvl>
  </w:abstractNum>
  <w:abstractNum w:abstractNumId="14">
    <w:nsid w:val="00000008"/>
    <w:multiLevelType w:val="singleLevel"/>
    <w:tmpl w:val="00000008"/>
    <w:lvl w:ilvl="0" w:tentative="0">
      <w:start w:val="1"/>
      <w:numFmt w:val="decimal"/>
      <w:pStyle w:val="10"/>
      <w:lvlText w:val="%1."/>
      <w:lvlJc w:val="left"/>
      <w:pPr>
        <w:tabs>
          <w:tab w:val="left" w:pos="2040"/>
        </w:tabs>
        <w:ind w:left="2040" w:hanging="360"/>
      </w:pPr>
    </w:lvl>
  </w:abstractNum>
  <w:abstractNum w:abstractNumId="15">
    <w:nsid w:val="00000009"/>
    <w:multiLevelType w:val="singleLevel"/>
    <w:tmpl w:val="00000009"/>
    <w:lvl w:ilvl="0" w:tentative="0">
      <w:start w:val="1"/>
      <w:numFmt w:val="decimal"/>
      <w:pStyle w:val="14"/>
      <w:lvlText w:val="%1."/>
      <w:lvlJc w:val="left"/>
      <w:pPr>
        <w:tabs>
          <w:tab w:val="left" w:pos="1620"/>
        </w:tabs>
        <w:ind w:left="1620" w:hanging="360"/>
      </w:pPr>
    </w:lvl>
  </w:abstractNum>
  <w:abstractNum w:abstractNumId="16">
    <w:nsid w:val="0000000A"/>
    <w:multiLevelType w:val="singleLevel"/>
    <w:tmpl w:val="0000000A"/>
    <w:lvl w:ilvl="0" w:tentative="0">
      <w:start w:val="1"/>
      <w:numFmt w:val="decimal"/>
      <w:pStyle w:val="11"/>
      <w:lvlText w:val="%1."/>
      <w:lvlJc w:val="left"/>
      <w:pPr>
        <w:tabs>
          <w:tab w:val="left" w:pos="780"/>
        </w:tabs>
        <w:ind w:left="780" w:hanging="360"/>
      </w:pPr>
    </w:lvl>
  </w:abstractNum>
  <w:abstractNum w:abstractNumId="17">
    <w:nsid w:val="0000000B"/>
    <w:multiLevelType w:val="singleLevel"/>
    <w:tmpl w:val="0000000B"/>
    <w:lvl w:ilvl="0" w:tentative="0">
      <w:start w:val="1"/>
      <w:numFmt w:val="bullet"/>
      <w:pStyle w:val="23"/>
      <w:lvlText w:val=""/>
      <w:lvlJc w:val="left"/>
      <w:pPr>
        <w:tabs>
          <w:tab w:val="left" w:pos="2040"/>
        </w:tabs>
        <w:ind w:left="2040" w:hanging="360"/>
      </w:pPr>
      <w:rPr>
        <w:rFonts w:hint="default" w:ascii="Wingdings" w:hAnsi="Wingdings"/>
      </w:rPr>
    </w:lvl>
  </w:abstractNum>
  <w:abstractNum w:abstractNumId="18">
    <w:nsid w:val="0000000C"/>
    <w:multiLevelType w:val="singleLevel"/>
    <w:tmpl w:val="0000000C"/>
    <w:lvl w:ilvl="0" w:tentative="0">
      <w:start w:val="1"/>
      <w:numFmt w:val="bullet"/>
      <w:pStyle w:val="17"/>
      <w:lvlText w:val=""/>
      <w:lvlJc w:val="left"/>
      <w:pPr>
        <w:tabs>
          <w:tab w:val="left" w:pos="1620"/>
        </w:tabs>
        <w:ind w:left="1620" w:hanging="360"/>
      </w:pPr>
      <w:rPr>
        <w:rFonts w:hint="default" w:ascii="Wingdings" w:hAnsi="Wingdings"/>
      </w:rPr>
    </w:lvl>
  </w:abstractNum>
  <w:abstractNum w:abstractNumId="19">
    <w:nsid w:val="0000000D"/>
    <w:multiLevelType w:val="singleLevel"/>
    <w:tmpl w:val="0000000D"/>
    <w:lvl w:ilvl="0" w:tentative="0">
      <w:start w:val="1"/>
      <w:numFmt w:val="bullet"/>
      <w:pStyle w:val="34"/>
      <w:lvlText w:val=""/>
      <w:lvlJc w:val="left"/>
      <w:pPr>
        <w:tabs>
          <w:tab w:val="left" w:pos="780"/>
        </w:tabs>
        <w:ind w:left="780" w:hanging="360"/>
      </w:pPr>
      <w:rPr>
        <w:rFonts w:hint="default" w:ascii="Wingdings" w:hAnsi="Wingdings"/>
      </w:rPr>
    </w:lvl>
  </w:abstractNum>
  <w:abstractNum w:abstractNumId="20">
    <w:nsid w:val="0000000E"/>
    <w:multiLevelType w:val="singleLevel"/>
    <w:tmpl w:val="0000000E"/>
    <w:lvl w:ilvl="0" w:tentative="0">
      <w:start w:val="1"/>
      <w:numFmt w:val="bullet"/>
      <w:pStyle w:val="68"/>
      <w:lvlText w:val=""/>
      <w:lvlJc w:val="left"/>
      <w:pPr>
        <w:tabs>
          <w:tab w:val="left" w:pos="360"/>
        </w:tabs>
        <w:ind w:left="360" w:hanging="360"/>
      </w:pPr>
      <w:rPr>
        <w:rFonts w:hint="default" w:ascii="Wingdings" w:hAnsi="Wingdings"/>
      </w:rPr>
    </w:lvl>
  </w:abstractNum>
  <w:abstractNum w:abstractNumId="21">
    <w:nsid w:val="0000000F"/>
    <w:multiLevelType w:val="multilevel"/>
    <w:tmpl w:val="0000000F"/>
    <w:lvl w:ilvl="0" w:tentative="0">
      <w:start w:val="1"/>
      <w:numFmt w:val="decimal"/>
      <w:lvlText w:val="（%1）"/>
      <w:lvlJc w:val="left"/>
      <w:pPr>
        <w:tabs>
          <w:tab w:val="left" w:pos="1200"/>
        </w:tabs>
        <w:ind w:left="1200" w:hanging="720"/>
      </w:pPr>
      <w:rPr>
        <w:rFonts w:hint="eastAsia" w:ascii="宋体" w:hAnsi="Times New Roman" w:eastAsia="宋体"/>
      </w:rPr>
    </w:lvl>
    <w:lvl w:ilvl="1" w:tentative="0">
      <w:start w:val="1"/>
      <w:numFmt w:val="lowerLetter"/>
      <w:lvlText w:val="%2)"/>
      <w:lvlJc w:val="left"/>
      <w:pPr>
        <w:tabs>
          <w:tab w:val="left" w:pos="1320"/>
        </w:tabs>
        <w:ind w:left="1320" w:hanging="420"/>
      </w:pPr>
      <w:rPr>
        <w:rFonts w:hint="eastAsia"/>
      </w:rPr>
    </w:lvl>
    <w:lvl w:ilvl="2" w:tentative="0">
      <w:start w:val="1"/>
      <w:numFmt w:val="lowerRoman"/>
      <w:lvlText w:val="%3."/>
      <w:lvlJc w:val="right"/>
      <w:pPr>
        <w:tabs>
          <w:tab w:val="left" w:pos="1740"/>
        </w:tabs>
        <w:ind w:left="1740" w:hanging="420"/>
      </w:pPr>
      <w:rPr>
        <w:rFonts w:hint="eastAsia"/>
      </w:rPr>
    </w:lvl>
    <w:lvl w:ilvl="3" w:tentative="0">
      <w:start w:val="1"/>
      <w:numFmt w:val="decimal"/>
      <w:lvlText w:val="%4."/>
      <w:lvlJc w:val="left"/>
      <w:pPr>
        <w:tabs>
          <w:tab w:val="left" w:pos="2160"/>
        </w:tabs>
        <w:ind w:left="2160" w:hanging="420"/>
      </w:pPr>
      <w:rPr>
        <w:rFonts w:hint="eastAsia"/>
      </w:rPr>
    </w:lvl>
    <w:lvl w:ilvl="4" w:tentative="0">
      <w:start w:val="1"/>
      <w:numFmt w:val="lowerLetter"/>
      <w:lvlText w:val="%5)"/>
      <w:lvlJc w:val="left"/>
      <w:pPr>
        <w:tabs>
          <w:tab w:val="left" w:pos="2580"/>
        </w:tabs>
        <w:ind w:left="2580" w:hanging="420"/>
      </w:pPr>
      <w:rPr>
        <w:rFonts w:hint="eastAsia"/>
      </w:rPr>
    </w:lvl>
    <w:lvl w:ilvl="5" w:tentative="0">
      <w:start w:val="1"/>
      <w:numFmt w:val="lowerRoman"/>
      <w:lvlText w:val="%6."/>
      <w:lvlJc w:val="right"/>
      <w:pPr>
        <w:tabs>
          <w:tab w:val="left" w:pos="3000"/>
        </w:tabs>
        <w:ind w:left="3000" w:hanging="420"/>
      </w:pPr>
      <w:rPr>
        <w:rFonts w:hint="eastAsia"/>
      </w:rPr>
    </w:lvl>
    <w:lvl w:ilvl="6" w:tentative="0">
      <w:start w:val="1"/>
      <w:numFmt w:val="decimal"/>
      <w:lvlText w:val="%7."/>
      <w:lvlJc w:val="left"/>
      <w:pPr>
        <w:tabs>
          <w:tab w:val="left" w:pos="3420"/>
        </w:tabs>
        <w:ind w:left="3420" w:hanging="420"/>
      </w:pPr>
      <w:rPr>
        <w:rFonts w:hint="eastAsia"/>
      </w:rPr>
    </w:lvl>
    <w:lvl w:ilvl="7" w:tentative="0">
      <w:start w:val="1"/>
      <w:numFmt w:val="lowerLetter"/>
      <w:lvlText w:val="%8)"/>
      <w:lvlJc w:val="left"/>
      <w:pPr>
        <w:tabs>
          <w:tab w:val="left" w:pos="3840"/>
        </w:tabs>
        <w:ind w:left="3840" w:hanging="420"/>
      </w:pPr>
      <w:rPr>
        <w:rFonts w:hint="eastAsia"/>
      </w:rPr>
    </w:lvl>
    <w:lvl w:ilvl="8" w:tentative="0">
      <w:start w:val="1"/>
      <w:numFmt w:val="lowerRoman"/>
      <w:lvlText w:val="%9."/>
      <w:lvlJc w:val="right"/>
      <w:pPr>
        <w:tabs>
          <w:tab w:val="left" w:pos="4260"/>
        </w:tabs>
        <w:ind w:left="4260" w:hanging="420"/>
      </w:pPr>
      <w:rPr>
        <w:rFonts w:hint="eastAsia"/>
      </w:rPr>
    </w:lvl>
  </w:abstractNum>
  <w:abstractNum w:abstractNumId="22">
    <w:nsid w:val="00000010"/>
    <w:multiLevelType w:val="multilevel"/>
    <w:tmpl w:val="00000010"/>
    <w:lvl w:ilvl="0" w:tentative="0">
      <w:start w:val="1"/>
      <w:numFmt w:val="decimal"/>
      <w:lvlText w:val="（%1）"/>
      <w:lvlJc w:val="left"/>
      <w:pPr>
        <w:tabs>
          <w:tab w:val="left" w:pos="1200"/>
        </w:tabs>
        <w:ind w:left="1200" w:hanging="720"/>
      </w:pPr>
      <w:rPr>
        <w:rFonts w:hint="eastAsia" w:ascii="宋体" w:hAnsi="Times New Roman" w:eastAsia="宋体"/>
      </w:rPr>
    </w:lvl>
    <w:lvl w:ilvl="1" w:tentative="0">
      <w:start w:val="1"/>
      <w:numFmt w:val="lowerLetter"/>
      <w:lvlText w:val="%2)"/>
      <w:lvlJc w:val="left"/>
      <w:pPr>
        <w:tabs>
          <w:tab w:val="left" w:pos="1320"/>
        </w:tabs>
        <w:ind w:left="1320" w:hanging="420"/>
      </w:pPr>
      <w:rPr>
        <w:rFonts w:hint="eastAsia"/>
      </w:rPr>
    </w:lvl>
    <w:lvl w:ilvl="2" w:tentative="0">
      <w:start w:val="1"/>
      <w:numFmt w:val="lowerRoman"/>
      <w:lvlText w:val="%3."/>
      <w:lvlJc w:val="right"/>
      <w:pPr>
        <w:tabs>
          <w:tab w:val="left" w:pos="1740"/>
        </w:tabs>
        <w:ind w:left="1740" w:hanging="420"/>
      </w:pPr>
      <w:rPr>
        <w:rFonts w:hint="eastAsia"/>
      </w:rPr>
    </w:lvl>
    <w:lvl w:ilvl="3" w:tentative="0">
      <w:start w:val="1"/>
      <w:numFmt w:val="decimal"/>
      <w:lvlText w:val="%4."/>
      <w:lvlJc w:val="left"/>
      <w:pPr>
        <w:tabs>
          <w:tab w:val="left" w:pos="2160"/>
        </w:tabs>
        <w:ind w:left="2160" w:hanging="420"/>
      </w:pPr>
      <w:rPr>
        <w:rFonts w:hint="eastAsia"/>
      </w:rPr>
    </w:lvl>
    <w:lvl w:ilvl="4" w:tentative="0">
      <w:start w:val="1"/>
      <w:numFmt w:val="lowerLetter"/>
      <w:lvlText w:val="%5)"/>
      <w:lvlJc w:val="left"/>
      <w:pPr>
        <w:tabs>
          <w:tab w:val="left" w:pos="2580"/>
        </w:tabs>
        <w:ind w:left="2580" w:hanging="420"/>
      </w:pPr>
      <w:rPr>
        <w:rFonts w:hint="eastAsia"/>
      </w:rPr>
    </w:lvl>
    <w:lvl w:ilvl="5" w:tentative="0">
      <w:start w:val="1"/>
      <w:numFmt w:val="lowerRoman"/>
      <w:lvlText w:val="%6."/>
      <w:lvlJc w:val="right"/>
      <w:pPr>
        <w:tabs>
          <w:tab w:val="left" w:pos="3000"/>
        </w:tabs>
        <w:ind w:left="3000" w:hanging="420"/>
      </w:pPr>
      <w:rPr>
        <w:rFonts w:hint="eastAsia"/>
      </w:rPr>
    </w:lvl>
    <w:lvl w:ilvl="6" w:tentative="0">
      <w:start w:val="1"/>
      <w:numFmt w:val="decimal"/>
      <w:lvlText w:val="%7."/>
      <w:lvlJc w:val="left"/>
      <w:pPr>
        <w:tabs>
          <w:tab w:val="left" w:pos="3420"/>
        </w:tabs>
        <w:ind w:left="3420" w:hanging="420"/>
      </w:pPr>
      <w:rPr>
        <w:rFonts w:hint="eastAsia"/>
      </w:rPr>
    </w:lvl>
    <w:lvl w:ilvl="7" w:tentative="0">
      <w:start w:val="1"/>
      <w:numFmt w:val="lowerLetter"/>
      <w:lvlText w:val="%8)"/>
      <w:lvlJc w:val="left"/>
      <w:pPr>
        <w:tabs>
          <w:tab w:val="left" w:pos="3840"/>
        </w:tabs>
        <w:ind w:left="3840" w:hanging="420"/>
      </w:pPr>
      <w:rPr>
        <w:rFonts w:hint="eastAsia"/>
      </w:rPr>
    </w:lvl>
    <w:lvl w:ilvl="8" w:tentative="0">
      <w:start w:val="1"/>
      <w:numFmt w:val="lowerRoman"/>
      <w:lvlText w:val="%9."/>
      <w:lvlJc w:val="right"/>
      <w:pPr>
        <w:tabs>
          <w:tab w:val="left" w:pos="4260"/>
        </w:tabs>
        <w:ind w:left="4260" w:hanging="420"/>
      </w:pPr>
      <w:rPr>
        <w:rFonts w:hint="eastAsia"/>
      </w:rPr>
    </w:lvl>
  </w:abstractNum>
  <w:abstractNum w:abstractNumId="23">
    <w:nsid w:val="00000012"/>
    <w:multiLevelType w:val="multilevel"/>
    <w:tmpl w:val="00000012"/>
    <w:lvl w:ilvl="0" w:tentative="0">
      <w:start w:val="1"/>
      <w:numFmt w:val="decimal"/>
      <w:pStyle w:val="16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rPr>
    </w:lvl>
    <w:lvl w:ilvl="2" w:tentative="0">
      <w:start w:val="1"/>
      <w:numFmt w:val="decimal"/>
      <w:pStyle w:val="5"/>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4">
    <w:nsid w:val="0000001B"/>
    <w:multiLevelType w:val="singleLevel"/>
    <w:tmpl w:val="0000001B"/>
    <w:lvl w:ilvl="0" w:tentative="0">
      <w:start w:val="1"/>
      <w:numFmt w:val="decimal"/>
      <w:suff w:val="nothing"/>
      <w:lvlText w:val="4.%1 "/>
      <w:lvlJc w:val="left"/>
      <w:pPr>
        <w:ind w:left="0" w:firstLine="400"/>
      </w:pPr>
      <w:rPr>
        <w:rFonts w:hint="default"/>
      </w:rPr>
    </w:lvl>
  </w:abstractNum>
  <w:abstractNum w:abstractNumId="25">
    <w:nsid w:val="0000002B"/>
    <w:multiLevelType w:val="singleLevel"/>
    <w:tmpl w:val="0000002B"/>
    <w:lvl w:ilvl="0" w:tentative="0">
      <w:start w:val="5"/>
      <w:numFmt w:val="decimal"/>
      <w:suff w:val="nothing"/>
      <w:lvlText w:val="%1、"/>
      <w:lvlJc w:val="left"/>
    </w:lvl>
  </w:abstractNum>
  <w:abstractNum w:abstractNumId="26">
    <w:nsid w:val="0000002C"/>
    <w:multiLevelType w:val="singleLevel"/>
    <w:tmpl w:val="0000002C"/>
    <w:lvl w:ilvl="0" w:tentative="0">
      <w:start w:val="1"/>
      <w:numFmt w:val="chineseCounting"/>
      <w:suff w:val="nothing"/>
      <w:lvlText w:val="%1、"/>
      <w:lvlJc w:val="left"/>
      <w:pPr>
        <w:ind w:left="0" w:firstLine="420"/>
      </w:pPr>
      <w:rPr>
        <w:rFonts w:hint="eastAsia"/>
      </w:rPr>
    </w:lvl>
  </w:abstractNum>
  <w:abstractNum w:abstractNumId="27">
    <w:nsid w:val="0000002E"/>
    <w:multiLevelType w:val="singleLevel"/>
    <w:tmpl w:val="0000002E"/>
    <w:lvl w:ilvl="0" w:tentative="0">
      <w:start w:val="1"/>
      <w:numFmt w:val="decimal"/>
      <w:suff w:val="nothing"/>
      <w:lvlText w:val="%1、"/>
      <w:lvlJc w:val="left"/>
      <w:pPr>
        <w:tabs>
          <w:tab w:val="left" w:pos="0"/>
        </w:tabs>
        <w:ind w:firstLine="403"/>
      </w:pPr>
      <w:rPr>
        <w:rFonts w:hint="default" w:ascii="Arial" w:hAnsi="Arial" w:eastAsia="宋体" w:cs="宋体"/>
        <w:b w:val="0"/>
        <w:bCs w:val="0"/>
      </w:rPr>
    </w:lvl>
  </w:abstractNum>
  <w:abstractNum w:abstractNumId="28">
    <w:nsid w:val="00000041"/>
    <w:multiLevelType w:val="singleLevel"/>
    <w:tmpl w:val="00000041"/>
    <w:lvl w:ilvl="0" w:tentative="0">
      <w:start w:val="1"/>
      <w:numFmt w:val="decimal"/>
      <w:suff w:val="nothing"/>
      <w:lvlText w:val="7.%1 "/>
      <w:lvlJc w:val="left"/>
      <w:pPr>
        <w:ind w:left="0" w:firstLine="400"/>
      </w:pPr>
      <w:rPr>
        <w:rFonts w:hint="default"/>
      </w:rPr>
    </w:lvl>
  </w:abstractNum>
  <w:abstractNum w:abstractNumId="29">
    <w:nsid w:val="00000046"/>
    <w:multiLevelType w:val="singleLevel"/>
    <w:tmpl w:val="00000046"/>
    <w:lvl w:ilvl="0" w:tentative="0">
      <w:start w:val="1"/>
      <w:numFmt w:val="decimal"/>
      <w:suff w:val="nothing"/>
      <w:lvlText w:val="4.2.%1 "/>
      <w:lvlJc w:val="left"/>
      <w:pPr>
        <w:ind w:left="0" w:firstLine="400"/>
      </w:pPr>
      <w:rPr>
        <w:rFonts w:hint="default"/>
      </w:rPr>
    </w:lvl>
  </w:abstractNum>
  <w:abstractNum w:abstractNumId="30">
    <w:nsid w:val="0000004C"/>
    <w:multiLevelType w:val="singleLevel"/>
    <w:tmpl w:val="0000004C"/>
    <w:lvl w:ilvl="0" w:tentative="0">
      <w:start w:val="1"/>
      <w:numFmt w:val="decimal"/>
      <w:suff w:val="nothing"/>
      <w:lvlText w:val="%1、"/>
      <w:lvlJc w:val="left"/>
      <w:rPr>
        <w:rFonts w:hint="default"/>
        <w:color w:val="auto"/>
      </w:rPr>
    </w:lvl>
  </w:abstractNum>
  <w:abstractNum w:abstractNumId="31">
    <w:nsid w:val="00000054"/>
    <w:multiLevelType w:val="singleLevel"/>
    <w:tmpl w:val="00000054"/>
    <w:lvl w:ilvl="0" w:tentative="0">
      <w:start w:val="1"/>
      <w:numFmt w:val="decimal"/>
      <w:suff w:val="nothing"/>
      <w:lvlText w:val="%1、"/>
      <w:lvlJc w:val="left"/>
    </w:lvl>
  </w:abstractNum>
  <w:abstractNum w:abstractNumId="32">
    <w:nsid w:val="0000005A"/>
    <w:multiLevelType w:val="singleLevel"/>
    <w:tmpl w:val="0000005A"/>
    <w:lvl w:ilvl="0" w:tentative="0">
      <w:start w:val="1"/>
      <w:numFmt w:val="decimal"/>
      <w:suff w:val="nothing"/>
      <w:lvlText w:val="5.%1 "/>
      <w:lvlJc w:val="left"/>
      <w:pPr>
        <w:ind w:left="0" w:firstLine="400"/>
      </w:pPr>
      <w:rPr>
        <w:rFonts w:hint="default"/>
      </w:rPr>
    </w:lvl>
  </w:abstractNum>
  <w:abstractNum w:abstractNumId="33">
    <w:nsid w:val="0B184E6A"/>
    <w:multiLevelType w:val="singleLevel"/>
    <w:tmpl w:val="0B184E6A"/>
    <w:lvl w:ilvl="0" w:tentative="0">
      <w:start w:val="1"/>
      <w:numFmt w:val="decimal"/>
      <w:lvlText w:val="%1."/>
      <w:lvlJc w:val="left"/>
      <w:pPr>
        <w:tabs>
          <w:tab w:val="left" w:pos="312"/>
        </w:tabs>
      </w:pPr>
    </w:lvl>
  </w:abstractNum>
  <w:abstractNum w:abstractNumId="34">
    <w:nsid w:val="10F4C21F"/>
    <w:multiLevelType w:val="singleLevel"/>
    <w:tmpl w:val="10F4C21F"/>
    <w:lvl w:ilvl="0" w:tentative="0">
      <w:start w:val="1"/>
      <w:numFmt w:val="decimal"/>
      <w:lvlText w:val="%1."/>
      <w:lvlJc w:val="left"/>
      <w:pPr>
        <w:tabs>
          <w:tab w:val="left" w:pos="312"/>
        </w:tabs>
      </w:pPr>
    </w:lvl>
  </w:abstractNum>
  <w:abstractNum w:abstractNumId="35">
    <w:nsid w:val="14562134"/>
    <w:multiLevelType w:val="singleLevel"/>
    <w:tmpl w:val="14562134"/>
    <w:lvl w:ilvl="0" w:tentative="0">
      <w:start w:val="13"/>
      <w:numFmt w:val="decimal"/>
      <w:lvlText w:val="%1."/>
      <w:lvlJc w:val="left"/>
      <w:pPr>
        <w:tabs>
          <w:tab w:val="left" w:pos="312"/>
        </w:tabs>
      </w:pPr>
    </w:lvl>
  </w:abstractNum>
  <w:abstractNum w:abstractNumId="36">
    <w:nsid w:val="22B8CB0C"/>
    <w:multiLevelType w:val="singleLevel"/>
    <w:tmpl w:val="22B8CB0C"/>
    <w:lvl w:ilvl="0" w:tentative="0">
      <w:start w:val="2"/>
      <w:numFmt w:val="decimal"/>
      <w:suff w:val="nothing"/>
      <w:lvlText w:val="%1、"/>
      <w:lvlJc w:val="left"/>
    </w:lvl>
  </w:abstractNum>
  <w:abstractNum w:abstractNumId="37">
    <w:nsid w:val="2C3CBFFD"/>
    <w:multiLevelType w:val="singleLevel"/>
    <w:tmpl w:val="2C3CBFFD"/>
    <w:lvl w:ilvl="0" w:tentative="0">
      <w:start w:val="1"/>
      <w:numFmt w:val="chineseCounting"/>
      <w:suff w:val="nothing"/>
      <w:lvlText w:val="%1、"/>
      <w:lvlJc w:val="left"/>
      <w:rPr>
        <w:rFonts w:hint="eastAsia"/>
      </w:rPr>
    </w:lvl>
  </w:abstractNum>
  <w:abstractNum w:abstractNumId="38">
    <w:nsid w:val="320ACFF2"/>
    <w:multiLevelType w:val="singleLevel"/>
    <w:tmpl w:val="320ACFF2"/>
    <w:lvl w:ilvl="0" w:tentative="0">
      <w:start w:val="1"/>
      <w:numFmt w:val="decimal"/>
      <w:lvlText w:val="%1."/>
      <w:lvlJc w:val="left"/>
      <w:pPr>
        <w:tabs>
          <w:tab w:val="left" w:pos="312"/>
        </w:tabs>
      </w:pPr>
    </w:lvl>
  </w:abstractNum>
  <w:abstractNum w:abstractNumId="39">
    <w:nsid w:val="381513A0"/>
    <w:multiLevelType w:val="singleLevel"/>
    <w:tmpl w:val="381513A0"/>
    <w:lvl w:ilvl="0" w:tentative="0">
      <w:start w:val="5"/>
      <w:numFmt w:val="decimal"/>
      <w:lvlText w:val="%1."/>
      <w:lvlJc w:val="left"/>
      <w:pPr>
        <w:tabs>
          <w:tab w:val="left" w:pos="312"/>
        </w:tabs>
      </w:pPr>
    </w:lvl>
  </w:abstractNum>
  <w:abstractNum w:abstractNumId="40">
    <w:nsid w:val="3ED4BD26"/>
    <w:multiLevelType w:val="singleLevel"/>
    <w:tmpl w:val="3ED4BD26"/>
    <w:lvl w:ilvl="0" w:tentative="0">
      <w:start w:val="1"/>
      <w:numFmt w:val="decimal"/>
      <w:lvlText w:val="%1."/>
      <w:lvlJc w:val="left"/>
      <w:pPr>
        <w:tabs>
          <w:tab w:val="left" w:pos="312"/>
        </w:tabs>
      </w:pPr>
    </w:lvl>
  </w:abstractNum>
  <w:abstractNum w:abstractNumId="41">
    <w:nsid w:val="4490B536"/>
    <w:multiLevelType w:val="singleLevel"/>
    <w:tmpl w:val="4490B536"/>
    <w:lvl w:ilvl="0" w:tentative="0">
      <w:start w:val="1"/>
      <w:numFmt w:val="decimal"/>
      <w:lvlText w:val="%1."/>
      <w:lvlJc w:val="left"/>
      <w:pPr>
        <w:tabs>
          <w:tab w:val="left" w:pos="312"/>
        </w:tabs>
      </w:pPr>
    </w:lvl>
  </w:abstractNum>
  <w:abstractNum w:abstractNumId="42">
    <w:nsid w:val="4776AA25"/>
    <w:multiLevelType w:val="singleLevel"/>
    <w:tmpl w:val="4776AA25"/>
    <w:lvl w:ilvl="0" w:tentative="0">
      <w:start w:val="1"/>
      <w:numFmt w:val="decimal"/>
      <w:suff w:val="nothing"/>
      <w:lvlText w:val="%1、"/>
      <w:lvlJc w:val="left"/>
    </w:lvl>
  </w:abstractNum>
  <w:abstractNum w:abstractNumId="43">
    <w:nsid w:val="50E30753"/>
    <w:multiLevelType w:val="singleLevel"/>
    <w:tmpl w:val="50E30753"/>
    <w:lvl w:ilvl="0" w:tentative="0">
      <w:start w:val="1"/>
      <w:numFmt w:val="decimal"/>
      <w:suff w:val="space"/>
      <w:lvlText w:val="%1、"/>
      <w:lvlJc w:val="left"/>
    </w:lvl>
  </w:abstractNum>
  <w:abstractNum w:abstractNumId="44">
    <w:nsid w:val="53E43485"/>
    <w:multiLevelType w:val="singleLevel"/>
    <w:tmpl w:val="53E43485"/>
    <w:lvl w:ilvl="0" w:tentative="0">
      <w:start w:val="1"/>
      <w:numFmt w:val="decimal"/>
      <w:lvlText w:val="%1."/>
      <w:lvlJc w:val="left"/>
      <w:pPr>
        <w:tabs>
          <w:tab w:val="left" w:pos="312"/>
        </w:tabs>
      </w:pPr>
    </w:lvl>
  </w:abstractNum>
  <w:abstractNum w:abstractNumId="45">
    <w:nsid w:val="5AEFA5F9"/>
    <w:multiLevelType w:val="singleLevel"/>
    <w:tmpl w:val="5AEFA5F9"/>
    <w:lvl w:ilvl="0" w:tentative="0">
      <w:start w:val="1"/>
      <w:numFmt w:val="decimal"/>
      <w:lvlText w:val="%1."/>
      <w:lvlJc w:val="left"/>
      <w:pPr>
        <w:tabs>
          <w:tab w:val="left" w:pos="312"/>
        </w:tabs>
      </w:pPr>
    </w:lvl>
  </w:abstractNum>
  <w:abstractNum w:abstractNumId="46">
    <w:nsid w:val="765D0FC2"/>
    <w:multiLevelType w:val="singleLevel"/>
    <w:tmpl w:val="765D0FC2"/>
    <w:lvl w:ilvl="0" w:tentative="0">
      <w:start w:val="1"/>
      <w:numFmt w:val="decimal"/>
      <w:lvlText w:val="%1."/>
      <w:lvlJc w:val="left"/>
      <w:pPr>
        <w:tabs>
          <w:tab w:val="left" w:pos="312"/>
        </w:tabs>
      </w:pPr>
    </w:lvl>
  </w:abstractNum>
  <w:abstractNum w:abstractNumId="47">
    <w:nsid w:val="7EB7AB5A"/>
    <w:multiLevelType w:val="singleLevel"/>
    <w:tmpl w:val="7EB7AB5A"/>
    <w:lvl w:ilvl="0" w:tentative="0">
      <w:start w:val="14"/>
      <w:numFmt w:val="decimal"/>
      <w:lvlText w:val="%1."/>
      <w:lvlJc w:val="left"/>
      <w:pPr>
        <w:tabs>
          <w:tab w:val="left" w:pos="312"/>
        </w:tabs>
      </w:pPr>
    </w:lvl>
  </w:abstractNum>
  <w:num w:numId="1">
    <w:abstractNumId w:val="23"/>
  </w:num>
  <w:num w:numId="2">
    <w:abstractNumId w:val="14"/>
  </w:num>
  <w:num w:numId="3">
    <w:abstractNumId w:val="16"/>
  </w:num>
  <w:num w:numId="4">
    <w:abstractNumId w:val="15"/>
  </w:num>
  <w:num w:numId="5">
    <w:abstractNumId w:val="18"/>
  </w:num>
  <w:num w:numId="6">
    <w:abstractNumId w:val="17"/>
  </w:num>
  <w:num w:numId="7">
    <w:abstractNumId w:val="19"/>
  </w:num>
  <w:num w:numId="8">
    <w:abstractNumId w:val="20"/>
  </w:num>
  <w:num w:numId="9">
    <w:abstractNumId w:val="27"/>
  </w:num>
  <w:num w:numId="10">
    <w:abstractNumId w:val="11"/>
  </w:num>
  <w:num w:numId="11">
    <w:abstractNumId w:val="6"/>
  </w:num>
  <w:num w:numId="12">
    <w:abstractNumId w:val="37"/>
  </w:num>
  <w:num w:numId="13">
    <w:abstractNumId w:val="9"/>
  </w:num>
  <w:num w:numId="14">
    <w:abstractNumId w:val="33"/>
  </w:num>
  <w:num w:numId="15">
    <w:abstractNumId w:val="3"/>
  </w:num>
  <w:num w:numId="16">
    <w:abstractNumId w:val="41"/>
  </w:num>
  <w:num w:numId="17">
    <w:abstractNumId w:val="1"/>
  </w:num>
  <w:num w:numId="18">
    <w:abstractNumId w:val="34"/>
  </w:num>
  <w:num w:numId="19">
    <w:abstractNumId w:val="46"/>
  </w:num>
  <w:num w:numId="20">
    <w:abstractNumId w:val="12"/>
  </w:num>
  <w:num w:numId="21">
    <w:abstractNumId w:val="7"/>
  </w:num>
  <w:num w:numId="22">
    <w:abstractNumId w:val="4"/>
  </w:num>
  <w:num w:numId="23">
    <w:abstractNumId w:val="40"/>
  </w:num>
  <w:num w:numId="24">
    <w:abstractNumId w:val="45"/>
  </w:num>
  <w:num w:numId="25">
    <w:abstractNumId w:val="0"/>
  </w:num>
  <w:num w:numId="26">
    <w:abstractNumId w:val="2"/>
  </w:num>
  <w:num w:numId="27">
    <w:abstractNumId w:val="47"/>
  </w:num>
  <w:num w:numId="28">
    <w:abstractNumId w:val="35"/>
  </w:num>
  <w:num w:numId="29">
    <w:abstractNumId w:val="8"/>
  </w:num>
  <w:num w:numId="30">
    <w:abstractNumId w:val="44"/>
  </w:num>
  <w:num w:numId="31">
    <w:abstractNumId w:val="39"/>
  </w:num>
  <w:num w:numId="32">
    <w:abstractNumId w:val="38"/>
  </w:num>
  <w:num w:numId="33">
    <w:abstractNumId w:val="10"/>
  </w:num>
  <w:num w:numId="34">
    <w:abstractNumId w:val="26"/>
  </w:num>
  <w:num w:numId="35">
    <w:abstractNumId w:val="24"/>
  </w:num>
  <w:num w:numId="36">
    <w:abstractNumId w:val="29"/>
  </w:num>
  <w:num w:numId="37">
    <w:abstractNumId w:val="25"/>
  </w:num>
  <w:num w:numId="38">
    <w:abstractNumId w:val="32"/>
  </w:num>
  <w:num w:numId="39">
    <w:abstractNumId w:val="28"/>
  </w:num>
  <w:num w:numId="40">
    <w:abstractNumId w:val="5"/>
  </w:num>
  <w:num w:numId="41">
    <w:abstractNumId w:val="42"/>
  </w:num>
  <w:num w:numId="42">
    <w:abstractNumId w:val="30"/>
  </w:num>
  <w:num w:numId="43">
    <w:abstractNumId w:val="31"/>
  </w:num>
  <w:num w:numId="44">
    <w:abstractNumId w:val="13"/>
  </w:num>
  <w:num w:numId="45">
    <w:abstractNumId w:val="22"/>
  </w:num>
  <w:num w:numId="46">
    <w:abstractNumId w:val="21"/>
  </w:num>
  <w:num w:numId="47">
    <w:abstractNumId w:val="43"/>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RiOWM1YzEyYTA3ZWQwNjJjNjQ3MzY3NTdlOTY1ODUifQ=="/>
  </w:docVars>
  <w:rsids>
    <w:rsidRoot w:val="00302E44"/>
    <w:rsid w:val="000017C2"/>
    <w:rsid w:val="00002BD2"/>
    <w:rsid w:val="000038B4"/>
    <w:rsid w:val="00015BE4"/>
    <w:rsid w:val="000165FA"/>
    <w:rsid w:val="000201C2"/>
    <w:rsid w:val="00021C07"/>
    <w:rsid w:val="00023FA1"/>
    <w:rsid w:val="00024BE6"/>
    <w:rsid w:val="000313D9"/>
    <w:rsid w:val="00032694"/>
    <w:rsid w:val="00036C61"/>
    <w:rsid w:val="00046E77"/>
    <w:rsid w:val="000604C6"/>
    <w:rsid w:val="0006464D"/>
    <w:rsid w:val="00070C1F"/>
    <w:rsid w:val="0009732E"/>
    <w:rsid w:val="000A0692"/>
    <w:rsid w:val="000A1958"/>
    <w:rsid w:val="000A3F7D"/>
    <w:rsid w:val="000B57B0"/>
    <w:rsid w:val="000B6F2C"/>
    <w:rsid w:val="000C6EF6"/>
    <w:rsid w:val="000D10CE"/>
    <w:rsid w:val="000D3DD4"/>
    <w:rsid w:val="000D59A4"/>
    <w:rsid w:val="000D6F76"/>
    <w:rsid w:val="000E4334"/>
    <w:rsid w:val="000E73E3"/>
    <w:rsid w:val="000F1153"/>
    <w:rsid w:val="000F33AE"/>
    <w:rsid w:val="000F62B8"/>
    <w:rsid w:val="000F740D"/>
    <w:rsid w:val="001040EF"/>
    <w:rsid w:val="001206CB"/>
    <w:rsid w:val="00120D34"/>
    <w:rsid w:val="00130C9F"/>
    <w:rsid w:val="001371B0"/>
    <w:rsid w:val="001400C0"/>
    <w:rsid w:val="00144CDA"/>
    <w:rsid w:val="001454A8"/>
    <w:rsid w:val="0014743F"/>
    <w:rsid w:val="00156985"/>
    <w:rsid w:val="001735C1"/>
    <w:rsid w:val="0017408E"/>
    <w:rsid w:val="00177EA1"/>
    <w:rsid w:val="0018524B"/>
    <w:rsid w:val="00185931"/>
    <w:rsid w:val="00185C77"/>
    <w:rsid w:val="001A0A24"/>
    <w:rsid w:val="001A0E97"/>
    <w:rsid w:val="001A6431"/>
    <w:rsid w:val="001C3FBA"/>
    <w:rsid w:val="001C65DB"/>
    <w:rsid w:val="001D0A60"/>
    <w:rsid w:val="001D6D8E"/>
    <w:rsid w:val="001E0C13"/>
    <w:rsid w:val="001F1714"/>
    <w:rsid w:val="001F1B71"/>
    <w:rsid w:val="001F30CC"/>
    <w:rsid w:val="001F4EEF"/>
    <w:rsid w:val="001F7C69"/>
    <w:rsid w:val="002002BA"/>
    <w:rsid w:val="00200BCD"/>
    <w:rsid w:val="00202C98"/>
    <w:rsid w:val="00206E67"/>
    <w:rsid w:val="002107F0"/>
    <w:rsid w:val="00211E04"/>
    <w:rsid w:val="002120F5"/>
    <w:rsid w:val="00214AF2"/>
    <w:rsid w:val="00217C29"/>
    <w:rsid w:val="00222F14"/>
    <w:rsid w:val="00225C9A"/>
    <w:rsid w:val="00230899"/>
    <w:rsid w:val="00231B79"/>
    <w:rsid w:val="00242A99"/>
    <w:rsid w:val="00254CE2"/>
    <w:rsid w:val="0026527C"/>
    <w:rsid w:val="0027194C"/>
    <w:rsid w:val="00275CB2"/>
    <w:rsid w:val="002815CE"/>
    <w:rsid w:val="0028204A"/>
    <w:rsid w:val="002841DB"/>
    <w:rsid w:val="002856CE"/>
    <w:rsid w:val="0029356B"/>
    <w:rsid w:val="002936D6"/>
    <w:rsid w:val="002A1588"/>
    <w:rsid w:val="002A2CC2"/>
    <w:rsid w:val="002B542D"/>
    <w:rsid w:val="002B77E4"/>
    <w:rsid w:val="002C25BD"/>
    <w:rsid w:val="002C345F"/>
    <w:rsid w:val="002C4E3F"/>
    <w:rsid w:val="002D4CAC"/>
    <w:rsid w:val="002D6CF1"/>
    <w:rsid w:val="002D755B"/>
    <w:rsid w:val="002E0A7C"/>
    <w:rsid w:val="002E2AB4"/>
    <w:rsid w:val="002E3475"/>
    <w:rsid w:val="002F07C6"/>
    <w:rsid w:val="002F188F"/>
    <w:rsid w:val="002F2CBB"/>
    <w:rsid w:val="002F44E9"/>
    <w:rsid w:val="002F5220"/>
    <w:rsid w:val="002F6535"/>
    <w:rsid w:val="0030074A"/>
    <w:rsid w:val="00302E33"/>
    <w:rsid w:val="00302E44"/>
    <w:rsid w:val="0030407A"/>
    <w:rsid w:val="00305BAD"/>
    <w:rsid w:val="00307DF3"/>
    <w:rsid w:val="00312958"/>
    <w:rsid w:val="00316408"/>
    <w:rsid w:val="00321E63"/>
    <w:rsid w:val="00333849"/>
    <w:rsid w:val="003343F5"/>
    <w:rsid w:val="00340C9D"/>
    <w:rsid w:val="00341F71"/>
    <w:rsid w:val="00350E64"/>
    <w:rsid w:val="003537CA"/>
    <w:rsid w:val="003725B5"/>
    <w:rsid w:val="00375879"/>
    <w:rsid w:val="00381228"/>
    <w:rsid w:val="00390F32"/>
    <w:rsid w:val="003917A5"/>
    <w:rsid w:val="003B0217"/>
    <w:rsid w:val="003B19B3"/>
    <w:rsid w:val="003B2532"/>
    <w:rsid w:val="003B2A42"/>
    <w:rsid w:val="003B44B8"/>
    <w:rsid w:val="003B59A8"/>
    <w:rsid w:val="003B5F90"/>
    <w:rsid w:val="003C2403"/>
    <w:rsid w:val="003C3A14"/>
    <w:rsid w:val="003C42DC"/>
    <w:rsid w:val="003C4426"/>
    <w:rsid w:val="003C5033"/>
    <w:rsid w:val="003D3F49"/>
    <w:rsid w:val="003D6754"/>
    <w:rsid w:val="003E285C"/>
    <w:rsid w:val="003E54A4"/>
    <w:rsid w:val="003E6065"/>
    <w:rsid w:val="003E7164"/>
    <w:rsid w:val="003E7D8E"/>
    <w:rsid w:val="003F12D5"/>
    <w:rsid w:val="003F3CB8"/>
    <w:rsid w:val="003F4F5D"/>
    <w:rsid w:val="004019AC"/>
    <w:rsid w:val="00407B88"/>
    <w:rsid w:val="00407FA0"/>
    <w:rsid w:val="00411F46"/>
    <w:rsid w:val="0041311C"/>
    <w:rsid w:val="0041459B"/>
    <w:rsid w:val="0042395F"/>
    <w:rsid w:val="004252D3"/>
    <w:rsid w:val="00435569"/>
    <w:rsid w:val="00440200"/>
    <w:rsid w:val="00441D67"/>
    <w:rsid w:val="00451449"/>
    <w:rsid w:val="00451835"/>
    <w:rsid w:val="0045395A"/>
    <w:rsid w:val="00454797"/>
    <w:rsid w:val="0045576E"/>
    <w:rsid w:val="0045654F"/>
    <w:rsid w:val="00456D5D"/>
    <w:rsid w:val="004720E1"/>
    <w:rsid w:val="004743FB"/>
    <w:rsid w:val="00475A69"/>
    <w:rsid w:val="00482108"/>
    <w:rsid w:val="004843A3"/>
    <w:rsid w:val="004843A8"/>
    <w:rsid w:val="0048528B"/>
    <w:rsid w:val="00491FC3"/>
    <w:rsid w:val="004A55D8"/>
    <w:rsid w:val="004A65C7"/>
    <w:rsid w:val="004B53DE"/>
    <w:rsid w:val="004B6FFC"/>
    <w:rsid w:val="004C265D"/>
    <w:rsid w:val="004C2BFD"/>
    <w:rsid w:val="004C7E32"/>
    <w:rsid w:val="004D32BC"/>
    <w:rsid w:val="004E155F"/>
    <w:rsid w:val="004E4720"/>
    <w:rsid w:val="004F27BC"/>
    <w:rsid w:val="004F4A24"/>
    <w:rsid w:val="004F4FB8"/>
    <w:rsid w:val="005021A2"/>
    <w:rsid w:val="00502E9E"/>
    <w:rsid w:val="00507D91"/>
    <w:rsid w:val="00512D78"/>
    <w:rsid w:val="00527310"/>
    <w:rsid w:val="005304BB"/>
    <w:rsid w:val="005312EF"/>
    <w:rsid w:val="00533F72"/>
    <w:rsid w:val="00542469"/>
    <w:rsid w:val="00542669"/>
    <w:rsid w:val="0054281E"/>
    <w:rsid w:val="00543010"/>
    <w:rsid w:val="005468DC"/>
    <w:rsid w:val="0055785F"/>
    <w:rsid w:val="005657AE"/>
    <w:rsid w:val="005704F1"/>
    <w:rsid w:val="0057298E"/>
    <w:rsid w:val="0057376B"/>
    <w:rsid w:val="00577B63"/>
    <w:rsid w:val="00583ABF"/>
    <w:rsid w:val="00583AD5"/>
    <w:rsid w:val="00591500"/>
    <w:rsid w:val="005932D0"/>
    <w:rsid w:val="00596518"/>
    <w:rsid w:val="005A099A"/>
    <w:rsid w:val="005A2E1D"/>
    <w:rsid w:val="005A30B1"/>
    <w:rsid w:val="005A559D"/>
    <w:rsid w:val="005B0625"/>
    <w:rsid w:val="005B20AC"/>
    <w:rsid w:val="005C0522"/>
    <w:rsid w:val="005C3109"/>
    <w:rsid w:val="005D2013"/>
    <w:rsid w:val="005E0112"/>
    <w:rsid w:val="005E0AF4"/>
    <w:rsid w:val="005E0E31"/>
    <w:rsid w:val="005E0E45"/>
    <w:rsid w:val="005E4072"/>
    <w:rsid w:val="005E5231"/>
    <w:rsid w:val="005F1B95"/>
    <w:rsid w:val="005F3835"/>
    <w:rsid w:val="005F3AE3"/>
    <w:rsid w:val="005F6AA0"/>
    <w:rsid w:val="00611DD7"/>
    <w:rsid w:val="00617AB2"/>
    <w:rsid w:val="00620D87"/>
    <w:rsid w:val="00621DE9"/>
    <w:rsid w:val="00631309"/>
    <w:rsid w:val="00640749"/>
    <w:rsid w:val="00642B4B"/>
    <w:rsid w:val="00647D38"/>
    <w:rsid w:val="00650DDD"/>
    <w:rsid w:val="0066031E"/>
    <w:rsid w:val="006649FF"/>
    <w:rsid w:val="006700F6"/>
    <w:rsid w:val="00670C69"/>
    <w:rsid w:val="00672CE7"/>
    <w:rsid w:val="00674DB1"/>
    <w:rsid w:val="00676527"/>
    <w:rsid w:val="00684C94"/>
    <w:rsid w:val="00693EDF"/>
    <w:rsid w:val="00694FD3"/>
    <w:rsid w:val="00697329"/>
    <w:rsid w:val="006A2B61"/>
    <w:rsid w:val="006A60A6"/>
    <w:rsid w:val="006B13E9"/>
    <w:rsid w:val="006B2EF9"/>
    <w:rsid w:val="006B3F94"/>
    <w:rsid w:val="006B65C0"/>
    <w:rsid w:val="006B7300"/>
    <w:rsid w:val="006C451C"/>
    <w:rsid w:val="006D77C2"/>
    <w:rsid w:val="006E401B"/>
    <w:rsid w:val="006F378D"/>
    <w:rsid w:val="006F4665"/>
    <w:rsid w:val="006F5FD1"/>
    <w:rsid w:val="00707FEE"/>
    <w:rsid w:val="00711F71"/>
    <w:rsid w:val="00713367"/>
    <w:rsid w:val="007175EB"/>
    <w:rsid w:val="00720C9D"/>
    <w:rsid w:val="00727F04"/>
    <w:rsid w:val="007320D7"/>
    <w:rsid w:val="00733247"/>
    <w:rsid w:val="00744A72"/>
    <w:rsid w:val="00744CFA"/>
    <w:rsid w:val="00744DDE"/>
    <w:rsid w:val="007457D5"/>
    <w:rsid w:val="00746DF4"/>
    <w:rsid w:val="00750970"/>
    <w:rsid w:val="00750EA8"/>
    <w:rsid w:val="00763523"/>
    <w:rsid w:val="00764D05"/>
    <w:rsid w:val="00764FCB"/>
    <w:rsid w:val="007702D3"/>
    <w:rsid w:val="00770D40"/>
    <w:rsid w:val="007717E8"/>
    <w:rsid w:val="00775E3F"/>
    <w:rsid w:val="00777E85"/>
    <w:rsid w:val="00786BFA"/>
    <w:rsid w:val="00790273"/>
    <w:rsid w:val="007950DF"/>
    <w:rsid w:val="007A10CA"/>
    <w:rsid w:val="007B08D3"/>
    <w:rsid w:val="007B5F33"/>
    <w:rsid w:val="007C189B"/>
    <w:rsid w:val="007C5780"/>
    <w:rsid w:val="007D635C"/>
    <w:rsid w:val="007E18B1"/>
    <w:rsid w:val="007E736C"/>
    <w:rsid w:val="007E7429"/>
    <w:rsid w:val="007F08DF"/>
    <w:rsid w:val="007F1FD8"/>
    <w:rsid w:val="007F21A0"/>
    <w:rsid w:val="00802D0C"/>
    <w:rsid w:val="00803311"/>
    <w:rsid w:val="00803F82"/>
    <w:rsid w:val="008049A8"/>
    <w:rsid w:val="008049FB"/>
    <w:rsid w:val="008053DA"/>
    <w:rsid w:val="00806EE6"/>
    <w:rsid w:val="008114C7"/>
    <w:rsid w:val="0081557F"/>
    <w:rsid w:val="00821529"/>
    <w:rsid w:val="0082279A"/>
    <w:rsid w:val="00822810"/>
    <w:rsid w:val="00826F68"/>
    <w:rsid w:val="00831C08"/>
    <w:rsid w:val="00835A59"/>
    <w:rsid w:val="00840645"/>
    <w:rsid w:val="0084142A"/>
    <w:rsid w:val="0084145F"/>
    <w:rsid w:val="00850F06"/>
    <w:rsid w:val="00852397"/>
    <w:rsid w:val="0086230B"/>
    <w:rsid w:val="008774E6"/>
    <w:rsid w:val="00884DBA"/>
    <w:rsid w:val="008962F6"/>
    <w:rsid w:val="00897EBE"/>
    <w:rsid w:val="008C0DE8"/>
    <w:rsid w:val="008C1AA0"/>
    <w:rsid w:val="008C469A"/>
    <w:rsid w:val="008C5C83"/>
    <w:rsid w:val="008C7514"/>
    <w:rsid w:val="008D295E"/>
    <w:rsid w:val="008D3413"/>
    <w:rsid w:val="008D747B"/>
    <w:rsid w:val="008F17AA"/>
    <w:rsid w:val="008F2860"/>
    <w:rsid w:val="008F7E65"/>
    <w:rsid w:val="00911E1D"/>
    <w:rsid w:val="0091239F"/>
    <w:rsid w:val="00915FD0"/>
    <w:rsid w:val="009161FD"/>
    <w:rsid w:val="00926010"/>
    <w:rsid w:val="009305D9"/>
    <w:rsid w:val="009319A8"/>
    <w:rsid w:val="00943A82"/>
    <w:rsid w:val="0094488A"/>
    <w:rsid w:val="009462F3"/>
    <w:rsid w:val="009517F0"/>
    <w:rsid w:val="00953E6A"/>
    <w:rsid w:val="00966F04"/>
    <w:rsid w:val="00971C18"/>
    <w:rsid w:val="0097350E"/>
    <w:rsid w:val="00980691"/>
    <w:rsid w:val="00984B2F"/>
    <w:rsid w:val="00994131"/>
    <w:rsid w:val="0099537E"/>
    <w:rsid w:val="00996257"/>
    <w:rsid w:val="009A44AF"/>
    <w:rsid w:val="009A4DB9"/>
    <w:rsid w:val="009A78C1"/>
    <w:rsid w:val="009B03F6"/>
    <w:rsid w:val="009B27B5"/>
    <w:rsid w:val="009B4526"/>
    <w:rsid w:val="009B56B7"/>
    <w:rsid w:val="009C02B1"/>
    <w:rsid w:val="009C3373"/>
    <w:rsid w:val="009C7BC0"/>
    <w:rsid w:val="009D0C1A"/>
    <w:rsid w:val="009D1E7B"/>
    <w:rsid w:val="009D211F"/>
    <w:rsid w:val="009E060B"/>
    <w:rsid w:val="009E4F25"/>
    <w:rsid w:val="009E666D"/>
    <w:rsid w:val="009F2D22"/>
    <w:rsid w:val="009F3426"/>
    <w:rsid w:val="009F649E"/>
    <w:rsid w:val="009F7CBB"/>
    <w:rsid w:val="00A1380D"/>
    <w:rsid w:val="00A203F4"/>
    <w:rsid w:val="00A217F7"/>
    <w:rsid w:val="00A36EEB"/>
    <w:rsid w:val="00A43C52"/>
    <w:rsid w:val="00A466C2"/>
    <w:rsid w:val="00A57200"/>
    <w:rsid w:val="00A71B3C"/>
    <w:rsid w:val="00A74CD2"/>
    <w:rsid w:val="00A75274"/>
    <w:rsid w:val="00A75E3B"/>
    <w:rsid w:val="00A7634D"/>
    <w:rsid w:val="00A774E4"/>
    <w:rsid w:val="00A9386C"/>
    <w:rsid w:val="00A94829"/>
    <w:rsid w:val="00A95C52"/>
    <w:rsid w:val="00AA5767"/>
    <w:rsid w:val="00AA5933"/>
    <w:rsid w:val="00AB7ED9"/>
    <w:rsid w:val="00AC2AB4"/>
    <w:rsid w:val="00AC4B5E"/>
    <w:rsid w:val="00AD2200"/>
    <w:rsid w:val="00AE735A"/>
    <w:rsid w:val="00AE7DCF"/>
    <w:rsid w:val="00AF077A"/>
    <w:rsid w:val="00AF4CA6"/>
    <w:rsid w:val="00AF7234"/>
    <w:rsid w:val="00B00B2D"/>
    <w:rsid w:val="00B01569"/>
    <w:rsid w:val="00B03B4E"/>
    <w:rsid w:val="00B11D25"/>
    <w:rsid w:val="00B14FB3"/>
    <w:rsid w:val="00B16393"/>
    <w:rsid w:val="00B20DE0"/>
    <w:rsid w:val="00B2267C"/>
    <w:rsid w:val="00B2779C"/>
    <w:rsid w:val="00B32BAE"/>
    <w:rsid w:val="00B3459D"/>
    <w:rsid w:val="00B34BC1"/>
    <w:rsid w:val="00B34F4D"/>
    <w:rsid w:val="00B350AE"/>
    <w:rsid w:val="00B37C6E"/>
    <w:rsid w:val="00B455A4"/>
    <w:rsid w:val="00B45F2C"/>
    <w:rsid w:val="00B47683"/>
    <w:rsid w:val="00B51B08"/>
    <w:rsid w:val="00B51DB2"/>
    <w:rsid w:val="00B537BA"/>
    <w:rsid w:val="00B53B9F"/>
    <w:rsid w:val="00B57806"/>
    <w:rsid w:val="00B63888"/>
    <w:rsid w:val="00B645A9"/>
    <w:rsid w:val="00B73679"/>
    <w:rsid w:val="00B73DC1"/>
    <w:rsid w:val="00B74226"/>
    <w:rsid w:val="00B7543B"/>
    <w:rsid w:val="00B75FA2"/>
    <w:rsid w:val="00B834B9"/>
    <w:rsid w:val="00B8554F"/>
    <w:rsid w:val="00B95C4B"/>
    <w:rsid w:val="00B9729E"/>
    <w:rsid w:val="00BB050C"/>
    <w:rsid w:val="00BB56CC"/>
    <w:rsid w:val="00BB6E23"/>
    <w:rsid w:val="00BB798E"/>
    <w:rsid w:val="00BB7B9D"/>
    <w:rsid w:val="00BD0B03"/>
    <w:rsid w:val="00BD0DD4"/>
    <w:rsid w:val="00BD1257"/>
    <w:rsid w:val="00BD3123"/>
    <w:rsid w:val="00BD541B"/>
    <w:rsid w:val="00BD5494"/>
    <w:rsid w:val="00BE04F2"/>
    <w:rsid w:val="00BE0C0E"/>
    <w:rsid w:val="00BE77B7"/>
    <w:rsid w:val="00BE7CE1"/>
    <w:rsid w:val="00BF42EA"/>
    <w:rsid w:val="00C02298"/>
    <w:rsid w:val="00C03CCE"/>
    <w:rsid w:val="00C055D9"/>
    <w:rsid w:val="00C17D4F"/>
    <w:rsid w:val="00C21A8B"/>
    <w:rsid w:val="00C23DF5"/>
    <w:rsid w:val="00C247E2"/>
    <w:rsid w:val="00C25A81"/>
    <w:rsid w:val="00C27E28"/>
    <w:rsid w:val="00C30BCE"/>
    <w:rsid w:val="00C346DA"/>
    <w:rsid w:val="00C352C7"/>
    <w:rsid w:val="00C35C83"/>
    <w:rsid w:val="00C366BB"/>
    <w:rsid w:val="00C368A7"/>
    <w:rsid w:val="00C46C77"/>
    <w:rsid w:val="00C46D4D"/>
    <w:rsid w:val="00C532A7"/>
    <w:rsid w:val="00C54EAC"/>
    <w:rsid w:val="00C56467"/>
    <w:rsid w:val="00C568BD"/>
    <w:rsid w:val="00C57619"/>
    <w:rsid w:val="00C64083"/>
    <w:rsid w:val="00C70023"/>
    <w:rsid w:val="00C75402"/>
    <w:rsid w:val="00C77551"/>
    <w:rsid w:val="00C843A8"/>
    <w:rsid w:val="00C8522D"/>
    <w:rsid w:val="00C86B04"/>
    <w:rsid w:val="00C9053A"/>
    <w:rsid w:val="00C92C5C"/>
    <w:rsid w:val="00C93D75"/>
    <w:rsid w:val="00C94698"/>
    <w:rsid w:val="00C95C5F"/>
    <w:rsid w:val="00CA21E6"/>
    <w:rsid w:val="00CA2A30"/>
    <w:rsid w:val="00CA4CDC"/>
    <w:rsid w:val="00CB3A67"/>
    <w:rsid w:val="00CC0B51"/>
    <w:rsid w:val="00CC0D90"/>
    <w:rsid w:val="00CC2A60"/>
    <w:rsid w:val="00CC364F"/>
    <w:rsid w:val="00CC55E8"/>
    <w:rsid w:val="00CD1A5D"/>
    <w:rsid w:val="00CD5B9A"/>
    <w:rsid w:val="00CE0291"/>
    <w:rsid w:val="00CE19E1"/>
    <w:rsid w:val="00CE3D99"/>
    <w:rsid w:val="00CF37FF"/>
    <w:rsid w:val="00CF4097"/>
    <w:rsid w:val="00CF5507"/>
    <w:rsid w:val="00D01FB5"/>
    <w:rsid w:val="00D20DBB"/>
    <w:rsid w:val="00D21EDF"/>
    <w:rsid w:val="00D231A1"/>
    <w:rsid w:val="00D27853"/>
    <w:rsid w:val="00D32B12"/>
    <w:rsid w:val="00D34268"/>
    <w:rsid w:val="00D35370"/>
    <w:rsid w:val="00D35D25"/>
    <w:rsid w:val="00D42959"/>
    <w:rsid w:val="00D44667"/>
    <w:rsid w:val="00D57783"/>
    <w:rsid w:val="00D673E3"/>
    <w:rsid w:val="00D71626"/>
    <w:rsid w:val="00D72A3E"/>
    <w:rsid w:val="00D7300E"/>
    <w:rsid w:val="00D743CC"/>
    <w:rsid w:val="00D756E0"/>
    <w:rsid w:val="00D762DE"/>
    <w:rsid w:val="00D76ED8"/>
    <w:rsid w:val="00D775D9"/>
    <w:rsid w:val="00D8095F"/>
    <w:rsid w:val="00D81008"/>
    <w:rsid w:val="00D83F3D"/>
    <w:rsid w:val="00D96812"/>
    <w:rsid w:val="00DA0007"/>
    <w:rsid w:val="00DA307C"/>
    <w:rsid w:val="00DA460D"/>
    <w:rsid w:val="00DB1C50"/>
    <w:rsid w:val="00DC4CD9"/>
    <w:rsid w:val="00DC6F2E"/>
    <w:rsid w:val="00DC71F5"/>
    <w:rsid w:val="00DC78E0"/>
    <w:rsid w:val="00DE0B31"/>
    <w:rsid w:val="00DE47BC"/>
    <w:rsid w:val="00DE5AED"/>
    <w:rsid w:val="00DF35E6"/>
    <w:rsid w:val="00DF73A9"/>
    <w:rsid w:val="00E0003A"/>
    <w:rsid w:val="00E0013E"/>
    <w:rsid w:val="00E06D2A"/>
    <w:rsid w:val="00E07AD9"/>
    <w:rsid w:val="00E11E48"/>
    <w:rsid w:val="00E14B39"/>
    <w:rsid w:val="00E20048"/>
    <w:rsid w:val="00E204CD"/>
    <w:rsid w:val="00E24A78"/>
    <w:rsid w:val="00E24BD8"/>
    <w:rsid w:val="00E25BC7"/>
    <w:rsid w:val="00E31D70"/>
    <w:rsid w:val="00E32D8B"/>
    <w:rsid w:val="00E331D4"/>
    <w:rsid w:val="00E33C02"/>
    <w:rsid w:val="00E34B83"/>
    <w:rsid w:val="00E3646C"/>
    <w:rsid w:val="00E47291"/>
    <w:rsid w:val="00E514B5"/>
    <w:rsid w:val="00E5385D"/>
    <w:rsid w:val="00E56A4E"/>
    <w:rsid w:val="00E56B38"/>
    <w:rsid w:val="00E61275"/>
    <w:rsid w:val="00E650D5"/>
    <w:rsid w:val="00E74619"/>
    <w:rsid w:val="00E77A84"/>
    <w:rsid w:val="00E8623A"/>
    <w:rsid w:val="00E90682"/>
    <w:rsid w:val="00EA2FC0"/>
    <w:rsid w:val="00EB0113"/>
    <w:rsid w:val="00EB10D3"/>
    <w:rsid w:val="00EB2A58"/>
    <w:rsid w:val="00EC4814"/>
    <w:rsid w:val="00EC61DD"/>
    <w:rsid w:val="00EE3D73"/>
    <w:rsid w:val="00EE6BC4"/>
    <w:rsid w:val="00EE758F"/>
    <w:rsid w:val="00EF2E93"/>
    <w:rsid w:val="00EF67F1"/>
    <w:rsid w:val="00F03663"/>
    <w:rsid w:val="00F03E2E"/>
    <w:rsid w:val="00F046A6"/>
    <w:rsid w:val="00F046AF"/>
    <w:rsid w:val="00F06136"/>
    <w:rsid w:val="00F107F2"/>
    <w:rsid w:val="00F12C34"/>
    <w:rsid w:val="00F148E3"/>
    <w:rsid w:val="00F15A16"/>
    <w:rsid w:val="00F15A35"/>
    <w:rsid w:val="00F21D60"/>
    <w:rsid w:val="00F23D3B"/>
    <w:rsid w:val="00F42B68"/>
    <w:rsid w:val="00F45FAD"/>
    <w:rsid w:val="00F51A38"/>
    <w:rsid w:val="00F52D87"/>
    <w:rsid w:val="00F5537F"/>
    <w:rsid w:val="00F56EC4"/>
    <w:rsid w:val="00F57379"/>
    <w:rsid w:val="00F576C5"/>
    <w:rsid w:val="00F70CFA"/>
    <w:rsid w:val="00F7166C"/>
    <w:rsid w:val="00F750AF"/>
    <w:rsid w:val="00F82D53"/>
    <w:rsid w:val="00F84523"/>
    <w:rsid w:val="00F8452F"/>
    <w:rsid w:val="00F87202"/>
    <w:rsid w:val="00F95F99"/>
    <w:rsid w:val="00FA5ED9"/>
    <w:rsid w:val="00FA66B6"/>
    <w:rsid w:val="00FB0679"/>
    <w:rsid w:val="00FB0E91"/>
    <w:rsid w:val="00FB3365"/>
    <w:rsid w:val="00FB404B"/>
    <w:rsid w:val="00FB5009"/>
    <w:rsid w:val="00FB5A71"/>
    <w:rsid w:val="00FB78BD"/>
    <w:rsid w:val="00FC3536"/>
    <w:rsid w:val="00FD0DAC"/>
    <w:rsid w:val="00FD1586"/>
    <w:rsid w:val="00FD1AC6"/>
    <w:rsid w:val="00FE3065"/>
    <w:rsid w:val="00FE497C"/>
    <w:rsid w:val="00FF7CB0"/>
    <w:rsid w:val="01030184"/>
    <w:rsid w:val="01300309"/>
    <w:rsid w:val="017936BE"/>
    <w:rsid w:val="01880CD9"/>
    <w:rsid w:val="01D834EB"/>
    <w:rsid w:val="01F62F61"/>
    <w:rsid w:val="01FA0FBF"/>
    <w:rsid w:val="02074D28"/>
    <w:rsid w:val="02174B17"/>
    <w:rsid w:val="024147A7"/>
    <w:rsid w:val="025079CC"/>
    <w:rsid w:val="0256755B"/>
    <w:rsid w:val="027A149C"/>
    <w:rsid w:val="027C0364"/>
    <w:rsid w:val="02DC2947"/>
    <w:rsid w:val="032633D2"/>
    <w:rsid w:val="032F6BF2"/>
    <w:rsid w:val="035C7BE4"/>
    <w:rsid w:val="039C5442"/>
    <w:rsid w:val="03A61B23"/>
    <w:rsid w:val="03DE1D8D"/>
    <w:rsid w:val="045444E5"/>
    <w:rsid w:val="04616819"/>
    <w:rsid w:val="04720898"/>
    <w:rsid w:val="0477644A"/>
    <w:rsid w:val="047A1C27"/>
    <w:rsid w:val="04B8274F"/>
    <w:rsid w:val="056E60F9"/>
    <w:rsid w:val="05944396"/>
    <w:rsid w:val="05B95512"/>
    <w:rsid w:val="05CC4D8D"/>
    <w:rsid w:val="05FD219C"/>
    <w:rsid w:val="06071298"/>
    <w:rsid w:val="06326665"/>
    <w:rsid w:val="064006F3"/>
    <w:rsid w:val="066A295E"/>
    <w:rsid w:val="068F5631"/>
    <w:rsid w:val="06BC1678"/>
    <w:rsid w:val="07414C7E"/>
    <w:rsid w:val="074A2B17"/>
    <w:rsid w:val="07867C5E"/>
    <w:rsid w:val="07BA6213"/>
    <w:rsid w:val="07DA6E63"/>
    <w:rsid w:val="07E87ECE"/>
    <w:rsid w:val="07FB495C"/>
    <w:rsid w:val="083F797F"/>
    <w:rsid w:val="08566507"/>
    <w:rsid w:val="086521EE"/>
    <w:rsid w:val="088F5575"/>
    <w:rsid w:val="08C2594B"/>
    <w:rsid w:val="08D7003B"/>
    <w:rsid w:val="08FE250B"/>
    <w:rsid w:val="090F2D06"/>
    <w:rsid w:val="090F52AF"/>
    <w:rsid w:val="09146B64"/>
    <w:rsid w:val="0921686E"/>
    <w:rsid w:val="0938097C"/>
    <w:rsid w:val="09DE0275"/>
    <w:rsid w:val="0A701907"/>
    <w:rsid w:val="0A762E91"/>
    <w:rsid w:val="0A7D10B3"/>
    <w:rsid w:val="0A9A7E3B"/>
    <w:rsid w:val="0A9B28F7"/>
    <w:rsid w:val="0AB737EF"/>
    <w:rsid w:val="0ACE73C3"/>
    <w:rsid w:val="0B7A250D"/>
    <w:rsid w:val="0B92139F"/>
    <w:rsid w:val="0BD45DA0"/>
    <w:rsid w:val="0BE21187"/>
    <w:rsid w:val="0C0B7609"/>
    <w:rsid w:val="0C285033"/>
    <w:rsid w:val="0C380F08"/>
    <w:rsid w:val="0C4843B9"/>
    <w:rsid w:val="0C540FAF"/>
    <w:rsid w:val="0C730EDC"/>
    <w:rsid w:val="0CC13F57"/>
    <w:rsid w:val="0CDE68AC"/>
    <w:rsid w:val="0D2B1976"/>
    <w:rsid w:val="0D590752"/>
    <w:rsid w:val="0D6945E7"/>
    <w:rsid w:val="0D9553DC"/>
    <w:rsid w:val="0DA3027C"/>
    <w:rsid w:val="0DEC7708"/>
    <w:rsid w:val="0DFA0E1A"/>
    <w:rsid w:val="0E3D77CB"/>
    <w:rsid w:val="0E5A2621"/>
    <w:rsid w:val="0E5B5776"/>
    <w:rsid w:val="0E8B5D67"/>
    <w:rsid w:val="0ECC307F"/>
    <w:rsid w:val="0ECE5B8F"/>
    <w:rsid w:val="0EDB310F"/>
    <w:rsid w:val="0F0B3BEA"/>
    <w:rsid w:val="0F673762"/>
    <w:rsid w:val="0F8A0744"/>
    <w:rsid w:val="0F9653C9"/>
    <w:rsid w:val="0F9C2ED8"/>
    <w:rsid w:val="0F9D0B98"/>
    <w:rsid w:val="0FA802DC"/>
    <w:rsid w:val="0FB51D65"/>
    <w:rsid w:val="0FB6788B"/>
    <w:rsid w:val="0FC401FA"/>
    <w:rsid w:val="0FC81E9D"/>
    <w:rsid w:val="0FD91E42"/>
    <w:rsid w:val="0FFD6BAB"/>
    <w:rsid w:val="10134AF1"/>
    <w:rsid w:val="101C76FE"/>
    <w:rsid w:val="102058F0"/>
    <w:rsid w:val="10525806"/>
    <w:rsid w:val="106A61FD"/>
    <w:rsid w:val="10806817"/>
    <w:rsid w:val="10835984"/>
    <w:rsid w:val="109850F7"/>
    <w:rsid w:val="10A262F3"/>
    <w:rsid w:val="10AA256E"/>
    <w:rsid w:val="10E914E9"/>
    <w:rsid w:val="10F6497A"/>
    <w:rsid w:val="11027F51"/>
    <w:rsid w:val="110D4E9A"/>
    <w:rsid w:val="112F0D5E"/>
    <w:rsid w:val="113066C1"/>
    <w:rsid w:val="114772FC"/>
    <w:rsid w:val="11531836"/>
    <w:rsid w:val="11743805"/>
    <w:rsid w:val="11A55E09"/>
    <w:rsid w:val="11B867A2"/>
    <w:rsid w:val="11C10E95"/>
    <w:rsid w:val="11D902BB"/>
    <w:rsid w:val="11DF7B49"/>
    <w:rsid w:val="12253344"/>
    <w:rsid w:val="122B4561"/>
    <w:rsid w:val="127E6D86"/>
    <w:rsid w:val="129C0C20"/>
    <w:rsid w:val="129E4FF1"/>
    <w:rsid w:val="129F387D"/>
    <w:rsid w:val="12D47F8E"/>
    <w:rsid w:val="1312750D"/>
    <w:rsid w:val="133C5F8A"/>
    <w:rsid w:val="135950FD"/>
    <w:rsid w:val="138B0FFA"/>
    <w:rsid w:val="13936861"/>
    <w:rsid w:val="13C14B00"/>
    <w:rsid w:val="13D1085A"/>
    <w:rsid w:val="142F15AD"/>
    <w:rsid w:val="145204CA"/>
    <w:rsid w:val="146D2C0E"/>
    <w:rsid w:val="148C2DFC"/>
    <w:rsid w:val="14C811F3"/>
    <w:rsid w:val="15075A8F"/>
    <w:rsid w:val="15101650"/>
    <w:rsid w:val="151B3F33"/>
    <w:rsid w:val="152359C3"/>
    <w:rsid w:val="15405B37"/>
    <w:rsid w:val="15CE5185"/>
    <w:rsid w:val="160A0A0C"/>
    <w:rsid w:val="160E21CF"/>
    <w:rsid w:val="16323814"/>
    <w:rsid w:val="163836F0"/>
    <w:rsid w:val="16765DBD"/>
    <w:rsid w:val="16981900"/>
    <w:rsid w:val="16B1368B"/>
    <w:rsid w:val="16DD1699"/>
    <w:rsid w:val="16F27592"/>
    <w:rsid w:val="17123B42"/>
    <w:rsid w:val="175D7147"/>
    <w:rsid w:val="17C0574B"/>
    <w:rsid w:val="17E07B9B"/>
    <w:rsid w:val="17FF6273"/>
    <w:rsid w:val="186303EB"/>
    <w:rsid w:val="186D1358"/>
    <w:rsid w:val="18887FCB"/>
    <w:rsid w:val="18A9599D"/>
    <w:rsid w:val="18E31FE1"/>
    <w:rsid w:val="191E6BCD"/>
    <w:rsid w:val="19440065"/>
    <w:rsid w:val="196A1E12"/>
    <w:rsid w:val="197D6789"/>
    <w:rsid w:val="198723E7"/>
    <w:rsid w:val="199650A7"/>
    <w:rsid w:val="19DD40A3"/>
    <w:rsid w:val="19E716B5"/>
    <w:rsid w:val="1AEC23CA"/>
    <w:rsid w:val="1B0911B7"/>
    <w:rsid w:val="1B261D6D"/>
    <w:rsid w:val="1B3339A4"/>
    <w:rsid w:val="1B394DD8"/>
    <w:rsid w:val="1B5543FC"/>
    <w:rsid w:val="1B6449E7"/>
    <w:rsid w:val="1B8569D3"/>
    <w:rsid w:val="1B9253AE"/>
    <w:rsid w:val="1B936BA3"/>
    <w:rsid w:val="1BAB1783"/>
    <w:rsid w:val="1BCA7CE3"/>
    <w:rsid w:val="1BD16808"/>
    <w:rsid w:val="1BDB2B53"/>
    <w:rsid w:val="1BEA0FE8"/>
    <w:rsid w:val="1BFB0EDE"/>
    <w:rsid w:val="1C084FFF"/>
    <w:rsid w:val="1CA422C3"/>
    <w:rsid w:val="1CC01D49"/>
    <w:rsid w:val="1CCB4B12"/>
    <w:rsid w:val="1CFE6E95"/>
    <w:rsid w:val="1D800E13"/>
    <w:rsid w:val="1E2244CC"/>
    <w:rsid w:val="1E2E3AEF"/>
    <w:rsid w:val="1E4622A4"/>
    <w:rsid w:val="1E56053E"/>
    <w:rsid w:val="1E5E66C1"/>
    <w:rsid w:val="1E7673BE"/>
    <w:rsid w:val="1E8B697F"/>
    <w:rsid w:val="1EC07BE3"/>
    <w:rsid w:val="1EFB4E1D"/>
    <w:rsid w:val="1F183C7A"/>
    <w:rsid w:val="1F1A3993"/>
    <w:rsid w:val="1F1F369F"/>
    <w:rsid w:val="1F7652AF"/>
    <w:rsid w:val="1F830D3F"/>
    <w:rsid w:val="1FC32B0F"/>
    <w:rsid w:val="202B58D5"/>
    <w:rsid w:val="203E3E1F"/>
    <w:rsid w:val="2055435D"/>
    <w:rsid w:val="2065105D"/>
    <w:rsid w:val="206550E2"/>
    <w:rsid w:val="208A17F4"/>
    <w:rsid w:val="20C95B9E"/>
    <w:rsid w:val="20E63AC6"/>
    <w:rsid w:val="20F13D8E"/>
    <w:rsid w:val="20FA6F75"/>
    <w:rsid w:val="21036F42"/>
    <w:rsid w:val="2107015B"/>
    <w:rsid w:val="21A223BE"/>
    <w:rsid w:val="21A42676"/>
    <w:rsid w:val="21B2410B"/>
    <w:rsid w:val="21BF3326"/>
    <w:rsid w:val="21C05721"/>
    <w:rsid w:val="21C905FD"/>
    <w:rsid w:val="21D32201"/>
    <w:rsid w:val="21DB0D6B"/>
    <w:rsid w:val="21F229A5"/>
    <w:rsid w:val="220770D0"/>
    <w:rsid w:val="222A1CBE"/>
    <w:rsid w:val="22597149"/>
    <w:rsid w:val="22DE3463"/>
    <w:rsid w:val="22F34C27"/>
    <w:rsid w:val="231D6147"/>
    <w:rsid w:val="232079E6"/>
    <w:rsid w:val="23251A24"/>
    <w:rsid w:val="232C7A5F"/>
    <w:rsid w:val="234F1F97"/>
    <w:rsid w:val="23602061"/>
    <w:rsid w:val="23671171"/>
    <w:rsid w:val="23711C3C"/>
    <w:rsid w:val="237211DA"/>
    <w:rsid w:val="2392443F"/>
    <w:rsid w:val="23966459"/>
    <w:rsid w:val="244115CC"/>
    <w:rsid w:val="24417C14"/>
    <w:rsid w:val="244D083E"/>
    <w:rsid w:val="245925C4"/>
    <w:rsid w:val="245E4322"/>
    <w:rsid w:val="24BB3FE5"/>
    <w:rsid w:val="25135768"/>
    <w:rsid w:val="253944AA"/>
    <w:rsid w:val="2580463C"/>
    <w:rsid w:val="259302FC"/>
    <w:rsid w:val="25954934"/>
    <w:rsid w:val="25B22F4B"/>
    <w:rsid w:val="25DD571A"/>
    <w:rsid w:val="26170C2C"/>
    <w:rsid w:val="2618250D"/>
    <w:rsid w:val="268D2B2D"/>
    <w:rsid w:val="26E825C8"/>
    <w:rsid w:val="26F469F8"/>
    <w:rsid w:val="27054F28"/>
    <w:rsid w:val="277358EF"/>
    <w:rsid w:val="27816C71"/>
    <w:rsid w:val="27895B59"/>
    <w:rsid w:val="27952750"/>
    <w:rsid w:val="27B42225"/>
    <w:rsid w:val="27C43035"/>
    <w:rsid w:val="27D94AD9"/>
    <w:rsid w:val="27E32634"/>
    <w:rsid w:val="284B404B"/>
    <w:rsid w:val="28956042"/>
    <w:rsid w:val="28C66939"/>
    <w:rsid w:val="28D17A3D"/>
    <w:rsid w:val="28FE60D3"/>
    <w:rsid w:val="290817D7"/>
    <w:rsid w:val="293B530C"/>
    <w:rsid w:val="297211FC"/>
    <w:rsid w:val="29AC468F"/>
    <w:rsid w:val="29C70BC7"/>
    <w:rsid w:val="29FA0F90"/>
    <w:rsid w:val="2A662182"/>
    <w:rsid w:val="2A842105"/>
    <w:rsid w:val="2AC53696"/>
    <w:rsid w:val="2AD51346"/>
    <w:rsid w:val="2AF97B0C"/>
    <w:rsid w:val="2B1778F2"/>
    <w:rsid w:val="2B1B7F1F"/>
    <w:rsid w:val="2B4E2738"/>
    <w:rsid w:val="2B830B12"/>
    <w:rsid w:val="2BDE00A9"/>
    <w:rsid w:val="2BDE35FE"/>
    <w:rsid w:val="2BE579DB"/>
    <w:rsid w:val="2BEC4909"/>
    <w:rsid w:val="2BF37A45"/>
    <w:rsid w:val="2BFE2AF5"/>
    <w:rsid w:val="2C2031CB"/>
    <w:rsid w:val="2C2A5EA4"/>
    <w:rsid w:val="2C89351D"/>
    <w:rsid w:val="2CE56AAF"/>
    <w:rsid w:val="2D1378D3"/>
    <w:rsid w:val="2D5E7928"/>
    <w:rsid w:val="2D871F87"/>
    <w:rsid w:val="2D8E3834"/>
    <w:rsid w:val="2DCD3715"/>
    <w:rsid w:val="2DF61A6F"/>
    <w:rsid w:val="2E276D3D"/>
    <w:rsid w:val="2E3419AD"/>
    <w:rsid w:val="2E536EC1"/>
    <w:rsid w:val="2E907846"/>
    <w:rsid w:val="2EA9364A"/>
    <w:rsid w:val="2EA95EA2"/>
    <w:rsid w:val="2EC5452D"/>
    <w:rsid w:val="2F0F1FAF"/>
    <w:rsid w:val="2F1F2F82"/>
    <w:rsid w:val="2F2D4BFA"/>
    <w:rsid w:val="2F697212"/>
    <w:rsid w:val="2F805A94"/>
    <w:rsid w:val="2F8B7D10"/>
    <w:rsid w:val="2F8C268B"/>
    <w:rsid w:val="2FB223E5"/>
    <w:rsid w:val="2FBB2F70"/>
    <w:rsid w:val="300140D5"/>
    <w:rsid w:val="300634F7"/>
    <w:rsid w:val="304D7F48"/>
    <w:rsid w:val="30773D10"/>
    <w:rsid w:val="30AC28B9"/>
    <w:rsid w:val="313A1C72"/>
    <w:rsid w:val="313D3CA2"/>
    <w:rsid w:val="31535609"/>
    <w:rsid w:val="31705E8F"/>
    <w:rsid w:val="3174782E"/>
    <w:rsid w:val="31845CDA"/>
    <w:rsid w:val="3211481D"/>
    <w:rsid w:val="321443BD"/>
    <w:rsid w:val="32776223"/>
    <w:rsid w:val="328305A1"/>
    <w:rsid w:val="328F7E00"/>
    <w:rsid w:val="329238C6"/>
    <w:rsid w:val="329F0927"/>
    <w:rsid w:val="32F204CB"/>
    <w:rsid w:val="32F50EDB"/>
    <w:rsid w:val="330E1609"/>
    <w:rsid w:val="332C482A"/>
    <w:rsid w:val="332E5807"/>
    <w:rsid w:val="33501496"/>
    <w:rsid w:val="33A87367"/>
    <w:rsid w:val="33BF6E56"/>
    <w:rsid w:val="34081A04"/>
    <w:rsid w:val="341F1D7D"/>
    <w:rsid w:val="346104BF"/>
    <w:rsid w:val="34881580"/>
    <w:rsid w:val="349073BA"/>
    <w:rsid w:val="34A85CB0"/>
    <w:rsid w:val="34CE2A9F"/>
    <w:rsid w:val="34E22D4D"/>
    <w:rsid w:val="350E58AA"/>
    <w:rsid w:val="351F3659"/>
    <w:rsid w:val="353251AA"/>
    <w:rsid w:val="3599153C"/>
    <w:rsid w:val="35F5260C"/>
    <w:rsid w:val="36387867"/>
    <w:rsid w:val="365A20FA"/>
    <w:rsid w:val="366E661D"/>
    <w:rsid w:val="3676374D"/>
    <w:rsid w:val="367C49A1"/>
    <w:rsid w:val="36811CCB"/>
    <w:rsid w:val="36AA33F6"/>
    <w:rsid w:val="36FC5EC0"/>
    <w:rsid w:val="37903539"/>
    <w:rsid w:val="37A145F2"/>
    <w:rsid w:val="37AB5678"/>
    <w:rsid w:val="37DE3C9F"/>
    <w:rsid w:val="37F3456A"/>
    <w:rsid w:val="38033706"/>
    <w:rsid w:val="3819696E"/>
    <w:rsid w:val="382F62A9"/>
    <w:rsid w:val="384141E9"/>
    <w:rsid w:val="38431D54"/>
    <w:rsid w:val="386A4CBF"/>
    <w:rsid w:val="38850C3C"/>
    <w:rsid w:val="388A1731"/>
    <w:rsid w:val="38DF36F6"/>
    <w:rsid w:val="393261C2"/>
    <w:rsid w:val="3980605A"/>
    <w:rsid w:val="39837449"/>
    <w:rsid w:val="39E657D7"/>
    <w:rsid w:val="39EF04A0"/>
    <w:rsid w:val="3A32398D"/>
    <w:rsid w:val="3A6371E8"/>
    <w:rsid w:val="3A67076E"/>
    <w:rsid w:val="3A7A7584"/>
    <w:rsid w:val="3A8A5A19"/>
    <w:rsid w:val="3AB111F7"/>
    <w:rsid w:val="3AB30705"/>
    <w:rsid w:val="3ABB2076"/>
    <w:rsid w:val="3AEC0481"/>
    <w:rsid w:val="3B0534C7"/>
    <w:rsid w:val="3B257BAB"/>
    <w:rsid w:val="3B7248E4"/>
    <w:rsid w:val="3B9B554F"/>
    <w:rsid w:val="3BB15227"/>
    <w:rsid w:val="3BB353CE"/>
    <w:rsid w:val="3BD317EF"/>
    <w:rsid w:val="3BDF70C3"/>
    <w:rsid w:val="3BE27D9A"/>
    <w:rsid w:val="3C451134"/>
    <w:rsid w:val="3C857BDC"/>
    <w:rsid w:val="3C8B7F71"/>
    <w:rsid w:val="3CCB3ED6"/>
    <w:rsid w:val="3CFD6258"/>
    <w:rsid w:val="3D0776D8"/>
    <w:rsid w:val="3D0C7EE5"/>
    <w:rsid w:val="3D206FDF"/>
    <w:rsid w:val="3D256EDC"/>
    <w:rsid w:val="3D2609A2"/>
    <w:rsid w:val="3DB82D12"/>
    <w:rsid w:val="3DC271E1"/>
    <w:rsid w:val="3E356663"/>
    <w:rsid w:val="3E523B8C"/>
    <w:rsid w:val="3E957E2B"/>
    <w:rsid w:val="3E9916A0"/>
    <w:rsid w:val="3EA90437"/>
    <w:rsid w:val="3EB96C7D"/>
    <w:rsid w:val="3EC3599D"/>
    <w:rsid w:val="3EDA3430"/>
    <w:rsid w:val="3EFB7A0A"/>
    <w:rsid w:val="3F041198"/>
    <w:rsid w:val="3F303FC2"/>
    <w:rsid w:val="3F4C5BEF"/>
    <w:rsid w:val="3F525063"/>
    <w:rsid w:val="3F5856D5"/>
    <w:rsid w:val="3F9F2443"/>
    <w:rsid w:val="3FB34229"/>
    <w:rsid w:val="3FB84DD6"/>
    <w:rsid w:val="404B7437"/>
    <w:rsid w:val="407A652F"/>
    <w:rsid w:val="408D0011"/>
    <w:rsid w:val="40AD4409"/>
    <w:rsid w:val="40B11427"/>
    <w:rsid w:val="40B80711"/>
    <w:rsid w:val="40D423CF"/>
    <w:rsid w:val="410423F9"/>
    <w:rsid w:val="410B7187"/>
    <w:rsid w:val="411B4E0A"/>
    <w:rsid w:val="414864CD"/>
    <w:rsid w:val="415115C7"/>
    <w:rsid w:val="415B010F"/>
    <w:rsid w:val="41645A8A"/>
    <w:rsid w:val="41983CCE"/>
    <w:rsid w:val="419F0436"/>
    <w:rsid w:val="41AF3FB7"/>
    <w:rsid w:val="41CC0D51"/>
    <w:rsid w:val="41F710DD"/>
    <w:rsid w:val="421C301B"/>
    <w:rsid w:val="422608AE"/>
    <w:rsid w:val="422B5DAF"/>
    <w:rsid w:val="42320575"/>
    <w:rsid w:val="42602F47"/>
    <w:rsid w:val="426C3C56"/>
    <w:rsid w:val="428A57E7"/>
    <w:rsid w:val="428C42F8"/>
    <w:rsid w:val="428D483B"/>
    <w:rsid w:val="429D6505"/>
    <w:rsid w:val="42C60C9A"/>
    <w:rsid w:val="42F779C3"/>
    <w:rsid w:val="431C182F"/>
    <w:rsid w:val="43324506"/>
    <w:rsid w:val="43442B17"/>
    <w:rsid w:val="43503578"/>
    <w:rsid w:val="435D6994"/>
    <w:rsid w:val="43827CC6"/>
    <w:rsid w:val="439020FE"/>
    <w:rsid w:val="43A833B4"/>
    <w:rsid w:val="43AF029E"/>
    <w:rsid w:val="43E3618F"/>
    <w:rsid w:val="43E93BCA"/>
    <w:rsid w:val="43F6252A"/>
    <w:rsid w:val="4422704A"/>
    <w:rsid w:val="4440280F"/>
    <w:rsid w:val="444E4AF8"/>
    <w:rsid w:val="446E5280"/>
    <w:rsid w:val="44C602C6"/>
    <w:rsid w:val="44D13462"/>
    <w:rsid w:val="45145014"/>
    <w:rsid w:val="455455A1"/>
    <w:rsid w:val="457479F1"/>
    <w:rsid w:val="457D7297"/>
    <w:rsid w:val="459D4A93"/>
    <w:rsid w:val="45CC2BBA"/>
    <w:rsid w:val="45EA42B8"/>
    <w:rsid w:val="46340F2E"/>
    <w:rsid w:val="464E3B1C"/>
    <w:rsid w:val="466E4440"/>
    <w:rsid w:val="4763354B"/>
    <w:rsid w:val="479D68E8"/>
    <w:rsid w:val="47A43652"/>
    <w:rsid w:val="47A570FC"/>
    <w:rsid w:val="47B44A42"/>
    <w:rsid w:val="47D93B3C"/>
    <w:rsid w:val="47DE5BB7"/>
    <w:rsid w:val="480C6B24"/>
    <w:rsid w:val="481A6E99"/>
    <w:rsid w:val="48653621"/>
    <w:rsid w:val="48783354"/>
    <w:rsid w:val="488E067B"/>
    <w:rsid w:val="49594CEC"/>
    <w:rsid w:val="496930A0"/>
    <w:rsid w:val="496B108F"/>
    <w:rsid w:val="49935D8F"/>
    <w:rsid w:val="49BA6AC0"/>
    <w:rsid w:val="49DC7913"/>
    <w:rsid w:val="49DE7D7D"/>
    <w:rsid w:val="4A0D7103"/>
    <w:rsid w:val="4A355C64"/>
    <w:rsid w:val="4A513E5D"/>
    <w:rsid w:val="4A536E9F"/>
    <w:rsid w:val="4ABC2859"/>
    <w:rsid w:val="4AC12116"/>
    <w:rsid w:val="4AD4683C"/>
    <w:rsid w:val="4AD60806"/>
    <w:rsid w:val="4AD73910"/>
    <w:rsid w:val="4B6F094B"/>
    <w:rsid w:val="4BD62E28"/>
    <w:rsid w:val="4BF2341E"/>
    <w:rsid w:val="4C3F529F"/>
    <w:rsid w:val="4C760FD5"/>
    <w:rsid w:val="4CA24E44"/>
    <w:rsid w:val="4CA73E5F"/>
    <w:rsid w:val="4CD70439"/>
    <w:rsid w:val="4D064952"/>
    <w:rsid w:val="4D4B3976"/>
    <w:rsid w:val="4D693BB4"/>
    <w:rsid w:val="4D78603B"/>
    <w:rsid w:val="4E131ACC"/>
    <w:rsid w:val="4E1D05CF"/>
    <w:rsid w:val="4E2F0959"/>
    <w:rsid w:val="4E41282B"/>
    <w:rsid w:val="4E921EC2"/>
    <w:rsid w:val="4E946A0E"/>
    <w:rsid w:val="4E9E163B"/>
    <w:rsid w:val="4EA05B2B"/>
    <w:rsid w:val="4EA571F2"/>
    <w:rsid w:val="4EB91EAF"/>
    <w:rsid w:val="4ED61BF7"/>
    <w:rsid w:val="4F0849B1"/>
    <w:rsid w:val="4F8922EB"/>
    <w:rsid w:val="4FAB400F"/>
    <w:rsid w:val="4FC14D17"/>
    <w:rsid w:val="4FC55CA6"/>
    <w:rsid w:val="4FCB455B"/>
    <w:rsid w:val="500E1B55"/>
    <w:rsid w:val="502B244C"/>
    <w:rsid w:val="502C5217"/>
    <w:rsid w:val="502F4C40"/>
    <w:rsid w:val="50870229"/>
    <w:rsid w:val="50936400"/>
    <w:rsid w:val="509E5922"/>
    <w:rsid w:val="50AD15D8"/>
    <w:rsid w:val="50B97CB2"/>
    <w:rsid w:val="50E53ADF"/>
    <w:rsid w:val="50FB4B23"/>
    <w:rsid w:val="51076B2F"/>
    <w:rsid w:val="510936E3"/>
    <w:rsid w:val="51093901"/>
    <w:rsid w:val="51140F3B"/>
    <w:rsid w:val="514E7348"/>
    <w:rsid w:val="51603703"/>
    <w:rsid w:val="516528E4"/>
    <w:rsid w:val="517D3DBA"/>
    <w:rsid w:val="518B7E60"/>
    <w:rsid w:val="51D97C88"/>
    <w:rsid w:val="51EA5182"/>
    <w:rsid w:val="521F2DEA"/>
    <w:rsid w:val="526760BF"/>
    <w:rsid w:val="52EC0316"/>
    <w:rsid w:val="532C36B9"/>
    <w:rsid w:val="53B402B3"/>
    <w:rsid w:val="53CD699A"/>
    <w:rsid w:val="542B146E"/>
    <w:rsid w:val="544F3B03"/>
    <w:rsid w:val="54731FB3"/>
    <w:rsid w:val="5495510A"/>
    <w:rsid w:val="549A1842"/>
    <w:rsid w:val="54B26B08"/>
    <w:rsid w:val="54BC281B"/>
    <w:rsid w:val="54C33F03"/>
    <w:rsid w:val="54FE27F5"/>
    <w:rsid w:val="55083CB2"/>
    <w:rsid w:val="55155F3F"/>
    <w:rsid w:val="552503C0"/>
    <w:rsid w:val="552808C5"/>
    <w:rsid w:val="55325C25"/>
    <w:rsid w:val="55C72A36"/>
    <w:rsid w:val="55EB4298"/>
    <w:rsid w:val="56064377"/>
    <w:rsid w:val="56196483"/>
    <w:rsid w:val="561B36B6"/>
    <w:rsid w:val="561B5E4B"/>
    <w:rsid w:val="562B7C58"/>
    <w:rsid w:val="564503CD"/>
    <w:rsid w:val="5663384B"/>
    <w:rsid w:val="567E1394"/>
    <w:rsid w:val="568D6526"/>
    <w:rsid w:val="56995ED8"/>
    <w:rsid w:val="56BA4230"/>
    <w:rsid w:val="572B1EDA"/>
    <w:rsid w:val="57653C35"/>
    <w:rsid w:val="5774562F"/>
    <w:rsid w:val="57A71560"/>
    <w:rsid w:val="57A9647A"/>
    <w:rsid w:val="57AD78E7"/>
    <w:rsid w:val="582D0F34"/>
    <w:rsid w:val="586C6A21"/>
    <w:rsid w:val="589F492D"/>
    <w:rsid w:val="58DE1F85"/>
    <w:rsid w:val="59080725"/>
    <w:rsid w:val="59407EBE"/>
    <w:rsid w:val="59464DA9"/>
    <w:rsid w:val="59684974"/>
    <w:rsid w:val="59926125"/>
    <w:rsid w:val="59C62489"/>
    <w:rsid w:val="59D53026"/>
    <w:rsid w:val="59E6248C"/>
    <w:rsid w:val="5A042379"/>
    <w:rsid w:val="5A7C7C0C"/>
    <w:rsid w:val="5AE6078D"/>
    <w:rsid w:val="5B2A57DC"/>
    <w:rsid w:val="5B8027F4"/>
    <w:rsid w:val="5B835E40"/>
    <w:rsid w:val="5B982FBB"/>
    <w:rsid w:val="5BB631BC"/>
    <w:rsid w:val="5BDF05B6"/>
    <w:rsid w:val="5C241D7E"/>
    <w:rsid w:val="5C2E2250"/>
    <w:rsid w:val="5CBB0C6B"/>
    <w:rsid w:val="5CDC6150"/>
    <w:rsid w:val="5CF86550"/>
    <w:rsid w:val="5D0012F7"/>
    <w:rsid w:val="5D2B20E4"/>
    <w:rsid w:val="5D3E465C"/>
    <w:rsid w:val="5D79574D"/>
    <w:rsid w:val="5D7D0C61"/>
    <w:rsid w:val="5D823E2B"/>
    <w:rsid w:val="5D835681"/>
    <w:rsid w:val="5D851036"/>
    <w:rsid w:val="5D85692B"/>
    <w:rsid w:val="5D9B0FC5"/>
    <w:rsid w:val="5DAA1DAA"/>
    <w:rsid w:val="5DD91E2A"/>
    <w:rsid w:val="5E072899"/>
    <w:rsid w:val="5E2F405E"/>
    <w:rsid w:val="5E4F01C6"/>
    <w:rsid w:val="5E4F471A"/>
    <w:rsid w:val="5E6C5B2C"/>
    <w:rsid w:val="5E75608A"/>
    <w:rsid w:val="5E8C3B32"/>
    <w:rsid w:val="5EC96260"/>
    <w:rsid w:val="5ECE6A37"/>
    <w:rsid w:val="5EF648CC"/>
    <w:rsid w:val="5F1B0BD3"/>
    <w:rsid w:val="5F1C0A86"/>
    <w:rsid w:val="5F3062DF"/>
    <w:rsid w:val="5F4104EC"/>
    <w:rsid w:val="5F4F2373"/>
    <w:rsid w:val="5F55207B"/>
    <w:rsid w:val="5F642625"/>
    <w:rsid w:val="5FD44EBD"/>
    <w:rsid w:val="601C1153"/>
    <w:rsid w:val="603968B2"/>
    <w:rsid w:val="6054221C"/>
    <w:rsid w:val="60553707"/>
    <w:rsid w:val="607641C6"/>
    <w:rsid w:val="60853036"/>
    <w:rsid w:val="609676C4"/>
    <w:rsid w:val="60EF4255"/>
    <w:rsid w:val="60FB0BDA"/>
    <w:rsid w:val="612E57D0"/>
    <w:rsid w:val="612E684E"/>
    <w:rsid w:val="613561E0"/>
    <w:rsid w:val="617C7681"/>
    <w:rsid w:val="6180550C"/>
    <w:rsid w:val="61846C62"/>
    <w:rsid w:val="61D76EE6"/>
    <w:rsid w:val="61EC4D02"/>
    <w:rsid w:val="621D7EE5"/>
    <w:rsid w:val="62A414BE"/>
    <w:rsid w:val="62B902D6"/>
    <w:rsid w:val="62C7450D"/>
    <w:rsid w:val="62CB31E3"/>
    <w:rsid w:val="63266DD8"/>
    <w:rsid w:val="632F68AE"/>
    <w:rsid w:val="63456869"/>
    <w:rsid w:val="63861056"/>
    <w:rsid w:val="638B2464"/>
    <w:rsid w:val="639037F0"/>
    <w:rsid w:val="63963F55"/>
    <w:rsid w:val="63F03186"/>
    <w:rsid w:val="642665BA"/>
    <w:rsid w:val="64D9020E"/>
    <w:rsid w:val="65340C83"/>
    <w:rsid w:val="655976E9"/>
    <w:rsid w:val="658D6857"/>
    <w:rsid w:val="659D553E"/>
    <w:rsid w:val="65B638C0"/>
    <w:rsid w:val="65C459D3"/>
    <w:rsid w:val="65E16585"/>
    <w:rsid w:val="663374EC"/>
    <w:rsid w:val="66444F93"/>
    <w:rsid w:val="66613505"/>
    <w:rsid w:val="66886A01"/>
    <w:rsid w:val="668E1E2E"/>
    <w:rsid w:val="669D238E"/>
    <w:rsid w:val="66A01F9C"/>
    <w:rsid w:val="66D27E12"/>
    <w:rsid w:val="66EA76BB"/>
    <w:rsid w:val="66FC5F67"/>
    <w:rsid w:val="67083EFF"/>
    <w:rsid w:val="67401089"/>
    <w:rsid w:val="674D024D"/>
    <w:rsid w:val="67582877"/>
    <w:rsid w:val="67DF20B7"/>
    <w:rsid w:val="680B65BA"/>
    <w:rsid w:val="682356F3"/>
    <w:rsid w:val="683A1966"/>
    <w:rsid w:val="68A037F1"/>
    <w:rsid w:val="68AC7B3C"/>
    <w:rsid w:val="68B12821"/>
    <w:rsid w:val="68C22BD8"/>
    <w:rsid w:val="693966D8"/>
    <w:rsid w:val="69432624"/>
    <w:rsid w:val="69521893"/>
    <w:rsid w:val="69703A0B"/>
    <w:rsid w:val="69727411"/>
    <w:rsid w:val="6A126F60"/>
    <w:rsid w:val="6A5070DE"/>
    <w:rsid w:val="6A641533"/>
    <w:rsid w:val="6A895AF1"/>
    <w:rsid w:val="6AAD0282"/>
    <w:rsid w:val="6ABC136F"/>
    <w:rsid w:val="6AE81C94"/>
    <w:rsid w:val="6B3679B2"/>
    <w:rsid w:val="6B853A72"/>
    <w:rsid w:val="6BA46AB0"/>
    <w:rsid w:val="6BAA0150"/>
    <w:rsid w:val="6BC27512"/>
    <w:rsid w:val="6BF22395"/>
    <w:rsid w:val="6C1637BD"/>
    <w:rsid w:val="6C544DEA"/>
    <w:rsid w:val="6C5C5BDE"/>
    <w:rsid w:val="6C635DBB"/>
    <w:rsid w:val="6C9A7B66"/>
    <w:rsid w:val="6C9F6ABD"/>
    <w:rsid w:val="6CA95923"/>
    <w:rsid w:val="6CC14A1B"/>
    <w:rsid w:val="6CD16B0B"/>
    <w:rsid w:val="6CEE4F56"/>
    <w:rsid w:val="6CF52602"/>
    <w:rsid w:val="6D1061E6"/>
    <w:rsid w:val="6D233F3F"/>
    <w:rsid w:val="6D400035"/>
    <w:rsid w:val="6D503E66"/>
    <w:rsid w:val="6D6668C3"/>
    <w:rsid w:val="6DAF2FB5"/>
    <w:rsid w:val="6DC24EEE"/>
    <w:rsid w:val="6E8E79E1"/>
    <w:rsid w:val="6EFB6BBC"/>
    <w:rsid w:val="6F747C58"/>
    <w:rsid w:val="6F9667A3"/>
    <w:rsid w:val="6FB95E7D"/>
    <w:rsid w:val="6FC84C57"/>
    <w:rsid w:val="6FD136F3"/>
    <w:rsid w:val="70090BB2"/>
    <w:rsid w:val="7040659E"/>
    <w:rsid w:val="705A7660"/>
    <w:rsid w:val="7075667E"/>
    <w:rsid w:val="70D05D5A"/>
    <w:rsid w:val="70F31821"/>
    <w:rsid w:val="710E6E94"/>
    <w:rsid w:val="71175551"/>
    <w:rsid w:val="7125606D"/>
    <w:rsid w:val="715B3690"/>
    <w:rsid w:val="71733112"/>
    <w:rsid w:val="717F272C"/>
    <w:rsid w:val="718B31A4"/>
    <w:rsid w:val="71A07736"/>
    <w:rsid w:val="71C1726B"/>
    <w:rsid w:val="71D8165E"/>
    <w:rsid w:val="71DC376D"/>
    <w:rsid w:val="71DF24B1"/>
    <w:rsid w:val="723E2669"/>
    <w:rsid w:val="725320D0"/>
    <w:rsid w:val="72872262"/>
    <w:rsid w:val="72A11576"/>
    <w:rsid w:val="72A94DA3"/>
    <w:rsid w:val="72B075F7"/>
    <w:rsid w:val="72E370B9"/>
    <w:rsid w:val="72EB0A43"/>
    <w:rsid w:val="72F047CE"/>
    <w:rsid w:val="73146EFC"/>
    <w:rsid w:val="73171838"/>
    <w:rsid w:val="735A1725"/>
    <w:rsid w:val="73824F17"/>
    <w:rsid w:val="739B1A3B"/>
    <w:rsid w:val="73AB5EC8"/>
    <w:rsid w:val="73AB78E5"/>
    <w:rsid w:val="73CC75F2"/>
    <w:rsid w:val="73E221E3"/>
    <w:rsid w:val="740706A3"/>
    <w:rsid w:val="742B2970"/>
    <w:rsid w:val="743110B4"/>
    <w:rsid w:val="74686054"/>
    <w:rsid w:val="747C1246"/>
    <w:rsid w:val="748F3650"/>
    <w:rsid w:val="749B6472"/>
    <w:rsid w:val="74BB4852"/>
    <w:rsid w:val="74C91B1C"/>
    <w:rsid w:val="74D304DE"/>
    <w:rsid w:val="756E01BE"/>
    <w:rsid w:val="75954C96"/>
    <w:rsid w:val="759C440D"/>
    <w:rsid w:val="75BA2442"/>
    <w:rsid w:val="75D41B62"/>
    <w:rsid w:val="75D57D6F"/>
    <w:rsid w:val="75D67789"/>
    <w:rsid w:val="75E51F02"/>
    <w:rsid w:val="760C2E49"/>
    <w:rsid w:val="760D2A7F"/>
    <w:rsid w:val="760E6685"/>
    <w:rsid w:val="761C5426"/>
    <w:rsid w:val="763419B9"/>
    <w:rsid w:val="76695DC0"/>
    <w:rsid w:val="767815C2"/>
    <w:rsid w:val="768371E5"/>
    <w:rsid w:val="768D3BBF"/>
    <w:rsid w:val="76D7306F"/>
    <w:rsid w:val="76F14DF3"/>
    <w:rsid w:val="76F459ED"/>
    <w:rsid w:val="77C875A5"/>
    <w:rsid w:val="77F51620"/>
    <w:rsid w:val="78034139"/>
    <w:rsid w:val="782D00A1"/>
    <w:rsid w:val="78306EF8"/>
    <w:rsid w:val="787B63C5"/>
    <w:rsid w:val="788039DC"/>
    <w:rsid w:val="78E026CC"/>
    <w:rsid w:val="78EA3BFF"/>
    <w:rsid w:val="78F30280"/>
    <w:rsid w:val="79400695"/>
    <w:rsid w:val="79507314"/>
    <w:rsid w:val="7954329A"/>
    <w:rsid w:val="79711576"/>
    <w:rsid w:val="79780B57"/>
    <w:rsid w:val="79A61220"/>
    <w:rsid w:val="79CC476F"/>
    <w:rsid w:val="79FC7092"/>
    <w:rsid w:val="7A281CB3"/>
    <w:rsid w:val="7A293BFF"/>
    <w:rsid w:val="7A422D94"/>
    <w:rsid w:val="7A523156"/>
    <w:rsid w:val="7A574C10"/>
    <w:rsid w:val="7A802C6E"/>
    <w:rsid w:val="7A8F3590"/>
    <w:rsid w:val="7A907168"/>
    <w:rsid w:val="7A98733C"/>
    <w:rsid w:val="7AF15F7E"/>
    <w:rsid w:val="7AF16E13"/>
    <w:rsid w:val="7AF26CEE"/>
    <w:rsid w:val="7B336A3A"/>
    <w:rsid w:val="7B476A33"/>
    <w:rsid w:val="7B573DEE"/>
    <w:rsid w:val="7B6161A9"/>
    <w:rsid w:val="7B65146E"/>
    <w:rsid w:val="7B81750B"/>
    <w:rsid w:val="7B823DB1"/>
    <w:rsid w:val="7B856244"/>
    <w:rsid w:val="7B911033"/>
    <w:rsid w:val="7B9C1030"/>
    <w:rsid w:val="7BAE0029"/>
    <w:rsid w:val="7BC22E97"/>
    <w:rsid w:val="7BC71762"/>
    <w:rsid w:val="7BCC16EB"/>
    <w:rsid w:val="7C036DFE"/>
    <w:rsid w:val="7C4A4BBD"/>
    <w:rsid w:val="7C5655D0"/>
    <w:rsid w:val="7C5F02BB"/>
    <w:rsid w:val="7C883A02"/>
    <w:rsid w:val="7C9B4F2D"/>
    <w:rsid w:val="7CCC5441"/>
    <w:rsid w:val="7CD32C47"/>
    <w:rsid w:val="7CEE47A5"/>
    <w:rsid w:val="7CF41B37"/>
    <w:rsid w:val="7D1D3B52"/>
    <w:rsid w:val="7D652AD9"/>
    <w:rsid w:val="7D653BA3"/>
    <w:rsid w:val="7D6836C0"/>
    <w:rsid w:val="7D6B53EE"/>
    <w:rsid w:val="7D6D4BD6"/>
    <w:rsid w:val="7D6F48D9"/>
    <w:rsid w:val="7D74675F"/>
    <w:rsid w:val="7D79021B"/>
    <w:rsid w:val="7DB002BA"/>
    <w:rsid w:val="7DDC349F"/>
    <w:rsid w:val="7E1E3AA7"/>
    <w:rsid w:val="7EB02B41"/>
    <w:rsid w:val="7EC47386"/>
    <w:rsid w:val="7EF14E0E"/>
    <w:rsid w:val="7F2A1230"/>
    <w:rsid w:val="7F8915DC"/>
    <w:rsid w:val="7FB14DC3"/>
    <w:rsid w:val="7FD95C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
    <w:qFormat/>
    <w:uiPriority w:val="0"/>
    <w:pPr>
      <w:keepNext/>
      <w:keepLines/>
      <w:spacing w:before="340" w:after="330" w:line="576" w:lineRule="auto"/>
      <w:outlineLvl w:val="0"/>
    </w:pPr>
    <w:rPr>
      <w:b/>
      <w:bCs/>
      <w:kern w:val="44"/>
      <w:sz w:val="44"/>
      <w:szCs w:val="44"/>
    </w:rPr>
  </w:style>
  <w:style w:type="paragraph" w:styleId="4">
    <w:name w:val="heading 2"/>
    <w:basedOn w:val="1"/>
    <w:next w:val="1"/>
    <w:link w:val="82"/>
    <w:unhideWhenUsed/>
    <w:qFormat/>
    <w:uiPriority w:val="0"/>
    <w:pPr>
      <w:keepNext/>
      <w:keepLines/>
      <w:numPr>
        <w:ilvl w:val="1"/>
        <w:numId w:val="1"/>
      </w:numPr>
      <w:spacing w:before="260" w:after="260" w:line="412" w:lineRule="auto"/>
      <w:outlineLvl w:val="1"/>
    </w:pPr>
    <w:rPr>
      <w:rFonts w:ascii="Arial" w:hAnsi="Arial" w:eastAsia="黑体"/>
      <w:b/>
      <w:bCs/>
      <w:kern w:val="0"/>
      <w:sz w:val="32"/>
      <w:szCs w:val="32"/>
    </w:rPr>
  </w:style>
  <w:style w:type="paragraph" w:styleId="5">
    <w:name w:val="heading 3"/>
    <w:basedOn w:val="1"/>
    <w:next w:val="1"/>
    <w:link w:val="110"/>
    <w:unhideWhenUsed/>
    <w:qFormat/>
    <w:uiPriority w:val="0"/>
    <w:pPr>
      <w:keepNext/>
      <w:keepLines/>
      <w:numPr>
        <w:ilvl w:val="2"/>
        <w:numId w:val="1"/>
      </w:numPr>
      <w:spacing w:before="260" w:after="260" w:line="415" w:lineRule="auto"/>
      <w:outlineLvl w:val="2"/>
    </w:pPr>
    <w:rPr>
      <w:b/>
      <w:bCs/>
      <w:kern w:val="0"/>
      <w:sz w:val="32"/>
      <w:szCs w:val="32"/>
    </w:rPr>
  </w:style>
  <w:style w:type="paragraph" w:styleId="6">
    <w:name w:val="heading 4"/>
    <w:basedOn w:val="1"/>
    <w:next w:val="1"/>
    <w:link w:val="75"/>
    <w:unhideWhenUsed/>
    <w:qFormat/>
    <w:uiPriority w:val="0"/>
    <w:pPr>
      <w:keepNext/>
      <w:keepLines/>
      <w:spacing w:before="280" w:after="290" w:line="372" w:lineRule="auto"/>
      <w:outlineLvl w:val="3"/>
    </w:pPr>
    <w:rPr>
      <w:rFonts w:ascii="Arial" w:hAnsi="Arial" w:eastAsia="黑体"/>
      <w:b/>
      <w:bCs/>
      <w:kern w:val="0"/>
      <w:sz w:val="28"/>
      <w:szCs w:val="28"/>
    </w:rPr>
  </w:style>
  <w:style w:type="paragraph" w:styleId="7">
    <w:name w:val="heading 5"/>
    <w:basedOn w:val="1"/>
    <w:next w:val="1"/>
    <w:link w:val="83"/>
    <w:semiHidden/>
    <w:unhideWhenUsed/>
    <w:qFormat/>
    <w:uiPriority w:val="0"/>
    <w:pPr>
      <w:keepNext/>
      <w:keepLines/>
      <w:spacing w:before="280" w:after="290" w:line="372" w:lineRule="auto"/>
      <w:outlineLvl w:val="4"/>
    </w:pPr>
    <w:rPr>
      <w:b/>
      <w:bCs/>
      <w:kern w:val="0"/>
      <w:sz w:val="28"/>
      <w:szCs w:val="28"/>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64"/>
    <w:qFormat/>
    <w:uiPriority w:val="0"/>
    <w:pPr>
      <w:spacing w:after="120"/>
    </w:pPr>
    <w:rPr>
      <w:kern w:val="0"/>
      <w:sz w:val="28"/>
    </w:rPr>
  </w:style>
  <w:style w:type="paragraph" w:styleId="8">
    <w:name w:val="toc 7"/>
    <w:basedOn w:val="1"/>
    <w:next w:val="1"/>
    <w:qFormat/>
    <w:uiPriority w:val="0"/>
    <w:pPr>
      <w:ind w:left="2520" w:leftChars="1200"/>
    </w:pPr>
    <w:rPr>
      <w:rFonts w:asciiTheme="minorHAnsi" w:hAnsiTheme="minorHAnsi" w:eastAsiaTheme="minorEastAsia" w:cstheme="minorBidi"/>
      <w:szCs w:val="22"/>
    </w:rPr>
  </w:style>
  <w:style w:type="paragraph" w:styleId="9">
    <w:name w:val="List Number"/>
    <w:basedOn w:val="1"/>
    <w:qFormat/>
    <w:uiPriority w:val="0"/>
    <w:pPr>
      <w:widowControl/>
      <w:tabs>
        <w:tab w:val="left" w:pos="454"/>
        <w:tab w:val="left" w:pos="720"/>
      </w:tabs>
      <w:spacing w:afterLines="50"/>
      <w:ind w:left="454" w:hanging="284"/>
      <w:jc w:val="left"/>
    </w:pPr>
    <w:rPr>
      <w:kern w:val="0"/>
      <w:sz w:val="24"/>
      <w:szCs w:val="20"/>
    </w:rPr>
  </w:style>
  <w:style w:type="paragraph" w:styleId="10">
    <w:name w:val="Normal Indent"/>
    <w:basedOn w:val="1"/>
    <w:qFormat/>
    <w:uiPriority w:val="0"/>
    <w:pPr>
      <w:numPr>
        <w:ilvl w:val="0"/>
        <w:numId w:val="2"/>
      </w:numPr>
      <w:ind w:left="0" w:firstLine="420"/>
    </w:pPr>
    <w:rPr>
      <w:szCs w:val="20"/>
    </w:rPr>
  </w:style>
  <w:style w:type="paragraph" w:styleId="11">
    <w:name w:val="caption"/>
    <w:basedOn w:val="1"/>
    <w:next w:val="1"/>
    <w:semiHidden/>
    <w:unhideWhenUsed/>
    <w:qFormat/>
    <w:uiPriority w:val="0"/>
    <w:pPr>
      <w:numPr>
        <w:ilvl w:val="0"/>
        <w:numId w:val="3"/>
      </w:numPr>
      <w:spacing w:before="152" w:after="160"/>
      <w:ind w:left="0" w:firstLine="0"/>
    </w:pPr>
    <w:rPr>
      <w:rFonts w:ascii="Arial" w:hAnsi="Arial" w:eastAsia="黑体" w:cs="Arial"/>
      <w:sz w:val="20"/>
      <w:szCs w:val="20"/>
    </w:rPr>
  </w:style>
  <w:style w:type="paragraph" w:styleId="12">
    <w:name w:val="Document Map"/>
    <w:basedOn w:val="1"/>
    <w:link w:val="88"/>
    <w:qFormat/>
    <w:uiPriority w:val="0"/>
    <w:pPr>
      <w:shd w:val="clear" w:color="auto" w:fill="000080"/>
    </w:pPr>
    <w:rPr>
      <w:kern w:val="0"/>
      <w:sz w:val="20"/>
    </w:rPr>
  </w:style>
  <w:style w:type="paragraph" w:styleId="13">
    <w:name w:val="annotation text"/>
    <w:basedOn w:val="1"/>
    <w:link w:val="66"/>
    <w:qFormat/>
    <w:uiPriority w:val="0"/>
    <w:pPr>
      <w:jc w:val="left"/>
    </w:pPr>
    <w:rPr>
      <w:kern w:val="0"/>
      <w:sz w:val="20"/>
      <w:szCs w:val="20"/>
    </w:rPr>
  </w:style>
  <w:style w:type="paragraph" w:styleId="14">
    <w:name w:val="Body Text 3"/>
    <w:basedOn w:val="1"/>
    <w:link w:val="108"/>
    <w:qFormat/>
    <w:uiPriority w:val="0"/>
    <w:pPr>
      <w:numPr>
        <w:ilvl w:val="0"/>
        <w:numId w:val="4"/>
      </w:numPr>
      <w:snapToGrid w:val="0"/>
      <w:spacing w:before="50" w:after="50"/>
      <w:ind w:left="0" w:firstLine="0"/>
    </w:pPr>
    <w:rPr>
      <w:rFonts w:eastAsia="仿宋_GB2312"/>
      <w:b/>
      <w:bCs/>
      <w:kern w:val="0"/>
      <w:sz w:val="24"/>
      <w:szCs w:val="20"/>
    </w:rPr>
  </w:style>
  <w:style w:type="paragraph" w:styleId="15">
    <w:name w:val="Body Text Indent"/>
    <w:basedOn w:val="1"/>
    <w:next w:val="1"/>
    <w:link w:val="107"/>
    <w:qFormat/>
    <w:uiPriority w:val="0"/>
    <w:pPr>
      <w:spacing w:line="200" w:lineRule="exact"/>
      <w:ind w:firstLine="301"/>
    </w:pPr>
    <w:rPr>
      <w:rFonts w:ascii="宋体"/>
      <w:spacing w:val="-4"/>
      <w:kern w:val="0"/>
      <w:sz w:val="18"/>
      <w:szCs w:val="20"/>
    </w:rPr>
  </w:style>
  <w:style w:type="paragraph" w:styleId="16">
    <w:name w:val="List Number 3"/>
    <w:basedOn w:val="1"/>
    <w:qFormat/>
    <w:uiPriority w:val="0"/>
    <w:pPr>
      <w:tabs>
        <w:tab w:val="left" w:pos="1200"/>
      </w:tabs>
      <w:ind w:left="1200" w:hanging="360"/>
    </w:pPr>
  </w:style>
  <w:style w:type="paragraph" w:styleId="17">
    <w:name w:val="List 2"/>
    <w:basedOn w:val="1"/>
    <w:qFormat/>
    <w:uiPriority w:val="0"/>
    <w:pPr>
      <w:numPr>
        <w:ilvl w:val="0"/>
        <w:numId w:val="5"/>
      </w:numPr>
      <w:ind w:left="400" w:leftChars="200" w:hanging="200" w:hangingChars="200"/>
    </w:pPr>
    <w:rPr>
      <w:sz w:val="28"/>
    </w:rPr>
  </w:style>
  <w:style w:type="paragraph" w:styleId="18">
    <w:name w:val="index 4"/>
    <w:basedOn w:val="1"/>
    <w:next w:val="1"/>
    <w:unhideWhenUsed/>
    <w:qFormat/>
    <w:uiPriority w:val="99"/>
    <w:pPr>
      <w:ind w:left="600" w:leftChars="600"/>
    </w:pPr>
  </w:style>
  <w:style w:type="paragraph" w:styleId="19">
    <w:name w:val="toc 5"/>
    <w:basedOn w:val="1"/>
    <w:next w:val="1"/>
    <w:qFormat/>
    <w:uiPriority w:val="0"/>
    <w:pPr>
      <w:ind w:left="1680" w:leftChars="800"/>
    </w:pPr>
    <w:rPr>
      <w:rFonts w:asciiTheme="minorHAnsi" w:hAnsiTheme="minorHAnsi" w:eastAsiaTheme="minorEastAsia" w:cstheme="minorBidi"/>
      <w:szCs w:val="22"/>
    </w:rPr>
  </w:style>
  <w:style w:type="paragraph" w:styleId="20">
    <w:name w:val="toc 3"/>
    <w:basedOn w:val="1"/>
    <w:next w:val="1"/>
    <w:qFormat/>
    <w:uiPriority w:val="0"/>
    <w:pPr>
      <w:ind w:left="400" w:leftChars="400"/>
    </w:pPr>
  </w:style>
  <w:style w:type="paragraph" w:styleId="21">
    <w:name w:val="Plain Text"/>
    <w:basedOn w:val="1"/>
    <w:link w:val="100"/>
    <w:qFormat/>
    <w:uiPriority w:val="0"/>
    <w:pPr>
      <w:spacing w:beforeLines="50" w:afterLines="50" w:line="400" w:lineRule="exact"/>
    </w:pPr>
    <w:rPr>
      <w:rFonts w:ascii="宋体"/>
      <w:kern w:val="0"/>
      <w:sz w:val="24"/>
    </w:rPr>
  </w:style>
  <w:style w:type="paragraph" w:styleId="22">
    <w:name w:val="toc 8"/>
    <w:basedOn w:val="1"/>
    <w:next w:val="1"/>
    <w:qFormat/>
    <w:uiPriority w:val="0"/>
    <w:pPr>
      <w:ind w:left="2940" w:leftChars="1400"/>
    </w:pPr>
    <w:rPr>
      <w:rFonts w:asciiTheme="minorHAnsi" w:hAnsiTheme="minorHAnsi" w:eastAsiaTheme="minorEastAsia" w:cstheme="minorBidi"/>
      <w:szCs w:val="22"/>
    </w:rPr>
  </w:style>
  <w:style w:type="paragraph" w:styleId="23">
    <w:name w:val="Date"/>
    <w:basedOn w:val="1"/>
    <w:next w:val="1"/>
    <w:link w:val="76"/>
    <w:qFormat/>
    <w:uiPriority w:val="0"/>
    <w:pPr>
      <w:numPr>
        <w:ilvl w:val="0"/>
        <w:numId w:val="6"/>
      </w:numPr>
      <w:ind w:left="2500" w:leftChars="2500" w:firstLine="0"/>
    </w:pPr>
    <w:rPr>
      <w:rFonts w:eastAsia="楷体_GB2312"/>
      <w:kern w:val="0"/>
      <w:sz w:val="32"/>
      <w:szCs w:val="20"/>
    </w:rPr>
  </w:style>
  <w:style w:type="paragraph" w:styleId="24">
    <w:name w:val="Body Text Indent 2"/>
    <w:basedOn w:val="1"/>
    <w:link w:val="79"/>
    <w:qFormat/>
    <w:uiPriority w:val="0"/>
    <w:pPr>
      <w:snapToGrid w:val="0"/>
      <w:ind w:firstLine="225" w:firstLineChars="225"/>
    </w:pPr>
    <w:rPr>
      <w:rFonts w:ascii="仿宋_GB2312" w:hAnsi="仿宋_GB2312"/>
      <w:b/>
      <w:bCs/>
      <w:color w:val="000000"/>
      <w:kern w:val="0"/>
      <w:sz w:val="24"/>
    </w:rPr>
  </w:style>
  <w:style w:type="paragraph" w:styleId="25">
    <w:name w:val="Balloon Text"/>
    <w:basedOn w:val="1"/>
    <w:link w:val="73"/>
    <w:qFormat/>
    <w:uiPriority w:val="0"/>
    <w:rPr>
      <w:kern w:val="0"/>
      <w:sz w:val="18"/>
      <w:szCs w:val="18"/>
    </w:rPr>
  </w:style>
  <w:style w:type="paragraph" w:styleId="26">
    <w:name w:val="footer"/>
    <w:basedOn w:val="1"/>
    <w:link w:val="77"/>
    <w:qFormat/>
    <w:uiPriority w:val="0"/>
    <w:pPr>
      <w:tabs>
        <w:tab w:val="center" w:pos="4153"/>
        <w:tab w:val="right" w:pos="8306"/>
      </w:tabs>
      <w:snapToGrid w:val="0"/>
      <w:jc w:val="left"/>
    </w:pPr>
    <w:rPr>
      <w:rFonts w:ascii="Calibri" w:hAnsi="Calibri"/>
      <w:kern w:val="0"/>
      <w:sz w:val="18"/>
      <w:szCs w:val="18"/>
    </w:rPr>
  </w:style>
  <w:style w:type="paragraph" w:styleId="27">
    <w:name w:val="envelope return"/>
    <w:basedOn w:val="1"/>
    <w:qFormat/>
    <w:uiPriority w:val="0"/>
    <w:pPr>
      <w:snapToGrid w:val="0"/>
      <w:spacing w:line="280" w:lineRule="exact"/>
    </w:pPr>
    <w:rPr>
      <w:rFonts w:ascii="Arial" w:hAnsi="Arial"/>
    </w:rPr>
  </w:style>
  <w:style w:type="paragraph" w:styleId="28">
    <w:name w:val="header"/>
    <w:basedOn w:val="1"/>
    <w:link w:val="102"/>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29">
    <w:name w:val="toc 1"/>
    <w:basedOn w:val="1"/>
    <w:next w:val="1"/>
    <w:qFormat/>
    <w:uiPriority w:val="0"/>
  </w:style>
  <w:style w:type="paragraph" w:styleId="30">
    <w:name w:val="toc 4"/>
    <w:basedOn w:val="1"/>
    <w:next w:val="1"/>
    <w:qFormat/>
    <w:uiPriority w:val="0"/>
    <w:pPr>
      <w:ind w:left="1260" w:leftChars="600"/>
    </w:pPr>
    <w:rPr>
      <w:rFonts w:asciiTheme="minorHAnsi" w:hAnsiTheme="minorHAnsi" w:eastAsiaTheme="minorEastAsia" w:cstheme="minorBidi"/>
      <w:szCs w:val="22"/>
    </w:rPr>
  </w:style>
  <w:style w:type="paragraph" w:styleId="31">
    <w:name w:val="Subtitle"/>
    <w:basedOn w:val="1"/>
    <w:next w:val="1"/>
    <w:link w:val="105"/>
    <w:qFormat/>
    <w:uiPriority w:val="0"/>
    <w:pPr>
      <w:spacing w:before="240" w:after="60" w:line="312" w:lineRule="auto"/>
      <w:jc w:val="center"/>
      <w:outlineLvl w:val="1"/>
    </w:pPr>
    <w:rPr>
      <w:rFonts w:ascii="Cambria" w:hAnsi="Cambria"/>
      <w:b/>
      <w:bCs/>
      <w:kern w:val="28"/>
      <w:sz w:val="32"/>
      <w:szCs w:val="32"/>
    </w:rPr>
  </w:style>
  <w:style w:type="paragraph" w:styleId="32">
    <w:name w:val="List"/>
    <w:basedOn w:val="1"/>
    <w:qFormat/>
    <w:uiPriority w:val="0"/>
    <w:pPr>
      <w:ind w:left="200" w:hanging="200" w:hangingChars="200"/>
    </w:pPr>
    <w:rPr>
      <w:sz w:val="28"/>
    </w:rPr>
  </w:style>
  <w:style w:type="paragraph" w:styleId="33">
    <w:name w:val="toc 6"/>
    <w:basedOn w:val="1"/>
    <w:next w:val="1"/>
    <w:qFormat/>
    <w:uiPriority w:val="0"/>
    <w:pPr>
      <w:ind w:left="2100" w:leftChars="1000"/>
    </w:pPr>
    <w:rPr>
      <w:rFonts w:asciiTheme="minorHAnsi" w:hAnsiTheme="minorHAnsi" w:eastAsiaTheme="minorEastAsia" w:cstheme="minorBidi"/>
      <w:szCs w:val="22"/>
    </w:rPr>
  </w:style>
  <w:style w:type="paragraph" w:styleId="34">
    <w:name w:val="Body Text Indent 3"/>
    <w:basedOn w:val="1"/>
    <w:link w:val="101"/>
    <w:qFormat/>
    <w:uiPriority w:val="0"/>
    <w:pPr>
      <w:numPr>
        <w:ilvl w:val="0"/>
        <w:numId w:val="7"/>
      </w:numPr>
      <w:snapToGrid w:val="0"/>
      <w:ind w:left="0" w:firstLine="200" w:firstLineChars="200"/>
      <w:jc w:val="left"/>
    </w:pPr>
    <w:rPr>
      <w:rFonts w:ascii="仿宋_GB2312" w:eastAsia="仿宋_GB2312"/>
      <w:color w:val="000000"/>
      <w:kern w:val="0"/>
      <w:sz w:val="24"/>
    </w:rPr>
  </w:style>
  <w:style w:type="paragraph" w:styleId="35">
    <w:name w:val="toc 2"/>
    <w:basedOn w:val="1"/>
    <w:next w:val="1"/>
    <w:qFormat/>
    <w:uiPriority w:val="0"/>
    <w:pPr>
      <w:ind w:left="200" w:leftChars="200"/>
    </w:pPr>
  </w:style>
  <w:style w:type="paragraph" w:styleId="36">
    <w:name w:val="toc 9"/>
    <w:basedOn w:val="1"/>
    <w:next w:val="1"/>
    <w:qFormat/>
    <w:uiPriority w:val="0"/>
    <w:pPr>
      <w:ind w:left="3360" w:leftChars="1600"/>
    </w:pPr>
    <w:rPr>
      <w:rFonts w:asciiTheme="minorHAnsi" w:hAnsiTheme="minorHAnsi" w:eastAsiaTheme="minorEastAsia" w:cstheme="minorBidi"/>
      <w:szCs w:val="22"/>
    </w:rPr>
  </w:style>
  <w:style w:type="paragraph" w:styleId="37">
    <w:name w:val="Body Text 2"/>
    <w:basedOn w:val="1"/>
    <w:link w:val="58"/>
    <w:qFormat/>
    <w:uiPriority w:val="0"/>
    <w:pPr>
      <w:widowControl/>
      <w:snapToGrid w:val="0"/>
      <w:spacing w:before="50" w:afterLines="50" w:line="400" w:lineRule="exact"/>
      <w:jc w:val="left"/>
    </w:pPr>
    <w:rPr>
      <w:rFonts w:ascii="宋体"/>
      <w:color w:val="000000"/>
      <w:kern w:val="0"/>
      <w:sz w:val="24"/>
    </w:rPr>
  </w:style>
  <w:style w:type="paragraph" w:styleId="38">
    <w:name w:val="HTML Preformatted"/>
    <w:basedOn w:val="1"/>
    <w:link w:val="5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9">
    <w:name w:val="Normal (Web)"/>
    <w:basedOn w:val="1"/>
    <w:qFormat/>
    <w:uiPriority w:val="0"/>
    <w:pPr>
      <w:widowControl/>
      <w:spacing w:before="100" w:beforeAutospacing="1" w:after="100" w:afterAutospacing="1"/>
      <w:jc w:val="left"/>
    </w:pPr>
    <w:rPr>
      <w:kern w:val="0"/>
      <w:sz w:val="24"/>
    </w:rPr>
  </w:style>
  <w:style w:type="paragraph" w:styleId="40">
    <w:name w:val="Title"/>
    <w:basedOn w:val="1"/>
    <w:link w:val="162"/>
    <w:qFormat/>
    <w:uiPriority w:val="0"/>
    <w:pPr>
      <w:adjustRightInd w:val="0"/>
      <w:spacing w:before="240" w:after="60"/>
      <w:jc w:val="center"/>
      <w:outlineLvl w:val="0"/>
    </w:pPr>
    <w:rPr>
      <w:rFonts w:ascii="Calibri Light" w:hAnsi="Calibri Light"/>
      <w:b/>
      <w:bCs/>
      <w:kern w:val="0"/>
      <w:sz w:val="32"/>
      <w:szCs w:val="32"/>
    </w:rPr>
  </w:style>
  <w:style w:type="paragraph" w:styleId="41">
    <w:name w:val="annotation subject"/>
    <w:basedOn w:val="13"/>
    <w:next w:val="13"/>
    <w:link w:val="89"/>
    <w:qFormat/>
    <w:uiPriority w:val="0"/>
  </w:style>
  <w:style w:type="paragraph" w:styleId="42">
    <w:name w:val="Body Text First Indent"/>
    <w:basedOn w:val="2"/>
    <w:next w:val="1"/>
    <w:qFormat/>
    <w:uiPriority w:val="0"/>
    <w:pPr>
      <w:spacing w:after="0" w:line="500" w:lineRule="exact"/>
      <w:ind w:firstLine="420"/>
    </w:pPr>
    <w:rPr>
      <w:rFonts w:eastAsia="楷体_GB2312"/>
      <w:szCs w:val="20"/>
    </w:rPr>
  </w:style>
  <w:style w:type="paragraph" w:styleId="43">
    <w:name w:val="Body Text First Indent 2"/>
    <w:basedOn w:val="15"/>
    <w:next w:val="1"/>
    <w:link w:val="81"/>
    <w:qFormat/>
    <w:uiPriority w:val="0"/>
    <w:pPr>
      <w:spacing w:after="120" w:line="240" w:lineRule="auto"/>
      <w:ind w:left="420" w:leftChars="200" w:firstLine="420" w:firstLineChars="200"/>
    </w:pPr>
    <w:rPr>
      <w:rFonts w:ascii="Times New Roman"/>
      <w:spacing w:val="0"/>
      <w:kern w:val="2"/>
      <w:sz w:val="21"/>
      <w:szCs w:val="24"/>
    </w:rPr>
  </w:style>
  <w:style w:type="table" w:styleId="45">
    <w:name w:val="Table Grid"/>
    <w:basedOn w:val="4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0"/>
    <w:rPr>
      <w:color w:val="800080"/>
      <w:u w:val="single"/>
    </w:rPr>
  </w:style>
  <w:style w:type="character" w:styleId="50">
    <w:name w:val="Emphasis"/>
    <w:qFormat/>
    <w:uiPriority w:val="0"/>
    <w:rPr>
      <w:color w:val="CC0000"/>
    </w:rPr>
  </w:style>
  <w:style w:type="character" w:styleId="51">
    <w:name w:val="HTML Acronym"/>
    <w:qFormat/>
    <w:uiPriority w:val="0"/>
  </w:style>
  <w:style w:type="character" w:styleId="52">
    <w:name w:val="Hyperlink"/>
    <w:qFormat/>
    <w:uiPriority w:val="0"/>
    <w:rPr>
      <w:color w:val="0000FF"/>
      <w:u w:val="single"/>
    </w:rPr>
  </w:style>
  <w:style w:type="character" w:styleId="53">
    <w:name w:val="annotation reference"/>
    <w:qFormat/>
    <w:uiPriority w:val="0"/>
    <w:rPr>
      <w:sz w:val="21"/>
      <w:szCs w:val="21"/>
    </w:rPr>
  </w:style>
  <w:style w:type="paragraph" w:customStyle="1" w:styleId="5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55">
    <w:name w:val="c_title1"/>
    <w:qFormat/>
    <w:uiPriority w:val="0"/>
    <w:rPr>
      <w:rFonts w:ascii="黑体" w:eastAsia="黑体"/>
      <w:color w:val="03005C"/>
      <w:sz w:val="30"/>
      <w:szCs w:val="30"/>
      <w:u w:val="none"/>
    </w:rPr>
  </w:style>
  <w:style w:type="character" w:customStyle="1" w:styleId="56">
    <w:name w:val="纯文本 Char"/>
    <w:qFormat/>
    <w:uiPriority w:val="0"/>
    <w:rPr>
      <w:rFonts w:ascii="宋体" w:hAnsi="Times New Roman" w:eastAsia="宋体" w:cs="Times New Roman"/>
      <w:sz w:val="24"/>
      <w:szCs w:val="24"/>
    </w:rPr>
  </w:style>
  <w:style w:type="character" w:customStyle="1" w:styleId="57">
    <w:name w:val="HTML 预设格式 字符"/>
    <w:link w:val="38"/>
    <w:qFormat/>
    <w:uiPriority w:val="0"/>
    <w:rPr>
      <w:rFonts w:ascii="宋体" w:hAnsi="宋体" w:cs="宋体"/>
      <w:sz w:val="24"/>
      <w:szCs w:val="24"/>
    </w:rPr>
  </w:style>
  <w:style w:type="character" w:customStyle="1" w:styleId="58">
    <w:name w:val="正文文本 2 字符"/>
    <w:link w:val="37"/>
    <w:qFormat/>
    <w:uiPriority w:val="0"/>
    <w:rPr>
      <w:rFonts w:ascii="宋体" w:hAnsi="Times New Roman" w:eastAsia="宋体" w:cs="Times New Roman"/>
      <w:color w:val="000000"/>
      <w:sz w:val="24"/>
      <w:szCs w:val="24"/>
    </w:rPr>
  </w:style>
  <w:style w:type="character" w:customStyle="1" w:styleId="59">
    <w:name w:val="页脚 Char"/>
    <w:qFormat/>
    <w:uiPriority w:val="99"/>
    <w:rPr>
      <w:sz w:val="18"/>
      <w:szCs w:val="18"/>
    </w:rPr>
  </w:style>
  <w:style w:type="character" w:customStyle="1" w:styleId="60">
    <w:name w:val="TableItem Char"/>
    <w:link w:val="61"/>
    <w:qFormat/>
    <w:uiPriority w:val="0"/>
    <w:rPr>
      <w:rFonts w:ascii="Verdana" w:hAnsi="Verdana" w:eastAsia="等线" w:cs="Verdana"/>
      <w:b/>
      <w:bCs/>
      <w:color w:val="538135"/>
      <w:spacing w:val="-10"/>
      <w:sz w:val="16"/>
      <w:szCs w:val="28"/>
      <w:lang w:val="en-US" w:eastAsia="zh-CN" w:bidi="ar-SA"/>
    </w:rPr>
  </w:style>
  <w:style w:type="paragraph" w:customStyle="1" w:styleId="61">
    <w:name w:val="TableItem"/>
    <w:link w:val="60"/>
    <w:qFormat/>
    <w:uiPriority w:val="0"/>
    <w:rPr>
      <w:rFonts w:ascii="Verdana" w:hAnsi="Verdana" w:eastAsia="等线" w:cs="Verdana"/>
      <w:b/>
      <w:bCs/>
      <w:color w:val="538135"/>
      <w:spacing w:val="-10"/>
      <w:sz w:val="16"/>
      <w:szCs w:val="28"/>
      <w:lang w:val="en-US" w:eastAsia="zh-CN" w:bidi="ar-SA"/>
    </w:rPr>
  </w:style>
  <w:style w:type="character" w:customStyle="1" w:styleId="62">
    <w:name w:val="副标题 Char"/>
    <w:qFormat/>
    <w:uiPriority w:val="0"/>
    <w:rPr>
      <w:rFonts w:ascii="Cambria" w:hAnsi="Cambria"/>
      <w:b/>
      <w:bCs/>
      <w:kern w:val="28"/>
      <w:sz w:val="32"/>
      <w:szCs w:val="32"/>
    </w:rPr>
  </w:style>
  <w:style w:type="character" w:customStyle="1" w:styleId="63">
    <w:name w:val="正文文本缩进 3 Char"/>
    <w:qFormat/>
    <w:uiPriority w:val="0"/>
    <w:rPr>
      <w:rFonts w:ascii="仿宋_GB2312" w:hAnsi="Times New Roman" w:eastAsia="仿宋_GB2312"/>
      <w:color w:val="000000"/>
      <w:sz w:val="24"/>
      <w:szCs w:val="24"/>
    </w:rPr>
  </w:style>
  <w:style w:type="character" w:customStyle="1" w:styleId="64">
    <w:name w:val="正文文本 字符"/>
    <w:link w:val="2"/>
    <w:qFormat/>
    <w:uiPriority w:val="0"/>
    <w:rPr>
      <w:rFonts w:ascii="Times New Roman" w:hAnsi="Times New Roman" w:eastAsia="宋体" w:cs="Times New Roman"/>
      <w:sz w:val="28"/>
      <w:szCs w:val="24"/>
    </w:rPr>
  </w:style>
  <w:style w:type="character" w:customStyle="1" w:styleId="65">
    <w:name w:val="样式 标题 1合同标题卷标题H1h1Level 1 Topic HeadingH11H12H111H13H1... Char"/>
    <w:qFormat/>
    <w:uiPriority w:val="0"/>
    <w:rPr>
      <w:rFonts w:ascii="宋体" w:eastAsia="宋体"/>
      <w:b/>
      <w:bCs/>
      <w:kern w:val="44"/>
      <w:sz w:val="24"/>
      <w:szCs w:val="44"/>
      <w:lang w:val="en-US" w:eastAsia="zh-CN" w:bidi="ar-SA"/>
    </w:rPr>
  </w:style>
  <w:style w:type="character" w:customStyle="1" w:styleId="66">
    <w:name w:val="批注文字 字符"/>
    <w:link w:val="13"/>
    <w:qFormat/>
    <w:uiPriority w:val="0"/>
    <w:rPr>
      <w:rFonts w:ascii="Times New Roman" w:hAnsi="Times New Roman" w:eastAsia="宋体" w:cs="Times New Roman"/>
      <w:szCs w:val="20"/>
    </w:rPr>
  </w:style>
  <w:style w:type="character" w:customStyle="1" w:styleId="67">
    <w:name w:val="列表段落 字符"/>
    <w:link w:val="68"/>
    <w:qFormat/>
    <w:uiPriority w:val="99"/>
    <w:rPr>
      <w:rFonts w:ascii="Calibri" w:hAnsi="Calibri"/>
      <w:kern w:val="2"/>
      <w:sz w:val="21"/>
      <w:szCs w:val="22"/>
    </w:rPr>
  </w:style>
  <w:style w:type="paragraph" w:styleId="68">
    <w:name w:val="List Paragraph"/>
    <w:basedOn w:val="1"/>
    <w:link w:val="67"/>
    <w:qFormat/>
    <w:uiPriority w:val="34"/>
    <w:pPr>
      <w:numPr>
        <w:ilvl w:val="0"/>
        <w:numId w:val="8"/>
      </w:numPr>
    </w:pPr>
    <w:rPr>
      <w:rFonts w:ascii="Calibri" w:hAnsi="Calibri"/>
      <w:szCs w:val="22"/>
    </w:rPr>
  </w:style>
  <w:style w:type="character" w:customStyle="1" w:styleId="69">
    <w:name w:val="标题 5 Char"/>
    <w:qFormat/>
    <w:uiPriority w:val="0"/>
    <w:rPr>
      <w:rFonts w:ascii="Times New Roman" w:hAnsi="Times New Roman" w:eastAsia="宋体" w:cs="Times New Roman"/>
      <w:b/>
      <w:bCs/>
      <w:sz w:val="28"/>
      <w:szCs w:val="28"/>
    </w:rPr>
  </w:style>
  <w:style w:type="character" w:styleId="70">
    <w:name w:val="Placeholder Text"/>
    <w:qFormat/>
    <w:uiPriority w:val="99"/>
    <w:rPr>
      <w:color w:val="808080"/>
    </w:rPr>
  </w:style>
  <w:style w:type="character" w:customStyle="1" w:styleId="71">
    <w:name w:val="列出段落 Char"/>
    <w:qFormat/>
    <w:uiPriority w:val="34"/>
    <w:rPr>
      <w:kern w:val="2"/>
      <w:sz w:val="21"/>
      <w:szCs w:val="22"/>
    </w:rPr>
  </w:style>
  <w:style w:type="character" w:customStyle="1" w:styleId="72">
    <w:name w:val="正文文本 2 Char"/>
    <w:qFormat/>
    <w:uiPriority w:val="0"/>
    <w:rPr>
      <w:rFonts w:ascii="宋体" w:hAnsi="Times New Roman" w:eastAsia="宋体" w:cs="Times New Roman"/>
      <w:color w:val="000000"/>
      <w:sz w:val="24"/>
      <w:szCs w:val="24"/>
    </w:rPr>
  </w:style>
  <w:style w:type="character" w:customStyle="1" w:styleId="73">
    <w:name w:val="批注框文本 字符"/>
    <w:link w:val="25"/>
    <w:qFormat/>
    <w:uiPriority w:val="99"/>
    <w:rPr>
      <w:rFonts w:ascii="Times New Roman" w:hAnsi="Times New Roman" w:eastAsia="宋体" w:cs="Times New Roman"/>
      <w:sz w:val="18"/>
      <w:szCs w:val="18"/>
    </w:rPr>
  </w:style>
  <w:style w:type="character" w:customStyle="1" w:styleId="74">
    <w:name w:val="正文文本 3 Char"/>
    <w:qFormat/>
    <w:uiPriority w:val="0"/>
    <w:rPr>
      <w:rFonts w:ascii="Times New Roman" w:hAnsi="Times New Roman" w:eastAsia="仿宋_GB2312"/>
      <w:b/>
      <w:bCs/>
      <w:sz w:val="24"/>
    </w:rPr>
  </w:style>
  <w:style w:type="character" w:customStyle="1" w:styleId="75">
    <w:name w:val="标题 4 字符"/>
    <w:link w:val="6"/>
    <w:qFormat/>
    <w:uiPriority w:val="0"/>
    <w:rPr>
      <w:rFonts w:ascii="Arial" w:hAnsi="Arial" w:eastAsia="黑体" w:cs="Times New Roman"/>
      <w:b/>
      <w:bCs/>
      <w:sz w:val="28"/>
      <w:szCs w:val="28"/>
    </w:rPr>
  </w:style>
  <w:style w:type="character" w:customStyle="1" w:styleId="76">
    <w:name w:val="日期 字符"/>
    <w:link w:val="23"/>
    <w:qFormat/>
    <w:uiPriority w:val="0"/>
    <w:rPr>
      <w:rFonts w:eastAsia="楷体_GB2312"/>
      <w:sz w:val="32"/>
    </w:rPr>
  </w:style>
  <w:style w:type="character" w:customStyle="1" w:styleId="77">
    <w:name w:val="页脚 字符"/>
    <w:link w:val="26"/>
    <w:qFormat/>
    <w:uiPriority w:val="99"/>
    <w:rPr>
      <w:sz w:val="18"/>
      <w:szCs w:val="18"/>
    </w:rPr>
  </w:style>
  <w:style w:type="character" w:customStyle="1" w:styleId="78">
    <w:name w:val="HTML 预设格式 Char"/>
    <w:qFormat/>
    <w:uiPriority w:val="0"/>
    <w:rPr>
      <w:rFonts w:ascii="宋体" w:hAnsi="宋体" w:cs="宋体"/>
      <w:sz w:val="24"/>
      <w:szCs w:val="24"/>
    </w:rPr>
  </w:style>
  <w:style w:type="character" w:customStyle="1" w:styleId="79">
    <w:name w:val="正文文本缩进 2 字符"/>
    <w:link w:val="24"/>
    <w:qFormat/>
    <w:uiPriority w:val="0"/>
    <w:rPr>
      <w:rFonts w:ascii="仿宋_GB2312" w:hAnsi="仿宋_GB2312" w:eastAsia="宋体" w:cs="Times New Roman"/>
      <w:b/>
      <w:bCs/>
      <w:color w:val="000000"/>
      <w:sz w:val="24"/>
      <w:szCs w:val="24"/>
    </w:rPr>
  </w:style>
  <w:style w:type="character" w:customStyle="1" w:styleId="80">
    <w:name w:val="标题 1 字符"/>
    <w:link w:val="3"/>
    <w:qFormat/>
    <w:uiPriority w:val="0"/>
    <w:rPr>
      <w:rFonts w:ascii="Times New Roman" w:hAnsi="Times New Roman" w:eastAsia="宋体" w:cs="Times New Roman"/>
      <w:b/>
      <w:bCs/>
      <w:kern w:val="44"/>
      <w:sz w:val="44"/>
      <w:szCs w:val="44"/>
    </w:rPr>
  </w:style>
  <w:style w:type="character" w:customStyle="1" w:styleId="81">
    <w:name w:val="正文文本首行缩进 2 字符"/>
    <w:link w:val="43"/>
    <w:qFormat/>
    <w:uiPriority w:val="99"/>
    <w:rPr>
      <w:rFonts w:ascii="Times New Roman" w:hAnsi="Times New Roman" w:eastAsia="宋体" w:cs="Times New Roman"/>
      <w:spacing w:val="-4"/>
      <w:kern w:val="2"/>
      <w:sz w:val="21"/>
      <w:szCs w:val="24"/>
    </w:rPr>
  </w:style>
  <w:style w:type="character" w:customStyle="1" w:styleId="82">
    <w:name w:val="标题 2 字符"/>
    <w:link w:val="4"/>
    <w:qFormat/>
    <w:uiPriority w:val="0"/>
    <w:rPr>
      <w:rFonts w:ascii="Arial" w:hAnsi="Arial" w:eastAsia="黑体"/>
      <w:b/>
      <w:bCs/>
      <w:sz w:val="32"/>
      <w:szCs w:val="32"/>
    </w:rPr>
  </w:style>
  <w:style w:type="character" w:customStyle="1" w:styleId="83">
    <w:name w:val="标题 5 字符"/>
    <w:link w:val="7"/>
    <w:qFormat/>
    <w:uiPriority w:val="0"/>
    <w:rPr>
      <w:rFonts w:ascii="Times New Roman" w:hAnsi="Times New Roman" w:eastAsia="宋体" w:cs="Times New Roman"/>
      <w:b/>
      <w:bCs/>
      <w:sz w:val="28"/>
      <w:szCs w:val="28"/>
    </w:rPr>
  </w:style>
  <w:style w:type="character" w:customStyle="1" w:styleId="84">
    <w:name w:val="标题 4 Char"/>
    <w:qFormat/>
    <w:uiPriority w:val="0"/>
    <w:rPr>
      <w:rFonts w:ascii="Arial" w:hAnsi="Arial" w:eastAsia="黑体" w:cs="Times New Roman"/>
      <w:b/>
      <w:bCs/>
      <w:sz w:val="28"/>
      <w:szCs w:val="28"/>
    </w:rPr>
  </w:style>
  <w:style w:type="character" w:customStyle="1" w:styleId="85">
    <w:name w:val="正文文本 Char"/>
    <w:qFormat/>
    <w:uiPriority w:val="0"/>
    <w:rPr>
      <w:rFonts w:ascii="Times New Roman" w:hAnsi="Times New Roman" w:eastAsia="宋体" w:cs="Times New Roman"/>
      <w:sz w:val="28"/>
      <w:szCs w:val="24"/>
    </w:rPr>
  </w:style>
  <w:style w:type="character" w:customStyle="1" w:styleId="86">
    <w:name w:val="style7"/>
    <w:basedOn w:val="46"/>
    <w:qFormat/>
    <w:uiPriority w:val="0"/>
  </w:style>
  <w:style w:type="character" w:customStyle="1" w:styleId="87">
    <w:name w:val="批注文字 Char1"/>
    <w:qFormat/>
    <w:uiPriority w:val="0"/>
    <w:rPr>
      <w:kern w:val="2"/>
      <w:sz w:val="21"/>
      <w:szCs w:val="24"/>
      <w:lang w:val="en-US" w:eastAsia="zh-CN" w:bidi="ar-SA"/>
    </w:rPr>
  </w:style>
  <w:style w:type="character" w:customStyle="1" w:styleId="88">
    <w:name w:val="文档结构图 字符"/>
    <w:link w:val="12"/>
    <w:qFormat/>
    <w:uiPriority w:val="0"/>
    <w:rPr>
      <w:rFonts w:ascii="Times New Roman" w:hAnsi="Times New Roman" w:eastAsia="宋体" w:cs="Times New Roman"/>
      <w:szCs w:val="24"/>
      <w:shd w:val="clear" w:color="auto" w:fill="000080"/>
    </w:rPr>
  </w:style>
  <w:style w:type="character" w:customStyle="1" w:styleId="89">
    <w:name w:val="批注主题 字符"/>
    <w:link w:val="41"/>
    <w:qFormat/>
    <w:uiPriority w:val="0"/>
    <w:rPr>
      <w:rFonts w:ascii="Times New Roman" w:hAnsi="Times New Roman" w:eastAsia="宋体" w:cs="Times New Roman"/>
      <w:szCs w:val="20"/>
    </w:rPr>
  </w:style>
  <w:style w:type="character" w:customStyle="1" w:styleId="90">
    <w:name w:val="正文文本缩进 2 Char"/>
    <w:qFormat/>
    <w:uiPriority w:val="0"/>
    <w:rPr>
      <w:rFonts w:ascii="仿宋_GB2312" w:hAnsi="仿宋_GB2312" w:eastAsia="宋体" w:cs="Times New Roman"/>
      <w:b/>
      <w:bCs/>
      <w:color w:val="000000"/>
      <w:sz w:val="24"/>
      <w:szCs w:val="24"/>
    </w:rPr>
  </w:style>
  <w:style w:type="character" w:customStyle="1" w:styleId="91">
    <w:name w:val="日期 Char"/>
    <w:qFormat/>
    <w:uiPriority w:val="0"/>
    <w:rPr>
      <w:rFonts w:ascii="Times New Roman" w:hAnsi="Times New Roman" w:eastAsia="楷体_GB2312"/>
      <w:sz w:val="32"/>
    </w:rPr>
  </w:style>
  <w:style w:type="character" w:customStyle="1" w:styleId="92">
    <w:name w:val="批注主题 Char"/>
    <w:qFormat/>
    <w:uiPriority w:val="0"/>
    <w:rPr>
      <w:rFonts w:ascii="Times New Roman" w:hAnsi="Times New Roman" w:eastAsia="宋体" w:cs="Times New Roman"/>
      <w:szCs w:val="20"/>
    </w:rPr>
  </w:style>
  <w:style w:type="character" w:customStyle="1" w:styleId="93">
    <w:name w:val="ca-32"/>
    <w:qFormat/>
    <w:uiPriority w:val="0"/>
  </w:style>
  <w:style w:type="character" w:customStyle="1" w:styleId="94">
    <w:name w:val="页眉 Char"/>
    <w:qFormat/>
    <w:uiPriority w:val="0"/>
    <w:rPr>
      <w:sz w:val="18"/>
      <w:szCs w:val="18"/>
    </w:rPr>
  </w:style>
  <w:style w:type="character" w:customStyle="1" w:styleId="95">
    <w:name w:val="批注框文本 Char"/>
    <w:qFormat/>
    <w:uiPriority w:val="0"/>
    <w:rPr>
      <w:rFonts w:ascii="Times New Roman" w:hAnsi="Times New Roman" w:eastAsia="宋体" w:cs="Times New Roman"/>
      <w:sz w:val="18"/>
      <w:szCs w:val="18"/>
    </w:rPr>
  </w:style>
  <w:style w:type="character" w:customStyle="1" w:styleId="96">
    <w:name w:val="apple-style-span"/>
    <w:basedOn w:val="46"/>
    <w:qFormat/>
    <w:uiPriority w:val="0"/>
  </w:style>
  <w:style w:type="character" w:customStyle="1" w:styleId="97">
    <w:name w:val="标题 3 Char"/>
    <w:qFormat/>
    <w:uiPriority w:val="0"/>
    <w:rPr>
      <w:rFonts w:ascii="Times New Roman" w:hAnsi="Times New Roman"/>
      <w:b/>
      <w:bCs/>
      <w:sz w:val="32"/>
      <w:szCs w:val="32"/>
    </w:rPr>
  </w:style>
  <w:style w:type="character" w:customStyle="1" w:styleId="98">
    <w:name w:val="正文文本缩进 Char"/>
    <w:qFormat/>
    <w:uiPriority w:val="0"/>
    <w:rPr>
      <w:rFonts w:ascii="宋体" w:hAnsi="Times New Roman" w:eastAsia="宋体" w:cs="Times New Roman"/>
      <w:spacing w:val="-4"/>
      <w:sz w:val="18"/>
      <w:szCs w:val="20"/>
    </w:rPr>
  </w:style>
  <w:style w:type="character" w:customStyle="1" w:styleId="99">
    <w:name w:val="文档结构图 Char"/>
    <w:qFormat/>
    <w:uiPriority w:val="0"/>
    <w:rPr>
      <w:rFonts w:ascii="Times New Roman" w:hAnsi="Times New Roman" w:eastAsia="宋体" w:cs="Times New Roman"/>
      <w:szCs w:val="24"/>
      <w:shd w:val="clear" w:color="auto" w:fill="000080"/>
    </w:rPr>
  </w:style>
  <w:style w:type="character" w:customStyle="1" w:styleId="100">
    <w:name w:val="纯文本 字符"/>
    <w:link w:val="21"/>
    <w:qFormat/>
    <w:uiPriority w:val="0"/>
    <w:rPr>
      <w:rFonts w:ascii="宋体" w:hAnsi="Times New Roman" w:eastAsia="宋体" w:cs="Times New Roman"/>
      <w:sz w:val="24"/>
      <w:szCs w:val="24"/>
    </w:rPr>
  </w:style>
  <w:style w:type="character" w:customStyle="1" w:styleId="101">
    <w:name w:val="正文文本缩进 3 字符"/>
    <w:link w:val="34"/>
    <w:qFormat/>
    <w:uiPriority w:val="0"/>
    <w:rPr>
      <w:rFonts w:ascii="仿宋_GB2312" w:eastAsia="仿宋_GB2312"/>
      <w:color w:val="000000"/>
      <w:sz w:val="24"/>
      <w:szCs w:val="24"/>
    </w:rPr>
  </w:style>
  <w:style w:type="character" w:customStyle="1" w:styleId="102">
    <w:name w:val="页眉 字符"/>
    <w:link w:val="28"/>
    <w:qFormat/>
    <w:uiPriority w:val="99"/>
    <w:rPr>
      <w:sz w:val="18"/>
      <w:szCs w:val="18"/>
    </w:rPr>
  </w:style>
  <w:style w:type="character" w:customStyle="1" w:styleId="103">
    <w:name w:val="纯文本 字符1"/>
    <w:qFormat/>
    <w:uiPriority w:val="0"/>
    <w:rPr>
      <w:rFonts w:ascii="宋体" w:hAnsi="Courier New" w:eastAsia="宋体"/>
      <w:kern w:val="2"/>
      <w:sz w:val="24"/>
      <w:szCs w:val="24"/>
      <w:lang w:val="en-US" w:eastAsia="zh-CN" w:bidi="ar-SA"/>
    </w:rPr>
  </w:style>
  <w:style w:type="character" w:customStyle="1" w:styleId="104">
    <w:name w:val="批注文字 Char"/>
    <w:qFormat/>
    <w:uiPriority w:val="0"/>
    <w:rPr>
      <w:rFonts w:ascii="Times New Roman" w:hAnsi="Times New Roman" w:eastAsia="宋体" w:cs="Times New Roman"/>
      <w:szCs w:val="20"/>
    </w:rPr>
  </w:style>
  <w:style w:type="character" w:customStyle="1" w:styleId="105">
    <w:name w:val="副标题 字符"/>
    <w:link w:val="31"/>
    <w:qFormat/>
    <w:uiPriority w:val="0"/>
    <w:rPr>
      <w:rFonts w:ascii="Cambria" w:hAnsi="Cambria"/>
      <w:b/>
      <w:bCs/>
      <w:kern w:val="28"/>
      <w:sz w:val="32"/>
      <w:szCs w:val="32"/>
    </w:rPr>
  </w:style>
  <w:style w:type="character" w:customStyle="1" w:styleId="106">
    <w:name w:val="副标题 Char1"/>
    <w:qFormat/>
    <w:uiPriority w:val="11"/>
    <w:rPr>
      <w:rFonts w:ascii="Cambria" w:hAnsi="Cambria" w:eastAsia="宋体" w:cs="Times New Roman"/>
      <w:b/>
      <w:bCs/>
      <w:kern w:val="28"/>
      <w:sz w:val="32"/>
      <w:szCs w:val="32"/>
    </w:rPr>
  </w:style>
  <w:style w:type="character" w:customStyle="1" w:styleId="107">
    <w:name w:val="正文文本缩进 字符"/>
    <w:link w:val="15"/>
    <w:qFormat/>
    <w:uiPriority w:val="0"/>
    <w:rPr>
      <w:rFonts w:ascii="宋体" w:hAnsi="Times New Roman" w:eastAsia="宋体" w:cs="Times New Roman"/>
      <w:spacing w:val="-4"/>
      <w:sz w:val="18"/>
      <w:szCs w:val="20"/>
    </w:rPr>
  </w:style>
  <w:style w:type="character" w:customStyle="1" w:styleId="108">
    <w:name w:val="正文文本 3 字符"/>
    <w:link w:val="14"/>
    <w:qFormat/>
    <w:uiPriority w:val="0"/>
    <w:rPr>
      <w:rFonts w:eastAsia="仿宋_GB2312"/>
      <w:b/>
      <w:bCs/>
      <w:sz w:val="24"/>
    </w:rPr>
  </w:style>
  <w:style w:type="character" w:customStyle="1" w:styleId="109">
    <w:name w:val="标题 1 Char"/>
    <w:qFormat/>
    <w:uiPriority w:val="0"/>
    <w:rPr>
      <w:rFonts w:ascii="Times New Roman" w:hAnsi="Times New Roman" w:eastAsia="宋体" w:cs="Times New Roman"/>
      <w:b/>
      <w:bCs/>
      <w:kern w:val="44"/>
      <w:sz w:val="44"/>
      <w:szCs w:val="44"/>
    </w:rPr>
  </w:style>
  <w:style w:type="character" w:customStyle="1" w:styleId="110">
    <w:name w:val="标题 3 字符"/>
    <w:link w:val="5"/>
    <w:qFormat/>
    <w:uiPriority w:val="0"/>
    <w:rPr>
      <w:b/>
      <w:bCs/>
      <w:sz w:val="32"/>
      <w:szCs w:val="32"/>
    </w:rPr>
  </w:style>
  <w:style w:type="character" w:customStyle="1" w:styleId="111">
    <w:name w:val="标题 2 Char"/>
    <w:qFormat/>
    <w:uiPriority w:val="0"/>
    <w:rPr>
      <w:rFonts w:ascii="Arial" w:hAnsi="Arial" w:eastAsia="黑体"/>
      <w:b/>
      <w:bCs/>
      <w:sz w:val="32"/>
      <w:szCs w:val="32"/>
    </w:rPr>
  </w:style>
  <w:style w:type="character" w:customStyle="1" w:styleId="112">
    <w:name w:val="unnamed1"/>
    <w:basedOn w:val="46"/>
    <w:qFormat/>
    <w:uiPriority w:val="0"/>
  </w:style>
  <w:style w:type="paragraph" w:customStyle="1" w:styleId="113">
    <w:name w:val="修订1"/>
    <w:qFormat/>
    <w:uiPriority w:val="99"/>
    <w:rPr>
      <w:rFonts w:ascii="Calibri" w:hAnsi="Calibri" w:eastAsia="宋体" w:cs="Times New Roman"/>
      <w:kern w:val="2"/>
      <w:sz w:val="21"/>
      <w:szCs w:val="22"/>
      <w:lang w:val="en-US" w:eastAsia="zh-CN" w:bidi="ar-SA"/>
    </w:rPr>
  </w:style>
  <w:style w:type="paragraph" w:customStyle="1" w:styleId="114">
    <w:name w:val="Char Char Char Char Char Char"/>
    <w:basedOn w:val="1"/>
    <w:qFormat/>
    <w:uiPriority w:val="0"/>
    <w:pPr>
      <w:ind w:firstLine="200" w:firstLineChars="200"/>
    </w:pPr>
    <w:rPr>
      <w:rFonts w:ascii="Tahoma" w:hAnsi="Tahoma"/>
      <w:sz w:val="24"/>
      <w:szCs w:val="20"/>
    </w:rPr>
  </w:style>
  <w:style w:type="paragraph" w:customStyle="1" w:styleId="115">
    <w:name w:val="Char Char Char Char Char Char Char Char Char Char Char Char1 Char1"/>
    <w:basedOn w:val="12"/>
    <w:qFormat/>
    <w:uiPriority w:val="0"/>
    <w:pPr>
      <w:jc w:val="left"/>
    </w:pPr>
    <w:rPr>
      <w:rFonts w:ascii="Tahoma" w:hAnsi="Tahoma" w:cs="Arial"/>
      <w:sz w:val="24"/>
    </w:rPr>
  </w:style>
  <w:style w:type="paragraph" w:customStyle="1" w:styleId="116">
    <w:name w:val="纯文本1"/>
    <w:basedOn w:val="1"/>
    <w:qFormat/>
    <w:uiPriority w:val="0"/>
    <w:pPr>
      <w:spacing w:before="156" w:beforeLines="50" w:after="156" w:afterLines="50" w:line="400" w:lineRule="exact"/>
    </w:pPr>
    <w:rPr>
      <w:rFonts w:ascii="宋体" w:hAnsi="Courier New"/>
      <w:sz w:val="24"/>
    </w:rPr>
  </w:style>
  <w:style w:type="paragraph" w:customStyle="1" w:styleId="117">
    <w:name w:val="列出段落1"/>
    <w:basedOn w:val="1"/>
    <w:qFormat/>
    <w:uiPriority w:val="0"/>
    <w:pPr>
      <w:ind w:firstLine="200" w:firstLineChars="200"/>
    </w:pPr>
    <w:rPr>
      <w:rFonts w:ascii="Calibri" w:hAnsi="Calibri"/>
      <w:szCs w:val="22"/>
    </w:rPr>
  </w:style>
  <w:style w:type="paragraph" w:customStyle="1" w:styleId="118">
    <w:name w:val="Char1 Char Char Char1"/>
    <w:basedOn w:val="1"/>
    <w:qFormat/>
    <w:uiPriority w:val="0"/>
    <w:pPr>
      <w:tabs>
        <w:tab w:val="left" w:pos="840"/>
      </w:tabs>
      <w:ind w:left="840" w:hanging="420"/>
      <w:jc w:val="left"/>
    </w:pPr>
    <w:rPr>
      <w:rFonts w:ascii="宋体" w:hAnsi="宋体" w:cs="Arial"/>
      <w:sz w:val="24"/>
    </w:rPr>
  </w:style>
  <w:style w:type="paragraph" w:customStyle="1" w:styleId="119">
    <w:name w:val="Char Char Char Char1"/>
    <w:basedOn w:val="1"/>
    <w:qFormat/>
    <w:uiPriority w:val="0"/>
    <w:pPr>
      <w:widowControl/>
      <w:spacing w:after="160" w:line="240" w:lineRule="exact"/>
      <w:jc w:val="left"/>
    </w:pPr>
    <w:rPr>
      <w:rFonts w:ascii="宋体" w:hAnsi="宋体" w:cs="Arial"/>
      <w:szCs w:val="21"/>
    </w:rPr>
  </w:style>
  <w:style w:type="paragraph" w:customStyle="1" w:styleId="120">
    <w:name w:val="table_lines"/>
    <w:basedOn w:val="1"/>
    <w:qFormat/>
    <w:uiPriority w:val="0"/>
    <w:rPr>
      <w:szCs w:val="20"/>
    </w:rPr>
  </w:style>
  <w:style w:type="paragraph" w:customStyle="1" w:styleId="121">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22">
    <w:name w:val="样式 样式 标题 2 + 宋体 行距: 最小值 20 磅 + 段前: 0.5 行 段后: 0.5 行"/>
    <w:basedOn w:val="1"/>
    <w:qFormat/>
    <w:uiPriority w:val="0"/>
    <w:pPr>
      <w:keepNext/>
      <w:keepLines/>
      <w:tabs>
        <w:tab w:val="left" w:pos="567"/>
      </w:tabs>
      <w:spacing w:before="120" w:after="120"/>
      <w:jc w:val="center"/>
      <w:outlineLvl w:val="1"/>
    </w:pPr>
    <w:rPr>
      <w:rFonts w:eastAsia="仿宋_GB2312"/>
      <w:b/>
      <w:w w:val="80"/>
      <w:sz w:val="28"/>
      <w:szCs w:val="32"/>
    </w:rPr>
  </w:style>
  <w:style w:type="paragraph" w:customStyle="1" w:styleId="123">
    <w:name w:val="333"/>
    <w:basedOn w:val="1"/>
    <w:qFormat/>
    <w:uiPriority w:val="0"/>
    <w:pPr>
      <w:adjustRightInd w:val="0"/>
      <w:spacing w:line="312" w:lineRule="atLeast"/>
      <w:textAlignment w:val="baseline"/>
    </w:pPr>
    <w:rPr>
      <w:kern w:val="0"/>
      <w:szCs w:val="20"/>
    </w:rPr>
  </w:style>
  <w:style w:type="paragraph" w:customStyle="1" w:styleId="124">
    <w:name w:val="p15"/>
    <w:basedOn w:val="1"/>
    <w:qFormat/>
    <w:uiPriority w:val="0"/>
    <w:pPr>
      <w:widowControl/>
    </w:pPr>
    <w:rPr>
      <w:kern w:val="0"/>
      <w:szCs w:val="21"/>
    </w:rPr>
  </w:style>
  <w:style w:type="paragraph" w:customStyle="1" w:styleId="125">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
    <w:name w:val="列出段落11"/>
    <w:basedOn w:val="1"/>
    <w:qFormat/>
    <w:uiPriority w:val="0"/>
    <w:pPr>
      <w:ind w:firstLine="200" w:firstLineChars="200"/>
      <w:jc w:val="left"/>
    </w:pPr>
    <w:rPr>
      <w:rFonts w:ascii="Calibri" w:hAnsi="Calibri" w:cs="Arial"/>
      <w:szCs w:val="22"/>
    </w:rPr>
  </w:style>
  <w:style w:type="paragraph" w:customStyle="1" w:styleId="127">
    <w:name w:val="Char21"/>
    <w:basedOn w:val="1"/>
    <w:qFormat/>
    <w:uiPriority w:val="0"/>
    <w:pPr>
      <w:jc w:val="left"/>
    </w:pPr>
    <w:rPr>
      <w:rFonts w:ascii="仿宋_GB2312" w:hAnsi="宋体" w:eastAsia="仿宋_GB2312" w:cs="Arial"/>
      <w:b/>
      <w:sz w:val="32"/>
      <w:szCs w:val="32"/>
    </w:rPr>
  </w:style>
  <w:style w:type="paragraph" w:customStyle="1" w:styleId="128">
    <w:name w:val="Char1 Char Char Char"/>
    <w:basedOn w:val="1"/>
    <w:qFormat/>
    <w:uiPriority w:val="0"/>
    <w:pPr>
      <w:tabs>
        <w:tab w:val="left" w:pos="840"/>
      </w:tabs>
      <w:ind w:left="840" w:hanging="420"/>
    </w:pPr>
    <w:rPr>
      <w:sz w:val="24"/>
    </w:rPr>
  </w:style>
  <w:style w:type="paragraph" w:customStyle="1" w:styleId="129">
    <w:name w:val="正文段"/>
    <w:basedOn w:val="1"/>
    <w:qFormat/>
    <w:uiPriority w:val="0"/>
    <w:pPr>
      <w:widowControl/>
      <w:snapToGrid w:val="0"/>
      <w:spacing w:afterLines="50"/>
      <w:ind w:firstLine="200" w:firstLineChars="200"/>
    </w:pPr>
    <w:rPr>
      <w:kern w:val="0"/>
      <w:sz w:val="24"/>
      <w:szCs w:val="20"/>
    </w:rPr>
  </w:style>
  <w:style w:type="paragraph" w:customStyle="1" w:styleId="130">
    <w:name w:val="pa-1"/>
    <w:basedOn w:val="1"/>
    <w:qFormat/>
    <w:uiPriority w:val="0"/>
    <w:pPr>
      <w:widowControl/>
      <w:spacing w:before="100" w:beforeAutospacing="1" w:after="100" w:afterAutospacing="1"/>
      <w:jc w:val="left"/>
    </w:pPr>
    <w:rPr>
      <w:rFonts w:ascii="宋体" w:cs="宋体"/>
      <w:kern w:val="0"/>
      <w:sz w:val="24"/>
    </w:rPr>
  </w:style>
  <w:style w:type="paragraph" w:customStyle="1" w:styleId="131">
    <w:name w:val="op_mapdots_left"/>
    <w:basedOn w:val="1"/>
    <w:qFormat/>
    <w:uiPriority w:val="0"/>
    <w:pPr>
      <w:widowControl/>
      <w:jc w:val="left"/>
    </w:pPr>
    <w:rPr>
      <w:rFonts w:ascii="宋体" w:cs="宋体"/>
      <w:kern w:val="0"/>
      <w:sz w:val="24"/>
    </w:rPr>
  </w:style>
  <w:style w:type="paragraph" w:customStyle="1" w:styleId="132">
    <w:name w:val="_Style 121"/>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33">
    <w:name w:val="列出段落2"/>
    <w:basedOn w:val="1"/>
    <w:qFormat/>
    <w:uiPriority w:val="34"/>
    <w:pPr>
      <w:spacing w:line="300" w:lineRule="auto"/>
      <w:ind w:firstLine="420" w:firstLineChars="200"/>
    </w:pPr>
    <w:rPr>
      <w:rFonts w:ascii="宋体"/>
      <w:kern w:val="0"/>
      <w:sz w:val="24"/>
      <w:szCs w:val="20"/>
    </w:rPr>
  </w:style>
  <w:style w:type="paragraph" w:customStyle="1" w:styleId="134">
    <w:name w:val="style9"/>
    <w:basedOn w:val="1"/>
    <w:qFormat/>
    <w:uiPriority w:val="0"/>
    <w:pPr>
      <w:widowControl/>
      <w:spacing w:before="100" w:beforeAutospacing="1" w:after="100" w:afterAutospacing="1"/>
      <w:jc w:val="left"/>
    </w:pPr>
    <w:rPr>
      <w:rFonts w:ascii="宋体" w:cs="宋体"/>
      <w:kern w:val="0"/>
      <w:sz w:val="24"/>
    </w:rPr>
  </w:style>
  <w:style w:type="paragraph" w:customStyle="1" w:styleId="135">
    <w:name w:val="zhouzhe jianjie txt"/>
    <w:basedOn w:val="1"/>
    <w:qFormat/>
    <w:uiPriority w:val="0"/>
    <w:pPr>
      <w:spacing w:line="240" w:lineRule="exact"/>
      <w:jc w:val="left"/>
    </w:pPr>
    <w:rPr>
      <w:rFonts w:ascii="宋体" w:hAnsi="宋体" w:eastAsia="Times New Roman" w:cs="Arial"/>
      <w:sz w:val="15"/>
      <w:szCs w:val="15"/>
    </w:rPr>
  </w:style>
  <w:style w:type="paragraph" w:customStyle="1" w:styleId="136">
    <w:name w:val="自由格式 A"/>
    <w:qFormat/>
    <w:uiPriority w:val="0"/>
    <w:rPr>
      <w:rFonts w:ascii="Helvetica" w:hAnsi="Helvetica" w:eastAsia="ヒラギノ角ゴ Pro W3" w:cs="Times New Roman"/>
      <w:color w:val="000000"/>
      <w:sz w:val="24"/>
      <w:lang w:val="en-US" w:eastAsia="zh-CN" w:bidi="ar-SA"/>
    </w:rPr>
  </w:style>
  <w:style w:type="paragraph" w:customStyle="1" w:styleId="137">
    <w:name w:val="Char1"/>
    <w:basedOn w:val="1"/>
    <w:qFormat/>
    <w:uiPriority w:val="0"/>
    <w:rPr>
      <w:rFonts w:ascii="Tahoma" w:hAnsi="Tahoma"/>
      <w:sz w:val="24"/>
      <w:szCs w:val="20"/>
    </w:rPr>
  </w:style>
  <w:style w:type="paragraph" w:customStyle="1" w:styleId="138">
    <w:name w:val="p0"/>
    <w:basedOn w:val="1"/>
    <w:qFormat/>
    <w:uiPriority w:val="0"/>
    <w:pPr>
      <w:widowControl/>
    </w:pPr>
    <w:rPr>
      <w:kern w:val="0"/>
      <w:szCs w:val="21"/>
    </w:rPr>
  </w:style>
  <w:style w:type="paragraph" w:customStyle="1" w:styleId="139">
    <w:name w:val="样式1"/>
    <w:basedOn w:val="6"/>
    <w:qFormat/>
    <w:uiPriority w:val="0"/>
  </w:style>
  <w:style w:type="paragraph" w:customStyle="1" w:styleId="140">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141">
    <w:name w:val="Char Char Char Char"/>
    <w:basedOn w:val="1"/>
    <w:qFormat/>
    <w:uiPriority w:val="0"/>
    <w:pPr>
      <w:widowControl/>
      <w:spacing w:after="160" w:line="240" w:lineRule="exact"/>
      <w:jc w:val="left"/>
    </w:pPr>
    <w:rPr>
      <w:szCs w:val="20"/>
    </w:rPr>
  </w:style>
  <w:style w:type="paragraph" w:customStyle="1" w:styleId="142">
    <w:name w:val="xl3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eastAsia="Arial Unicode MS"/>
      <w:kern w:val="0"/>
      <w:sz w:val="24"/>
    </w:rPr>
  </w:style>
  <w:style w:type="paragraph" w:customStyle="1" w:styleId="143">
    <w:name w:val="_Style 77"/>
    <w:basedOn w:val="1"/>
    <w:next w:val="68"/>
    <w:qFormat/>
    <w:uiPriority w:val="34"/>
    <w:pPr>
      <w:tabs>
        <w:tab w:val="left" w:pos="360"/>
      </w:tabs>
      <w:ind w:left="360" w:hanging="360"/>
    </w:pPr>
    <w:rPr>
      <w:rFonts w:ascii="Calibri" w:hAnsi="Calibri"/>
      <w:szCs w:val="22"/>
    </w:rPr>
  </w:style>
  <w:style w:type="paragraph" w:customStyle="1" w:styleId="144">
    <w:name w:val="默认段落字体 Para Char Char Char Char Char Char Char Char Char1 Char Char Char Char"/>
    <w:basedOn w:val="1"/>
    <w:qFormat/>
    <w:uiPriority w:val="0"/>
    <w:rPr>
      <w:rFonts w:ascii="Tahoma" w:hAnsi="Tahoma"/>
      <w:sz w:val="24"/>
      <w:szCs w:val="20"/>
    </w:rPr>
  </w:style>
  <w:style w:type="paragraph" w:customStyle="1" w:styleId="145">
    <w:name w:val="table_1stline"/>
    <w:basedOn w:val="1"/>
    <w:qFormat/>
    <w:uiPriority w:val="0"/>
    <w:pPr>
      <w:spacing w:before="120"/>
    </w:pPr>
    <w:rPr>
      <w:bCs/>
      <w:szCs w:val="20"/>
    </w:rPr>
  </w:style>
  <w:style w:type="paragraph" w:customStyle="1" w:styleId="146">
    <w:name w:val="Char Char Char Char Char Char Char Char Char Char Char Char1 Char"/>
    <w:basedOn w:val="12"/>
    <w:qFormat/>
    <w:uiPriority w:val="0"/>
    <w:rPr>
      <w:rFonts w:ascii="Tahoma" w:hAnsi="Tahoma"/>
      <w:sz w:val="24"/>
    </w:rPr>
  </w:style>
  <w:style w:type="paragraph" w:customStyle="1" w:styleId="147">
    <w:name w:val="Char11"/>
    <w:basedOn w:val="1"/>
    <w:qFormat/>
    <w:uiPriority w:val="0"/>
  </w:style>
  <w:style w:type="paragraph" w:customStyle="1" w:styleId="148">
    <w:name w:val="表内文字"/>
    <w:basedOn w:val="1"/>
    <w:qFormat/>
    <w:uiPriority w:val="0"/>
    <w:pPr>
      <w:tabs>
        <w:tab w:val="left" w:pos="1418"/>
      </w:tabs>
      <w:spacing w:line="360" w:lineRule="auto"/>
      <w:jc w:val="center"/>
    </w:pPr>
    <w:rPr>
      <w:rFonts w:ascii="仿宋_GB2312" w:eastAsia="仿宋_GB2312"/>
      <w:spacing w:val="-20"/>
      <w:kern w:val="0"/>
      <w:sz w:val="24"/>
    </w:rPr>
  </w:style>
  <w:style w:type="paragraph" w:customStyle="1" w:styleId="149">
    <w:name w:val="Char Char Char Char Char Char1"/>
    <w:basedOn w:val="1"/>
    <w:qFormat/>
    <w:uiPriority w:val="0"/>
    <w:pPr>
      <w:ind w:firstLine="200" w:firstLineChars="200"/>
      <w:jc w:val="left"/>
    </w:pPr>
    <w:rPr>
      <w:rFonts w:ascii="Tahoma" w:hAnsi="Tahoma" w:cs="Arial"/>
      <w:sz w:val="24"/>
      <w:szCs w:val="21"/>
    </w:rPr>
  </w:style>
  <w:style w:type="paragraph" w:customStyle="1" w:styleId="150">
    <w:name w:val="Char3"/>
    <w:basedOn w:val="1"/>
    <w:qFormat/>
    <w:uiPriority w:val="0"/>
    <w:pPr>
      <w:ind w:firstLine="200" w:firstLineChars="200"/>
      <w:jc w:val="left"/>
    </w:pPr>
    <w:rPr>
      <w:rFonts w:ascii="幼圆" w:hAnsi="宋体" w:eastAsia="幼圆" w:cs="幼圆"/>
      <w:sz w:val="24"/>
      <w:szCs w:val="21"/>
    </w:rPr>
  </w:style>
  <w:style w:type="paragraph" w:customStyle="1" w:styleId="151">
    <w:name w:val="正文－恩普"/>
    <w:basedOn w:val="10"/>
    <w:qFormat/>
    <w:uiPriority w:val="0"/>
    <w:pPr>
      <w:widowControl/>
      <w:numPr>
        <w:numId w:val="0"/>
      </w:numPr>
      <w:tabs>
        <w:tab w:val="clear" w:pos="2040"/>
      </w:tabs>
      <w:spacing w:afterLines="50" w:line="360" w:lineRule="auto"/>
      <w:ind w:firstLine="480" w:firstLineChars="200"/>
      <w:jc w:val="left"/>
    </w:pPr>
    <w:rPr>
      <w:kern w:val="0"/>
      <w:sz w:val="24"/>
    </w:rPr>
  </w:style>
  <w:style w:type="paragraph" w:customStyle="1" w:styleId="152">
    <w:name w:val="xl29"/>
    <w:basedOn w:val="1"/>
    <w:qFormat/>
    <w:uiPriority w:val="0"/>
    <w:pPr>
      <w:widowControl/>
      <w:spacing w:before="100" w:beforeAutospacing="1" w:after="100" w:afterAutospacing="1"/>
      <w:jc w:val="center"/>
    </w:pPr>
    <w:rPr>
      <w:rFonts w:ascii="Arial Unicode MS" w:hAnsi="Arial Unicode MS" w:eastAsia="Arial Unicode MS"/>
      <w:kern w:val="0"/>
      <w:sz w:val="24"/>
    </w:rPr>
  </w:style>
  <w:style w:type="paragraph" w:customStyle="1" w:styleId="153">
    <w:name w:val="Char2"/>
    <w:basedOn w:val="1"/>
    <w:qFormat/>
    <w:uiPriority w:val="0"/>
    <w:rPr>
      <w:rFonts w:ascii="仿宋_GB2312" w:eastAsia="仿宋_GB2312"/>
      <w:b/>
      <w:sz w:val="32"/>
      <w:szCs w:val="32"/>
    </w:rPr>
  </w:style>
  <w:style w:type="paragraph" w:customStyle="1" w:styleId="154">
    <w:name w:val="tgt2"/>
    <w:basedOn w:val="1"/>
    <w:qFormat/>
    <w:uiPriority w:val="0"/>
    <w:pPr>
      <w:widowControl/>
      <w:spacing w:after="150" w:line="360" w:lineRule="auto"/>
      <w:jc w:val="left"/>
    </w:pPr>
    <w:rPr>
      <w:rFonts w:ascii="宋体" w:cs="宋体"/>
      <w:b/>
      <w:bCs/>
      <w:kern w:val="0"/>
      <w:sz w:val="36"/>
      <w:szCs w:val="36"/>
    </w:rPr>
  </w:style>
  <w:style w:type="paragraph" w:customStyle="1" w:styleId="155">
    <w:name w:val="Char"/>
    <w:basedOn w:val="1"/>
    <w:qFormat/>
    <w:uiPriority w:val="0"/>
    <w:pPr>
      <w:ind w:firstLine="200" w:firstLineChars="200"/>
    </w:pPr>
    <w:rPr>
      <w:rFonts w:ascii="幼圆" w:eastAsia="幼圆" w:cs="幼圆"/>
      <w:sz w:val="24"/>
      <w:szCs w:val="20"/>
    </w:rPr>
  </w:style>
  <w:style w:type="paragraph" w:customStyle="1" w:styleId="156">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157">
    <w:name w:val="font101"/>
    <w:basedOn w:val="46"/>
    <w:qFormat/>
    <w:uiPriority w:val="0"/>
    <w:rPr>
      <w:rFonts w:hint="eastAsia" w:ascii="宋体" w:hAnsi="宋体" w:eastAsia="宋体" w:cs="宋体"/>
      <w:color w:val="000000"/>
      <w:sz w:val="18"/>
      <w:szCs w:val="18"/>
      <w:u w:val="none"/>
    </w:rPr>
  </w:style>
  <w:style w:type="character" w:customStyle="1" w:styleId="158">
    <w:name w:val="font31"/>
    <w:basedOn w:val="46"/>
    <w:qFormat/>
    <w:uiPriority w:val="0"/>
    <w:rPr>
      <w:rFonts w:hint="eastAsia" w:ascii="宋体" w:hAnsi="宋体" w:eastAsia="宋体" w:cs="宋体"/>
      <w:b/>
      <w:bCs/>
      <w:color w:val="000000"/>
      <w:sz w:val="18"/>
      <w:szCs w:val="18"/>
      <w:u w:val="none"/>
    </w:rPr>
  </w:style>
  <w:style w:type="character" w:customStyle="1" w:styleId="159">
    <w:name w:val="font161"/>
    <w:basedOn w:val="46"/>
    <w:qFormat/>
    <w:uiPriority w:val="0"/>
    <w:rPr>
      <w:rFonts w:hint="eastAsia" w:ascii="宋体" w:hAnsi="宋体" w:eastAsia="宋体" w:cs="宋体"/>
      <w:b/>
      <w:bCs/>
      <w:color w:val="000000"/>
      <w:sz w:val="18"/>
      <w:szCs w:val="18"/>
      <w:u w:val="none"/>
    </w:rPr>
  </w:style>
  <w:style w:type="character" w:customStyle="1" w:styleId="160">
    <w:name w:val="font81"/>
    <w:qFormat/>
    <w:uiPriority w:val="0"/>
    <w:rPr>
      <w:rFonts w:hint="eastAsia" w:ascii="宋体" w:hAnsi="宋体" w:eastAsia="宋体" w:cs="宋体"/>
      <w:color w:val="000000"/>
      <w:sz w:val="18"/>
      <w:szCs w:val="18"/>
      <w:u w:val="none"/>
    </w:rPr>
  </w:style>
  <w:style w:type="paragraph" w:customStyle="1" w:styleId="161">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character" w:customStyle="1" w:styleId="162">
    <w:name w:val="标题 字符"/>
    <w:link w:val="40"/>
    <w:qFormat/>
    <w:uiPriority w:val="0"/>
    <w:rPr>
      <w:rFonts w:ascii="Calibri Light" w:hAnsi="Calibri Light"/>
      <w:b/>
      <w:bCs/>
      <w:sz w:val="32"/>
      <w:szCs w:val="32"/>
    </w:rPr>
  </w:style>
  <w:style w:type="paragraph" w:customStyle="1" w:styleId="163">
    <w:name w:val="列出段落21"/>
    <w:basedOn w:val="1"/>
    <w:qFormat/>
    <w:uiPriority w:val="0"/>
    <w:pPr>
      <w:numPr>
        <w:ilvl w:val="0"/>
        <w:numId w:val="1"/>
      </w:numPr>
      <w:tabs>
        <w:tab w:val="left" w:pos="360"/>
      </w:tabs>
    </w:pPr>
    <w:rPr>
      <w:rFonts w:ascii="Calibri" w:hAnsi="Calibri"/>
      <w:szCs w:val="22"/>
    </w:rPr>
  </w:style>
  <w:style w:type="paragraph" w:customStyle="1" w:styleId="164">
    <w:name w:val="_Style 153"/>
    <w:qFormat/>
    <w:uiPriority w:val="99"/>
    <w:rPr>
      <w:rFonts w:ascii="Times New Roman" w:hAnsi="Times New Roman" w:eastAsia="宋体" w:cs="Times New Roman"/>
      <w:kern w:val="2"/>
      <w:sz w:val="21"/>
      <w:szCs w:val="24"/>
      <w:lang w:val="en-US" w:eastAsia="zh-CN" w:bidi="ar-SA"/>
    </w:rPr>
  </w:style>
  <w:style w:type="paragraph" w:customStyle="1" w:styleId="165">
    <w:name w:val="修订2"/>
    <w:qFormat/>
    <w:uiPriority w:val="99"/>
    <w:rPr>
      <w:rFonts w:ascii="Times New Roman" w:hAnsi="Times New Roman" w:eastAsia="宋体" w:cs="Times New Roman"/>
      <w:kern w:val="2"/>
      <w:sz w:val="21"/>
      <w:szCs w:val="24"/>
      <w:lang w:val="en-US" w:eastAsia="zh-CN" w:bidi="ar-SA"/>
    </w:rPr>
  </w:style>
  <w:style w:type="character" w:customStyle="1" w:styleId="166">
    <w:name w:val="批注文字 Char3"/>
    <w:qFormat/>
    <w:uiPriority w:val="0"/>
  </w:style>
  <w:style w:type="character" w:customStyle="1" w:styleId="167">
    <w:name w:val="正文文本缩进 Char2"/>
    <w:qFormat/>
    <w:uiPriority w:val="0"/>
    <w:rPr>
      <w:rFonts w:ascii="宋体" w:hAnsi="Times New Roman" w:eastAsia="宋体" w:cs="Times New Roman"/>
      <w:spacing w:val="-4"/>
      <w:sz w:val="18"/>
      <w:szCs w:val="20"/>
    </w:rPr>
  </w:style>
  <w:style w:type="paragraph" w:customStyle="1" w:styleId="168">
    <w:name w:val="List Paragraph1"/>
    <w:basedOn w:val="1"/>
    <w:qFormat/>
    <w:uiPriority w:val="99"/>
    <w:pPr>
      <w:ind w:firstLine="420" w:firstLineChars="200"/>
    </w:pPr>
  </w:style>
  <w:style w:type="paragraph" w:customStyle="1" w:styleId="169">
    <w:name w:val="表格"/>
    <w:basedOn w:val="1"/>
    <w:qFormat/>
    <w:uiPriority w:val="0"/>
    <w:rPr>
      <w:rFonts w:ascii="宋体" w:hAnsi="宋体"/>
      <w:color w:val="000000"/>
      <w:szCs w:val="21"/>
    </w:rPr>
  </w:style>
  <w:style w:type="character" w:customStyle="1" w:styleId="170">
    <w:name w:val="font11"/>
    <w:basedOn w:val="46"/>
    <w:qFormat/>
    <w:uiPriority w:val="0"/>
    <w:rPr>
      <w:rFonts w:hint="eastAsia" w:ascii="宋体" w:hAnsi="宋体" w:eastAsia="宋体" w:cs="宋体"/>
      <w:color w:val="000000"/>
      <w:sz w:val="20"/>
      <w:szCs w:val="20"/>
      <w:u w:val="none"/>
    </w:rPr>
  </w:style>
  <w:style w:type="character" w:customStyle="1" w:styleId="171">
    <w:name w:val="font61"/>
    <w:basedOn w:val="46"/>
    <w:qFormat/>
    <w:uiPriority w:val="0"/>
    <w:rPr>
      <w:rFonts w:hint="eastAsia" w:ascii="宋体" w:hAnsi="宋体" w:eastAsia="宋体" w:cs="宋体"/>
      <w:b/>
      <w:bCs/>
      <w:color w:val="000000"/>
      <w:sz w:val="20"/>
      <w:szCs w:val="20"/>
      <w:u w:val="none"/>
    </w:rPr>
  </w:style>
  <w:style w:type="character" w:customStyle="1" w:styleId="172">
    <w:name w:val="font21"/>
    <w:basedOn w:val="46"/>
    <w:qFormat/>
    <w:uiPriority w:val="0"/>
    <w:rPr>
      <w:rFonts w:hint="eastAsia" w:ascii="宋体" w:hAnsi="宋体" w:eastAsia="宋体" w:cs="宋体"/>
      <w:color w:val="FF0000"/>
      <w:sz w:val="20"/>
      <w:szCs w:val="20"/>
      <w:u w:val="none"/>
    </w:rPr>
  </w:style>
  <w:style w:type="character" w:customStyle="1" w:styleId="173">
    <w:name w:val="font151"/>
    <w:basedOn w:val="46"/>
    <w:qFormat/>
    <w:uiPriority w:val="0"/>
    <w:rPr>
      <w:rFonts w:ascii="Calibri" w:hAnsi="Calibri" w:cs="Calibri"/>
      <w:color w:val="000000"/>
      <w:sz w:val="20"/>
      <w:szCs w:val="20"/>
      <w:u w:val="none"/>
    </w:rPr>
  </w:style>
  <w:style w:type="character" w:customStyle="1" w:styleId="174">
    <w:name w:val="font41"/>
    <w:basedOn w:val="46"/>
    <w:qFormat/>
    <w:uiPriority w:val="0"/>
    <w:rPr>
      <w:rFonts w:hint="eastAsia" w:ascii="宋体" w:hAnsi="宋体" w:eastAsia="宋体" w:cs="宋体"/>
      <w:color w:val="000000"/>
      <w:sz w:val="20"/>
      <w:szCs w:val="20"/>
      <w:u w:val="none"/>
    </w:rPr>
  </w:style>
  <w:style w:type="character" w:customStyle="1" w:styleId="175">
    <w:name w:val="font01"/>
    <w:basedOn w:val="46"/>
    <w:qFormat/>
    <w:uiPriority w:val="0"/>
    <w:rPr>
      <w:rFonts w:hint="eastAsia" w:ascii="宋体" w:hAnsi="宋体" w:eastAsia="宋体" w:cs="宋体"/>
      <w:color w:val="FF0000"/>
      <w:sz w:val="20"/>
      <w:szCs w:val="20"/>
      <w:u w:val="none"/>
    </w:rPr>
  </w:style>
  <w:style w:type="character" w:customStyle="1" w:styleId="176">
    <w:name w:val="font51"/>
    <w:basedOn w:val="46"/>
    <w:qFormat/>
    <w:uiPriority w:val="0"/>
    <w:rPr>
      <w:rFonts w:hint="eastAsia" w:ascii="宋体" w:hAnsi="宋体" w:eastAsia="宋体" w:cs="宋体"/>
      <w:color w:val="FF0000"/>
      <w:sz w:val="20"/>
      <w:szCs w:val="20"/>
      <w:u w:val="none"/>
    </w:rPr>
  </w:style>
  <w:style w:type="character" w:customStyle="1" w:styleId="177">
    <w:name w:val="font91"/>
    <w:basedOn w:val="46"/>
    <w:qFormat/>
    <w:uiPriority w:val="0"/>
    <w:rPr>
      <w:rFonts w:ascii="微软雅黑" w:hAnsi="微软雅黑" w:eastAsia="微软雅黑" w:cs="微软雅黑"/>
      <w:color w:val="000000"/>
      <w:sz w:val="22"/>
      <w:szCs w:val="22"/>
      <w:u w:val="none"/>
    </w:rPr>
  </w:style>
  <w:style w:type="character" w:customStyle="1" w:styleId="178">
    <w:name w:val="font212"/>
    <w:basedOn w:val="46"/>
    <w:qFormat/>
    <w:uiPriority w:val="0"/>
    <w:rPr>
      <w:rFonts w:hint="eastAsia" w:ascii="宋体" w:hAnsi="宋体" w:eastAsia="宋体" w:cs="宋体"/>
      <w:color w:val="FF0000"/>
      <w:sz w:val="20"/>
      <w:szCs w:val="20"/>
      <w:u w:val="none"/>
    </w:rPr>
  </w:style>
  <w:style w:type="character" w:customStyle="1" w:styleId="179">
    <w:name w:val="font131"/>
    <w:basedOn w:val="46"/>
    <w:qFormat/>
    <w:uiPriority w:val="0"/>
    <w:rPr>
      <w:rFonts w:hint="default" w:ascii="Times New Roman" w:hAnsi="Times New Roman" w:cs="Times New Roman"/>
      <w:color w:val="000000"/>
      <w:sz w:val="21"/>
      <w:szCs w:val="21"/>
      <w:u w:val="none"/>
    </w:rPr>
  </w:style>
  <w:style w:type="character" w:customStyle="1" w:styleId="180">
    <w:name w:val="font12"/>
    <w:basedOn w:val="46"/>
    <w:qFormat/>
    <w:uiPriority w:val="0"/>
    <w:rPr>
      <w:rFonts w:hint="eastAsia" w:ascii="宋体" w:hAnsi="宋体" w:eastAsia="宋体" w:cs="宋体"/>
      <w:color w:val="FF0000"/>
      <w:sz w:val="20"/>
      <w:szCs w:val="20"/>
      <w:u w:val="none"/>
    </w:rPr>
  </w:style>
  <w:style w:type="character" w:customStyle="1" w:styleId="181">
    <w:name w:val="font201"/>
    <w:basedOn w:val="46"/>
    <w:qFormat/>
    <w:uiPriority w:val="0"/>
    <w:rPr>
      <w:rFonts w:hint="eastAsia" w:ascii="宋体" w:hAnsi="宋体" w:eastAsia="宋体" w:cs="宋体"/>
      <w:color w:val="000000"/>
      <w:sz w:val="18"/>
      <w:szCs w:val="18"/>
      <w:u w:val="none"/>
    </w:rPr>
  </w:style>
  <w:style w:type="character" w:customStyle="1" w:styleId="182">
    <w:name w:val="font351"/>
    <w:basedOn w:val="46"/>
    <w:qFormat/>
    <w:uiPriority w:val="0"/>
    <w:rPr>
      <w:rFonts w:hint="eastAsia" w:ascii="宋体" w:hAnsi="宋体" w:eastAsia="宋体" w:cs="宋体"/>
      <w:color w:val="FF0000"/>
      <w:sz w:val="18"/>
      <w:szCs w:val="18"/>
      <w:u w:val="none"/>
    </w:rPr>
  </w:style>
  <w:style w:type="character" w:customStyle="1" w:styleId="183">
    <w:name w:val="font251"/>
    <w:basedOn w:val="46"/>
    <w:qFormat/>
    <w:uiPriority w:val="0"/>
    <w:rPr>
      <w:rFonts w:hint="eastAsia" w:ascii="宋体" w:hAnsi="宋体" w:eastAsia="宋体" w:cs="宋体"/>
      <w:color w:val="000000"/>
      <w:sz w:val="24"/>
      <w:szCs w:val="24"/>
      <w:u w:val="none"/>
    </w:rPr>
  </w:style>
  <w:style w:type="character" w:customStyle="1" w:styleId="184">
    <w:name w:val="font361"/>
    <w:basedOn w:val="46"/>
    <w:qFormat/>
    <w:uiPriority w:val="0"/>
    <w:rPr>
      <w:rFonts w:hint="eastAsia" w:ascii="宋体" w:hAnsi="宋体" w:eastAsia="宋体" w:cs="宋体"/>
      <w:color w:val="000000"/>
      <w:sz w:val="21"/>
      <w:szCs w:val="21"/>
      <w:u w:val="none"/>
    </w:rPr>
  </w:style>
  <w:style w:type="character" w:customStyle="1" w:styleId="185">
    <w:name w:val="font141"/>
    <w:basedOn w:val="46"/>
    <w:qFormat/>
    <w:uiPriority w:val="0"/>
    <w:rPr>
      <w:rFonts w:ascii="Arial Unicode MS" w:hAnsi="Arial Unicode MS" w:eastAsia="Arial Unicode MS" w:cs="Arial Unicode MS"/>
      <w:color w:val="000000"/>
      <w:sz w:val="22"/>
      <w:szCs w:val="22"/>
      <w:u w:val="none"/>
    </w:rPr>
  </w:style>
  <w:style w:type="character" w:customStyle="1" w:styleId="186">
    <w:name w:val="font111"/>
    <w:basedOn w:val="46"/>
    <w:qFormat/>
    <w:uiPriority w:val="0"/>
    <w:rPr>
      <w:rFonts w:ascii="Arial" w:hAnsi="Arial" w:cs="Arial"/>
      <w:color w:val="000000"/>
      <w:sz w:val="22"/>
      <w:szCs w:val="22"/>
      <w:u w:val="none"/>
    </w:rPr>
  </w:style>
  <w:style w:type="character" w:customStyle="1" w:styleId="187">
    <w:name w:val="font371"/>
    <w:basedOn w:val="46"/>
    <w:qFormat/>
    <w:uiPriority w:val="0"/>
    <w:rPr>
      <w:rFonts w:hint="eastAsia" w:ascii="宋体" w:hAnsi="宋体" w:eastAsia="宋体" w:cs="宋体"/>
      <w:color w:val="000000"/>
      <w:sz w:val="22"/>
      <w:szCs w:val="22"/>
      <w:u w:val="none"/>
      <w:vertAlign w:val="subscript"/>
    </w:rPr>
  </w:style>
  <w:style w:type="character" w:customStyle="1" w:styleId="188">
    <w:name w:val="font341"/>
    <w:basedOn w:val="46"/>
    <w:qFormat/>
    <w:uiPriority w:val="0"/>
    <w:rPr>
      <w:rFonts w:hint="eastAsia" w:ascii="宋体" w:hAnsi="宋体" w:eastAsia="宋体" w:cs="宋体"/>
      <w:color w:val="000000"/>
      <w:sz w:val="22"/>
      <w:szCs w:val="22"/>
      <w:u w:val="none"/>
      <w:vertAlign w:val="subscript"/>
    </w:rPr>
  </w:style>
  <w:style w:type="paragraph" w:customStyle="1" w:styleId="189">
    <w:name w:val="正文2"/>
    <w:basedOn w:val="39"/>
    <w:qFormat/>
    <w:uiPriority w:val="0"/>
    <w:pPr>
      <w:spacing w:before="156" w:line="360" w:lineRule="auto"/>
      <w:ind w:firstLine="510" w:firstLineChars="200"/>
    </w:pPr>
    <w:rPr>
      <w:szCs w:val="20"/>
    </w:rPr>
  </w:style>
  <w:style w:type="paragraph" w:customStyle="1" w:styleId="19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91">
    <w:name w:val="正文缩进1"/>
    <w:basedOn w:val="1"/>
    <w:next w:val="1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192">
    <w:name w:val="索引 11"/>
    <w:basedOn w:val="1"/>
    <w:next w:val="1"/>
    <w:qFormat/>
    <w:uiPriority w:val="0"/>
    <w:pPr>
      <w:spacing w:line="360" w:lineRule="auto"/>
    </w:pPr>
    <w:rPr>
      <w:rFonts w:ascii="仿宋_GB2312" w:eastAsia="仿宋_GB2312"/>
      <w:sz w:val="24"/>
      <w:szCs w:val="20"/>
    </w:rPr>
  </w:style>
  <w:style w:type="paragraph" w:customStyle="1" w:styleId="193">
    <w:name w:val="text-tag"/>
    <w:basedOn w:val="1"/>
    <w:qFormat/>
    <w:uiPriority w:val="0"/>
    <w:pPr>
      <w:widowControl/>
      <w:spacing w:before="100" w:beforeAutospacing="1" w:after="100" w:afterAutospacing="1"/>
      <w:jc w:val="left"/>
    </w:pPr>
    <w:rPr>
      <w:rFonts w:ascii="宋体" w:hAnsi="宋体" w:cs="宋体"/>
      <w:kern w:val="0"/>
      <w:sz w:val="24"/>
    </w:rPr>
  </w:style>
  <w:style w:type="character" w:customStyle="1" w:styleId="194">
    <w:name w:val="font71"/>
    <w:basedOn w:val="46"/>
    <w:qFormat/>
    <w:uiPriority w:val="0"/>
    <w:rPr>
      <w:rFonts w:hint="eastAsia" w:ascii="宋体" w:hAnsi="宋体" w:eastAsia="宋体" w:cs="宋体"/>
      <w:color w:val="FF0000"/>
      <w:sz w:val="22"/>
      <w:szCs w:val="22"/>
      <w:u w:val="none"/>
    </w:rPr>
  </w:style>
  <w:style w:type="character" w:customStyle="1" w:styleId="195">
    <w:name w:val="font191"/>
    <w:basedOn w:val="46"/>
    <w:qFormat/>
    <w:uiPriority w:val="0"/>
    <w:rPr>
      <w:rFonts w:ascii="Calibri" w:hAnsi="Calibri" w:cs="Calibri"/>
      <w:color w:val="FF0000"/>
      <w:sz w:val="22"/>
      <w:szCs w:val="22"/>
      <w:u w:val="none"/>
    </w:rPr>
  </w:style>
  <w:style w:type="character" w:customStyle="1" w:styleId="196">
    <w:name w:val="font112"/>
    <w:basedOn w:val="46"/>
    <w:qFormat/>
    <w:uiPriority w:val="0"/>
    <w:rPr>
      <w:rFonts w:ascii="Calibri" w:hAnsi="Calibri" w:cs="Calibri"/>
      <w:color w:val="FF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2" Type="http://schemas.openxmlformats.org/officeDocument/2006/relationships/fontTable" Target="fontTable.xml"/><Relationship Id="rId71" Type="http://schemas.openxmlformats.org/officeDocument/2006/relationships/customXml" Target="../customXml/item3.xml"/><Relationship Id="rId70" Type="http://schemas.openxmlformats.org/officeDocument/2006/relationships/customXml" Target="../customXml/item2.xml"/><Relationship Id="rId7" Type="http://schemas.openxmlformats.org/officeDocument/2006/relationships/footer" Target="footer3.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50.png"/><Relationship Id="rId66" Type="http://schemas.openxmlformats.org/officeDocument/2006/relationships/image" Target="media/image49.png"/><Relationship Id="rId65" Type="http://schemas.openxmlformats.org/officeDocument/2006/relationships/image" Target="media/image48.jpeg"/><Relationship Id="rId64" Type="http://schemas.openxmlformats.org/officeDocument/2006/relationships/image" Target="media/image47.png"/><Relationship Id="rId63" Type="http://schemas.openxmlformats.org/officeDocument/2006/relationships/image" Target="media/image46.png"/><Relationship Id="rId62" Type="http://schemas.openxmlformats.org/officeDocument/2006/relationships/image" Target="media/image45.png"/><Relationship Id="rId61" Type="http://schemas.openxmlformats.org/officeDocument/2006/relationships/image" Target="media/image44.png"/><Relationship Id="rId60" Type="http://schemas.openxmlformats.org/officeDocument/2006/relationships/image" Target="media/image43.png"/><Relationship Id="rId6" Type="http://schemas.openxmlformats.org/officeDocument/2006/relationships/header" Target="header2.xml"/><Relationship Id="rId59" Type="http://schemas.openxmlformats.org/officeDocument/2006/relationships/image" Target="media/image42.png"/><Relationship Id="rId58" Type="http://schemas.openxmlformats.org/officeDocument/2006/relationships/image" Target="media/image41.jpe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jpe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footer" Target="footer2.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footer" Target="footer1.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jpe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jpeg"/><Relationship Id="rId3" Type="http://schemas.openxmlformats.org/officeDocument/2006/relationships/header" Target="header1.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5839E4-7DDB-4EA3-962C-FE955D113ECC}">
  <ds:schemaRefs/>
</ds:datastoreItem>
</file>

<file path=customXml/itemProps3.xml><?xml version="1.0" encoding="utf-8"?>
<ds:datastoreItem xmlns:ds="http://schemas.openxmlformats.org/officeDocument/2006/customXml" ds:itemID="{75DFD6FB-B296-4024-9D83-E3A590D5E151}">
  <ds:schemaRefs/>
</ds:datastoreItem>
</file>

<file path=docProps/app.xml><?xml version="1.0" encoding="utf-8"?>
<Properties xmlns="http://schemas.openxmlformats.org/officeDocument/2006/extended-properties" xmlns:vt="http://schemas.openxmlformats.org/officeDocument/2006/docPropsVTypes">
  <Template>Normal</Template>
  <Company>San-Elepow CON.</Company>
  <Pages>157</Pages>
  <Words>9162</Words>
  <Characters>9909</Characters>
  <Lines>3677</Lines>
  <Paragraphs>2950</Paragraphs>
  <TotalTime>20</TotalTime>
  <ScaleCrop>false</ScaleCrop>
  <LinksUpToDate>false</LinksUpToDate>
  <CharactersWithSpaces>10039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2025-06-19T04:36:00Z</dcterms:created>
  <dc:creator>邹建伟</dc:creator>
  <cp:lastModifiedBy>小小</cp:lastModifiedBy>
  <cp:lastPrinted>2025-07-14T23:47:00Z</cp:lastPrinted>
  <dcterms:modified xsi:type="dcterms:W3CDTF">2026-04-10T04:02:49Z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BA240B0D8231433BB5A8661312908B52_13</vt:lpwstr>
  </property>
  <property fmtid="{D5CDD505-2E9C-101B-9397-08002B2CF9AE}" pid="4" name="KSOTemplateDocerSaveRecord">
    <vt:lpwstr>eyJoZGlkIjoiZjAzYzBhZDk4ODI5YjliMTdmZTBmMzRhYjE1Yzk1NTYiLCJ1c2VySWQiOiI3MjI3MTY5MDEifQ==</vt:lpwstr>
  </property>
</Properties>
</file>