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345F7">
      <w:pPr>
        <w:jc w:val="center"/>
        <w:rPr>
          <w:rFonts w:hint="eastAsia" w:ascii="宋体" w:hAnsi="宋体" w:cs="宋体"/>
          <w:bCs/>
          <w:color w:val="000000" w:themeColor="text1"/>
          <w:kern w:val="0"/>
          <w:sz w:val="30"/>
          <w:szCs w:val="30"/>
          <w14:textFill>
            <w14:solidFill>
              <w14:schemeClr w14:val="tx1"/>
            </w14:solidFill>
          </w14:textFill>
        </w:rPr>
      </w:pPr>
      <w:r>
        <w:rPr>
          <w:rFonts w:hint="eastAsia" w:ascii="宋体" w:hAnsi="宋体" w:cs="宋体"/>
          <w:b/>
          <w:bCs/>
          <w:sz w:val="72"/>
          <w:szCs w:val="72"/>
        </w:rPr>
        <w:t>竞争性</w:t>
      </w:r>
      <w:r>
        <w:rPr>
          <w:rFonts w:hint="eastAsia" w:ascii="宋体" w:hAnsi="宋体" w:cs="宋体"/>
          <w:b/>
          <w:bCs/>
          <w:color w:val="000000" w:themeColor="text1"/>
          <w:sz w:val="72"/>
          <w:szCs w:val="72"/>
          <w14:textFill>
            <w14:solidFill>
              <w14:schemeClr w14:val="tx1"/>
            </w14:solidFill>
          </w14:textFill>
        </w:rPr>
        <w:t>磋商文件</w:t>
      </w:r>
    </w:p>
    <w:p w14:paraId="0760E2C3">
      <w:pPr>
        <w:spacing w:after="240" w:line="360" w:lineRule="auto"/>
        <w:jc w:val="center"/>
        <w:rPr>
          <w:rFonts w:hint="eastAsia" w:ascii="宋体" w:hAnsi="宋体" w:cs="宋体"/>
          <w:bCs/>
          <w:color w:val="000000" w:themeColor="text1"/>
          <w:kern w:val="0"/>
          <w:sz w:val="30"/>
          <w:szCs w:val="30"/>
          <w14:textFill>
            <w14:solidFill>
              <w14:schemeClr w14:val="tx1"/>
            </w14:solidFill>
          </w14:textFill>
        </w:rPr>
      </w:pPr>
    </w:p>
    <w:p w14:paraId="42887FC6">
      <w:pPr>
        <w:pStyle w:val="16"/>
        <w:widowControl/>
        <w:spacing w:line="460" w:lineRule="exact"/>
        <w:jc w:val="center"/>
        <w:rPr>
          <w:rFonts w:hint="default" w:ascii="宋体" w:hAnsi="宋体" w:cs="宋体"/>
          <w:bCs/>
          <w:color w:val="000000" w:themeColor="text1"/>
          <w:sz w:val="30"/>
          <w:szCs w:val="30"/>
          <w:lang w:val="en-US" w:eastAsia="zh-CN"/>
          <w14:textFill>
            <w14:solidFill>
              <w14:schemeClr w14:val="tx1"/>
            </w14:solidFill>
          </w14:textFill>
        </w:rPr>
      </w:pPr>
      <w:r>
        <w:rPr>
          <w:rFonts w:hint="eastAsia" w:ascii="宋体" w:hAnsi="宋体" w:cs="宋体"/>
          <w:bCs/>
          <w:color w:val="000000" w:themeColor="text1"/>
          <w:sz w:val="30"/>
          <w:szCs w:val="30"/>
          <w14:textFill>
            <w14:solidFill>
              <w14:schemeClr w14:val="tx1"/>
            </w14:solidFill>
          </w14:textFill>
        </w:rPr>
        <w:t>项目编号：</w:t>
      </w:r>
      <w:r>
        <w:rPr>
          <w:rFonts w:hint="eastAsia" w:cs="宋体"/>
          <w:bCs/>
          <w:color w:val="000000" w:themeColor="text1"/>
          <w:sz w:val="30"/>
          <w:szCs w:val="30"/>
          <w:lang w:val="en-US" w:eastAsia="zh-CN"/>
          <w14:textFill>
            <w14:solidFill>
              <w14:schemeClr w14:val="tx1"/>
            </w14:solidFill>
          </w14:textFill>
        </w:rPr>
        <w:t>TKXZFCG(CS)HYTH2026-32</w:t>
      </w:r>
    </w:p>
    <w:p w14:paraId="0ED9D151">
      <w:pPr>
        <w:spacing w:after="240" w:line="360" w:lineRule="auto"/>
        <w:jc w:val="center"/>
        <w:rPr>
          <w:rFonts w:hint="eastAsia" w:ascii="宋体" w:hAnsi="宋体" w:cs="宋体"/>
          <w:bCs/>
          <w:color w:val="000000" w:themeColor="text1"/>
          <w:kern w:val="0"/>
          <w:sz w:val="30"/>
          <w:szCs w:val="30"/>
          <w14:textFill>
            <w14:solidFill>
              <w14:schemeClr w14:val="tx1"/>
            </w14:solidFill>
          </w14:textFill>
        </w:rPr>
      </w:pPr>
    </w:p>
    <w:p w14:paraId="1FC5326B">
      <w:pPr>
        <w:pStyle w:val="4"/>
        <w:spacing w:line="460" w:lineRule="exact"/>
        <w:rPr>
          <w:rFonts w:hint="eastAsia"/>
        </w:rPr>
      </w:pPr>
    </w:p>
    <w:p w14:paraId="25311835">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02" w:firstLineChars="200"/>
        <w:jc w:val="both"/>
        <w:textAlignment w:val="auto"/>
        <w:rPr>
          <w:rFonts w:hint="eastAsia" w:ascii="宋体" w:hAnsi="宋体" w:eastAsia="宋体" w:cs="宋体"/>
          <w:b w:val="0"/>
          <w:bCs w:val="0"/>
          <w:kern w:val="0"/>
          <w:sz w:val="30"/>
          <w:szCs w:val="30"/>
          <w:lang w:val="en-US" w:eastAsia="zh-CN" w:bidi="zh-CN"/>
        </w:rPr>
      </w:pPr>
      <w:r>
        <w:rPr>
          <w:rFonts w:hint="eastAsia" w:ascii="宋体" w:hAnsi="宋体" w:cs="宋体"/>
          <w:b/>
          <w:bCs/>
          <w:kern w:val="0"/>
          <w:sz w:val="30"/>
          <w:szCs w:val="30"/>
        </w:rPr>
        <w:t>项目名称：</w:t>
      </w:r>
      <w:r>
        <w:rPr>
          <w:rFonts w:hint="eastAsia" w:cs="宋体"/>
          <w:b w:val="0"/>
          <w:bCs w:val="0"/>
          <w:kern w:val="0"/>
          <w:sz w:val="30"/>
          <w:szCs w:val="30"/>
          <w:lang w:val="en-US" w:eastAsia="zh-CN"/>
        </w:rPr>
        <w:t>吐鲁番市托克逊县郭勒布依乡开斯克尔村道路硬化项目</w:t>
      </w:r>
    </w:p>
    <w:p w14:paraId="3FC39733">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p>
    <w:p w14:paraId="7C315D70">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 w:val="0"/>
          <w:bCs w:val="0"/>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采 购人</w:t>
      </w:r>
      <w:r>
        <w:rPr>
          <w:rFonts w:hint="eastAsia" w:ascii="宋体" w:hAnsi="宋体" w:cs="宋体"/>
          <w:color w:val="000000" w:themeColor="text1"/>
          <w:kern w:val="0"/>
          <w:sz w:val="30"/>
          <w:szCs w:val="30"/>
          <w14:textFill>
            <w14:solidFill>
              <w14:schemeClr w14:val="tx1"/>
            </w14:solidFill>
          </w14:textFill>
        </w:rPr>
        <w:t>（盖章</w:t>
      </w:r>
      <w:r>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t>）</w:t>
      </w:r>
      <w:r>
        <w:rPr>
          <w:rFonts w:hint="eastAsia" w:ascii="宋体" w:hAnsi="宋体" w:eastAsia="宋体" w:cs="宋体"/>
          <w:b w:val="0"/>
          <w:bCs w:val="0"/>
          <w:color w:val="000000" w:themeColor="text1"/>
          <w:kern w:val="0"/>
          <w:sz w:val="30"/>
          <w:szCs w:val="30"/>
          <w:lang w:val="en-US" w:eastAsia="zh-CN"/>
          <w14:textFill>
            <w14:solidFill>
              <w14:schemeClr w14:val="tx1"/>
            </w14:solidFill>
          </w14:textFill>
        </w:rPr>
        <w:t>：</w:t>
      </w:r>
      <w:r>
        <w:rPr>
          <w:rFonts w:hint="eastAsia" w:cs="宋体"/>
          <w:b w:val="0"/>
          <w:bCs w:val="0"/>
          <w:color w:val="000000" w:themeColor="text1"/>
          <w:kern w:val="0"/>
          <w:sz w:val="30"/>
          <w:szCs w:val="30"/>
          <w:lang w:val="en-US" w:eastAsia="zh-CN"/>
          <w14:textFill>
            <w14:solidFill>
              <w14:schemeClr w14:val="tx1"/>
            </w14:solidFill>
          </w14:textFill>
        </w:rPr>
        <w:t>托克逊县郭勒布依乡人民政府</w:t>
      </w:r>
    </w:p>
    <w:p w14:paraId="61B6B8E1">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0" w:firstLineChars="0"/>
        <w:textAlignment w:val="auto"/>
        <w:rPr>
          <w:color w:val="000000" w:themeColor="text1"/>
          <w14:textFill>
            <w14:solidFill>
              <w14:schemeClr w14:val="tx1"/>
            </w14:solidFill>
          </w14:textFill>
        </w:rPr>
      </w:pPr>
    </w:p>
    <w:p w14:paraId="5D2A9630">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 w:val="0"/>
          <w:bCs w:val="0"/>
          <w:color w:val="000000" w:themeColor="text1"/>
          <w:kern w:val="0"/>
          <w:sz w:val="30"/>
          <w:szCs w:val="30"/>
          <w:lang w:val="en-US" w:eastAsia="zh-CN" w:bidi="zh-CN"/>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联系人：</w:t>
      </w:r>
      <w:r>
        <w:rPr>
          <w:rFonts w:hint="eastAsia" w:cs="宋体"/>
          <w:b w:val="0"/>
          <w:bCs w:val="0"/>
          <w:color w:val="000000" w:themeColor="text1"/>
          <w:kern w:val="0"/>
          <w:sz w:val="30"/>
          <w:szCs w:val="30"/>
          <w:lang w:val="en-US" w:eastAsia="zh-CN"/>
          <w14:textFill>
            <w14:solidFill>
              <w14:schemeClr w14:val="tx1"/>
            </w14:solidFill>
          </w14:textFill>
        </w:rPr>
        <w:t>周毅</w:t>
      </w:r>
    </w:p>
    <w:p w14:paraId="3BC1366C">
      <w:pPr>
        <w:pStyle w:val="5"/>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00" w:themeColor="text1"/>
          <w14:textFill>
            <w14:solidFill>
              <w14:schemeClr w14:val="tx1"/>
            </w14:solidFill>
          </w14:textFill>
        </w:rPr>
      </w:pPr>
    </w:p>
    <w:p w14:paraId="532A6201">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 w:val="0"/>
          <w:bCs w:val="0"/>
          <w:color w:val="000000" w:themeColor="text1"/>
          <w:kern w:val="0"/>
          <w:sz w:val="30"/>
          <w:szCs w:val="30"/>
          <w:lang w:val="en-US" w:eastAsia="zh-CN" w:bidi="zh-CN"/>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电  话：</w:t>
      </w:r>
      <w:r>
        <w:rPr>
          <w:rFonts w:hint="eastAsia" w:cs="宋体"/>
          <w:b w:val="0"/>
          <w:bCs w:val="0"/>
          <w:color w:val="000000" w:themeColor="text1"/>
          <w:kern w:val="0"/>
          <w:sz w:val="30"/>
          <w:szCs w:val="30"/>
          <w:lang w:val="en-US" w:eastAsia="zh-CN" w:bidi="zh-CN"/>
          <w14:textFill>
            <w14:solidFill>
              <w14:schemeClr w14:val="tx1"/>
            </w14:solidFill>
          </w14:textFill>
        </w:rPr>
        <w:t>18934381924</w:t>
      </w:r>
    </w:p>
    <w:p w14:paraId="74C979D8">
      <w:pPr>
        <w:keepNext w:val="0"/>
        <w:keepLines w:val="0"/>
        <w:pageBreakBefore w:val="0"/>
        <w:widowControl w:val="0"/>
        <w:kinsoku/>
        <w:wordWrap/>
        <w:overflowPunct/>
        <w:topLinePunct w:val="0"/>
        <w:autoSpaceDE w:val="0"/>
        <w:autoSpaceDN w:val="0"/>
        <w:bidi w:val="0"/>
        <w:adjustRightInd/>
        <w:snapToGrid/>
        <w:spacing w:line="300" w:lineRule="exact"/>
        <w:ind w:firstLine="440" w:firstLineChars="200"/>
        <w:textAlignment w:val="auto"/>
        <w:rPr>
          <w:rFonts w:hint="eastAsia"/>
          <w:color w:val="000000" w:themeColor="text1"/>
          <w14:textFill>
            <w14:solidFill>
              <w14:schemeClr w14:val="tx1"/>
            </w14:solidFill>
          </w14:textFill>
        </w:rPr>
      </w:pPr>
    </w:p>
    <w:p w14:paraId="7152DEC8">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 w:val="0"/>
          <w:bCs w:val="0"/>
          <w:kern w:val="0"/>
          <w:sz w:val="30"/>
          <w:szCs w:val="30"/>
          <w:lang w:val="en-US" w:eastAsia="zh-CN" w:bidi="zh-CN"/>
        </w:rPr>
      </w:pPr>
      <w:r>
        <w:rPr>
          <w:rFonts w:hint="eastAsia" w:ascii="宋体" w:hAnsi="宋体" w:cs="宋体"/>
          <w:b/>
          <w:bCs/>
          <w:color w:val="000000" w:themeColor="text1"/>
          <w:kern w:val="0"/>
          <w:sz w:val="30"/>
          <w:szCs w:val="30"/>
          <w14:textFill>
            <w14:solidFill>
              <w14:schemeClr w14:val="tx1"/>
            </w14:solidFill>
          </w14:textFill>
        </w:rPr>
        <w:t>地  址：</w:t>
      </w:r>
      <w:r>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t>托克逊县郭勒布依乡大十</w:t>
      </w:r>
      <w:r>
        <w:rPr>
          <w:rFonts w:hint="eastAsia" w:ascii="宋体" w:hAnsi="宋体" w:eastAsia="宋体" w:cs="宋体"/>
          <w:b w:val="0"/>
          <w:bCs w:val="0"/>
          <w:kern w:val="0"/>
          <w:sz w:val="30"/>
          <w:szCs w:val="30"/>
          <w:lang w:val="en-US" w:eastAsia="zh-CN" w:bidi="zh-CN"/>
        </w:rPr>
        <w:t>字东北侧</w:t>
      </w:r>
    </w:p>
    <w:p w14:paraId="68B3DA19">
      <w:pPr>
        <w:keepNext w:val="0"/>
        <w:keepLines w:val="0"/>
        <w:pageBreakBefore w:val="0"/>
        <w:widowControl w:val="0"/>
        <w:kinsoku/>
        <w:wordWrap/>
        <w:overflowPunct/>
        <w:topLinePunct w:val="0"/>
        <w:autoSpaceDE w:val="0"/>
        <w:autoSpaceDN w:val="0"/>
        <w:bidi w:val="0"/>
        <w:adjustRightInd/>
        <w:snapToGrid/>
        <w:spacing w:line="300" w:lineRule="exact"/>
        <w:ind w:firstLine="600" w:firstLineChars="200"/>
        <w:textAlignment w:val="auto"/>
        <w:rPr>
          <w:rFonts w:hint="default" w:ascii="宋体" w:hAnsi="宋体" w:eastAsia="宋体" w:cs="宋体"/>
          <w:b w:val="0"/>
          <w:bCs w:val="0"/>
          <w:kern w:val="0"/>
          <w:sz w:val="30"/>
          <w:szCs w:val="30"/>
          <w:lang w:val="en-US" w:eastAsia="zh-CN" w:bidi="zh-CN"/>
        </w:rPr>
      </w:pPr>
    </w:p>
    <w:p w14:paraId="109F9172">
      <w:pPr>
        <w:pStyle w:val="5"/>
        <w:keepNext w:val="0"/>
        <w:keepLines w:val="0"/>
        <w:pageBreakBefore w:val="0"/>
        <w:widowControl w:val="0"/>
        <w:kinsoku/>
        <w:wordWrap/>
        <w:overflowPunct/>
        <w:topLinePunct w:val="0"/>
        <w:autoSpaceDE w:val="0"/>
        <w:autoSpaceDN w:val="0"/>
        <w:bidi w:val="0"/>
        <w:adjustRightInd/>
        <w:snapToGrid/>
        <w:spacing w:line="300" w:lineRule="exact"/>
        <w:textAlignment w:val="auto"/>
      </w:pPr>
    </w:p>
    <w:p w14:paraId="43F55050">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cs="宋体"/>
          <w:bCs/>
          <w:w w:val="96"/>
          <w:kern w:val="0"/>
          <w:sz w:val="30"/>
          <w:szCs w:val="30"/>
        </w:rPr>
      </w:pPr>
      <w:r>
        <w:rPr>
          <w:rFonts w:hint="eastAsia" w:ascii="宋体" w:hAnsi="宋体" w:cs="宋体"/>
          <w:b/>
          <w:bCs/>
          <w:kern w:val="0"/>
          <w:sz w:val="30"/>
          <w:szCs w:val="30"/>
        </w:rPr>
        <w:t>采购代理机构</w:t>
      </w:r>
      <w:r>
        <w:rPr>
          <w:rFonts w:hint="eastAsia" w:ascii="宋体" w:hAnsi="宋体" w:cs="宋体"/>
          <w:kern w:val="0"/>
          <w:sz w:val="30"/>
          <w:szCs w:val="30"/>
        </w:rPr>
        <w:t>（盖章）</w:t>
      </w:r>
      <w:r>
        <w:rPr>
          <w:rFonts w:hint="eastAsia" w:ascii="宋体" w:hAnsi="宋体" w:cs="宋体"/>
          <w:b/>
          <w:bCs/>
          <w:kern w:val="0"/>
          <w:sz w:val="30"/>
          <w:szCs w:val="30"/>
        </w:rPr>
        <w:t>：</w:t>
      </w:r>
      <w:r>
        <w:rPr>
          <w:rFonts w:hint="eastAsia" w:ascii="宋体" w:hAnsi="宋体" w:eastAsia="宋体" w:cs="宋体"/>
          <w:b w:val="0"/>
          <w:bCs w:val="0"/>
          <w:kern w:val="0"/>
          <w:sz w:val="30"/>
          <w:szCs w:val="30"/>
          <w:lang w:val="en-US" w:eastAsia="zh-CN"/>
        </w:rPr>
        <w:t>新疆华域天恒工程管理有限公司</w:t>
      </w:r>
    </w:p>
    <w:p w14:paraId="38225E52">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1F6A1C7F">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Cs/>
          <w:sz w:val="30"/>
          <w:szCs w:val="30"/>
          <w:lang w:eastAsia="zh-CN"/>
        </w:rPr>
      </w:pPr>
      <w:r>
        <w:rPr>
          <w:rFonts w:hint="eastAsia" w:ascii="宋体" w:hAnsi="宋体" w:cs="宋体"/>
          <w:b/>
          <w:bCs/>
          <w:kern w:val="0"/>
          <w:sz w:val="30"/>
          <w:szCs w:val="30"/>
        </w:rPr>
        <w:t>联系人</w:t>
      </w:r>
      <w:r>
        <w:rPr>
          <w:rFonts w:hint="eastAsia" w:ascii="宋体" w:hAnsi="宋体" w:cs="宋体"/>
          <w:b/>
          <w:bCs/>
          <w:sz w:val="30"/>
          <w:szCs w:val="30"/>
        </w:rPr>
        <w:t>：</w:t>
      </w:r>
      <w:r>
        <w:rPr>
          <w:rFonts w:hint="eastAsia" w:cs="宋体"/>
          <w:bCs/>
          <w:sz w:val="30"/>
          <w:szCs w:val="30"/>
          <w:lang w:val="en-US" w:eastAsia="zh-CN"/>
        </w:rPr>
        <w:t>马丽娜</w:t>
      </w:r>
    </w:p>
    <w:p w14:paraId="07E464D5">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73A5EFEF">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Cs/>
          <w:kern w:val="0"/>
          <w:sz w:val="30"/>
          <w:szCs w:val="30"/>
          <w:lang w:val="en-US" w:eastAsia="zh-CN"/>
        </w:rPr>
      </w:pPr>
      <w:r>
        <w:rPr>
          <w:rFonts w:hint="eastAsia" w:ascii="宋体" w:hAnsi="宋体" w:cs="宋体"/>
          <w:b/>
          <w:bCs/>
          <w:kern w:val="0"/>
          <w:sz w:val="30"/>
          <w:szCs w:val="30"/>
        </w:rPr>
        <w:t>电  话</w:t>
      </w:r>
      <w:r>
        <w:rPr>
          <w:rFonts w:hint="eastAsia" w:ascii="宋体" w:hAnsi="宋体" w:cs="宋体"/>
          <w:b/>
          <w:bCs/>
          <w:sz w:val="30"/>
          <w:szCs w:val="30"/>
        </w:rPr>
        <w:t>：</w:t>
      </w:r>
      <w:r>
        <w:rPr>
          <w:rFonts w:hint="eastAsia" w:ascii="仿宋" w:hAnsi="仿宋" w:eastAsia="仿宋" w:cs="仿宋"/>
          <w:color w:val="151515"/>
          <w:kern w:val="2"/>
          <w:sz w:val="32"/>
          <w:szCs w:val="32"/>
          <w:shd w:val="clear" w:color="auto" w:fill="FFFFFF"/>
          <w:lang w:val="en-US" w:eastAsia="zh-CN" w:bidi="ar-SA"/>
        </w:rPr>
        <w:t>13899314280</w:t>
      </w:r>
    </w:p>
    <w:p w14:paraId="0E604C81">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73FCEFE4">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 w:val="0"/>
          <w:bCs w:val="0"/>
          <w:kern w:val="0"/>
          <w:sz w:val="30"/>
          <w:szCs w:val="30"/>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026" w:right="1474" w:bottom="1531" w:left="1474" w:header="851" w:footer="794" w:gutter="0"/>
          <w:pgNumType w:fmt="decimal" w:start="1"/>
          <w:cols w:space="720" w:num="1"/>
          <w:titlePg/>
          <w:docGrid w:linePitch="312" w:charSpace="0"/>
        </w:sectPr>
      </w:pPr>
      <w:r>
        <w:rPr>
          <w:rFonts w:hint="eastAsia" w:ascii="宋体" w:hAnsi="宋体" w:cs="宋体"/>
          <w:b/>
          <w:bCs/>
          <w:kern w:val="0"/>
          <w:sz w:val="30"/>
          <w:szCs w:val="30"/>
        </w:rPr>
        <w:t>地  址：</w:t>
      </w:r>
      <w:r>
        <w:rPr>
          <w:rFonts w:hint="eastAsia" w:ascii="宋体" w:hAnsi="宋体" w:eastAsia="宋体" w:cs="宋体"/>
          <w:b w:val="0"/>
          <w:bCs w:val="0"/>
          <w:kern w:val="0"/>
          <w:sz w:val="30"/>
          <w:szCs w:val="30"/>
          <w:lang w:val="en-US" w:eastAsia="zh-CN"/>
        </w:rPr>
        <w:t>吐鲁番市高昌区示范区和平街11幢2层201号</w:t>
      </w:r>
    </w:p>
    <w:p w14:paraId="4AB8B26A">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t xml:space="preserve"> </w:t>
      </w:r>
      <w:bookmarkStart w:id="0" w:name="_Toc27580_WPSOffice_Level1"/>
    </w:p>
    <w:p w14:paraId="0AE93170">
      <w:pPr>
        <w:spacing w:before="0" w:beforeLines="0" w:after="0" w:afterLines="0" w:line="240" w:lineRule="auto"/>
        <w:ind w:left="0" w:leftChars="0" w:right="0" w:rightChars="0" w:firstLine="0" w:firstLineChars="0"/>
        <w:jc w:val="center"/>
        <w:rPr>
          <w:color w:val="auto"/>
          <w:highlight w:val="none"/>
        </w:rPr>
      </w:pPr>
      <w:bookmarkStart w:id="1" w:name="_Toc13968_WPSOffice_Type1"/>
      <w:r>
        <w:rPr>
          <w:rFonts w:ascii="宋体" w:hAnsi="宋体" w:eastAsia="宋体"/>
          <w:b/>
          <w:bCs/>
          <w:color w:val="auto"/>
          <w:sz w:val="40"/>
          <w:szCs w:val="44"/>
          <w:highlight w:val="none"/>
        </w:rPr>
        <w:t>目录</w:t>
      </w:r>
    </w:p>
    <w:p w14:paraId="225CB40A">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_Toc3822_WPSOffice_Level1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第一部分 磋商</w:t>
      </w:r>
      <w:r>
        <w:rPr>
          <w:rFonts w:hint="eastAsia" w:ascii="微软雅黑" w:hAnsi="微软雅黑" w:eastAsia="微软雅黑" w:cs="微软雅黑"/>
          <w:color w:val="auto"/>
          <w:sz w:val="24"/>
          <w:szCs w:val="24"/>
          <w:highlight w:val="none"/>
          <w:lang w:val="en-US" w:eastAsia="zh-CN"/>
        </w:rPr>
        <w:t>公告</w:t>
      </w:r>
      <w:r>
        <w:rPr>
          <w:color w:val="auto"/>
          <w:sz w:val="24"/>
          <w:szCs w:val="24"/>
          <w:highlight w:val="none"/>
        </w:rPr>
        <w:tab/>
      </w:r>
      <w:r>
        <w:rPr>
          <w:rFonts w:hint="eastAsia"/>
          <w:color w:val="auto"/>
          <w:sz w:val="24"/>
          <w:szCs w:val="24"/>
          <w:highlight w:val="none"/>
          <w:lang w:val="en-US" w:eastAsia="zh-CN"/>
        </w:rPr>
        <w:t>3</w:t>
      </w:r>
      <w:r>
        <w:rPr>
          <w:color w:val="auto"/>
          <w:sz w:val="24"/>
          <w:szCs w:val="24"/>
          <w:highlight w:val="none"/>
        </w:rPr>
        <w:fldChar w:fldCharType="end"/>
      </w:r>
    </w:p>
    <w:p w14:paraId="42835902">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_Toc27580_WPSOffice_Level1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第二部分 磋商须知</w:t>
      </w:r>
      <w:r>
        <w:rPr>
          <w:color w:val="auto"/>
          <w:sz w:val="24"/>
          <w:szCs w:val="24"/>
          <w:highlight w:val="none"/>
        </w:rPr>
        <w:tab/>
      </w:r>
      <w:r>
        <w:rPr>
          <w:rFonts w:hint="eastAsia"/>
          <w:color w:val="auto"/>
          <w:sz w:val="24"/>
          <w:szCs w:val="24"/>
          <w:highlight w:val="none"/>
          <w:lang w:val="en-US" w:eastAsia="zh-CN"/>
        </w:rPr>
        <w:t>7</w:t>
      </w:r>
      <w:r>
        <w:rPr>
          <w:color w:val="auto"/>
          <w:sz w:val="24"/>
          <w:szCs w:val="24"/>
          <w:highlight w:val="none"/>
        </w:rPr>
        <w:fldChar w:fldCharType="end"/>
      </w:r>
    </w:p>
    <w:p w14:paraId="5959EC9D">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_Toc26743_WPSOffice_Level1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第三部分 采购项目需求</w:t>
      </w:r>
      <w:r>
        <w:rPr>
          <w:color w:val="auto"/>
          <w:sz w:val="24"/>
          <w:szCs w:val="24"/>
          <w:highlight w:val="none"/>
        </w:rPr>
        <w:tab/>
      </w:r>
      <w:bookmarkStart w:id="2" w:name="_Toc26743_WPSOffice_Level1Page"/>
      <w:r>
        <w:rPr>
          <w:color w:val="auto"/>
          <w:sz w:val="24"/>
          <w:szCs w:val="24"/>
          <w:highlight w:val="none"/>
        </w:rPr>
        <w:t>3</w:t>
      </w:r>
      <w:bookmarkEnd w:id="2"/>
      <w:r>
        <w:rPr>
          <w:rFonts w:hint="eastAsia"/>
          <w:color w:val="auto"/>
          <w:sz w:val="24"/>
          <w:szCs w:val="24"/>
          <w:highlight w:val="none"/>
          <w:lang w:val="en-US" w:eastAsia="zh-CN"/>
        </w:rPr>
        <w:t>3</w:t>
      </w:r>
      <w:r>
        <w:rPr>
          <w:color w:val="auto"/>
          <w:sz w:val="24"/>
          <w:szCs w:val="24"/>
          <w:highlight w:val="none"/>
        </w:rPr>
        <w:fldChar w:fldCharType="end"/>
      </w:r>
    </w:p>
    <w:p w14:paraId="04A2504E">
      <w:pPr>
        <w:pStyle w:val="37"/>
        <w:tabs>
          <w:tab w:val="right" w:leader="dot" w:pos="8848"/>
        </w:tabs>
        <w:rPr>
          <w:rFonts w:hint="default"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_Toc2627_WPSOffice_Level1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第四部分 合同格式</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37</w:t>
      </w:r>
    </w:p>
    <w:p w14:paraId="529D7CBC">
      <w:pPr>
        <w:pStyle w:val="37"/>
        <w:tabs>
          <w:tab w:val="right" w:leader="dot" w:pos="8848"/>
        </w:tabs>
        <w:rPr>
          <w:rFonts w:hint="default" w:eastAsia="宋体"/>
          <w:color w:val="auto"/>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_Toc10386_WPSOffice_Level1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第五部分 响应文件格式</w:t>
      </w:r>
      <w:r>
        <w:rPr>
          <w:color w:val="auto"/>
          <w:sz w:val="24"/>
          <w:szCs w:val="24"/>
          <w:highlight w:val="none"/>
        </w:rPr>
        <w:tab/>
      </w:r>
      <w:r>
        <w:rPr>
          <w:rFonts w:hint="eastAsia"/>
          <w:color w:val="auto"/>
          <w:sz w:val="24"/>
          <w:szCs w:val="24"/>
          <w:highlight w:val="none"/>
          <w:lang w:val="en-US" w:eastAsia="zh-CN"/>
        </w:rPr>
        <w:t>1</w:t>
      </w:r>
      <w:r>
        <w:rPr>
          <w:color w:val="auto"/>
          <w:sz w:val="24"/>
          <w:szCs w:val="24"/>
          <w:highlight w:val="none"/>
        </w:rPr>
        <w:fldChar w:fldCharType="end"/>
      </w:r>
      <w:r>
        <w:rPr>
          <w:rFonts w:hint="eastAsia"/>
          <w:color w:val="auto"/>
          <w:sz w:val="24"/>
          <w:szCs w:val="24"/>
          <w:highlight w:val="none"/>
          <w:lang w:val="en-US" w:eastAsia="zh-CN"/>
        </w:rPr>
        <w:t>19</w:t>
      </w:r>
    </w:p>
    <w:bookmarkEnd w:id="1"/>
    <w:p w14:paraId="19E32BD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w:t>
      </w:r>
    </w:p>
    <w:p w14:paraId="53C23F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1" w:type="default"/>
          <w:footerReference r:id="rId12" w:type="default"/>
          <w:pgSz w:w="11910" w:h="16840"/>
          <w:pgMar w:top="1984" w:right="1531" w:bottom="2098" w:left="1531" w:header="670" w:footer="1041" w:gutter="0"/>
          <w:pgNumType w:fmt="decimal"/>
          <w:cols w:space="720" w:num="1"/>
          <w:rtlGutter w:val="0"/>
          <w:docGrid w:linePitch="1" w:charSpace="0"/>
        </w:sectPr>
      </w:pPr>
    </w:p>
    <w:p w14:paraId="68215562">
      <w:pPr>
        <w:pStyle w:val="16"/>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lang w:val="en-US" w:eastAsia="zh-CN"/>
        </w:rPr>
        <w:t>磋商</w:t>
      </w:r>
      <w:r>
        <w:rPr>
          <w:rFonts w:hint="eastAsia" w:ascii="仿宋" w:hAnsi="仿宋" w:eastAsia="仿宋"/>
          <w:b/>
          <w:color w:val="000000"/>
          <w:sz w:val="32"/>
          <w:szCs w:val="32"/>
          <w:highlight w:val="none"/>
        </w:rPr>
        <w:t>公告</w:t>
      </w:r>
    </w:p>
    <w:p w14:paraId="221280DE">
      <w:pPr>
        <w:keepNext w:val="0"/>
        <w:keepLines w:val="0"/>
        <w:widowControl/>
        <w:suppressLineNumbers w:val="0"/>
        <w:pBdr>
          <w:bottom w:val="none" w:color="auto" w:sz="0" w:space="0"/>
        </w:pBdr>
        <w:spacing w:line="450" w:lineRule="atLeast"/>
        <w:jc w:val="center"/>
        <w:rPr>
          <w:rFonts w:hint="eastAsia" w:cs="宋体"/>
          <w:b/>
          <w:bCs/>
          <w:kern w:val="0"/>
          <w:sz w:val="36"/>
          <w:szCs w:val="36"/>
          <w:lang w:val="en-US" w:eastAsia="zh-CN" w:bidi="ar"/>
        </w:rPr>
      </w:pPr>
      <w:bookmarkStart w:id="201" w:name="_GoBack"/>
      <w:bookmarkEnd w:id="201"/>
      <w:r>
        <w:rPr>
          <w:rFonts w:hint="eastAsia" w:cs="宋体"/>
          <w:b/>
          <w:bCs/>
          <w:kern w:val="0"/>
          <w:sz w:val="36"/>
          <w:szCs w:val="36"/>
          <w:lang w:val="en-US" w:eastAsia="zh-CN" w:bidi="ar"/>
        </w:rPr>
        <w:t>吐鲁番市托克逊县郭勒布依乡开斯克尔村道路硬化项目</w:t>
      </w:r>
    </w:p>
    <w:p w14:paraId="454294BE">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r>
        <w:rPr>
          <w:rFonts w:ascii="宋体" w:hAnsi="宋体" w:eastAsia="宋体" w:cs="宋体"/>
          <w:b/>
          <w:bCs/>
          <w:kern w:val="0"/>
          <w:sz w:val="36"/>
          <w:szCs w:val="36"/>
          <w:lang w:val="en-US" w:eastAsia="zh-CN" w:bidi="ar"/>
        </w:rPr>
        <w:t>竞争性</w:t>
      </w:r>
      <w:r>
        <w:rPr>
          <w:rFonts w:hint="eastAsia" w:ascii="宋体" w:hAnsi="宋体" w:eastAsia="宋体" w:cs="宋体"/>
          <w:b/>
          <w:bCs/>
          <w:kern w:val="0"/>
          <w:sz w:val="36"/>
          <w:szCs w:val="36"/>
          <w:lang w:val="en-US" w:eastAsia="zh-CN" w:bidi="ar"/>
        </w:rPr>
        <w:t>磋商</w:t>
      </w:r>
      <w:r>
        <w:rPr>
          <w:rFonts w:ascii="宋体" w:hAnsi="宋体" w:eastAsia="宋体" w:cs="宋体"/>
          <w:b/>
          <w:bCs/>
          <w:kern w:val="0"/>
          <w:sz w:val="36"/>
          <w:szCs w:val="36"/>
          <w:lang w:val="en-US" w:eastAsia="zh-CN" w:bidi="ar"/>
        </w:rPr>
        <w:t>公告</w:t>
      </w:r>
    </w:p>
    <w:p w14:paraId="4A65FF81">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p>
    <w:p w14:paraId="300A62AC">
      <w:pPr>
        <w:pStyle w:val="16"/>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sz w:val="28"/>
          <w:szCs w:val="28"/>
        </w:rPr>
      </w:pPr>
      <w:r>
        <w:rPr>
          <w:rFonts w:ascii="仿宋" w:hAnsi="仿宋" w:eastAsia="仿宋" w:cs="仿宋"/>
          <w:sz w:val="27"/>
          <w:szCs w:val="27"/>
        </w:rPr>
        <w:t xml:space="preserve">  </w:t>
      </w:r>
      <w:r>
        <w:rPr>
          <w:rFonts w:ascii="仿宋" w:hAnsi="仿宋" w:eastAsia="仿宋" w:cs="仿宋"/>
          <w:i w:val="0"/>
          <w:iCs w:val="0"/>
          <w:caps w:val="0"/>
          <w:color w:val="000000"/>
          <w:spacing w:val="0"/>
          <w:sz w:val="28"/>
          <w:szCs w:val="28"/>
        </w:rPr>
        <w:t>项目概况</w:t>
      </w:r>
    </w:p>
    <w:p w14:paraId="6C9E2C06">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spacing w:val="0"/>
          <w:sz w:val="28"/>
          <w:szCs w:val="28"/>
          <w:lang w:val="en-US" w:eastAsia="zh-CN"/>
        </w:rPr>
        <w:t>吐鲁番市托克逊县郭勒布依乡开斯克尔村道路硬化项目的潜在投标人应在政采云平台线上获取招标文件，并于</w:t>
      </w:r>
      <w:r>
        <w:rPr>
          <w:rFonts w:hint="eastAsia" w:ascii="仿宋" w:hAnsi="仿宋" w:eastAsia="仿宋" w:cs="仿宋"/>
          <w:i w:val="0"/>
          <w:iCs w:val="0"/>
          <w:caps w:val="0"/>
          <w:color w:val="000000" w:themeColor="text1"/>
          <w:spacing w:val="0"/>
          <w:sz w:val="28"/>
          <w:szCs w:val="28"/>
          <w14:textFill>
            <w14:solidFill>
              <w14:schemeClr w14:val="tx1"/>
            </w14:solidFill>
          </w14:textFill>
        </w:rPr>
        <w:t>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年0</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26</w:t>
      </w:r>
      <w:r>
        <w:rPr>
          <w:rFonts w:hint="eastAsia" w:ascii="仿宋" w:hAnsi="仿宋" w:eastAsia="仿宋" w:cs="仿宋"/>
          <w:i w:val="0"/>
          <w:iCs w:val="0"/>
          <w:caps w:val="0"/>
          <w:color w:val="000000" w:themeColor="text1"/>
          <w:spacing w:val="0"/>
          <w:sz w:val="28"/>
          <w:szCs w:val="28"/>
          <w14:textFill>
            <w14:solidFill>
              <w14:schemeClr w14:val="tx1"/>
            </w14:solidFill>
          </w14:textFill>
        </w:rPr>
        <w:t>日</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17:00（北京时间）前递交投标文件。</w:t>
      </w:r>
    </w:p>
    <w:p w14:paraId="6E3570C4">
      <w:pPr>
        <w:pStyle w:val="1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themeColor="text1"/>
          <w:spacing w:val="0"/>
          <w:sz w:val="28"/>
          <w:szCs w:val="28"/>
          <w14:textFill>
            <w14:solidFill>
              <w14:schemeClr w14:val="tx1"/>
            </w14:solidFill>
          </w14:textFill>
        </w:rPr>
      </w:pPr>
      <w:r>
        <w:rPr>
          <w:rStyle w:val="22"/>
          <w:rFonts w:ascii="黑体" w:hAnsi="宋体" w:eastAsia="黑体" w:cs="黑体"/>
          <w:i w:val="0"/>
          <w:iCs w:val="0"/>
          <w:caps w:val="0"/>
          <w:color w:val="000000" w:themeColor="text1"/>
          <w:spacing w:val="0"/>
          <w:sz w:val="28"/>
          <w:szCs w:val="28"/>
          <w14:textFill>
            <w14:solidFill>
              <w14:schemeClr w14:val="tx1"/>
            </w14:solidFill>
          </w14:textFill>
        </w:rPr>
        <w:t>一、项目基本情况</w:t>
      </w:r>
    </w:p>
    <w:p w14:paraId="41B56F6A">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项目编号</w:t>
      </w: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：TKXZFCG(CS)HYTH2026-32</w:t>
      </w:r>
    </w:p>
    <w:p w14:paraId="01B4061D">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项目</w:t>
      </w: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名称</w:t>
      </w: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：吐鲁番市托克逊县郭勒布依乡开斯克尔村道路硬化项目</w:t>
      </w:r>
    </w:p>
    <w:p w14:paraId="07DA9B35">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采购方式：竞争性磋商</w:t>
      </w:r>
    </w:p>
    <w:p w14:paraId="26388B49">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预算金额（</w:t>
      </w:r>
      <w:r>
        <w:rPr>
          <w:rFonts w:hint="eastAsia" w:ascii="仿宋" w:hAnsi="仿宋" w:eastAsia="仿宋" w:cs="仿宋"/>
          <w:i w:val="0"/>
          <w:iCs w:val="0"/>
          <w:caps w:val="0"/>
          <w:color w:val="auto"/>
          <w:spacing w:val="0"/>
          <w:kern w:val="2"/>
          <w:sz w:val="28"/>
          <w:szCs w:val="28"/>
          <w:lang w:val="en-US" w:eastAsia="zh-CN" w:bidi="ar-SA"/>
        </w:rPr>
        <w:t>元）：</w:t>
      </w:r>
      <w:r>
        <w:rPr>
          <w:rFonts w:hint="eastAsia" w:ascii="仿宋" w:hAnsi="仿宋" w:eastAsia="仿宋" w:cs="仿宋"/>
          <w:i w:val="0"/>
          <w:iCs w:val="0"/>
          <w:caps w:val="0"/>
          <w:color w:val="auto"/>
          <w:spacing w:val="0"/>
          <w:kern w:val="0"/>
          <w:sz w:val="28"/>
          <w:szCs w:val="28"/>
          <w:lang w:val="en-US" w:eastAsia="zh-CN" w:bidi="ar"/>
        </w:rPr>
        <w:t>574000</w:t>
      </w:r>
    </w:p>
    <w:p w14:paraId="3C57C3B8">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最高限价（元）：549757</w:t>
      </w:r>
    </w:p>
    <w:p w14:paraId="6539A30C">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采购需求：</w:t>
      </w:r>
    </w:p>
    <w:p w14:paraId="0DEC1CD5">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标项名称:吐鲁番市托克逊县郭勒布依乡开斯克尔村道路硬化项目</w:t>
      </w:r>
    </w:p>
    <w:p w14:paraId="299A95A1">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数量:1</w:t>
      </w:r>
    </w:p>
    <w:p w14:paraId="568FE01F">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000000"/>
          <w:spacing w:val="0"/>
          <w:kern w:val="0"/>
          <w:sz w:val="28"/>
          <w:szCs w:val="28"/>
          <w:lang w:val="en-US" w:eastAsia="zh-CN" w:bidi="ar"/>
        </w:rPr>
        <w:t>   预算金额（</w:t>
      </w:r>
      <w:r>
        <w:rPr>
          <w:rFonts w:hint="eastAsia" w:ascii="仿宋" w:hAnsi="仿宋" w:eastAsia="仿宋" w:cs="仿宋"/>
          <w:i w:val="0"/>
          <w:iCs w:val="0"/>
          <w:caps w:val="0"/>
          <w:color w:val="auto"/>
          <w:spacing w:val="0"/>
          <w:kern w:val="2"/>
          <w:sz w:val="28"/>
          <w:szCs w:val="28"/>
          <w:lang w:val="en-US" w:eastAsia="zh-CN" w:bidi="ar-SA"/>
        </w:rPr>
        <w:t>元）:</w:t>
      </w: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574000</w:t>
      </w:r>
    </w:p>
    <w:p w14:paraId="742FD639">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单位：项</w:t>
      </w:r>
    </w:p>
    <w:p w14:paraId="0DA88B7B">
      <w:pPr>
        <w:keepNext w:val="0"/>
        <w:keepLines w:val="0"/>
        <w:pageBreakBefore w:val="0"/>
        <w:widowControl w:val="0"/>
        <w:kinsoku/>
        <w:wordWrap/>
        <w:overflowPunct/>
        <w:topLinePunct w:val="0"/>
        <w:autoSpaceDE w:val="0"/>
        <w:autoSpaceDN w:val="0"/>
        <w:bidi w:val="0"/>
        <w:adjustRightInd/>
        <w:snapToGrid/>
        <w:spacing w:line="360" w:lineRule="exact"/>
        <w:ind w:firstLine="280" w:firstLineChars="100"/>
        <w:textAlignment w:val="auto"/>
        <w:rPr>
          <w:rFonts w:hint="default" w:ascii="仿宋" w:hAnsi="仿宋" w:eastAsia="仿宋" w:cs="仿宋"/>
          <w:i w:val="0"/>
          <w:iCs w:val="0"/>
          <w:caps w:val="0"/>
          <w:snapToGrid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spacing w:val="0"/>
          <w:kern w:val="0"/>
          <w:sz w:val="28"/>
          <w:szCs w:val="28"/>
          <w:lang w:val="en-US" w:eastAsia="zh-CN" w:bidi="ar"/>
        </w:rPr>
        <w:t>简要规格描述</w:t>
      </w: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或项目基本概况介绍、用途：</w:t>
      </w:r>
      <w:r>
        <w:rPr>
          <w:rFonts w:hint="eastAsia" w:ascii="仿宋" w:hAnsi="仿宋" w:eastAsia="仿宋" w:cs="仿宋"/>
          <w:i w:val="0"/>
          <w:iCs w:val="0"/>
          <w:caps w:val="0"/>
          <w:snapToGrid w:val="0"/>
          <w:color w:val="000000" w:themeColor="text1"/>
          <w:spacing w:val="0"/>
          <w:kern w:val="0"/>
          <w:sz w:val="28"/>
          <w:szCs w:val="28"/>
          <w:lang w:val="en-US" w:eastAsia="zh-CN" w:bidi="ar-SA"/>
          <w14:textFill>
            <w14:solidFill>
              <w14:schemeClr w14:val="tx1"/>
            </w14:solidFill>
          </w14:textFill>
        </w:rPr>
        <w:t>修建道路长1.3公里。</w:t>
      </w:r>
    </w:p>
    <w:p w14:paraId="5CB0B8B7">
      <w:pPr>
        <w:pStyle w:val="16"/>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备注：</w:t>
      </w:r>
    </w:p>
    <w:p w14:paraId="1BFD0A54">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sz w:val="28"/>
          <w:szCs w:val="28"/>
          <w:lang w:val="en-US"/>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合同履约期限：</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合同签订后90日历天内。</w:t>
      </w:r>
    </w:p>
    <w:p w14:paraId="503B9500">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auto"/>
          <w:sz w:val="28"/>
          <w:szCs w:val="28"/>
        </w:rPr>
      </w:pPr>
      <w:r>
        <w:rPr>
          <w:rFonts w:hint="eastAsia" w:ascii="仿宋" w:hAnsi="仿宋" w:eastAsia="仿宋" w:cs="仿宋"/>
          <w:i w:val="0"/>
          <w:iCs w:val="0"/>
          <w:caps w:val="0"/>
          <w:color w:val="auto"/>
          <w:spacing w:val="0"/>
          <w:sz w:val="28"/>
          <w:szCs w:val="28"/>
        </w:rPr>
        <w:t>本项目（否）接受联合体投标。</w:t>
      </w:r>
    </w:p>
    <w:p w14:paraId="29C007D6">
      <w:pPr>
        <w:pStyle w:val="16"/>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000000"/>
          <w:sz w:val="28"/>
          <w:szCs w:val="28"/>
        </w:rPr>
      </w:pPr>
      <w:r>
        <w:rPr>
          <w:rStyle w:val="22"/>
          <w:rFonts w:ascii="黑体" w:hAnsi="宋体" w:eastAsia="黑体" w:cs="黑体"/>
          <w:i w:val="0"/>
          <w:iCs w:val="0"/>
          <w:caps w:val="0"/>
          <w:color w:val="000000"/>
          <w:spacing w:val="0"/>
          <w:sz w:val="28"/>
          <w:szCs w:val="28"/>
        </w:rPr>
        <w:t>二、申请人的资格要求：</w:t>
      </w:r>
    </w:p>
    <w:p w14:paraId="4EA55033">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sz w:val="28"/>
          <w:szCs w:val="28"/>
        </w:rPr>
      </w:pPr>
      <w:r>
        <w:rPr>
          <w:rFonts w:hint="eastAsia" w:ascii="仿宋" w:hAnsi="仿宋" w:eastAsia="仿宋" w:cs="仿宋"/>
          <w:i w:val="0"/>
          <w:iCs w:val="0"/>
          <w:caps w:val="0"/>
          <w:color w:val="000000"/>
          <w:spacing w:val="0"/>
          <w:sz w:val="28"/>
          <w:szCs w:val="28"/>
        </w:rPr>
        <w:t>1.满足《中华人民共和国政府采购法》第二十二条规定；</w:t>
      </w:r>
    </w:p>
    <w:p w14:paraId="3C1E1352">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eastAsia="仿宋"/>
          <w:color w:val="000000"/>
          <w:sz w:val="28"/>
          <w:szCs w:val="28"/>
          <w:lang w:eastAsia="zh-CN"/>
        </w:rPr>
      </w:pPr>
      <w:r>
        <w:rPr>
          <w:rFonts w:hint="eastAsia" w:ascii="仿宋" w:hAnsi="仿宋" w:eastAsia="仿宋" w:cs="仿宋"/>
          <w:i w:val="0"/>
          <w:iCs w:val="0"/>
          <w:caps w:val="0"/>
          <w:color w:val="000000"/>
          <w:spacing w:val="0"/>
          <w:sz w:val="28"/>
          <w:szCs w:val="28"/>
        </w:rPr>
        <w:t>2.落实政府采购政策需满足的资格要求：</w:t>
      </w:r>
      <w:r>
        <w:rPr>
          <w:rFonts w:hint="eastAsia" w:ascii="仿宋" w:hAnsi="仿宋" w:eastAsia="仿宋" w:cs="仿宋"/>
          <w:i w:val="0"/>
          <w:iCs w:val="0"/>
          <w:caps w:val="0"/>
          <w:color w:val="000000"/>
          <w:spacing w:val="0"/>
          <w:sz w:val="28"/>
          <w:szCs w:val="28"/>
          <w:lang w:val="en-US" w:eastAsia="zh-CN"/>
        </w:rPr>
        <w:t>专门面向中</w:t>
      </w:r>
      <w:r>
        <w:rPr>
          <w:rFonts w:hint="eastAsia" w:ascii="仿宋" w:hAnsi="仿宋" w:eastAsia="仿宋" w:cs="仿宋"/>
          <w:i w:val="0"/>
          <w:iCs w:val="0"/>
          <w:caps w:val="0"/>
          <w:color w:val="000000"/>
          <w:spacing w:val="0"/>
          <w:sz w:val="28"/>
          <w:szCs w:val="28"/>
        </w:rPr>
        <w:t>小企业</w:t>
      </w:r>
      <w:r>
        <w:rPr>
          <w:rFonts w:hint="eastAsia" w:ascii="仿宋" w:hAnsi="仿宋" w:eastAsia="仿宋" w:cs="仿宋"/>
          <w:i w:val="0"/>
          <w:iCs w:val="0"/>
          <w:caps w:val="0"/>
          <w:color w:val="000000"/>
          <w:spacing w:val="0"/>
          <w:sz w:val="28"/>
          <w:szCs w:val="28"/>
          <w:lang w:eastAsia="zh-CN"/>
        </w:rPr>
        <w:t>；</w:t>
      </w:r>
    </w:p>
    <w:p w14:paraId="5086068D">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3.本项目的特定资格要求：</w:t>
      </w:r>
    </w:p>
    <w:p w14:paraId="4AE3E0F1">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公路工程施工总承包叁级及以上资质。项目经理须具备公路工程专业注册建造师</w:t>
      </w: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级及以上执业资格，持有有效的交通运输主管部门颁发的安全生产考核合格证书(B类) </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投标人在人</w:t>
      </w:r>
      <w:r>
        <w:rPr>
          <w:rFonts w:hint="eastAsia" w:ascii="仿宋" w:hAnsi="仿宋" w:eastAsia="仿宋" w:cs="仿宋"/>
          <w:i w:val="0"/>
          <w:iCs w:val="0"/>
          <w:caps w:val="0"/>
          <w:color w:val="000000" w:themeColor="text1"/>
          <w:spacing w:val="0"/>
          <w:sz w:val="28"/>
          <w:szCs w:val="28"/>
          <w14:textFill>
            <w14:solidFill>
              <w14:schemeClr w14:val="tx1"/>
            </w14:solidFill>
          </w14:textFill>
        </w:rPr>
        <w:t>员、设备、资金等方面具有相应的施工能力，</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具备有效的</w:t>
      </w:r>
      <w:r>
        <w:rPr>
          <w:rFonts w:hint="eastAsia" w:ascii="仿宋" w:hAnsi="仿宋" w:eastAsia="仿宋" w:cs="仿宋"/>
          <w:i w:val="0"/>
          <w:iCs w:val="0"/>
          <w:caps w:val="0"/>
          <w:color w:val="000000" w:themeColor="text1"/>
          <w:spacing w:val="0"/>
          <w:sz w:val="28"/>
          <w:szCs w:val="28"/>
          <w14:textFill>
            <w14:solidFill>
              <w14:schemeClr w14:val="tx1"/>
            </w14:solidFill>
          </w14:textFill>
        </w:rPr>
        <w:t>安全生产许可证。</w:t>
      </w:r>
    </w:p>
    <w:p w14:paraId="4E76B37B">
      <w:pPr>
        <w:pStyle w:val="1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auto"/>
          <w:spacing w:val="0"/>
          <w:sz w:val="28"/>
          <w:szCs w:val="28"/>
        </w:rPr>
      </w:pPr>
      <w:r>
        <w:rPr>
          <w:rStyle w:val="22"/>
          <w:rFonts w:ascii="黑体" w:hAnsi="宋体" w:eastAsia="黑体" w:cs="黑体"/>
          <w:i w:val="0"/>
          <w:iCs w:val="0"/>
          <w:caps w:val="0"/>
          <w:color w:val="auto"/>
          <w:spacing w:val="0"/>
          <w:sz w:val="28"/>
          <w:szCs w:val="28"/>
        </w:rPr>
        <w:t>三、获取</w:t>
      </w:r>
      <w:r>
        <w:rPr>
          <w:rStyle w:val="22"/>
          <w:rFonts w:hint="eastAsia" w:ascii="黑体" w:eastAsia="黑体" w:cs="黑体"/>
          <w:i w:val="0"/>
          <w:iCs w:val="0"/>
          <w:caps w:val="0"/>
          <w:color w:val="auto"/>
          <w:spacing w:val="0"/>
          <w:sz w:val="28"/>
          <w:szCs w:val="28"/>
          <w:lang w:val="en-US" w:eastAsia="zh-CN"/>
        </w:rPr>
        <w:t>采购</w:t>
      </w:r>
      <w:r>
        <w:rPr>
          <w:rStyle w:val="22"/>
          <w:rFonts w:ascii="黑体" w:hAnsi="宋体" w:eastAsia="黑体" w:cs="黑体"/>
          <w:i w:val="0"/>
          <w:iCs w:val="0"/>
          <w:caps w:val="0"/>
          <w:color w:val="auto"/>
          <w:spacing w:val="0"/>
          <w:sz w:val="28"/>
          <w:szCs w:val="28"/>
        </w:rPr>
        <w:t>文件</w:t>
      </w:r>
    </w:p>
    <w:p w14:paraId="68D51E39">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sz w:val="28"/>
          <w:szCs w:val="28"/>
        </w:rPr>
      </w:pPr>
      <w:r>
        <w:rPr>
          <w:rFonts w:hint="eastAsia" w:ascii="仿宋" w:hAnsi="仿宋" w:eastAsia="仿宋" w:cs="仿宋"/>
          <w:i w:val="0"/>
          <w:iCs w:val="0"/>
          <w:caps w:val="0"/>
          <w:color w:val="000000"/>
          <w:spacing w:val="0"/>
          <w:sz w:val="28"/>
          <w:szCs w:val="28"/>
        </w:rPr>
        <w:t>时间：</w:t>
      </w: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202</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年0</w:t>
      </w:r>
      <w:r>
        <w:rPr>
          <w:rFonts w:hint="eastAsia" w:ascii="仿宋" w:hAnsi="仿宋" w:eastAsia="仿宋" w:cs="仿宋"/>
          <w:i w:val="0"/>
          <w:iCs w:val="0"/>
          <w:caps w:val="0"/>
          <w:color w:val="000000"/>
          <w:spacing w:val="0"/>
          <w:sz w:val="28"/>
          <w:szCs w:val="28"/>
          <w:lang w:val="en-US" w:eastAsia="zh-CN"/>
        </w:rPr>
        <w:t>5</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16</w:t>
      </w:r>
      <w:r>
        <w:rPr>
          <w:rFonts w:hint="eastAsia" w:ascii="仿宋" w:hAnsi="仿宋" w:eastAsia="仿宋" w:cs="仿宋"/>
          <w:i w:val="0"/>
          <w:iCs w:val="0"/>
          <w:caps w:val="0"/>
          <w:color w:val="000000"/>
          <w:spacing w:val="0"/>
          <w:sz w:val="28"/>
          <w:szCs w:val="28"/>
        </w:rPr>
        <w:t>日至202</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lang w:val="en-US" w:eastAsia="zh-CN"/>
        </w:rPr>
        <w:t>05</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22</w:t>
      </w:r>
      <w:r>
        <w:rPr>
          <w:rFonts w:hint="eastAsia" w:ascii="仿宋" w:hAnsi="仿宋" w:eastAsia="仿宋" w:cs="仿宋"/>
          <w:i w:val="0"/>
          <w:iCs w:val="0"/>
          <w:caps w:val="0"/>
          <w:color w:val="000000"/>
          <w:spacing w:val="0"/>
          <w:sz w:val="28"/>
          <w:szCs w:val="28"/>
        </w:rPr>
        <w:t>日，每天上午</w:t>
      </w:r>
      <w:r>
        <w:rPr>
          <w:rFonts w:hint="eastAsia" w:ascii="仿宋" w:hAnsi="仿宋" w:eastAsia="仿宋" w:cs="仿宋"/>
          <w:i w:val="0"/>
          <w:iCs w:val="0"/>
          <w:caps w:val="0"/>
          <w:color w:val="000000"/>
          <w:spacing w:val="0"/>
          <w:sz w:val="28"/>
          <w:szCs w:val="28"/>
          <w:lang w:val="en-US" w:eastAsia="zh-CN"/>
        </w:rPr>
        <w:t>09</w:t>
      </w: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0至13:30，下午1</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:30至</w:t>
      </w:r>
      <w:r>
        <w:rPr>
          <w:rFonts w:hint="eastAsia" w:ascii="仿宋" w:hAnsi="仿宋" w:eastAsia="仿宋" w:cs="仿宋"/>
          <w:i w:val="0"/>
          <w:iCs w:val="0"/>
          <w:caps w:val="0"/>
          <w:color w:val="000000"/>
          <w:spacing w:val="0"/>
          <w:sz w:val="28"/>
          <w:szCs w:val="28"/>
          <w:lang w:val="en-US" w:eastAsia="zh-CN"/>
        </w:rPr>
        <w:t>20</w:t>
      </w: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00</w:t>
      </w:r>
      <w:r>
        <w:rPr>
          <w:rFonts w:hint="eastAsia" w:ascii="仿宋" w:hAnsi="仿宋" w:eastAsia="仿宋" w:cs="仿宋"/>
          <w:i w:val="0"/>
          <w:iCs w:val="0"/>
          <w:caps w:val="0"/>
          <w:color w:val="000000"/>
          <w:spacing w:val="0"/>
          <w:sz w:val="28"/>
          <w:szCs w:val="28"/>
        </w:rPr>
        <w:t>（北京时间，法定节假日除外）</w:t>
      </w:r>
    </w:p>
    <w:p w14:paraId="2899E830">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eastAsia="仿宋"/>
          <w:color w:val="auto"/>
          <w:sz w:val="28"/>
          <w:szCs w:val="28"/>
          <w:lang w:val="en-US" w:eastAsia="zh-CN"/>
        </w:rPr>
      </w:pPr>
      <w:r>
        <w:rPr>
          <w:rFonts w:hint="eastAsia" w:ascii="仿宋" w:hAnsi="仿宋" w:eastAsia="仿宋" w:cs="仿宋"/>
          <w:i w:val="0"/>
          <w:iCs w:val="0"/>
          <w:caps w:val="0"/>
          <w:color w:val="auto"/>
          <w:spacing w:val="0"/>
          <w:sz w:val="28"/>
          <w:szCs w:val="28"/>
        </w:rPr>
        <w:t>地点：政采云平台线上</w:t>
      </w:r>
      <w:r>
        <w:rPr>
          <w:rFonts w:hint="eastAsia" w:ascii="仿宋" w:hAnsi="仿宋" w:eastAsia="仿宋" w:cs="仿宋"/>
          <w:i w:val="0"/>
          <w:iCs w:val="0"/>
          <w:caps w:val="0"/>
          <w:color w:val="auto"/>
          <w:spacing w:val="0"/>
          <w:sz w:val="28"/>
          <w:szCs w:val="28"/>
          <w:lang w:val="en-US" w:eastAsia="zh-CN"/>
        </w:rPr>
        <w:t>获取</w:t>
      </w:r>
    </w:p>
    <w:p w14:paraId="7C0EEC9E">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3A9BC3B">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sz w:val="28"/>
          <w:szCs w:val="28"/>
        </w:rPr>
      </w:pPr>
      <w:r>
        <w:rPr>
          <w:rFonts w:hint="eastAsia" w:ascii="仿宋" w:hAnsi="仿宋" w:eastAsia="仿宋" w:cs="仿宋"/>
          <w:i w:val="0"/>
          <w:iCs w:val="0"/>
          <w:caps w:val="0"/>
          <w:color w:val="000000"/>
          <w:spacing w:val="0"/>
          <w:sz w:val="28"/>
          <w:szCs w:val="28"/>
        </w:rPr>
        <w:t>售价（元）：0</w:t>
      </w:r>
    </w:p>
    <w:p w14:paraId="2D57B668">
      <w:pPr>
        <w:pStyle w:val="1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hint="eastAsia" w:ascii="黑体" w:hAnsi="宋体" w:eastAsia="黑体" w:cs="黑体"/>
          <w:i w:val="0"/>
          <w:iCs w:val="0"/>
          <w:caps w:val="0"/>
          <w:color w:val="000000"/>
          <w:spacing w:val="0"/>
          <w:sz w:val="28"/>
          <w:szCs w:val="28"/>
          <w:lang w:eastAsia="zh-CN"/>
        </w:rPr>
      </w:pPr>
      <w:r>
        <w:rPr>
          <w:rStyle w:val="22"/>
          <w:rFonts w:ascii="黑体" w:hAnsi="宋体" w:eastAsia="黑体" w:cs="黑体"/>
          <w:i w:val="0"/>
          <w:iCs w:val="0"/>
          <w:caps w:val="0"/>
          <w:color w:val="000000"/>
          <w:spacing w:val="0"/>
          <w:sz w:val="28"/>
          <w:szCs w:val="28"/>
        </w:rPr>
        <w:t>四、</w:t>
      </w:r>
      <w:r>
        <w:rPr>
          <w:rStyle w:val="22"/>
          <w:rFonts w:hint="eastAsia" w:ascii="黑体" w:eastAsia="黑体" w:cs="黑体"/>
          <w:i w:val="0"/>
          <w:iCs w:val="0"/>
          <w:caps w:val="0"/>
          <w:color w:val="000000"/>
          <w:spacing w:val="0"/>
          <w:sz w:val="28"/>
          <w:szCs w:val="28"/>
          <w:lang w:val="en-US" w:eastAsia="zh-CN"/>
        </w:rPr>
        <w:t>响应文件提交</w:t>
      </w:r>
    </w:p>
    <w:p w14:paraId="5AAC745A">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sz w:val="28"/>
          <w:szCs w:val="28"/>
        </w:rPr>
      </w:pPr>
      <w:r>
        <w:rPr>
          <w:rFonts w:hint="eastAsia" w:ascii="仿宋" w:hAnsi="仿宋" w:eastAsia="仿宋" w:cs="仿宋"/>
          <w:i w:val="0"/>
          <w:iCs w:val="0"/>
          <w:caps w:val="0"/>
          <w:color w:val="000000"/>
          <w:spacing w:val="0"/>
          <w:sz w:val="28"/>
          <w:szCs w:val="28"/>
        </w:rPr>
        <w:t>提交投标文件截止时间：</w:t>
      </w:r>
      <w:r>
        <w:rPr>
          <w:rFonts w:hint="eastAsia" w:ascii="仿宋" w:hAnsi="仿宋" w:eastAsia="仿宋" w:cs="仿宋"/>
          <w:i w:val="0"/>
          <w:iCs w:val="0"/>
          <w:caps w:val="0"/>
          <w:color w:val="000000" w:themeColor="text1"/>
          <w:spacing w:val="0"/>
          <w:sz w:val="28"/>
          <w:szCs w:val="28"/>
          <w14:textFill>
            <w14:solidFill>
              <w14:schemeClr w14:val="tx1"/>
            </w14:solidFill>
          </w14:textFill>
        </w:rPr>
        <w:t>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年0</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5</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26</w:t>
      </w:r>
      <w:r>
        <w:rPr>
          <w:rFonts w:hint="eastAsia" w:ascii="仿宋" w:hAnsi="仿宋" w:eastAsia="仿宋" w:cs="仿宋"/>
          <w:i w:val="0"/>
          <w:iCs w:val="0"/>
          <w:caps w:val="0"/>
          <w:color w:val="auto"/>
          <w:spacing w:val="0"/>
          <w:sz w:val="28"/>
          <w:szCs w:val="28"/>
        </w:rPr>
        <w:t>日</w:t>
      </w:r>
      <w:r>
        <w:rPr>
          <w:rFonts w:hint="eastAsia" w:ascii="仿宋" w:hAnsi="仿宋" w:eastAsia="仿宋" w:cs="仿宋"/>
          <w:i w:val="0"/>
          <w:iCs w:val="0"/>
          <w:caps w:val="0"/>
          <w:color w:val="auto"/>
          <w:spacing w:val="0"/>
          <w:sz w:val="28"/>
          <w:szCs w:val="28"/>
          <w:lang w:val="en-US" w:eastAsia="zh-CN"/>
        </w:rPr>
        <w:t>17:00</w:t>
      </w:r>
      <w:r>
        <w:rPr>
          <w:rFonts w:hint="eastAsia" w:ascii="仿宋" w:hAnsi="仿宋" w:eastAsia="仿宋" w:cs="仿宋"/>
          <w:i w:val="0"/>
          <w:iCs w:val="0"/>
          <w:caps w:val="0"/>
          <w:color w:val="000000"/>
          <w:spacing w:val="0"/>
          <w:sz w:val="28"/>
          <w:szCs w:val="28"/>
        </w:rPr>
        <w:t>（北京时间）</w:t>
      </w:r>
    </w:p>
    <w:p w14:paraId="1A609B86">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投标地点：将响应文件上传至政采云平台https://www.zcygov.cn/对应位置（逾期未上传的或不符合规定的响应文件将被拒绝接收）。 </w:t>
      </w:r>
    </w:p>
    <w:p w14:paraId="66A609E4">
      <w:pPr>
        <w:pStyle w:val="1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ascii="黑体" w:hAnsi="宋体" w:eastAsia="黑体" w:cs="黑体"/>
          <w:i w:val="0"/>
          <w:iCs w:val="0"/>
          <w:caps w:val="0"/>
          <w:color w:val="000000"/>
          <w:spacing w:val="0"/>
          <w:sz w:val="28"/>
          <w:szCs w:val="28"/>
        </w:rPr>
      </w:pPr>
      <w:r>
        <w:rPr>
          <w:rStyle w:val="22"/>
          <w:rFonts w:ascii="黑体" w:hAnsi="宋体" w:eastAsia="黑体" w:cs="黑体"/>
          <w:i w:val="0"/>
          <w:iCs w:val="0"/>
          <w:caps w:val="0"/>
          <w:color w:val="000000"/>
          <w:spacing w:val="0"/>
          <w:sz w:val="28"/>
          <w:szCs w:val="28"/>
        </w:rPr>
        <w:t>五、响应文件开启</w:t>
      </w:r>
      <w:r>
        <w:rPr>
          <w:rFonts w:ascii="黑体" w:hAnsi="宋体" w:eastAsia="黑体" w:cs="黑体"/>
          <w:i w:val="0"/>
          <w:iCs w:val="0"/>
          <w:caps w:val="0"/>
          <w:color w:val="000000"/>
          <w:spacing w:val="0"/>
          <w:sz w:val="28"/>
          <w:szCs w:val="28"/>
        </w:rPr>
        <w:t> </w:t>
      </w:r>
    </w:p>
    <w:p w14:paraId="5E1D3FA4">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ascii="仿宋" w:hAnsi="仿宋" w:eastAsia="仿宋" w:cs="仿宋"/>
          <w:i w:val="0"/>
          <w:iCs w:val="0"/>
          <w:caps w:val="0"/>
          <w:color w:val="000000"/>
          <w:spacing w:val="0"/>
          <w:sz w:val="28"/>
          <w:szCs w:val="28"/>
        </w:rPr>
        <w:t> </w:t>
      </w:r>
      <w:r>
        <w:rPr>
          <w:rFonts w:hint="eastAsia" w:ascii="仿宋" w:hAnsi="仿宋" w:eastAsia="仿宋" w:cs="仿宋"/>
          <w:i w:val="0"/>
          <w:iCs w:val="0"/>
          <w:caps w:val="0"/>
          <w:color w:val="000000"/>
          <w:spacing w:val="0"/>
          <w:sz w:val="28"/>
          <w:szCs w:val="28"/>
        </w:rPr>
        <w:t>开启时间：</w:t>
      </w:r>
      <w:r>
        <w:rPr>
          <w:rFonts w:hint="eastAsia" w:ascii="仿宋" w:hAnsi="仿宋" w:eastAsia="仿宋" w:cs="仿宋"/>
          <w:i w:val="0"/>
          <w:iCs w:val="0"/>
          <w:caps w:val="0"/>
          <w:color w:val="000000" w:themeColor="text1"/>
          <w:spacing w:val="0"/>
          <w:sz w:val="28"/>
          <w:szCs w:val="28"/>
          <w14:textFill>
            <w14:solidFill>
              <w14:schemeClr w14:val="tx1"/>
            </w14:solidFill>
          </w14:textFill>
        </w:rPr>
        <w:t>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年0</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5</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26</w:t>
      </w:r>
      <w:r>
        <w:rPr>
          <w:rFonts w:hint="eastAsia" w:ascii="仿宋" w:hAnsi="仿宋" w:eastAsia="仿宋" w:cs="仿宋"/>
          <w:i w:val="0"/>
          <w:iCs w:val="0"/>
          <w:caps w:val="0"/>
          <w:color w:val="auto"/>
          <w:spacing w:val="0"/>
          <w:sz w:val="28"/>
          <w:szCs w:val="28"/>
        </w:rPr>
        <w:t>日</w:t>
      </w:r>
      <w:r>
        <w:rPr>
          <w:rFonts w:hint="eastAsia" w:ascii="仿宋" w:hAnsi="仿宋" w:eastAsia="仿宋" w:cs="仿宋"/>
          <w:i w:val="0"/>
          <w:iCs w:val="0"/>
          <w:caps w:val="0"/>
          <w:color w:val="auto"/>
          <w:spacing w:val="0"/>
          <w:sz w:val="28"/>
          <w:szCs w:val="28"/>
          <w:lang w:val="en-US" w:eastAsia="zh-CN"/>
        </w:rPr>
        <w:t>17:00</w:t>
      </w:r>
      <w:r>
        <w:rPr>
          <w:rFonts w:hint="eastAsia" w:ascii="仿宋" w:hAnsi="仿宋" w:eastAsia="仿宋" w:cs="仿宋"/>
          <w:i w:val="0"/>
          <w:iCs w:val="0"/>
          <w:caps w:val="0"/>
          <w:color w:val="000000"/>
          <w:spacing w:val="0"/>
          <w:sz w:val="28"/>
          <w:szCs w:val="28"/>
        </w:rPr>
        <w:t>（北京时间）</w:t>
      </w:r>
    </w:p>
    <w:p w14:paraId="372CB504">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地点：政采云网上不见面开标系统。 </w:t>
      </w:r>
    </w:p>
    <w:p w14:paraId="1E57C992">
      <w:pPr>
        <w:pStyle w:val="1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2"/>
          <w:rFonts w:hint="eastAsia" w:ascii="黑体" w:eastAsia="黑体" w:cs="黑体"/>
          <w:i w:val="0"/>
          <w:iCs w:val="0"/>
          <w:caps w:val="0"/>
          <w:color w:val="000000"/>
          <w:spacing w:val="0"/>
          <w:sz w:val="28"/>
          <w:szCs w:val="28"/>
          <w:lang w:val="en-US" w:eastAsia="zh-CN"/>
        </w:rPr>
        <w:t>六</w:t>
      </w:r>
      <w:r>
        <w:rPr>
          <w:rStyle w:val="22"/>
          <w:rFonts w:ascii="黑体" w:hAnsi="宋体" w:eastAsia="黑体" w:cs="黑体"/>
          <w:i w:val="0"/>
          <w:iCs w:val="0"/>
          <w:caps w:val="0"/>
          <w:color w:val="000000"/>
          <w:spacing w:val="0"/>
          <w:sz w:val="28"/>
          <w:szCs w:val="28"/>
        </w:rPr>
        <w:t>、公告期限</w:t>
      </w:r>
    </w:p>
    <w:p w14:paraId="416459E5">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自本公告发布之日起</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个工作日。</w:t>
      </w:r>
    </w:p>
    <w:p w14:paraId="66FCC6CB">
      <w:pPr>
        <w:pStyle w:val="1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2"/>
          <w:rFonts w:hint="eastAsia" w:ascii="黑体" w:eastAsia="黑体" w:cs="黑体"/>
          <w:i w:val="0"/>
          <w:iCs w:val="0"/>
          <w:caps w:val="0"/>
          <w:color w:val="000000"/>
          <w:spacing w:val="0"/>
          <w:sz w:val="28"/>
          <w:szCs w:val="28"/>
          <w:lang w:val="en-US" w:eastAsia="zh-CN"/>
        </w:rPr>
        <w:t>七</w:t>
      </w:r>
      <w:r>
        <w:rPr>
          <w:rStyle w:val="22"/>
          <w:rFonts w:ascii="黑体" w:hAnsi="宋体" w:eastAsia="黑体" w:cs="黑体"/>
          <w:i w:val="0"/>
          <w:iCs w:val="0"/>
          <w:caps w:val="0"/>
          <w:color w:val="000000"/>
          <w:spacing w:val="0"/>
          <w:sz w:val="28"/>
          <w:szCs w:val="28"/>
        </w:rPr>
        <w:t>、其他补充事宜</w:t>
      </w:r>
    </w:p>
    <w:p w14:paraId="112185B9">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1、本项目实行网上投标，采用电子投标文件。</w:t>
      </w:r>
    </w:p>
    <w:p w14:paraId="3B0D767C">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55EC3B23">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3、供应商将政采云电子交易客户端下载、安装完成后，可通过账号密码或CA登录客户端进行投标文件的制作。在使用政采云投标客户端时，建议使用WIN7及以上操作系统。</w:t>
      </w:r>
    </w:p>
    <w:p w14:paraId="72774CDA">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rPr>
        <w:t>特别提示：</w:t>
      </w:r>
    </w:p>
    <w:p w14:paraId="31E424D7">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1、采购限额标准以上，200万元以下的货物和服务采购项目、400万元以下的工程采购项目，适宜由中小企业提供的，采购人应当专门面向中小企业采购。</w:t>
      </w:r>
    </w:p>
    <w:p w14:paraId="3B0EDF22">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2、超过200万元的货物和服务采购项目，预留该部分采购项目预算总额的30%以上专门面向中小企业采购，其中预留给小微企业的比例不低于60%。</w:t>
      </w:r>
    </w:p>
    <w:p w14:paraId="424C2FAE">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3、超过400万元的工程采购项目中适宜由中小企业提供的，预留该部分采购项目预算总额的40%以上专门面向中小企业采购，其中预留给小微企业的比例不低于60%。</w:t>
      </w:r>
    </w:p>
    <w:p w14:paraId="58E7CDE1">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623281">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1A47DDC">
      <w:pPr>
        <w:pStyle w:val="1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2"/>
          <w:rFonts w:ascii="黑体" w:hAnsi="宋体" w:eastAsia="黑体" w:cs="黑体"/>
          <w:i w:val="0"/>
          <w:iCs w:val="0"/>
          <w:caps w:val="0"/>
          <w:color w:val="000000"/>
          <w:spacing w:val="0"/>
          <w:sz w:val="28"/>
          <w:szCs w:val="28"/>
        </w:rPr>
        <w:t>七、对本次采购提出询问，请按以下方式联系</w:t>
      </w:r>
    </w:p>
    <w:p w14:paraId="08AB8CEB">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1.采购人信息</w:t>
      </w:r>
    </w:p>
    <w:p w14:paraId="377CC3AC">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w:t>
      </w:r>
      <w:r>
        <w:rPr>
          <w:rFonts w:hint="eastAsia" w:ascii="仿宋" w:hAnsi="仿宋" w:eastAsia="仿宋" w:cs="仿宋"/>
          <w:i w:val="0"/>
          <w:iCs w:val="0"/>
          <w:caps w:val="0"/>
          <w:color w:val="000000"/>
          <w:spacing w:val="0"/>
          <w:sz w:val="28"/>
          <w:szCs w:val="28"/>
          <w:lang w:eastAsia="zh-CN"/>
        </w:rPr>
        <w:t>托克逊县郭勒布依</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乡人民政府</w:t>
      </w:r>
    </w:p>
    <w:p w14:paraId="4B0FB5A3">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xml:space="preserve">地 </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址：托克逊县郭勒布依乡大十字东北侧</w:t>
      </w:r>
    </w:p>
    <w:p w14:paraId="72165A3B">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default"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联系方式</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18934381924</w:t>
      </w:r>
    </w:p>
    <w:p w14:paraId="68EF78DF">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2.采购代理机构信息</w:t>
      </w:r>
    </w:p>
    <w:p w14:paraId="5677E977">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新疆</w:t>
      </w:r>
      <w:r>
        <w:rPr>
          <w:rFonts w:hint="eastAsia" w:ascii="仿宋" w:hAnsi="仿宋" w:eastAsia="仿宋" w:cs="仿宋"/>
          <w:i w:val="0"/>
          <w:iCs w:val="0"/>
          <w:caps w:val="0"/>
          <w:color w:val="000000"/>
          <w:spacing w:val="0"/>
          <w:sz w:val="28"/>
          <w:szCs w:val="28"/>
        </w:rPr>
        <w:t>华域天恒工程管理有限公司</w:t>
      </w:r>
    </w:p>
    <w:p w14:paraId="1796192F">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地 址：吐鲁番市高昌区示范区和平街11幢2层201号</w:t>
      </w:r>
    </w:p>
    <w:p w14:paraId="3826F08E">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联系方式：13</w:t>
      </w:r>
      <w:r>
        <w:rPr>
          <w:rFonts w:hint="eastAsia" w:ascii="仿宋" w:hAnsi="仿宋" w:eastAsia="仿宋" w:cs="仿宋"/>
          <w:i w:val="0"/>
          <w:iCs w:val="0"/>
          <w:caps w:val="0"/>
          <w:color w:val="000000"/>
          <w:spacing w:val="0"/>
          <w:sz w:val="28"/>
          <w:szCs w:val="28"/>
          <w:lang w:val="en-US" w:eastAsia="zh-CN"/>
        </w:rPr>
        <w:t>899314280</w:t>
      </w:r>
    </w:p>
    <w:p w14:paraId="5AB6B8D8">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3.项目联系方式</w:t>
      </w:r>
    </w:p>
    <w:p w14:paraId="6BC87DBB">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项目联系人：</w:t>
      </w:r>
      <w:r>
        <w:rPr>
          <w:rStyle w:val="25"/>
          <w:rFonts w:hint="eastAsia" w:ascii="仿宋" w:hAnsi="仿宋" w:eastAsia="仿宋" w:cs="仿宋"/>
          <w:i w:val="0"/>
          <w:iCs w:val="0"/>
          <w:caps w:val="0"/>
          <w:color w:val="000000"/>
          <w:spacing w:val="0"/>
          <w:sz w:val="28"/>
          <w:szCs w:val="28"/>
          <w:lang w:val="en-US" w:eastAsia="zh-CN"/>
        </w:rPr>
        <w:t>马丽娜</w:t>
      </w:r>
    </w:p>
    <w:p w14:paraId="525E4E6B">
      <w:pPr>
        <w:pStyle w:val="16"/>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电 话：13</w:t>
      </w:r>
      <w:r>
        <w:rPr>
          <w:rFonts w:hint="eastAsia" w:ascii="仿宋" w:hAnsi="仿宋" w:eastAsia="仿宋" w:cs="仿宋"/>
          <w:i w:val="0"/>
          <w:iCs w:val="0"/>
          <w:caps w:val="0"/>
          <w:color w:val="000000"/>
          <w:spacing w:val="0"/>
          <w:sz w:val="28"/>
          <w:szCs w:val="28"/>
          <w:lang w:val="en-US" w:eastAsia="zh-CN"/>
        </w:rPr>
        <w:t>899314280</w:t>
      </w:r>
    </w:p>
    <w:p w14:paraId="78B703C0">
      <w:pPr>
        <w:pStyle w:val="16"/>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rPr>
      </w:pPr>
    </w:p>
    <w:p w14:paraId="1310894F">
      <w:pPr>
        <w:pStyle w:val="16"/>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t>新疆</w:t>
      </w:r>
      <w:r>
        <w:rPr>
          <w:rFonts w:hint="eastAsia" w:ascii="仿宋" w:hAnsi="仿宋" w:eastAsia="仿宋" w:cs="仿宋"/>
          <w:i w:val="0"/>
          <w:iCs w:val="0"/>
          <w:caps w:val="0"/>
          <w:color w:val="000000"/>
          <w:spacing w:val="0"/>
          <w:sz w:val="28"/>
          <w:szCs w:val="28"/>
        </w:rPr>
        <w:t>华域天恒工程管理有限公司</w:t>
      </w:r>
    </w:p>
    <w:p w14:paraId="7D809185">
      <w:pPr>
        <w:pStyle w:val="16"/>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sz w:val="28"/>
          <w:szCs w:val="28"/>
        </w:rPr>
      </w:pPr>
      <w:r>
        <w:rPr>
          <w:rFonts w:hint="eastAsia" w:ascii="仿宋" w:hAnsi="仿宋" w:eastAsia="仿宋" w:cs="仿宋"/>
          <w:i w:val="0"/>
          <w:iCs w:val="0"/>
          <w:caps w:val="0"/>
          <w:color w:val="000000"/>
          <w:spacing w:val="0"/>
          <w:sz w:val="28"/>
          <w:szCs w:val="28"/>
          <w:lang w:val="en-US" w:eastAsia="zh-CN"/>
        </w:rPr>
        <w:t>2026年05月15日</w:t>
      </w:r>
    </w:p>
    <w:p w14:paraId="76E04B9C">
      <w:pPr>
        <w:pStyle w:val="16"/>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0F3FC46A">
      <w:pPr>
        <w:pStyle w:val="16"/>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104A375">
      <w:pPr>
        <w:pStyle w:val="16"/>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00843884">
      <w:pPr>
        <w:pStyle w:val="16"/>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1F6C05E2">
      <w:pPr>
        <w:pStyle w:val="16"/>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01DF859B">
      <w:pPr>
        <w:pStyle w:val="16"/>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53D80E56">
      <w:pPr>
        <w:pStyle w:val="16"/>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4EAEAD19">
      <w:pPr>
        <w:pStyle w:val="16"/>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6FE586BA">
      <w:pPr>
        <w:pStyle w:val="16"/>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22466E45">
      <w:pPr>
        <w:pStyle w:val="16"/>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6CAB8F7F">
      <w:pPr>
        <w:pStyle w:val="16"/>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5EBDD957">
      <w:pPr>
        <w:pStyle w:val="16"/>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715684A9">
      <w:pPr>
        <w:pStyle w:val="16"/>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30DA8D31">
      <w:pPr>
        <w:pStyle w:val="16"/>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7DA52CD2">
      <w:pPr>
        <w:pStyle w:val="16"/>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320C00FF">
      <w:pPr>
        <w:pStyle w:val="16"/>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4B0096E8">
      <w:pPr>
        <w:pStyle w:val="16"/>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338D9132">
      <w:pPr>
        <w:pStyle w:val="16"/>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1A76CA0B">
      <w:pPr>
        <w:rPr>
          <w:rFonts w:hint="eastAsia"/>
        </w:rPr>
      </w:pPr>
    </w:p>
    <w:p w14:paraId="3DFD355E">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宋体" w:hAnsi="宋体" w:eastAsia="宋体" w:cs="宋体"/>
          <w:color w:val="auto"/>
          <w:sz w:val="24"/>
          <w:szCs w:val="24"/>
          <w:highlight w:val="none"/>
        </w:rPr>
      </w:pPr>
      <w:r>
        <w:rPr>
          <w:rFonts w:hint="eastAsia" w:ascii="微软雅黑" w:hAnsi="微软雅黑" w:eastAsia="微软雅黑" w:cs="微软雅黑"/>
          <w:b/>
          <w:bCs/>
          <w:color w:val="auto"/>
          <w:sz w:val="32"/>
          <w:szCs w:val="32"/>
          <w:highlight w:val="none"/>
        </w:rPr>
        <w:t>第二部分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磋商须知</w:t>
      </w:r>
      <w:bookmarkEnd w:id="0"/>
    </w:p>
    <w:p w14:paraId="218AF733">
      <w:pPr>
        <w:rPr>
          <w:rFonts w:hint="eastAsia"/>
          <w:color w:val="auto"/>
          <w:highlight w:val="none"/>
        </w:rPr>
      </w:pPr>
    </w:p>
    <w:p w14:paraId="0AF1954A">
      <w:pPr>
        <w:keepNext w:val="0"/>
        <w:keepLines w:val="0"/>
        <w:pageBreakBefore w:val="0"/>
        <w:widowControl w:val="0"/>
        <w:numPr>
          <w:ilvl w:val="0"/>
          <w:numId w:val="2"/>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磋商须知前附表 </w:t>
      </w:r>
    </w:p>
    <w:tbl>
      <w:tblPr>
        <w:tblStyle w:val="19"/>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470"/>
        <w:gridCol w:w="5426"/>
      </w:tblGrid>
      <w:tr w14:paraId="1F21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8058B40">
            <w:pPr>
              <w:pStyle w:val="29"/>
              <w:keepNext w:val="0"/>
              <w:keepLines w:val="0"/>
              <w:pageBreakBefore w:val="0"/>
              <w:widowControl/>
              <w:kinsoku/>
              <w:wordWrap/>
              <w:overflowPunct/>
              <w:topLinePunct w:val="0"/>
              <w:bidi w:val="0"/>
              <w:snapToGrid/>
              <w:spacing w:line="320" w:lineRule="exact"/>
              <w:textAlignment w:val="auto"/>
              <w:rPr>
                <w:rFonts w:ascii="宋体" w:hAnsi="宋体" w:eastAsia="宋体"/>
                <w:b/>
                <w:color w:val="auto"/>
                <w:sz w:val="24"/>
                <w:highlight w:val="none"/>
              </w:rPr>
            </w:pPr>
            <w:r>
              <w:rPr>
                <w:rFonts w:ascii="宋体" w:hAnsi="宋体" w:eastAsia="宋体"/>
                <w:b/>
                <w:color w:val="auto"/>
                <w:sz w:val="24"/>
                <w:highlight w:val="none"/>
              </w:rPr>
              <w:t>条款号</w:t>
            </w:r>
          </w:p>
        </w:tc>
        <w:tc>
          <w:tcPr>
            <w:tcW w:w="2470" w:type="dxa"/>
            <w:noWrap w:val="0"/>
            <w:vAlign w:val="center"/>
          </w:tcPr>
          <w:p w14:paraId="1870AF9E">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条 款 名 称</w:t>
            </w:r>
          </w:p>
        </w:tc>
        <w:tc>
          <w:tcPr>
            <w:tcW w:w="5426" w:type="dxa"/>
            <w:noWrap w:val="0"/>
            <w:vAlign w:val="center"/>
          </w:tcPr>
          <w:p w14:paraId="5D29E4D6">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编  列  内  容</w:t>
            </w:r>
          </w:p>
        </w:tc>
      </w:tr>
      <w:tr w14:paraId="3FD5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9C11A9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1</w:t>
            </w:r>
          </w:p>
        </w:tc>
        <w:tc>
          <w:tcPr>
            <w:tcW w:w="2470" w:type="dxa"/>
            <w:noWrap w:val="0"/>
            <w:vAlign w:val="center"/>
          </w:tcPr>
          <w:p w14:paraId="2A629CC2">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项目名称</w:t>
            </w:r>
          </w:p>
        </w:tc>
        <w:tc>
          <w:tcPr>
            <w:tcW w:w="5426" w:type="dxa"/>
            <w:noWrap w:val="0"/>
            <w:vAlign w:val="center"/>
          </w:tcPr>
          <w:p w14:paraId="17A7DA39">
            <w:pPr>
              <w:pStyle w:val="29"/>
              <w:keepNext w:val="0"/>
              <w:keepLines w:val="0"/>
              <w:pageBreakBefore w:val="0"/>
              <w:widowControl/>
              <w:kinsoku/>
              <w:wordWrap/>
              <w:overflowPunct/>
              <w:topLinePunct w:val="0"/>
              <w:bidi w:val="0"/>
              <w:snapToGrid/>
              <w:spacing w:line="320" w:lineRule="exact"/>
              <w:textAlignment w:val="auto"/>
              <w:rPr>
                <w:rFonts w:hint="default" w:eastAsia="宋体" w:cs="Times New Roman"/>
                <w:color w:val="auto"/>
                <w:sz w:val="24"/>
                <w:highlight w:val="none"/>
                <w:lang w:val="en-US" w:eastAsia="zh-CN"/>
              </w:rPr>
            </w:pPr>
            <w:bookmarkStart w:id="3" w:name="EBab956008dbe54ba7a71901d90aab5e33"/>
            <w:bookmarkEnd w:id="3"/>
            <w:r>
              <w:rPr>
                <w:rFonts w:hint="eastAsia" w:eastAsia="宋体" w:cs="Times New Roman"/>
                <w:color w:val="auto"/>
                <w:sz w:val="24"/>
                <w:highlight w:val="none"/>
                <w:lang w:val="en-US" w:eastAsia="zh-CN"/>
              </w:rPr>
              <w:t>吐鲁番市托克逊县郭勒布依乡开斯克尔村道路硬化项目</w:t>
            </w:r>
          </w:p>
        </w:tc>
      </w:tr>
      <w:tr w14:paraId="239A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68" w:type="dxa"/>
            <w:noWrap w:val="0"/>
            <w:vAlign w:val="center"/>
          </w:tcPr>
          <w:p w14:paraId="2A60E3B1">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2</w:t>
            </w:r>
          </w:p>
        </w:tc>
        <w:tc>
          <w:tcPr>
            <w:tcW w:w="2470" w:type="dxa"/>
            <w:noWrap w:val="0"/>
            <w:vAlign w:val="center"/>
          </w:tcPr>
          <w:p w14:paraId="5710153E">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采购内容及</w:t>
            </w:r>
            <w:r>
              <w:rPr>
                <w:rFonts w:ascii="宋体" w:hAnsi="宋体" w:eastAsia="宋体" w:cs="Times New Roman"/>
                <w:color w:val="auto"/>
                <w:sz w:val="24"/>
                <w:highlight w:val="none"/>
              </w:rPr>
              <w:t>质量要求</w:t>
            </w:r>
          </w:p>
        </w:tc>
        <w:tc>
          <w:tcPr>
            <w:tcW w:w="5426" w:type="dxa"/>
            <w:noWrap w:val="0"/>
            <w:vAlign w:val="center"/>
          </w:tcPr>
          <w:p w14:paraId="2F89B265">
            <w:pPr>
              <w:pStyle w:val="29"/>
              <w:keepNext w:val="0"/>
              <w:keepLines w:val="0"/>
              <w:pageBreakBefore w:val="0"/>
              <w:widowControl/>
              <w:kinsoku/>
              <w:wordWrap/>
              <w:overflowPunct/>
              <w:topLinePunct w:val="0"/>
              <w:bidi w:val="0"/>
              <w:snapToGrid/>
              <w:spacing w:line="320" w:lineRule="exact"/>
              <w:jc w:val="both"/>
              <w:textAlignment w:val="auto"/>
              <w:rPr>
                <w:rFonts w:hint="eastAsia"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采购内</w:t>
            </w:r>
            <w:r>
              <w:rPr>
                <w:rFonts w:hint="eastAsia" w:eastAsia="宋体" w:cs="Times New Roman"/>
                <w:color w:val="auto"/>
                <w:sz w:val="24"/>
                <w:highlight w:val="none"/>
                <w:lang w:val="en-US" w:eastAsia="zh-CN"/>
              </w:rPr>
              <w:t>容：修建道路长1.3公里。</w:t>
            </w:r>
          </w:p>
          <w:p w14:paraId="4EBF09B8">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质量标准：</w:t>
            </w:r>
            <w:bookmarkStart w:id="4" w:name="EB842ea8786d484386adc9fd3f4803a0e9"/>
            <w:bookmarkEnd w:id="4"/>
            <w:r>
              <w:rPr>
                <w:rFonts w:hint="eastAsia" w:ascii="宋体" w:hAnsi="宋体" w:eastAsia="宋体" w:cs="Times New Roman"/>
                <w:color w:val="auto"/>
                <w:sz w:val="24"/>
                <w:highlight w:val="none"/>
                <w:lang w:val="en-US" w:eastAsia="zh-CN"/>
              </w:rPr>
              <w:t>合格</w:t>
            </w:r>
          </w:p>
          <w:p w14:paraId="0A3EB8B7">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质保期：符合国家规定</w:t>
            </w:r>
          </w:p>
        </w:tc>
      </w:tr>
      <w:tr w14:paraId="54F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14EA638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3</w:t>
            </w:r>
          </w:p>
        </w:tc>
        <w:tc>
          <w:tcPr>
            <w:tcW w:w="2470" w:type="dxa"/>
            <w:noWrap w:val="0"/>
            <w:vAlign w:val="center"/>
          </w:tcPr>
          <w:p w14:paraId="2B117470">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ascii="宋体" w:hAnsi="宋体" w:eastAsia="宋体" w:cs="Times New Roman"/>
                <w:color w:val="auto"/>
                <w:sz w:val="24"/>
                <w:highlight w:val="none"/>
              </w:rPr>
              <w:t>信誉要求</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不良行为记录</w:t>
            </w:r>
            <w:r>
              <w:rPr>
                <w:rFonts w:hint="eastAsia" w:ascii="宋体" w:hAnsi="宋体" w:eastAsia="宋体" w:cs="Times New Roman"/>
                <w:color w:val="auto"/>
                <w:sz w:val="24"/>
                <w:highlight w:val="none"/>
                <w:lang w:eastAsia="zh-CN"/>
              </w:rPr>
              <w:t>）</w:t>
            </w:r>
          </w:p>
        </w:tc>
        <w:tc>
          <w:tcPr>
            <w:tcW w:w="5426" w:type="dxa"/>
            <w:noWrap w:val="0"/>
            <w:vAlign w:val="center"/>
          </w:tcPr>
          <w:p w14:paraId="5A354B5F">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5" w:name="EB797d1b4079594a778b9f2da7a47c4236"/>
            <w:bookmarkEnd w:id="5"/>
            <w:r>
              <w:rPr>
                <w:rFonts w:hint="eastAsia" w:eastAsia="宋体" w:cs="Times New Roman"/>
                <w:color w:val="auto"/>
                <w:sz w:val="24"/>
                <w:highlight w:val="none"/>
                <w:lang w:val="en-US" w:eastAsia="zh-CN"/>
              </w:rPr>
              <w:t>投标人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w:t>
            </w:r>
          </w:p>
        </w:tc>
      </w:tr>
      <w:tr w14:paraId="738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8" w:type="dxa"/>
            <w:noWrap w:val="0"/>
            <w:vAlign w:val="center"/>
          </w:tcPr>
          <w:p w14:paraId="2045322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p>
        </w:tc>
        <w:tc>
          <w:tcPr>
            <w:tcW w:w="2470" w:type="dxa"/>
            <w:noWrap w:val="0"/>
            <w:vAlign w:val="center"/>
          </w:tcPr>
          <w:p w14:paraId="6350FEAA">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ascii="宋体" w:hAnsi="宋体" w:eastAsia="宋体"/>
                <w:color w:val="auto"/>
                <w:sz w:val="24"/>
                <w:highlight w:val="none"/>
              </w:rPr>
              <w:t>踏勘</w:t>
            </w:r>
            <w:r>
              <w:rPr>
                <w:rFonts w:hint="eastAsia" w:ascii="宋体" w:hAnsi="宋体" w:eastAsia="宋体"/>
                <w:color w:val="auto"/>
                <w:sz w:val="24"/>
                <w:highlight w:val="none"/>
              </w:rPr>
              <w:t>现场</w:t>
            </w:r>
          </w:p>
        </w:tc>
        <w:tc>
          <w:tcPr>
            <w:tcW w:w="5426" w:type="dxa"/>
            <w:noWrap w:val="0"/>
            <w:vAlign w:val="center"/>
          </w:tcPr>
          <w:p w14:paraId="030E5D0C">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6" w:name="EB711ab04762684375a014a19528cf06dd"/>
            <w:bookmarkEnd w:id="6"/>
            <w:r>
              <w:rPr>
                <w:rFonts w:hint="eastAsia" w:eastAsia="宋体" w:cs="Times New Roman"/>
                <w:color w:val="auto"/>
                <w:sz w:val="24"/>
                <w:highlight w:val="none"/>
                <w:lang w:val="en-US" w:eastAsia="zh-CN"/>
              </w:rPr>
              <w:t>☑不组织</w:t>
            </w:r>
          </w:p>
          <w:p w14:paraId="3FC65470">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7" w:name="EBafd1a84b6f804a9890ee96b9f6d8258d"/>
            <w:bookmarkEnd w:id="7"/>
            <w:r>
              <w:rPr>
                <w:rFonts w:hint="eastAsia" w:eastAsia="宋体" w:cs="Times New Roman"/>
                <w:color w:val="auto"/>
                <w:sz w:val="24"/>
                <w:highlight w:val="none"/>
                <w:lang w:val="en-US" w:eastAsia="zh-CN"/>
              </w:rPr>
              <w:t>□组织，</w:t>
            </w:r>
          </w:p>
          <w:p w14:paraId="1CA72A3F">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踏勘时间：</w:t>
            </w:r>
            <w:bookmarkStart w:id="8" w:name="EB29d5e1ef164c4dffb6d1d51a9bb4054e"/>
            <w:bookmarkEnd w:id="8"/>
            <w:r>
              <w:rPr>
                <w:rFonts w:hint="eastAsia" w:eastAsia="宋体" w:cs="Times New Roman"/>
                <w:color w:val="auto"/>
                <w:sz w:val="24"/>
                <w:highlight w:val="none"/>
                <w:lang w:val="en-US" w:eastAsia="zh-CN"/>
              </w:rPr>
              <w:t>/</w:t>
            </w:r>
          </w:p>
          <w:p w14:paraId="2873C3C8">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踏勘集中地点：</w:t>
            </w:r>
            <w:bookmarkStart w:id="9" w:name="EB7d3ba06a341f4914bebd605d4573d668"/>
            <w:bookmarkEnd w:id="9"/>
            <w:r>
              <w:rPr>
                <w:rFonts w:hint="eastAsia" w:eastAsia="宋体" w:cs="Times New Roman"/>
                <w:color w:val="auto"/>
                <w:sz w:val="24"/>
                <w:highlight w:val="none"/>
                <w:lang w:val="en-US" w:eastAsia="zh-CN"/>
              </w:rPr>
              <w:t>/</w:t>
            </w:r>
          </w:p>
          <w:p w14:paraId="5BB4FB34">
            <w:pPr>
              <w:pStyle w:val="29"/>
              <w:keepNext w:val="0"/>
              <w:keepLines w:val="0"/>
              <w:pageBreakBefore w:val="0"/>
              <w:widowControl/>
              <w:kinsoku/>
              <w:wordWrap/>
              <w:overflowPunct/>
              <w:topLinePunct w:val="0"/>
              <w:bidi w:val="0"/>
              <w:snapToGrid/>
              <w:spacing w:line="320" w:lineRule="exact"/>
              <w:textAlignment w:val="auto"/>
              <w:rPr>
                <w:rFonts w:hint="default" w:eastAsia="宋体" w:cs="Times New Roman"/>
                <w:color w:val="auto"/>
                <w:sz w:val="24"/>
                <w:highlight w:val="none"/>
                <w:lang w:val="en-US" w:eastAsia="zh-CN"/>
              </w:rPr>
            </w:pPr>
            <w:r>
              <w:rPr>
                <w:rFonts w:hint="eastAsia" w:eastAsia="宋体" w:cs="Times New Roman"/>
                <w:color w:val="auto"/>
                <w:sz w:val="24"/>
                <w:highlight w:val="none"/>
                <w:lang w:val="en-US" w:eastAsia="zh-CN"/>
              </w:rPr>
              <w:t>踏勘联系人及方式：/</w:t>
            </w:r>
          </w:p>
        </w:tc>
      </w:tr>
      <w:tr w14:paraId="509F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46529F10">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2470" w:type="dxa"/>
            <w:noWrap w:val="0"/>
            <w:vAlign w:val="center"/>
          </w:tcPr>
          <w:p w14:paraId="6D92173F">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磋商响应</w:t>
            </w:r>
            <w:r>
              <w:rPr>
                <w:rFonts w:ascii="宋体" w:hAnsi="宋体" w:eastAsia="宋体"/>
                <w:color w:val="auto"/>
                <w:sz w:val="24"/>
                <w:highlight w:val="none"/>
              </w:rPr>
              <w:t>有效期</w:t>
            </w:r>
          </w:p>
        </w:tc>
        <w:tc>
          <w:tcPr>
            <w:tcW w:w="5426" w:type="dxa"/>
            <w:noWrap w:val="0"/>
            <w:vAlign w:val="center"/>
          </w:tcPr>
          <w:p w14:paraId="6955DBA1">
            <w:pPr>
              <w:pStyle w:val="29"/>
              <w:keepNext w:val="0"/>
              <w:keepLines w:val="0"/>
              <w:pageBreakBefore w:val="0"/>
              <w:widowControl/>
              <w:kinsoku/>
              <w:wordWrap/>
              <w:overflowPunct/>
              <w:topLinePunct w:val="0"/>
              <w:bidi w:val="0"/>
              <w:snapToGrid/>
              <w:spacing w:line="320" w:lineRule="exact"/>
              <w:textAlignment w:val="auto"/>
              <w:rPr>
                <w:rFonts w:ascii="宋体" w:hAnsi="宋体" w:eastAsia="宋体"/>
                <w:color w:val="auto"/>
                <w:sz w:val="24"/>
                <w:highlight w:val="none"/>
              </w:rPr>
            </w:pPr>
            <w:bookmarkStart w:id="10" w:name="EBdaf02b35eef04948bb826c544b7758c6"/>
            <w:bookmarkEnd w:id="10"/>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9</w:t>
            </w:r>
            <w:r>
              <w:rPr>
                <w:rFonts w:hint="eastAsia" w:ascii="宋体" w:hAnsi="宋体" w:eastAsia="宋体"/>
                <w:color w:val="auto"/>
                <w:sz w:val="24"/>
                <w:highlight w:val="none"/>
                <w:u w:val="single"/>
              </w:rPr>
              <w:t xml:space="preserve">0 </w:t>
            </w:r>
            <w:r>
              <w:rPr>
                <w:rFonts w:hint="eastAsia" w:ascii="宋体" w:hAnsi="宋体" w:eastAsia="宋体"/>
                <w:color w:val="auto"/>
                <w:sz w:val="24"/>
                <w:highlight w:val="none"/>
              </w:rPr>
              <w:t>天</w:t>
            </w:r>
          </w:p>
        </w:tc>
      </w:tr>
      <w:tr w14:paraId="6F7C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4B608F2">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2470" w:type="dxa"/>
            <w:noWrap w:val="0"/>
            <w:vAlign w:val="top"/>
          </w:tcPr>
          <w:p w14:paraId="08B25503">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center"/>
              <w:textAlignment w:val="auto"/>
              <w:rPr>
                <w:rFonts w:hint="eastAsia" w:ascii="宋体" w:hAnsi="宋体" w:eastAsia="宋体" w:cs="宋体"/>
                <w:color w:val="auto"/>
                <w:sz w:val="24"/>
                <w:szCs w:val="24"/>
                <w:highlight w:val="none"/>
              </w:rPr>
            </w:pPr>
          </w:p>
          <w:p w14:paraId="651CE35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240" w:firstLineChars="100"/>
              <w:jc w:val="center"/>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评审方法</w:t>
            </w:r>
          </w:p>
        </w:tc>
        <w:tc>
          <w:tcPr>
            <w:tcW w:w="5426" w:type="dxa"/>
            <w:noWrap w:val="0"/>
            <w:vAlign w:val="top"/>
          </w:tcPr>
          <w:p w14:paraId="613710C6">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default" w:ascii="宋体" w:hAnsi="宋体" w:eastAsia="宋体"/>
                <w:color w:val="auto"/>
                <w:kern w:val="0"/>
                <w:sz w:val="24"/>
                <w:highlight w:val="none"/>
                <w:lang w:val="en-US" w:eastAsia="zh-CN"/>
              </w:rPr>
            </w:pPr>
            <w:bookmarkStart w:id="11" w:name="EB8d5c7d73ca244b28bcae3699d53bc511"/>
            <w:bookmarkEnd w:id="11"/>
            <w:bookmarkStart w:id="12" w:name="EB93f4d92dc67243458e6fe4614c19bd8f"/>
            <w:bookmarkEnd w:id="12"/>
            <w:r>
              <w:rPr>
                <w:rFonts w:hint="eastAsia" w:ascii="宋体" w:hAnsi="宋体" w:eastAsia="宋体" w:cs="宋体"/>
                <w:color w:val="auto"/>
                <w:sz w:val="24"/>
                <w:szCs w:val="24"/>
                <w:highlight w:val="none"/>
              </w:rPr>
              <w:t>综合评分法</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经磋商确定最终采购需求和提交最后报价的供应商后，由磋商小组采用综合评分法对提交最后报价的供应商的响应文件和最后报价进行综合评分。 </w:t>
            </w:r>
          </w:p>
        </w:tc>
      </w:tr>
      <w:tr w14:paraId="44C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68" w:type="dxa"/>
            <w:noWrap w:val="0"/>
            <w:vAlign w:val="center"/>
          </w:tcPr>
          <w:p w14:paraId="132BDDEB">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2470" w:type="dxa"/>
            <w:noWrap w:val="0"/>
            <w:vAlign w:val="top"/>
          </w:tcPr>
          <w:p w14:paraId="2228D5F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1C7EB923">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★报价</w:t>
            </w:r>
          </w:p>
        </w:tc>
        <w:tc>
          <w:tcPr>
            <w:tcW w:w="5426" w:type="dxa"/>
            <w:noWrap w:val="0"/>
            <w:vAlign w:val="top"/>
          </w:tcPr>
          <w:p w14:paraId="15036EC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本工程的投标报价采用总价方式进行报价。</w:t>
            </w:r>
          </w:p>
          <w:p w14:paraId="1AF5DC9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报价（含首次报价或最后报价）超出本项目采购预算金额的为无效报价，其响应文件将被认定为无效响应。 </w:t>
            </w:r>
            <w:r>
              <w:rPr>
                <w:rFonts w:hint="eastAsia" w:cs="宋体"/>
                <w:b/>
                <w:bCs/>
                <w:color w:val="000000" w:themeColor="text1"/>
                <w:sz w:val="24"/>
                <w:szCs w:val="24"/>
                <w:highlight w:val="none"/>
                <w:lang w:val="en-US" w:eastAsia="zh-CN"/>
                <w14:textFill>
                  <w14:solidFill>
                    <w14:schemeClr w14:val="tx1"/>
                  </w14:solidFill>
                </w14:textFill>
              </w:rPr>
              <w:t>供应商最后报价下浮金额，视为总价让利（不改变清单投标单价）。</w:t>
            </w:r>
          </w:p>
        </w:tc>
      </w:tr>
      <w:tr w14:paraId="7B44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noWrap w:val="0"/>
            <w:vAlign w:val="center"/>
          </w:tcPr>
          <w:p w14:paraId="0A5F7EA6">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2470" w:type="dxa"/>
            <w:noWrap w:val="0"/>
            <w:vAlign w:val="top"/>
          </w:tcPr>
          <w:p w14:paraId="1963A01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60E8E96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磋商保</w:t>
            </w:r>
            <w:r>
              <w:rPr>
                <w:rFonts w:hint="eastAsia" w:ascii="宋体" w:hAnsi="宋体" w:eastAsia="宋体" w:cs="宋体"/>
                <w:color w:val="auto"/>
                <w:kern w:val="0"/>
                <w:sz w:val="24"/>
                <w:szCs w:val="24"/>
                <w:highlight w:val="none"/>
              </w:rPr>
              <w:t>证金</w:t>
            </w:r>
          </w:p>
        </w:tc>
        <w:tc>
          <w:tcPr>
            <w:tcW w:w="5426" w:type="dxa"/>
            <w:noWrap w:val="0"/>
            <w:vAlign w:val="top"/>
          </w:tcPr>
          <w:p w14:paraId="1F74A654">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投标保证金金额：人民币</w:t>
            </w:r>
            <w:r>
              <w:rPr>
                <w:rFonts w:hint="eastAsia" w:cs="宋体"/>
                <w:b/>
                <w:color w:val="000000" w:themeColor="text1"/>
                <w:sz w:val="24"/>
                <w:szCs w:val="24"/>
                <w:lang w:val="en-US" w:eastAsia="zh-CN"/>
                <w14:textFill>
                  <w14:solidFill>
                    <w14:schemeClr w14:val="tx1"/>
                  </w14:solidFill>
                </w14:textFill>
              </w:rPr>
              <w:t>壹</w:t>
            </w:r>
            <w:r>
              <w:rPr>
                <w:rFonts w:hint="eastAsia" w:ascii="宋体" w:hAnsi="宋体" w:eastAsia="宋体" w:cs="宋体"/>
                <w:b/>
                <w:color w:val="000000" w:themeColor="text1"/>
                <w:sz w:val="24"/>
                <w:szCs w:val="24"/>
                <w:lang w:val="zh-CN" w:eastAsia="zh-CN"/>
                <w14:textFill>
                  <w14:solidFill>
                    <w14:schemeClr w14:val="tx1"/>
                  </w14:solidFill>
                </w14:textFill>
              </w:rPr>
              <w:t>万元整（</w:t>
            </w:r>
            <w:r>
              <w:rPr>
                <w:rFonts w:hint="eastAsia" w:cs="宋体"/>
                <w:b/>
                <w:color w:val="000000" w:themeColor="text1"/>
                <w:sz w:val="24"/>
                <w:szCs w:val="24"/>
                <w:lang w:val="en-US" w:eastAsia="zh-CN"/>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00</w:t>
            </w:r>
            <w:r>
              <w:rPr>
                <w:rFonts w:hint="eastAsia" w:ascii="宋体" w:hAnsi="宋体" w:eastAsia="宋体" w:cs="宋体"/>
                <w:b/>
                <w:color w:val="000000" w:themeColor="text1"/>
                <w:sz w:val="24"/>
                <w:szCs w:val="24"/>
                <w:lang w:val="zh-CN" w:eastAsia="zh-CN"/>
                <w14:textFill>
                  <w14:solidFill>
                    <w14:schemeClr w14:val="tx1"/>
                  </w14:solidFill>
                </w14:textFill>
              </w:rPr>
              <w:t>00.00元整）</w:t>
            </w:r>
          </w:p>
          <w:p w14:paraId="1321A057">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投标保证金可采用的其他形式：电汇、转账或保函，转出账户必须与投标单位名称一致，否则不予受理。</w:t>
            </w:r>
          </w:p>
          <w:p w14:paraId="24869A1D">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投标保证金形式：</w:t>
            </w:r>
            <w:r>
              <w:rPr>
                <w:rFonts w:hint="eastAsia" w:ascii="宋体" w:hAnsi="宋体" w:eastAsia="宋体" w:cs="宋体"/>
                <w:b/>
                <w:color w:val="000000" w:themeColor="text1"/>
                <w:sz w:val="24"/>
                <w:szCs w:val="24"/>
                <w:lang w:val="zh-CN" w:eastAsia="zh-CN"/>
                <w14:textFill>
                  <w14:solidFill>
                    <w14:schemeClr w14:val="tx1"/>
                  </w14:solidFill>
                </w14:textFill>
              </w:rPr>
              <w:t>非现金形式。为减少收取/退还保证金的手续，采用电汇、网银转账</w:t>
            </w:r>
            <w:r>
              <w:rPr>
                <w:rFonts w:hint="eastAsia" w:ascii="宋体" w:hAnsi="宋体" w:eastAsia="宋体" w:cs="宋体"/>
                <w:b/>
                <w:color w:val="000000" w:themeColor="text1"/>
                <w:sz w:val="24"/>
                <w:szCs w:val="24"/>
                <w:lang w:val="en-US" w:eastAsia="zh-CN"/>
                <w14:textFill>
                  <w14:solidFill>
                    <w14:schemeClr w14:val="tx1"/>
                  </w14:solidFill>
                </w14:textFill>
              </w:rPr>
              <w:t>或保函</w:t>
            </w:r>
            <w:r>
              <w:rPr>
                <w:rFonts w:hint="eastAsia" w:ascii="宋体" w:hAnsi="宋体" w:eastAsia="宋体" w:cs="宋体"/>
                <w:b/>
                <w:color w:val="000000" w:themeColor="text1"/>
                <w:sz w:val="24"/>
                <w:szCs w:val="24"/>
                <w:lang w:val="zh-CN" w:eastAsia="zh-CN"/>
                <w14:textFill>
                  <w14:solidFill>
                    <w14:schemeClr w14:val="tx1"/>
                  </w14:solidFill>
                </w14:textFill>
              </w:rPr>
              <w:t>方式缴纳保证金。</w:t>
            </w:r>
          </w:p>
          <w:p w14:paraId="68E12AAC">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（1）若采用电汇或转账</w:t>
            </w:r>
            <w:r>
              <w:rPr>
                <w:rFonts w:hint="eastAsia" w:ascii="宋体" w:hAnsi="宋体" w:eastAsia="宋体" w:cs="宋体"/>
                <w:b/>
                <w:color w:val="000000" w:themeColor="text1"/>
                <w:sz w:val="24"/>
                <w:szCs w:val="24"/>
                <w:lang w:val="zh-CN"/>
                <w14:textFill>
                  <w14:solidFill>
                    <w14:schemeClr w14:val="tx1"/>
                  </w14:solidFill>
                </w14:textFill>
              </w:rPr>
              <w:t>投标保证金</w:t>
            </w:r>
            <w:r>
              <w:rPr>
                <w:rFonts w:hint="eastAsia" w:ascii="宋体" w:hAnsi="宋体" w:eastAsia="宋体" w:cs="宋体"/>
                <w:b/>
                <w:color w:val="000000" w:themeColor="text1"/>
                <w:sz w:val="24"/>
                <w:szCs w:val="24"/>
                <w:lang w:val="zh-CN" w:eastAsia="zh-CN"/>
                <w14:textFill>
                  <w14:solidFill>
                    <w14:schemeClr w14:val="tx1"/>
                  </w14:solidFill>
                </w14:textFill>
              </w:rPr>
              <w:t>于</w:t>
            </w:r>
            <w:r>
              <w:rPr>
                <w:rFonts w:hint="eastAsia" w:cs="宋体"/>
                <w:b/>
                <w:color w:val="000000" w:themeColor="text1"/>
                <w:sz w:val="24"/>
                <w:szCs w:val="24"/>
                <w:lang w:val="en-US" w:eastAsia="zh-CN"/>
                <w14:textFill>
                  <w14:solidFill>
                    <w14:schemeClr w14:val="tx1"/>
                  </w14:solidFill>
                </w14:textFill>
              </w:rPr>
              <w:t>投标截止日期</w:t>
            </w:r>
            <w:r>
              <w:rPr>
                <w:rFonts w:hint="eastAsia" w:ascii="宋体" w:hAnsi="宋体" w:eastAsia="宋体" w:cs="宋体"/>
                <w:b/>
                <w:color w:val="000000" w:themeColor="text1"/>
                <w:sz w:val="24"/>
                <w:szCs w:val="24"/>
                <w:lang w:val="zh-CN"/>
                <w14:textFill>
                  <w14:solidFill>
                    <w14:schemeClr w14:val="tx1"/>
                  </w14:solidFill>
                </w14:textFill>
              </w:rPr>
              <w:t>之前从投标人基本账户以网银或银行电汇形式汇至本公司账户，否则其投标文件将被拒绝评审，投标人提交投标保证金应充分考虑资金在途时间。</w:t>
            </w:r>
          </w:p>
          <w:p w14:paraId="54BD9D46">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户名：新疆华域天恒工程管理有限公司</w:t>
            </w:r>
          </w:p>
          <w:p w14:paraId="25033787">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 xml:space="preserve">开户银行：中国农业银行股份有限公司吐鲁番高昌支行  </w:t>
            </w:r>
          </w:p>
          <w:p w14:paraId="7699D72E">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 xml:space="preserve">帐号：3026 5301 0400 1229 8     </w:t>
            </w:r>
          </w:p>
          <w:p w14:paraId="065F7452">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行号：1038 8302 6535</w:t>
            </w:r>
          </w:p>
          <w:p w14:paraId="3B51ED11">
            <w:pPr>
              <w:keepNext w:val="0"/>
              <w:keepLines w:val="0"/>
              <w:pageBreakBefore w:val="0"/>
              <w:numPr>
                <w:ilvl w:val="0"/>
                <w:numId w:val="3"/>
              </w:numPr>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若采用保函形式：采用保函形式应按以下要求办理：</w:t>
            </w:r>
            <w:r>
              <w:rPr>
                <w:rFonts w:hint="eastAsia" w:ascii="宋体" w:hAnsi="宋体" w:eastAsia="宋体" w:cs="宋体"/>
                <w:b/>
                <w:color w:val="000000" w:themeColor="text1"/>
                <w:sz w:val="24"/>
                <w:szCs w:val="24"/>
                <w:lang w:val="zh-CN"/>
                <w14:textFill>
                  <w14:solidFill>
                    <w14:schemeClr w14:val="tx1"/>
                  </w14:solidFill>
                </w14:textFill>
              </w:rPr>
              <w:t>备注：1、</w:t>
            </w:r>
            <w:r>
              <w:rPr>
                <w:rFonts w:hint="eastAsia" w:ascii="宋体" w:hAnsi="宋体" w:eastAsia="宋体" w:cs="宋体"/>
                <w:b/>
                <w:color w:val="000000" w:themeColor="text1"/>
                <w:sz w:val="24"/>
                <w:szCs w:val="24"/>
                <w:lang w:val="en-US" w:eastAsia="zh-CN"/>
                <w14:textFill>
                  <w14:solidFill>
                    <w14:schemeClr w14:val="tx1"/>
                  </w14:solidFill>
                </w14:textFill>
              </w:rPr>
              <w:t>保函须在招标文件规定的投标截止时间前办理完成</w:t>
            </w:r>
            <w:r>
              <w:rPr>
                <w:rFonts w:hint="eastAsia" w:ascii="宋体" w:hAnsi="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lang w:val="zh-CN"/>
                <w14:textFill>
                  <w14:solidFill>
                    <w14:schemeClr w14:val="tx1"/>
                  </w14:solidFill>
                </w14:textFill>
              </w:rPr>
              <w:t>保函金额不得少于保证金金额；</w:t>
            </w:r>
            <w:r>
              <w:rPr>
                <w:rFonts w:hint="eastAsia" w:ascii="宋体" w:hAnsi="宋体" w:eastAsia="宋体" w:cs="宋体"/>
                <w:b/>
                <w:color w:val="000000" w:themeColor="text1"/>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lang w:val="zh-CN"/>
                <w14:textFill>
                  <w14:solidFill>
                    <w14:schemeClr w14:val="tx1"/>
                  </w14:solidFill>
                </w14:textFill>
              </w:rPr>
              <w:t>、保函的有效期不得少于本项目投标有效期；</w:t>
            </w:r>
            <w:r>
              <w:rPr>
                <w:rFonts w:hint="eastAsia" w:ascii="宋体" w:hAnsi="宋体" w:eastAsia="宋体" w:cs="宋体"/>
                <w:b/>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sz w:val="24"/>
                <w:szCs w:val="24"/>
                <w:lang w:val="zh-CN"/>
                <w14:textFill>
                  <w14:solidFill>
                    <w14:schemeClr w14:val="tx1"/>
                  </w14:solidFill>
                </w14:textFill>
              </w:rPr>
              <w:t>、保函应是针对本项目开具的；</w:t>
            </w:r>
            <w:r>
              <w:rPr>
                <w:rFonts w:hint="eastAsia" w:ascii="宋体" w:hAnsi="宋体" w:eastAsia="宋体" w:cs="宋体"/>
                <w:b/>
                <w:color w:val="000000" w:themeColor="text1"/>
                <w:sz w:val="24"/>
                <w:szCs w:val="24"/>
                <w:lang w:val="en-US" w:eastAsia="zh-CN"/>
                <w14:textFill>
                  <w14:solidFill>
                    <w14:schemeClr w14:val="tx1"/>
                  </w14:solidFill>
                </w14:textFill>
              </w:rPr>
              <w:t>5、</w:t>
            </w:r>
            <w:r>
              <w:rPr>
                <w:rFonts w:hint="eastAsia" w:ascii="宋体" w:hAnsi="宋体" w:eastAsia="宋体" w:cs="宋体"/>
                <w:b/>
                <w:color w:val="000000" w:themeColor="text1"/>
                <w:sz w:val="24"/>
                <w:szCs w:val="24"/>
                <w:lang w:val="zh-CN"/>
                <w14:textFill>
                  <w14:solidFill>
                    <w14:schemeClr w14:val="tx1"/>
                  </w14:solidFill>
                </w14:textFill>
              </w:rPr>
              <w:t>保函</w:t>
            </w:r>
            <w:r>
              <w:rPr>
                <w:rFonts w:hint="eastAsia" w:ascii="宋体" w:hAnsi="宋体" w:eastAsia="宋体" w:cs="宋体"/>
                <w:b/>
                <w:color w:val="000000" w:themeColor="text1"/>
                <w:sz w:val="24"/>
                <w:szCs w:val="24"/>
                <w:lang w:val="zh-CN" w:eastAsia="zh-CN"/>
                <w14:textFill>
                  <w14:solidFill>
                    <w14:schemeClr w14:val="tx1"/>
                  </w14:solidFill>
                </w14:textFill>
              </w:rPr>
              <w:t>是</w:t>
            </w:r>
            <w:r>
              <w:rPr>
                <w:rFonts w:hint="eastAsia" w:ascii="宋体" w:hAnsi="宋体" w:eastAsia="宋体" w:cs="宋体"/>
                <w:b/>
                <w:color w:val="000000" w:themeColor="text1"/>
                <w:sz w:val="24"/>
                <w:szCs w:val="24"/>
                <w:lang w:val="zh-CN"/>
                <w14:textFill>
                  <w14:solidFill>
                    <w14:schemeClr w14:val="tx1"/>
                  </w14:solidFill>
                </w14:textFill>
              </w:rPr>
              <w:t>投标</w:t>
            </w:r>
            <w:r>
              <w:rPr>
                <w:rFonts w:hint="eastAsia" w:ascii="宋体" w:hAnsi="宋体" w:eastAsia="宋体" w:cs="宋体"/>
                <w:b/>
                <w:color w:val="000000" w:themeColor="text1"/>
                <w:sz w:val="24"/>
                <w:szCs w:val="24"/>
                <w:lang w:val="zh-CN" w:eastAsia="zh-CN"/>
                <w14:textFill>
                  <w14:solidFill>
                    <w14:schemeClr w14:val="tx1"/>
                  </w14:solidFill>
                </w14:textFill>
              </w:rPr>
              <w:t>文件中组成部分；</w:t>
            </w:r>
            <w:r>
              <w:rPr>
                <w:rFonts w:hint="eastAsia" w:ascii="宋体" w:hAnsi="宋体" w:eastAsia="宋体" w:cs="宋体"/>
                <w:b/>
                <w:color w:val="000000" w:themeColor="text1"/>
                <w:sz w:val="24"/>
                <w:szCs w:val="24"/>
                <w:lang w:val="en-US" w:eastAsia="zh-CN"/>
                <w14:textFill>
                  <w14:solidFill>
                    <w14:schemeClr w14:val="tx1"/>
                  </w14:solidFill>
                </w14:textFill>
              </w:rPr>
              <w:t>6.保函按照“一项目一保函”的原则</w:t>
            </w:r>
            <w:r>
              <w:rPr>
                <w:rFonts w:hint="eastAsia" w:ascii="宋体" w:hAnsi="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7.投标单位提供的保函必须真实有效，否则后果自负。</w:t>
            </w:r>
          </w:p>
          <w:p w14:paraId="26C39243">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注：投标人向银行办理投标保证金汇（转）款时，应在用途栏（备注栏）准确注明“（简写项目名称）投标保证金”字样，由于未按要求注明信息而导致的一切后果由投标人承担。</w:t>
            </w:r>
          </w:p>
          <w:p w14:paraId="05A9276B">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未按时提交投标保证金的投标文件无效。</w:t>
            </w:r>
          </w:p>
          <w:p w14:paraId="185F4721">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退投标保证金程序：</w:t>
            </w:r>
          </w:p>
          <w:p w14:paraId="6E308599">
            <w:pPr>
              <w:pStyle w:val="29"/>
              <w:keepNext w:val="0"/>
              <w:keepLines w:val="0"/>
              <w:pageBreakBefore w:val="0"/>
              <w:widowControl/>
              <w:kinsoku/>
              <w:wordWrap/>
              <w:overflowPunct/>
              <w:topLinePunct w:val="0"/>
              <w:bidi w:val="0"/>
              <w:snapToGrid/>
              <w:spacing w:line="320" w:lineRule="exac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xml:space="preserve">  退还投标保证金时间：中标公示期满后5个工作日内，未中标单位保证金可退还，在合同签订后中标</w:t>
            </w:r>
            <w:r>
              <w:rPr>
                <w:rFonts w:hint="eastAsia" w:ascii="宋体" w:hAnsi="宋体" w:eastAsia="宋体" w:cs="宋体"/>
                <w:b/>
                <w:color w:val="000000" w:themeColor="text1"/>
                <w:sz w:val="24"/>
                <w:szCs w:val="24"/>
                <w:lang w:val="en-US" w:eastAsia="zh-CN"/>
                <w14:textFill>
                  <w14:solidFill>
                    <w14:schemeClr w14:val="tx1"/>
                  </w14:solidFill>
                </w14:textFill>
              </w:rPr>
              <w:t>单位</w:t>
            </w:r>
            <w:r>
              <w:rPr>
                <w:rFonts w:hint="eastAsia" w:ascii="宋体" w:hAnsi="宋体" w:eastAsia="宋体" w:cs="宋体"/>
                <w:b/>
                <w:color w:val="000000" w:themeColor="text1"/>
                <w:sz w:val="24"/>
                <w:szCs w:val="24"/>
                <w:lang w:val="zh-CN" w:eastAsia="zh-CN"/>
                <w14:textFill>
                  <w14:solidFill>
                    <w14:schemeClr w14:val="tx1"/>
                  </w14:solidFill>
                </w14:textFill>
              </w:rPr>
              <w:t>的保证金可退还。</w:t>
            </w:r>
          </w:p>
        </w:tc>
      </w:tr>
      <w:tr w14:paraId="1A27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1168" w:type="dxa"/>
            <w:noWrap w:val="0"/>
            <w:vAlign w:val="center"/>
          </w:tcPr>
          <w:p w14:paraId="55A9D2FF">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2470" w:type="dxa"/>
            <w:noWrap w:val="0"/>
            <w:vAlign w:val="center"/>
          </w:tcPr>
          <w:p w14:paraId="0395C326">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1F024B31">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2D0A59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合格供应商的资格要求</w:t>
            </w:r>
          </w:p>
          <w:p w14:paraId="670815EE">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5426" w:type="dxa"/>
            <w:noWrap w:val="0"/>
            <w:vAlign w:val="center"/>
          </w:tcPr>
          <w:p w14:paraId="15BD565D">
            <w:pPr>
              <w:pStyle w:val="16"/>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（1）公路工程施工总承包叁级及以上资质。项目经理须具备公路工程专业注册建造师二级及以上执业资格，持有有效的交通运输主管部门颁发的安全生产考核合格证书(B类) 。（2）投标人在人员、设备、资金等方面具有相应的施工能力，具备有效的安全生产许可证。</w:t>
            </w:r>
          </w:p>
        </w:tc>
      </w:tr>
      <w:tr w14:paraId="0DD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546C4362">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2470" w:type="dxa"/>
            <w:noWrap w:val="0"/>
            <w:vAlign w:val="center"/>
          </w:tcPr>
          <w:p w14:paraId="356016C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3C9025D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是否为专门面向中小企业采购</w:t>
            </w:r>
          </w:p>
        </w:tc>
        <w:tc>
          <w:tcPr>
            <w:tcW w:w="5426" w:type="dxa"/>
            <w:noWrap w:val="0"/>
            <w:vAlign w:val="center"/>
          </w:tcPr>
          <w:p w14:paraId="14B9E74F">
            <w:pPr>
              <w:pStyle w:val="29"/>
              <w:keepNext w:val="0"/>
              <w:keepLines w:val="0"/>
              <w:pageBreakBefore w:val="0"/>
              <w:widowControl/>
              <w:kinsoku/>
              <w:wordWrap/>
              <w:overflowPunct/>
              <w:topLinePunct w:val="0"/>
              <w:bidi w:val="0"/>
              <w:snapToGrid/>
              <w:spacing w:line="32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是（专门面向中小企业采购，投标单位需出具《中小企业声明函；本项目所属行业：建筑业。</w:t>
            </w:r>
          </w:p>
        </w:tc>
      </w:tr>
      <w:tr w14:paraId="4CAE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8" w:type="dxa"/>
            <w:noWrap w:val="0"/>
            <w:vAlign w:val="center"/>
          </w:tcPr>
          <w:p w14:paraId="497F403B">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2470" w:type="dxa"/>
            <w:noWrap w:val="0"/>
            <w:vAlign w:val="center"/>
          </w:tcPr>
          <w:p w14:paraId="0DFCF766">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是否允许联合体投标</w:t>
            </w:r>
          </w:p>
        </w:tc>
        <w:tc>
          <w:tcPr>
            <w:tcW w:w="5426" w:type="dxa"/>
            <w:noWrap w:val="0"/>
            <w:vAlign w:val="center"/>
          </w:tcPr>
          <w:p w14:paraId="5CB1F597">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否    </w:t>
            </w:r>
          </w:p>
        </w:tc>
      </w:tr>
      <w:tr w14:paraId="4A9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60EBFF26">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2470" w:type="dxa"/>
            <w:noWrap w:val="0"/>
            <w:vAlign w:val="center"/>
          </w:tcPr>
          <w:p w14:paraId="4FD2D3A0">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联合体的其他资格要求</w:t>
            </w:r>
          </w:p>
        </w:tc>
        <w:tc>
          <w:tcPr>
            <w:tcW w:w="5426" w:type="dxa"/>
            <w:noWrap w:val="0"/>
            <w:vAlign w:val="center"/>
          </w:tcPr>
          <w:p w14:paraId="7102B863">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不允许联合体投标</w:t>
            </w:r>
          </w:p>
        </w:tc>
      </w:tr>
      <w:tr w14:paraId="767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71A89198">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w:t>
            </w:r>
          </w:p>
        </w:tc>
        <w:tc>
          <w:tcPr>
            <w:tcW w:w="2470" w:type="dxa"/>
            <w:noWrap w:val="0"/>
            <w:vAlign w:val="center"/>
          </w:tcPr>
          <w:p w14:paraId="01C58429">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项目预算金额及最高限价</w:t>
            </w:r>
          </w:p>
        </w:tc>
        <w:tc>
          <w:tcPr>
            <w:tcW w:w="5426" w:type="dxa"/>
            <w:noWrap w:val="0"/>
            <w:vAlign w:val="center"/>
          </w:tcPr>
          <w:p w14:paraId="548C81AC">
            <w:pPr>
              <w:pStyle w:val="29"/>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项目预算金额：574000.00元；</w:t>
            </w:r>
          </w:p>
          <w:p w14:paraId="3776F027">
            <w:pPr>
              <w:pStyle w:val="29"/>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最高限价：549757元（各投标单位报价不得超过最高限价，否则将按废标处理。）</w:t>
            </w:r>
          </w:p>
        </w:tc>
      </w:tr>
      <w:tr w14:paraId="6DF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8" w:type="dxa"/>
            <w:noWrap w:val="0"/>
            <w:vAlign w:val="center"/>
          </w:tcPr>
          <w:p w14:paraId="1EF2BAB3">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2470" w:type="dxa"/>
            <w:noWrap w:val="0"/>
            <w:vAlign w:val="center"/>
          </w:tcPr>
          <w:p w14:paraId="118FCB1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项目资金来源</w:t>
            </w:r>
          </w:p>
        </w:tc>
        <w:tc>
          <w:tcPr>
            <w:tcW w:w="5426" w:type="dxa"/>
            <w:noWrap w:val="0"/>
            <w:vAlign w:val="center"/>
          </w:tcPr>
          <w:p w14:paraId="53330EB9">
            <w:pPr>
              <w:pStyle w:val="29"/>
              <w:keepNext w:val="0"/>
              <w:keepLines w:val="0"/>
              <w:pageBreakBefore w:val="0"/>
              <w:widowControl/>
              <w:kinsoku/>
              <w:wordWrap/>
              <w:overflowPunct/>
              <w:topLinePunct w:val="0"/>
              <w:bidi w:val="0"/>
              <w:snapToGrid/>
              <w:spacing w:line="320" w:lineRule="exact"/>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自治区财政衔接推进乡村振兴补助资金</w:t>
            </w:r>
          </w:p>
        </w:tc>
      </w:tr>
      <w:tr w14:paraId="1B3B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68" w:type="dxa"/>
            <w:noWrap w:val="0"/>
            <w:vAlign w:val="center"/>
          </w:tcPr>
          <w:p w14:paraId="12C35246">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2470" w:type="dxa"/>
            <w:noWrap w:val="0"/>
            <w:vAlign w:val="center"/>
          </w:tcPr>
          <w:p w14:paraId="1B4EC1FF">
            <w:pPr>
              <w:pStyle w:val="29"/>
              <w:keepNext w:val="0"/>
              <w:keepLines w:val="0"/>
              <w:pageBreakBefore w:val="0"/>
              <w:widowControl/>
              <w:kinsoku/>
              <w:wordWrap/>
              <w:overflowPunct/>
              <w:topLinePunct w:val="0"/>
              <w:bidi w:val="0"/>
              <w:snapToGrid/>
              <w:spacing w:line="320" w:lineRule="exact"/>
              <w:ind w:firstLine="480" w:firstLineChars="20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工期</w:t>
            </w:r>
          </w:p>
        </w:tc>
        <w:tc>
          <w:tcPr>
            <w:tcW w:w="5426" w:type="dxa"/>
            <w:noWrap w:val="0"/>
            <w:vAlign w:val="center"/>
          </w:tcPr>
          <w:p w14:paraId="74EF20E0">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合同签订后90日历天内。</w:t>
            </w:r>
          </w:p>
        </w:tc>
      </w:tr>
      <w:tr w14:paraId="167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168" w:type="dxa"/>
            <w:noWrap w:val="0"/>
            <w:vAlign w:val="center"/>
          </w:tcPr>
          <w:p w14:paraId="2574CEB8">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2470" w:type="dxa"/>
            <w:noWrap w:val="0"/>
            <w:vAlign w:val="center"/>
          </w:tcPr>
          <w:p w14:paraId="75B65EEF">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p>
          <w:p w14:paraId="1BFA77AE">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响应文件提交截止时间</w:t>
            </w:r>
          </w:p>
        </w:tc>
        <w:tc>
          <w:tcPr>
            <w:tcW w:w="5426" w:type="dxa"/>
            <w:noWrap w:val="0"/>
            <w:vAlign w:val="center"/>
          </w:tcPr>
          <w:p w14:paraId="2E093061">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截止时间：2026年05月26日17:00（北京时间）　　　　　　　　　　　　　</w:t>
            </w:r>
          </w:p>
          <w:p w14:paraId="46F12EEB">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响应文件递交至：政采云投标客户端投标（https://www.zcygov.cn/），本项目采用不见面开标，加密的电子磋商文件在投标截止时间前通过CA在政采云平台上传。　</w:t>
            </w:r>
          </w:p>
        </w:tc>
      </w:tr>
      <w:tr w14:paraId="73A1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noWrap w:val="0"/>
            <w:vAlign w:val="center"/>
          </w:tcPr>
          <w:p w14:paraId="1D584B4B">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p>
        </w:tc>
        <w:tc>
          <w:tcPr>
            <w:tcW w:w="2470" w:type="dxa"/>
            <w:noWrap w:val="0"/>
            <w:vAlign w:val="center"/>
          </w:tcPr>
          <w:p w14:paraId="164C6188">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p>
          <w:p w14:paraId="28A106C5">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磋商时间及地点</w:t>
            </w:r>
          </w:p>
        </w:tc>
        <w:tc>
          <w:tcPr>
            <w:tcW w:w="5426" w:type="dxa"/>
            <w:noWrap w:val="0"/>
            <w:vAlign w:val="top"/>
          </w:tcPr>
          <w:p w14:paraId="34372E8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磋商时间：2026年05月26日17:00（北京时间）</w:t>
            </w:r>
          </w:p>
          <w:p w14:paraId="3BB7CEEB">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地点：政采云投标客户端https://www.zcygov.cn/磋商文件开启当日，供应商无需到达开标现场，仅需通过政采云平台“不见面”开标大厅完成远程解密。大厅操作提示：①开标前一小时在系统进行在线签到②30分钟内完成在线解密③开标结束后30分钟内完成“开标一览表”在线签章。注意：如未在规定时间进行以上操作，将导致投标（响应）无效。</w:t>
            </w:r>
          </w:p>
        </w:tc>
      </w:tr>
      <w:tr w14:paraId="2406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noWrap w:val="0"/>
            <w:vAlign w:val="center"/>
          </w:tcPr>
          <w:p w14:paraId="40FBA142">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2470" w:type="dxa"/>
            <w:noWrap w:val="0"/>
            <w:vAlign w:val="center"/>
          </w:tcPr>
          <w:p w14:paraId="288F6467">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采购人是否委托磋商小组直接确定成交供应商</w:t>
            </w:r>
          </w:p>
        </w:tc>
        <w:tc>
          <w:tcPr>
            <w:tcW w:w="5426" w:type="dxa"/>
            <w:noWrap w:val="0"/>
            <w:vAlign w:val="center"/>
          </w:tcPr>
          <w:p w14:paraId="482434D2">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是</w:t>
            </w:r>
          </w:p>
        </w:tc>
      </w:tr>
      <w:tr w14:paraId="2F3E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68" w:type="dxa"/>
            <w:noWrap w:val="0"/>
            <w:vAlign w:val="center"/>
          </w:tcPr>
          <w:p w14:paraId="20E8E687">
            <w:pPr>
              <w:pStyle w:val="29"/>
              <w:keepNext w:val="0"/>
              <w:keepLines w:val="0"/>
              <w:pageBreakBefore w:val="0"/>
              <w:widowControl/>
              <w:kinsoku/>
              <w:wordWrap/>
              <w:overflowPunct/>
              <w:topLinePunct w:val="0"/>
              <w:bidi w:val="0"/>
              <w:snapToGrid/>
              <w:spacing w:line="320" w:lineRule="exac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20</w:t>
            </w:r>
          </w:p>
        </w:tc>
        <w:tc>
          <w:tcPr>
            <w:tcW w:w="2470" w:type="dxa"/>
            <w:noWrap w:val="0"/>
            <w:vAlign w:val="center"/>
          </w:tcPr>
          <w:p w14:paraId="7946E34A">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是否提交履约保证金</w:t>
            </w:r>
          </w:p>
        </w:tc>
        <w:tc>
          <w:tcPr>
            <w:tcW w:w="5426" w:type="dxa"/>
            <w:noWrap w:val="0"/>
            <w:vAlign w:val="center"/>
          </w:tcPr>
          <w:p w14:paraId="43B8AC42">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否  </w:t>
            </w:r>
          </w:p>
        </w:tc>
      </w:tr>
      <w:tr w14:paraId="1422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noWrap w:val="0"/>
            <w:vAlign w:val="center"/>
          </w:tcPr>
          <w:p w14:paraId="3FCB1BB9">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21</w:t>
            </w:r>
          </w:p>
        </w:tc>
        <w:tc>
          <w:tcPr>
            <w:tcW w:w="2470" w:type="dxa"/>
            <w:noWrap w:val="0"/>
            <w:vAlign w:val="center"/>
          </w:tcPr>
          <w:p w14:paraId="725C4FC7">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其他政府采购政策</w:t>
            </w:r>
          </w:p>
        </w:tc>
        <w:tc>
          <w:tcPr>
            <w:tcW w:w="5426" w:type="dxa"/>
            <w:noWrap w:val="0"/>
            <w:vAlign w:val="center"/>
          </w:tcPr>
          <w:p w14:paraId="40F2121A">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（一）满足《中华人民共和国政府采购法》第二十二条规定；</w:t>
            </w:r>
          </w:p>
          <w:p w14:paraId="52148D0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（二）落实政府采购政策需满足的资格要求：(1)财政部、发展改革委、生态环境部、市场监管总局《关于调整优化节能产品、环境标志产品政府采购执行机制的通知》（财库〔2019〕9号）； (2)财政部、工业和信息化部《关于印发《政府采购促进中小企业发展管理办法》的通知》（财库[2020]46号）；(3)财政部、民政部、中国残疾人联合会《关于促进残疾人就业政府采购政策的通知》（财库[2017]141号）；(4)财政部、司法部《关于政府采购支持监狱企业发展有关问题的通知》（财库[2014]68号）。</w:t>
            </w:r>
          </w:p>
        </w:tc>
      </w:tr>
      <w:tr w14:paraId="6B61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2876CAE3">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2470" w:type="dxa"/>
            <w:noWrap w:val="0"/>
            <w:vAlign w:val="center"/>
          </w:tcPr>
          <w:p w14:paraId="625D4B77">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磋商文件份数</w:t>
            </w:r>
          </w:p>
        </w:tc>
        <w:tc>
          <w:tcPr>
            <w:tcW w:w="5426" w:type="dxa"/>
            <w:noWrap w:val="0"/>
            <w:vAlign w:val="top"/>
          </w:tcPr>
          <w:p w14:paraId="652BCA0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加密的电子响应文件应在递交截止时间前通过政采云平台上传完成</w:t>
            </w:r>
          </w:p>
        </w:tc>
      </w:tr>
      <w:tr w14:paraId="430D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2D732C46">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2470" w:type="dxa"/>
            <w:noWrap w:val="0"/>
            <w:vAlign w:val="center"/>
          </w:tcPr>
          <w:p w14:paraId="1D2EC20A">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1285E81">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491538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实质性要求和条件</w:t>
            </w:r>
          </w:p>
        </w:tc>
        <w:tc>
          <w:tcPr>
            <w:tcW w:w="5426" w:type="dxa"/>
            <w:noWrap w:val="0"/>
            <w:vAlign w:val="top"/>
          </w:tcPr>
          <w:p w14:paraId="051EB086">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14:paraId="3DF1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68" w:type="dxa"/>
            <w:noWrap w:val="0"/>
            <w:vAlign w:val="center"/>
          </w:tcPr>
          <w:p w14:paraId="5D17F5FD">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2470" w:type="dxa"/>
            <w:noWrap w:val="0"/>
            <w:vAlign w:val="center"/>
          </w:tcPr>
          <w:p w14:paraId="24DE7156">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p>
          <w:p w14:paraId="1DBC0BE6">
            <w:pPr>
              <w:pStyle w:val="29"/>
              <w:keepNext w:val="0"/>
              <w:keepLines w:val="0"/>
              <w:pageBreakBefore w:val="0"/>
              <w:widowControl/>
              <w:kinsoku/>
              <w:wordWrap/>
              <w:overflowPunct/>
              <w:topLinePunct w:val="0"/>
              <w:bidi w:val="0"/>
              <w:snapToGrid/>
              <w:spacing w:line="320" w:lineRule="exact"/>
              <w:ind w:firstLine="480" w:firstLineChars="2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报价说明</w:t>
            </w:r>
          </w:p>
        </w:tc>
        <w:tc>
          <w:tcPr>
            <w:tcW w:w="5426" w:type="dxa"/>
            <w:noWrap w:val="0"/>
            <w:vAlign w:val="top"/>
          </w:tcPr>
          <w:p w14:paraId="781BF3D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采用竞争性磋商，通过磋商，仅对满足竞争性磋商文件实质性要求的供应商，进行第二次最终报价，但最终报价不得高于第一次报价，否则其投标将被否决。</w:t>
            </w:r>
            <w:r>
              <w:rPr>
                <w:rFonts w:hint="eastAsia" w:ascii="宋体" w:hAnsi="宋体" w:eastAsia="宋体" w:cs="宋体"/>
                <w:b/>
                <w:bCs/>
                <w:color w:val="auto"/>
                <w:kern w:val="0"/>
                <w:sz w:val="24"/>
                <w:szCs w:val="24"/>
                <w:highlight w:val="none"/>
                <w:lang w:val="en-US" w:eastAsia="zh-CN"/>
              </w:rPr>
              <w:t>本次招标有二次报价环节，如第二次未在规定时间内报价，视为退出磋商，投标无效。</w:t>
            </w:r>
          </w:p>
        </w:tc>
      </w:tr>
      <w:tr w14:paraId="7367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168" w:type="dxa"/>
            <w:noWrap w:val="0"/>
            <w:vAlign w:val="center"/>
          </w:tcPr>
          <w:p w14:paraId="78E6935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61BB4879">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0F3292C1">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6FEA34A4">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520B955C">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4B921367">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2B994CCC">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09F6BCFB">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2470" w:type="dxa"/>
            <w:noWrap w:val="0"/>
            <w:vAlign w:val="center"/>
          </w:tcPr>
          <w:p w14:paraId="3C6E298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0EDF36D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9B3773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83E4E9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9FF52A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2062D39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53D375F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11CB8B2F">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E93985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7CD071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1BF52AB3">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磋商文件解密时长</w:t>
            </w:r>
          </w:p>
        </w:tc>
        <w:tc>
          <w:tcPr>
            <w:tcW w:w="5426" w:type="dxa"/>
            <w:noWrap w:val="0"/>
            <w:vAlign w:val="top"/>
          </w:tcPr>
          <w:p w14:paraId="3460AC8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磋商文件解密时长：30分钟（过时未进行解密的磋商文件，开标现场不进行解密时间延长。）</w:t>
            </w:r>
          </w:p>
          <w:p w14:paraId="1F8FA258">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磋商文件将被退回；因网上招投标平台发生故障，导致无法按时完成磋商文件解密或开、评标工作无法进行的，可根据实际情况相应延迟解密时间或调整开、评标时间。</w:t>
            </w:r>
          </w:p>
          <w:p w14:paraId="7289B3B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（友情提示：若供应商已领取副锁（含多把副锁）请注意正副锁的使用差别，务必使用生成磋商文件的那把锁解密）</w:t>
            </w:r>
          </w:p>
        </w:tc>
      </w:tr>
      <w:tr w14:paraId="78E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04FE4A1D">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p>
        </w:tc>
        <w:tc>
          <w:tcPr>
            <w:tcW w:w="2470" w:type="dxa"/>
            <w:noWrap w:val="0"/>
            <w:vAlign w:val="center"/>
          </w:tcPr>
          <w:p w14:paraId="5B14C00C">
            <w:pPr>
              <w:pStyle w:val="29"/>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0"/>
                <w:sz w:val="24"/>
                <w:szCs w:val="24"/>
                <w:highlight w:val="none"/>
                <w:lang w:val="en-US" w:eastAsia="zh-CN"/>
              </w:rPr>
            </w:pPr>
          </w:p>
          <w:p w14:paraId="04EEBBFE">
            <w:pPr>
              <w:pStyle w:val="29"/>
              <w:keepNext w:val="0"/>
              <w:keepLines w:val="0"/>
              <w:pageBreakBefore w:val="0"/>
              <w:widowControl/>
              <w:kinsoku/>
              <w:wordWrap/>
              <w:overflowPunct/>
              <w:topLinePunct w:val="0"/>
              <w:autoSpaceDE/>
              <w:autoSpaceDN/>
              <w:bidi w:val="0"/>
              <w:adjustRightInd/>
              <w:snapToGrid/>
              <w:spacing w:line="320" w:lineRule="exact"/>
              <w:ind w:firstLine="960" w:firstLineChars="4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tc>
        <w:tc>
          <w:tcPr>
            <w:tcW w:w="5426" w:type="dxa"/>
            <w:noWrap w:val="0"/>
            <w:vAlign w:val="top"/>
          </w:tcPr>
          <w:p w14:paraId="27F35686">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1、各供应商必须针对项目制作磋商文件并报价，磋商文件均必须满足招标文件份数与制作等要求，否则将导致投标被拒绝。</w:t>
            </w:r>
          </w:p>
          <w:p w14:paraId="413DDFCD">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2、当出现下列情形之一，磋商文件将予以退回：</w:t>
            </w:r>
          </w:p>
          <w:p w14:paraId="2ACE8286">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（1）供应商在磋商文件递交截止时间前未成功上传加密电子磋商文件；</w:t>
            </w:r>
          </w:p>
          <w:p w14:paraId="3DA3D4CC">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（2）供应商使用解密的CA数字证书与上传加密磋商文件使用的CA数字证书不一致；</w:t>
            </w:r>
          </w:p>
          <w:p w14:paraId="08D1688A">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（3）供应商解密时CA数字证书已过期，导致无法正常解密；</w:t>
            </w:r>
          </w:p>
          <w:p w14:paraId="6B501EF7">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（4）加密磋商文件时，CA数字证书未过期，解密时，显示CA数字证书已过期，导致无法正常解密；</w:t>
            </w:r>
          </w:p>
          <w:p w14:paraId="633B8A85">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（5）未在规定的磋商文件解密时间内进行解密的；</w:t>
            </w:r>
          </w:p>
          <w:p w14:paraId="09F670FE">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（6）供应商个人原因导致无法解密的其他情形。 </w:t>
            </w:r>
          </w:p>
          <w:p w14:paraId="2997391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3、供应商应在投标截止时间前将投标时使用的计算机安装相关的浏览器（推荐使用谷歌浏览器）、CA驱动等软件，方便磋商文件解密时能够正常解密。</w:t>
            </w:r>
          </w:p>
          <w:p w14:paraId="18A219A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4、供应商需在投标截止时间前自行测试开标时使用的计算机，如因供应商自身原因导致磋商文件解密失败的，由供应商自行承担相应后果。</w:t>
            </w:r>
          </w:p>
          <w:p w14:paraId="7B09EEFC">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本次采购，供应商须按招标文件第二章“投标须知”中规定的内容提交磋商文件。并根据第六章“磋商文件格式”中的全部内容进行磋商文件的编制，在评标过程中若发现供应商的磋商文件内容未按照招标文件编制，编制内容存在缺失或提供无效资料的，将导致投标被拒绝。所有资料均不允许在投标截止时间后补正。</w:t>
            </w:r>
          </w:p>
          <w:p w14:paraId="17B8390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w:t>
            </w:r>
          </w:p>
          <w:p w14:paraId="2319B1E7">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1、无论何种原因，在磋商文件中未提供相应材料的，评审小组将视同其未提供。</w:t>
            </w:r>
          </w:p>
          <w:p w14:paraId="19143704">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2、各供应商应在开标前应确保成为新疆政府采购网正式注册入库供应商，并完成CA数字证书（符合国密标准）申领。如需咨询，请联系新疆CA服务热线0991-2819290；</w:t>
            </w:r>
          </w:p>
          <w:p w14:paraId="1C207579">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14:paraId="23B52538">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4、供应商首次参加政府采购活动的，可前往新疆政府采购网（ http://www.ccgp-xinjiang.gov.cn/）下载操作指南。（步骤：进入新疆政府采购网（http://www.ccgp-xinjiang.gov.cn/）点击主页面的办事指南—选择并下载供应商政采云平台操作指南。）</w:t>
            </w:r>
          </w:p>
        </w:tc>
      </w:tr>
      <w:tr w14:paraId="6EE2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244DF2C8">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2470" w:type="dxa"/>
            <w:noWrap w:val="0"/>
            <w:vAlign w:val="center"/>
          </w:tcPr>
          <w:p w14:paraId="56848A90">
            <w:pPr>
              <w:pStyle w:val="43"/>
              <w:keepNext w:val="0"/>
              <w:keepLines w:val="0"/>
              <w:pageBreakBefore w:val="0"/>
              <w:kinsoku/>
              <w:wordWrap/>
              <w:overflowPunct/>
              <w:topLinePunct w:val="0"/>
              <w:bidi w:val="0"/>
              <w:snapToGrid/>
              <w:spacing w:line="320" w:lineRule="exact"/>
              <w:ind w:left="96" w:left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推荐的成交候选人数量</w:t>
            </w:r>
          </w:p>
        </w:tc>
        <w:tc>
          <w:tcPr>
            <w:tcW w:w="5426" w:type="dxa"/>
            <w:noWrap w:val="0"/>
            <w:vAlign w:val="center"/>
          </w:tcPr>
          <w:p w14:paraId="79C65704">
            <w:pPr>
              <w:pStyle w:val="43"/>
              <w:keepNext w:val="0"/>
              <w:keepLines w:val="0"/>
              <w:pageBreakBefore w:val="0"/>
              <w:kinsoku/>
              <w:wordWrap/>
              <w:overflowPunct/>
              <w:topLinePunct w:val="0"/>
              <w:bidi w:val="0"/>
              <w:snapToGrid/>
              <w:spacing w:line="320" w:lineRule="exact"/>
              <w:ind w:left="96"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家</w:t>
            </w:r>
          </w:p>
        </w:tc>
      </w:tr>
      <w:tr w14:paraId="2B21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6BA41335">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w:t>
            </w:r>
          </w:p>
        </w:tc>
        <w:tc>
          <w:tcPr>
            <w:tcW w:w="2470" w:type="dxa"/>
            <w:noWrap w:val="0"/>
            <w:vAlign w:val="center"/>
          </w:tcPr>
          <w:p w14:paraId="295A0B25">
            <w:pPr>
              <w:pStyle w:val="43"/>
              <w:keepNext w:val="0"/>
              <w:keepLines w:val="0"/>
              <w:pageBreakBefore w:val="0"/>
              <w:kinsoku/>
              <w:wordWrap/>
              <w:overflowPunct/>
              <w:topLinePunct w:val="0"/>
              <w:bidi w:val="0"/>
              <w:snapToGrid/>
              <w:spacing w:line="320" w:lineRule="exact"/>
              <w:ind w:left="96" w:left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招标代理费</w:t>
            </w:r>
          </w:p>
        </w:tc>
        <w:tc>
          <w:tcPr>
            <w:tcW w:w="5426" w:type="dxa"/>
            <w:noWrap w:val="0"/>
            <w:vAlign w:val="center"/>
          </w:tcPr>
          <w:p w14:paraId="0889BA5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代理费收取方式：电汇或银行转账</w:t>
            </w:r>
          </w:p>
          <w:p w14:paraId="61352BE2">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en-US"/>
                <w14:textFill>
                  <w14:solidFill>
                    <w14:schemeClr w14:val="tx1"/>
                  </w14:solidFill>
                </w14:textFill>
              </w:rPr>
              <w:t>代理费收取标准：</w:t>
            </w: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参照计价格【2002】1980号及发改办价格【2003】857号相关内容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下浮10％收取</w:t>
            </w: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，由中标人支付。</w:t>
            </w:r>
          </w:p>
        </w:tc>
      </w:tr>
      <w:tr w14:paraId="2942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7FD0B74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tc>
        <w:tc>
          <w:tcPr>
            <w:tcW w:w="2470" w:type="dxa"/>
            <w:noWrap w:val="0"/>
            <w:vAlign w:val="center"/>
          </w:tcPr>
          <w:p w14:paraId="26D3ACC1">
            <w:pPr>
              <w:pStyle w:val="43"/>
              <w:keepNext w:val="0"/>
              <w:keepLines w:val="0"/>
              <w:pageBreakBefore w:val="0"/>
              <w:kinsoku/>
              <w:wordWrap/>
              <w:overflowPunct/>
              <w:topLinePunct w:val="0"/>
              <w:bidi w:val="0"/>
              <w:snapToGrid/>
              <w:spacing w:line="320" w:lineRule="exact"/>
              <w:ind w:left="96" w:leftChars="0"/>
              <w:jc w:val="center"/>
              <w:textAlignment w:val="auto"/>
              <w:rPr>
                <w:rFonts w:hint="eastAsia" w:ascii="宋体" w:hAnsi="宋体" w:eastAsia="宋体" w:cs="宋体"/>
                <w:color w:val="auto"/>
                <w:sz w:val="24"/>
                <w:szCs w:val="24"/>
                <w:lang w:val="zh-CN"/>
              </w:rPr>
            </w:pPr>
            <w:r>
              <w:rPr>
                <w:rFonts w:hint="eastAsia" w:cs="宋体"/>
                <w:b/>
                <w:bCs/>
                <w:color w:val="auto"/>
                <w:sz w:val="24"/>
                <w:szCs w:val="24"/>
                <w:lang w:val="en-US" w:eastAsia="zh-CN"/>
              </w:rPr>
              <w:t>注</w:t>
            </w:r>
          </w:p>
        </w:tc>
        <w:tc>
          <w:tcPr>
            <w:tcW w:w="5426" w:type="dxa"/>
            <w:noWrap w:val="0"/>
            <w:vAlign w:val="center"/>
          </w:tcPr>
          <w:p w14:paraId="49F4CAF7">
            <w:pPr>
              <w:keepNext w:val="0"/>
              <w:keepLines w:val="0"/>
              <w:pageBreakBefore w:val="0"/>
              <w:tabs>
                <w:tab w:val="left" w:pos="7665"/>
              </w:tabs>
              <w:kinsoku/>
              <w:wordWrap/>
              <w:overflowPunct/>
              <w:topLinePunct w:val="0"/>
              <w:bidi w:val="0"/>
              <w:snapToGrid/>
              <w:spacing w:line="320" w:lineRule="exact"/>
              <w:ind w:left="0" w:leftChars="0" w:right="0" w:rightChars="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采购文件内容如有不一致的以前附表为准。</w:t>
            </w:r>
          </w:p>
        </w:tc>
      </w:tr>
    </w:tbl>
    <w:p w14:paraId="58AE3652">
      <w:pPr>
        <w:pStyle w:val="29"/>
        <w:widowControl/>
        <w:spacing w:line="334" w:lineRule="exact"/>
        <w:rPr>
          <w:rFonts w:hint="eastAsia" w:ascii="宋体" w:hAnsi="宋体" w:eastAsia="宋体" w:cs="宋体"/>
          <w:color w:val="auto"/>
          <w:kern w:val="0"/>
          <w:sz w:val="24"/>
          <w:szCs w:val="24"/>
          <w:highlight w:val="none"/>
          <w:lang w:val="en-US" w:eastAsia="zh-CN"/>
        </w:rPr>
      </w:pPr>
    </w:p>
    <w:p w14:paraId="744E7F83">
      <w:pPr>
        <w:pStyle w:val="29"/>
        <w:widowControl/>
        <w:spacing w:line="334" w:lineRule="exact"/>
        <w:rPr>
          <w:rFonts w:hint="eastAsia" w:ascii="宋体" w:hAnsi="宋体" w:eastAsia="宋体" w:cs="宋体"/>
          <w:color w:val="auto"/>
          <w:kern w:val="0"/>
          <w:sz w:val="24"/>
          <w:szCs w:val="24"/>
          <w:highlight w:val="none"/>
          <w:lang w:val="en-US" w:eastAsia="zh-CN"/>
        </w:rPr>
      </w:pPr>
    </w:p>
    <w:p w14:paraId="62AB6FCB">
      <w:pPr>
        <w:pStyle w:val="29"/>
        <w:widowControl/>
        <w:spacing w:line="334" w:lineRule="exact"/>
        <w:rPr>
          <w:rFonts w:hint="eastAsia" w:ascii="宋体" w:hAnsi="宋体" w:eastAsia="宋体" w:cs="宋体"/>
          <w:color w:val="auto"/>
          <w:kern w:val="0"/>
          <w:sz w:val="24"/>
          <w:szCs w:val="24"/>
          <w:highlight w:val="none"/>
          <w:lang w:val="en-US" w:eastAsia="zh-CN"/>
        </w:rPr>
      </w:pPr>
    </w:p>
    <w:p w14:paraId="2A5E419E">
      <w:pPr>
        <w:pStyle w:val="29"/>
        <w:widowControl/>
        <w:spacing w:line="334" w:lineRule="exact"/>
        <w:rPr>
          <w:rFonts w:hint="eastAsia" w:ascii="宋体" w:hAnsi="宋体" w:eastAsia="宋体" w:cs="宋体"/>
          <w:color w:val="auto"/>
          <w:kern w:val="0"/>
          <w:sz w:val="24"/>
          <w:szCs w:val="24"/>
          <w:highlight w:val="none"/>
          <w:lang w:val="en-US" w:eastAsia="zh-CN"/>
        </w:rPr>
      </w:pPr>
    </w:p>
    <w:p w14:paraId="384FAD21">
      <w:pPr>
        <w:pStyle w:val="29"/>
        <w:widowControl/>
        <w:spacing w:line="334" w:lineRule="exact"/>
        <w:rPr>
          <w:rFonts w:hint="eastAsia" w:ascii="宋体" w:hAnsi="宋体" w:eastAsia="宋体" w:cs="宋体"/>
          <w:color w:val="auto"/>
          <w:kern w:val="0"/>
          <w:sz w:val="24"/>
          <w:szCs w:val="24"/>
          <w:highlight w:val="none"/>
          <w:lang w:val="en-US" w:eastAsia="zh-CN"/>
        </w:rPr>
      </w:pPr>
    </w:p>
    <w:p w14:paraId="66DAB78E">
      <w:pPr>
        <w:pStyle w:val="29"/>
        <w:widowControl/>
        <w:spacing w:line="334" w:lineRule="exact"/>
        <w:rPr>
          <w:rFonts w:hint="eastAsia" w:ascii="宋体" w:hAnsi="宋体" w:eastAsia="宋体" w:cs="宋体"/>
          <w:color w:val="auto"/>
          <w:kern w:val="0"/>
          <w:sz w:val="24"/>
          <w:szCs w:val="24"/>
          <w:highlight w:val="none"/>
          <w:lang w:val="en-US" w:eastAsia="zh-CN"/>
        </w:rPr>
      </w:pPr>
    </w:p>
    <w:p w14:paraId="578ABF81">
      <w:pPr>
        <w:pStyle w:val="29"/>
        <w:widowControl/>
        <w:spacing w:line="334" w:lineRule="exact"/>
        <w:rPr>
          <w:rFonts w:hint="eastAsia" w:ascii="宋体" w:hAnsi="宋体" w:eastAsia="宋体" w:cs="宋体"/>
          <w:color w:val="auto"/>
          <w:kern w:val="0"/>
          <w:sz w:val="24"/>
          <w:szCs w:val="24"/>
          <w:highlight w:val="none"/>
          <w:lang w:val="en-US" w:eastAsia="zh-CN"/>
        </w:rPr>
      </w:pPr>
    </w:p>
    <w:p w14:paraId="0B745EFC">
      <w:pPr>
        <w:pStyle w:val="29"/>
        <w:widowControl/>
        <w:spacing w:line="334" w:lineRule="exact"/>
        <w:rPr>
          <w:rFonts w:hint="eastAsia" w:ascii="宋体" w:hAnsi="宋体" w:eastAsia="宋体" w:cs="宋体"/>
          <w:color w:val="auto"/>
          <w:kern w:val="0"/>
          <w:sz w:val="24"/>
          <w:szCs w:val="24"/>
          <w:highlight w:val="none"/>
          <w:lang w:val="en-US" w:eastAsia="zh-CN"/>
        </w:rPr>
      </w:pPr>
    </w:p>
    <w:p w14:paraId="1B13F2FC">
      <w:pPr>
        <w:pStyle w:val="29"/>
        <w:widowControl/>
        <w:spacing w:line="334" w:lineRule="exact"/>
        <w:rPr>
          <w:rFonts w:hint="eastAsia" w:ascii="宋体" w:hAnsi="宋体" w:eastAsia="宋体" w:cs="宋体"/>
          <w:color w:val="auto"/>
          <w:kern w:val="0"/>
          <w:sz w:val="24"/>
          <w:szCs w:val="24"/>
          <w:highlight w:val="none"/>
          <w:lang w:val="en-US" w:eastAsia="zh-CN"/>
        </w:rPr>
      </w:pPr>
    </w:p>
    <w:p w14:paraId="5DDCBB4A">
      <w:pPr>
        <w:pStyle w:val="29"/>
        <w:widowControl/>
        <w:spacing w:line="334" w:lineRule="exact"/>
        <w:rPr>
          <w:rFonts w:hint="eastAsia" w:ascii="宋体" w:hAnsi="宋体" w:eastAsia="宋体" w:cs="宋体"/>
          <w:color w:val="auto"/>
          <w:kern w:val="0"/>
          <w:sz w:val="24"/>
          <w:szCs w:val="24"/>
          <w:highlight w:val="none"/>
          <w:lang w:val="en-US" w:eastAsia="zh-CN"/>
        </w:rPr>
      </w:pPr>
    </w:p>
    <w:p w14:paraId="7C4C6153">
      <w:pPr>
        <w:pStyle w:val="29"/>
        <w:widowControl/>
        <w:spacing w:line="334" w:lineRule="exact"/>
        <w:rPr>
          <w:rFonts w:hint="eastAsia" w:ascii="宋体" w:hAnsi="宋体" w:eastAsia="宋体" w:cs="宋体"/>
          <w:color w:val="auto"/>
          <w:kern w:val="0"/>
          <w:sz w:val="24"/>
          <w:szCs w:val="24"/>
          <w:highlight w:val="none"/>
          <w:lang w:val="en-US" w:eastAsia="zh-CN"/>
        </w:rPr>
      </w:pPr>
    </w:p>
    <w:p w14:paraId="654600F3">
      <w:pPr>
        <w:pStyle w:val="29"/>
        <w:widowControl/>
        <w:spacing w:line="334" w:lineRule="exact"/>
        <w:rPr>
          <w:rFonts w:hint="eastAsia" w:ascii="宋体" w:hAnsi="宋体" w:eastAsia="宋体" w:cs="宋体"/>
          <w:color w:val="auto"/>
          <w:kern w:val="0"/>
          <w:sz w:val="24"/>
          <w:szCs w:val="24"/>
          <w:highlight w:val="none"/>
          <w:lang w:val="en-US" w:eastAsia="zh-CN"/>
        </w:rPr>
      </w:pPr>
    </w:p>
    <w:p w14:paraId="45819E48">
      <w:pPr>
        <w:pStyle w:val="29"/>
        <w:widowControl/>
        <w:spacing w:line="334" w:lineRule="exact"/>
        <w:rPr>
          <w:rFonts w:hint="eastAsia" w:ascii="宋体" w:hAnsi="宋体" w:eastAsia="宋体" w:cs="宋体"/>
          <w:color w:val="auto"/>
          <w:kern w:val="0"/>
          <w:sz w:val="24"/>
          <w:szCs w:val="24"/>
          <w:highlight w:val="none"/>
          <w:lang w:val="en-US" w:eastAsia="zh-CN"/>
        </w:rPr>
      </w:pPr>
    </w:p>
    <w:p w14:paraId="6998A58B">
      <w:pPr>
        <w:pStyle w:val="29"/>
        <w:widowControl/>
        <w:spacing w:line="334" w:lineRule="exact"/>
        <w:rPr>
          <w:rFonts w:hint="eastAsia" w:ascii="宋体" w:hAnsi="宋体" w:eastAsia="宋体" w:cs="宋体"/>
          <w:color w:val="auto"/>
          <w:kern w:val="0"/>
          <w:sz w:val="24"/>
          <w:szCs w:val="24"/>
          <w:highlight w:val="none"/>
          <w:lang w:val="en-US" w:eastAsia="zh-CN"/>
        </w:rPr>
      </w:pPr>
    </w:p>
    <w:p w14:paraId="53C6F1FB">
      <w:pPr>
        <w:pStyle w:val="29"/>
        <w:widowControl/>
        <w:spacing w:line="334" w:lineRule="exact"/>
        <w:rPr>
          <w:rFonts w:hint="eastAsia" w:ascii="宋体" w:hAnsi="宋体" w:eastAsia="宋体" w:cs="宋体"/>
          <w:color w:val="auto"/>
          <w:kern w:val="0"/>
          <w:sz w:val="24"/>
          <w:szCs w:val="24"/>
          <w:highlight w:val="none"/>
          <w:lang w:val="en-US" w:eastAsia="zh-CN"/>
        </w:rPr>
      </w:pPr>
    </w:p>
    <w:p w14:paraId="46604B5C">
      <w:pPr>
        <w:pStyle w:val="29"/>
        <w:widowControl/>
        <w:spacing w:line="334" w:lineRule="exact"/>
        <w:rPr>
          <w:rFonts w:hint="eastAsia" w:ascii="宋体" w:hAnsi="宋体" w:eastAsia="宋体" w:cs="宋体"/>
          <w:color w:val="auto"/>
          <w:kern w:val="0"/>
          <w:sz w:val="24"/>
          <w:szCs w:val="24"/>
          <w:highlight w:val="none"/>
          <w:lang w:val="en-US" w:eastAsia="zh-CN"/>
        </w:rPr>
      </w:pPr>
    </w:p>
    <w:p w14:paraId="7C9947B3">
      <w:pPr>
        <w:pStyle w:val="29"/>
        <w:widowControl/>
        <w:spacing w:line="334" w:lineRule="exact"/>
        <w:rPr>
          <w:rFonts w:hint="eastAsia" w:ascii="宋体" w:hAnsi="宋体" w:eastAsia="宋体" w:cs="宋体"/>
          <w:color w:val="auto"/>
          <w:kern w:val="0"/>
          <w:sz w:val="24"/>
          <w:szCs w:val="24"/>
          <w:highlight w:val="none"/>
          <w:lang w:val="en-US" w:eastAsia="zh-CN"/>
        </w:rPr>
      </w:pPr>
    </w:p>
    <w:p w14:paraId="1F313747">
      <w:pPr>
        <w:pStyle w:val="29"/>
        <w:widowControl/>
        <w:spacing w:line="334" w:lineRule="exact"/>
        <w:rPr>
          <w:rFonts w:hint="eastAsia" w:ascii="宋体" w:hAnsi="宋体" w:eastAsia="宋体" w:cs="宋体"/>
          <w:color w:val="auto"/>
          <w:kern w:val="0"/>
          <w:sz w:val="24"/>
          <w:szCs w:val="24"/>
          <w:highlight w:val="none"/>
          <w:lang w:val="en-US" w:eastAsia="zh-CN"/>
        </w:rPr>
      </w:pPr>
    </w:p>
    <w:p w14:paraId="1AFE8552">
      <w:pPr>
        <w:pStyle w:val="29"/>
        <w:widowControl/>
        <w:spacing w:line="334" w:lineRule="exact"/>
        <w:rPr>
          <w:rFonts w:hint="eastAsia" w:ascii="宋体" w:hAnsi="宋体" w:eastAsia="宋体" w:cs="宋体"/>
          <w:color w:val="auto"/>
          <w:kern w:val="0"/>
          <w:sz w:val="24"/>
          <w:szCs w:val="24"/>
          <w:highlight w:val="none"/>
          <w:lang w:val="en-US" w:eastAsia="zh-CN"/>
        </w:rPr>
      </w:pPr>
    </w:p>
    <w:p w14:paraId="7D3E0629">
      <w:pPr>
        <w:pStyle w:val="29"/>
        <w:widowControl/>
        <w:spacing w:line="334" w:lineRule="exact"/>
        <w:rPr>
          <w:rFonts w:hint="eastAsia" w:ascii="宋体" w:hAnsi="宋体" w:eastAsia="宋体" w:cs="宋体"/>
          <w:color w:val="auto"/>
          <w:kern w:val="0"/>
          <w:sz w:val="24"/>
          <w:szCs w:val="24"/>
          <w:highlight w:val="none"/>
          <w:lang w:val="en-US" w:eastAsia="zh-CN"/>
        </w:rPr>
      </w:pPr>
    </w:p>
    <w:p w14:paraId="5069AB7E">
      <w:pPr>
        <w:pStyle w:val="29"/>
        <w:widowControl/>
        <w:spacing w:line="334" w:lineRule="exact"/>
        <w:rPr>
          <w:rFonts w:hint="eastAsia" w:ascii="宋体" w:hAnsi="宋体" w:eastAsia="宋体" w:cs="宋体"/>
          <w:color w:val="auto"/>
          <w:kern w:val="0"/>
          <w:sz w:val="24"/>
          <w:szCs w:val="24"/>
          <w:highlight w:val="none"/>
          <w:lang w:val="en-US" w:eastAsia="zh-CN"/>
        </w:rPr>
      </w:pPr>
    </w:p>
    <w:p w14:paraId="3B1CB693">
      <w:pPr>
        <w:pStyle w:val="29"/>
        <w:widowControl/>
        <w:spacing w:line="334" w:lineRule="exact"/>
        <w:rPr>
          <w:rFonts w:hint="eastAsia" w:ascii="宋体" w:hAnsi="宋体" w:eastAsia="宋体" w:cs="宋体"/>
          <w:color w:val="auto"/>
          <w:kern w:val="0"/>
          <w:sz w:val="24"/>
          <w:szCs w:val="24"/>
          <w:highlight w:val="none"/>
          <w:lang w:val="en-US" w:eastAsia="zh-CN"/>
        </w:rPr>
      </w:pPr>
    </w:p>
    <w:p w14:paraId="7383B29F">
      <w:pPr>
        <w:pStyle w:val="29"/>
        <w:widowControl/>
        <w:spacing w:line="334" w:lineRule="exact"/>
        <w:rPr>
          <w:rFonts w:hint="eastAsia" w:ascii="宋体" w:hAnsi="宋体" w:eastAsia="宋体" w:cs="宋体"/>
          <w:color w:val="auto"/>
          <w:kern w:val="0"/>
          <w:sz w:val="24"/>
          <w:szCs w:val="24"/>
          <w:highlight w:val="none"/>
          <w:lang w:val="en-US" w:eastAsia="zh-CN"/>
        </w:rPr>
      </w:pPr>
    </w:p>
    <w:p w14:paraId="58458D51">
      <w:pPr>
        <w:pStyle w:val="29"/>
        <w:widowControl/>
        <w:spacing w:line="334" w:lineRule="exact"/>
        <w:rPr>
          <w:rFonts w:hint="eastAsia" w:ascii="宋体" w:hAnsi="宋体" w:eastAsia="宋体" w:cs="宋体"/>
          <w:color w:val="auto"/>
          <w:kern w:val="0"/>
          <w:sz w:val="24"/>
          <w:szCs w:val="24"/>
          <w:highlight w:val="none"/>
          <w:lang w:val="en-US" w:eastAsia="zh-CN"/>
        </w:rPr>
      </w:pPr>
    </w:p>
    <w:p w14:paraId="3B5062C2">
      <w:pPr>
        <w:pStyle w:val="29"/>
        <w:widowControl/>
        <w:spacing w:line="334" w:lineRule="exact"/>
        <w:rPr>
          <w:rFonts w:hint="eastAsia" w:ascii="宋体" w:hAnsi="宋体" w:eastAsia="宋体" w:cs="宋体"/>
          <w:color w:val="auto"/>
          <w:kern w:val="0"/>
          <w:sz w:val="24"/>
          <w:szCs w:val="24"/>
          <w:highlight w:val="none"/>
          <w:lang w:val="en-US" w:eastAsia="zh-CN"/>
        </w:rPr>
      </w:pPr>
    </w:p>
    <w:p w14:paraId="7E4DAA8D">
      <w:pPr>
        <w:pStyle w:val="29"/>
        <w:widowControl/>
        <w:spacing w:line="334" w:lineRule="exact"/>
        <w:rPr>
          <w:rFonts w:hint="eastAsia" w:ascii="宋体" w:hAnsi="宋体" w:eastAsia="宋体" w:cs="宋体"/>
          <w:color w:val="auto"/>
          <w:kern w:val="0"/>
          <w:sz w:val="24"/>
          <w:szCs w:val="24"/>
          <w:highlight w:val="none"/>
          <w:lang w:val="en-US" w:eastAsia="zh-CN"/>
        </w:rPr>
      </w:pPr>
    </w:p>
    <w:p w14:paraId="7664A1DC">
      <w:pPr>
        <w:pStyle w:val="29"/>
        <w:widowControl/>
        <w:spacing w:line="334" w:lineRule="exact"/>
        <w:rPr>
          <w:rFonts w:hint="eastAsia" w:ascii="宋体" w:hAnsi="宋体" w:eastAsia="宋体" w:cs="宋体"/>
          <w:color w:val="auto"/>
          <w:kern w:val="0"/>
          <w:sz w:val="24"/>
          <w:szCs w:val="24"/>
          <w:highlight w:val="none"/>
          <w:lang w:val="en-US" w:eastAsia="zh-CN"/>
        </w:rPr>
      </w:pPr>
    </w:p>
    <w:p w14:paraId="3E8BE7F3">
      <w:pPr>
        <w:pStyle w:val="29"/>
        <w:widowControl/>
        <w:spacing w:line="334" w:lineRule="exact"/>
        <w:rPr>
          <w:rFonts w:hint="eastAsia" w:ascii="宋体" w:hAnsi="宋体" w:eastAsia="宋体" w:cs="宋体"/>
          <w:color w:val="auto"/>
          <w:kern w:val="0"/>
          <w:sz w:val="24"/>
          <w:szCs w:val="24"/>
          <w:highlight w:val="none"/>
          <w:lang w:val="en-US" w:eastAsia="zh-CN"/>
        </w:rPr>
      </w:pPr>
    </w:p>
    <w:p w14:paraId="004B89BA">
      <w:pPr>
        <w:pStyle w:val="29"/>
        <w:widowControl/>
        <w:spacing w:line="334" w:lineRule="exact"/>
        <w:rPr>
          <w:rFonts w:hint="eastAsia" w:ascii="宋体" w:hAnsi="宋体" w:eastAsia="宋体" w:cs="宋体"/>
          <w:color w:val="auto"/>
          <w:kern w:val="0"/>
          <w:sz w:val="24"/>
          <w:szCs w:val="24"/>
          <w:highlight w:val="none"/>
          <w:lang w:val="en-US" w:eastAsia="zh-CN"/>
        </w:rPr>
      </w:pPr>
    </w:p>
    <w:p w14:paraId="16F9738E">
      <w:pPr>
        <w:pStyle w:val="29"/>
        <w:widowControl/>
        <w:spacing w:line="334" w:lineRule="exact"/>
        <w:rPr>
          <w:rFonts w:hint="eastAsia" w:ascii="宋体" w:hAnsi="宋体" w:eastAsia="宋体" w:cs="宋体"/>
          <w:color w:val="auto"/>
          <w:kern w:val="0"/>
          <w:sz w:val="24"/>
          <w:szCs w:val="24"/>
          <w:highlight w:val="none"/>
          <w:lang w:val="en-US" w:eastAsia="zh-CN"/>
        </w:rPr>
      </w:pPr>
    </w:p>
    <w:p w14:paraId="5FCD6299">
      <w:pPr>
        <w:pStyle w:val="29"/>
        <w:widowControl/>
        <w:spacing w:line="334" w:lineRule="exact"/>
        <w:rPr>
          <w:rFonts w:hint="eastAsia" w:ascii="宋体" w:hAnsi="宋体" w:eastAsia="宋体" w:cs="宋体"/>
          <w:color w:val="auto"/>
          <w:kern w:val="0"/>
          <w:sz w:val="24"/>
          <w:szCs w:val="24"/>
          <w:highlight w:val="none"/>
          <w:lang w:val="en-US" w:eastAsia="zh-CN"/>
        </w:rPr>
      </w:pPr>
    </w:p>
    <w:p w14:paraId="450DAC05">
      <w:pPr>
        <w:pStyle w:val="29"/>
        <w:widowControl/>
        <w:spacing w:line="334" w:lineRule="exact"/>
        <w:rPr>
          <w:rFonts w:hint="eastAsia" w:ascii="宋体" w:hAnsi="宋体" w:eastAsia="宋体" w:cs="宋体"/>
          <w:color w:val="auto"/>
          <w:kern w:val="0"/>
          <w:sz w:val="24"/>
          <w:szCs w:val="24"/>
          <w:highlight w:val="none"/>
          <w:lang w:val="en-US" w:eastAsia="zh-CN"/>
        </w:rPr>
      </w:pPr>
    </w:p>
    <w:p w14:paraId="524DFD08">
      <w:pPr>
        <w:pStyle w:val="29"/>
        <w:widowControl/>
        <w:spacing w:line="334" w:lineRule="exact"/>
        <w:rPr>
          <w:rFonts w:hint="eastAsia" w:ascii="宋体" w:hAnsi="宋体" w:eastAsia="宋体" w:cs="宋体"/>
          <w:color w:val="auto"/>
          <w:kern w:val="0"/>
          <w:sz w:val="24"/>
          <w:szCs w:val="24"/>
          <w:highlight w:val="none"/>
          <w:lang w:val="en-US" w:eastAsia="zh-CN"/>
        </w:rPr>
      </w:pPr>
    </w:p>
    <w:p w14:paraId="041E3C4A">
      <w:pPr>
        <w:pStyle w:val="29"/>
        <w:widowControl/>
        <w:spacing w:line="334" w:lineRule="exact"/>
        <w:rPr>
          <w:rFonts w:hint="eastAsia" w:ascii="宋体" w:hAnsi="宋体" w:eastAsia="宋体" w:cs="宋体"/>
          <w:color w:val="auto"/>
          <w:kern w:val="0"/>
          <w:sz w:val="24"/>
          <w:szCs w:val="24"/>
          <w:highlight w:val="none"/>
          <w:lang w:val="en-US" w:eastAsia="zh-CN"/>
        </w:rPr>
      </w:pPr>
    </w:p>
    <w:p w14:paraId="250ED52F">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 </w:t>
      </w:r>
    </w:p>
    <w:p w14:paraId="718015C5">
      <w:pPr>
        <w:pStyle w:val="6"/>
        <w:numPr>
          <w:ilvl w:val="0"/>
          <w:numId w:val="0"/>
        </w:numPr>
        <w:ind w:right="0" w:rightChars="0"/>
        <w:rPr>
          <w:rFonts w:hint="eastAsia"/>
          <w:color w:val="auto"/>
          <w:highlight w:val="none"/>
        </w:rPr>
      </w:pPr>
    </w:p>
    <w:p w14:paraId="02E861D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olor w:val="auto"/>
          <w:highlight w:val="none"/>
        </w:rPr>
      </w:pPr>
      <w:r>
        <w:rPr>
          <w:rFonts w:hint="eastAsia" w:ascii="宋体" w:hAnsi="宋体" w:eastAsia="宋体" w:cs="宋体"/>
          <w:b/>
          <w:bCs/>
          <w:color w:val="auto"/>
          <w:sz w:val="30"/>
          <w:szCs w:val="30"/>
          <w:highlight w:val="none"/>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说 明</w:t>
      </w:r>
    </w:p>
    <w:p w14:paraId="6A7A440E">
      <w:pPr>
        <w:pStyle w:val="6"/>
        <w:rPr>
          <w:rFonts w:hint="eastAsia"/>
          <w:color w:val="auto"/>
          <w:highlight w:val="none"/>
        </w:rPr>
      </w:pPr>
    </w:p>
    <w:p w14:paraId="73F6989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 xml:space="preserve">适用范围 </w:t>
      </w:r>
    </w:p>
    <w:p w14:paraId="1267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本文件适用于本竞争性磋商的采购项目。 </w:t>
      </w:r>
    </w:p>
    <w:p w14:paraId="655ACDBC">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本项目的采购人、供应商及各方当事人均适用本须知。 </w:t>
      </w:r>
    </w:p>
    <w:p w14:paraId="2E7712E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 </w:t>
      </w:r>
      <w:r>
        <w:rPr>
          <w:rFonts w:hint="eastAsia" w:ascii="宋体" w:hAnsi="宋体" w:eastAsia="宋体" w:cs="宋体"/>
          <w:b/>
          <w:bCs/>
          <w:color w:val="auto"/>
          <w:sz w:val="24"/>
          <w:szCs w:val="24"/>
          <w:highlight w:val="none"/>
        </w:rPr>
        <w:t>定义</w:t>
      </w:r>
      <w:r>
        <w:rPr>
          <w:rFonts w:hint="eastAsia" w:ascii="宋体" w:hAnsi="宋体" w:eastAsia="宋体" w:cs="宋体"/>
          <w:color w:val="auto"/>
          <w:sz w:val="24"/>
          <w:szCs w:val="24"/>
          <w:highlight w:val="none"/>
        </w:rPr>
        <w:t xml:space="preserve"> </w:t>
      </w:r>
    </w:p>
    <w:p w14:paraId="2BD5D4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 xml:space="preserve">监管部门：指同级或以上人民政府财政部门。 </w:t>
      </w:r>
    </w:p>
    <w:p w14:paraId="41D6C8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是指采购人已拥有一笔财政性资金或资金来源已落实。 </w:t>
      </w:r>
    </w:p>
    <w:p w14:paraId="76BDF55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依法进行政府采购的国家机关、事业单位、团体组织</w:t>
      </w:r>
      <w:r>
        <w:rPr>
          <w:rFonts w:hint="eastAsia" w:ascii="宋体" w:hAnsi="宋体" w:eastAsia="宋体" w:cs="宋体"/>
          <w:color w:val="auto"/>
          <w:sz w:val="24"/>
          <w:szCs w:val="24"/>
          <w:highlight w:val="none"/>
        </w:rPr>
        <w:t xml:space="preserve">。 </w:t>
      </w:r>
    </w:p>
    <w:p w14:paraId="0120F6B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cs="宋体"/>
          <w:color w:val="auto"/>
          <w:sz w:val="24"/>
          <w:szCs w:val="24"/>
          <w:highlight w:val="none"/>
          <w:lang w:val="en-US" w:eastAsia="zh-CN"/>
        </w:rPr>
        <w:t>代理</w:t>
      </w:r>
      <w:r>
        <w:rPr>
          <w:rFonts w:hint="eastAsia" w:ascii="宋体" w:hAnsi="宋体" w:eastAsia="宋体" w:cs="宋体"/>
          <w:color w:val="auto"/>
          <w:sz w:val="24"/>
          <w:szCs w:val="24"/>
          <w:highlight w:val="none"/>
          <w:lang w:val="en-US" w:eastAsia="zh-CN"/>
        </w:rPr>
        <w:t>采购机构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D2505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磋商小组：磋商小组是依法组建的专门负责本次磋商及评审工作的</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 xml:space="preserve">。 </w:t>
      </w:r>
    </w:p>
    <w:p w14:paraId="4E5BEEC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 xml:space="preserve">供应商：符合资格要求，响应采购、依法成立的企业法人、其他组织或自然人。 </w:t>
      </w:r>
    </w:p>
    <w:p w14:paraId="7E298A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 xml:space="preserve">成交供应商：经合法磋商程序评选出来并经采购人确认的获得本项目成交资格的供应商。 </w:t>
      </w:r>
    </w:p>
    <w:p w14:paraId="0A251B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rPr>
        <w:t xml:space="preserve">日期：指公历日。 </w:t>
      </w:r>
    </w:p>
    <w:p w14:paraId="368717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 xml:space="preserve">时间：指北京时间。 </w:t>
      </w:r>
    </w:p>
    <w:p w14:paraId="0F8C2F0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合格的供应商</w:t>
      </w:r>
      <w:r>
        <w:rPr>
          <w:rFonts w:hint="eastAsia" w:ascii="宋体" w:hAnsi="宋体" w:eastAsia="宋体" w:cs="宋体"/>
          <w:color w:val="auto"/>
          <w:sz w:val="24"/>
          <w:szCs w:val="24"/>
          <w:highlight w:val="none"/>
        </w:rPr>
        <w:t xml:space="preserve"> </w:t>
      </w:r>
    </w:p>
    <w:p w14:paraId="361237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供应商须符合第一部分“磋商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BEB4C9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4 </w:t>
      </w:r>
      <w:r>
        <w:rPr>
          <w:rFonts w:hint="eastAsia" w:ascii="宋体" w:hAnsi="宋体" w:eastAsia="宋体" w:cs="宋体"/>
          <w:b/>
          <w:bCs/>
          <w:color w:val="auto"/>
          <w:sz w:val="24"/>
          <w:szCs w:val="24"/>
          <w:highlight w:val="none"/>
        </w:rPr>
        <w:t>合格的货物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和工程</w:t>
      </w:r>
      <w:r>
        <w:rPr>
          <w:rFonts w:hint="eastAsia" w:ascii="宋体" w:hAnsi="宋体" w:eastAsia="宋体" w:cs="宋体"/>
          <w:color w:val="auto"/>
          <w:sz w:val="24"/>
          <w:szCs w:val="24"/>
          <w:highlight w:val="none"/>
        </w:rPr>
        <w:t xml:space="preserve"> </w:t>
      </w:r>
    </w:p>
    <w:p w14:paraId="7BB630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 xml:space="preserve">“货物”是指供应商制造或符合磋商文件要求的货物等。供应商的货物必须是其合法生产、合法来源的符合国家有关标准要求的货物，并满足磋商文件规定的规格、参数、质量、价格、有效期、售后服务等要求。 </w:t>
      </w:r>
    </w:p>
    <w:p w14:paraId="5C82F2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“服务”是指除货物和工程以外的其他政府采购对象，其中包括供应商须承担的运输、安装、技术支持、培训以及磋商文件规定的其它伴随服务。</w:t>
      </w:r>
    </w:p>
    <w:p w14:paraId="7B6ACE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 xml:space="preserve">4.3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是指建设工程，包括建筑物和构筑物的新建、改建、扩建、装修、拆除、修缮等。</w:t>
      </w:r>
    </w:p>
    <w:p w14:paraId="65F273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4.4 </w:t>
      </w:r>
      <w:r>
        <w:rPr>
          <w:rFonts w:hint="eastAsia" w:ascii="宋体" w:hAnsi="宋体" w:eastAsia="宋体" w:cs="宋体"/>
          <w:color w:val="auto"/>
          <w:sz w:val="24"/>
          <w:szCs w:val="24"/>
          <w:highlight w:val="none"/>
        </w:rPr>
        <w:t xml:space="preserve">政府采购应当采购本国产品，确需采购进口产品的，依据《政府采购进口产品管理办法》执行。 </w:t>
      </w:r>
    </w:p>
    <w:p w14:paraId="28593B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4.5 </w:t>
      </w:r>
      <w:r>
        <w:rPr>
          <w:rFonts w:hint="eastAsia" w:ascii="宋体" w:hAnsi="宋体" w:eastAsia="宋体" w:cs="宋体"/>
          <w:color w:val="auto"/>
          <w:sz w:val="24"/>
          <w:szCs w:val="24"/>
          <w:highlight w:val="none"/>
        </w:rPr>
        <w:t xml:space="preserve">本文件所称进口产品是指通过中国海关报关验放进入中国境内且产自关境外的产品。 </w:t>
      </w:r>
    </w:p>
    <w:p w14:paraId="6E6DCFA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4.6 </w:t>
      </w:r>
      <w:r>
        <w:rPr>
          <w:rFonts w:hint="eastAsia" w:ascii="宋体" w:hAnsi="宋体" w:eastAsia="宋体" w:cs="宋体"/>
          <w:color w:val="auto"/>
          <w:sz w:val="24"/>
          <w:szCs w:val="24"/>
          <w:highlight w:val="none"/>
        </w:rPr>
        <w:t xml:space="preserve">供应商应保证，采购人在中华人民共和国使用货物或服务的任何一部分时，采购人免受第三方提出侵犯其专利权、商标权或其它知识产权的起诉。 </w:t>
      </w:r>
    </w:p>
    <w:p w14:paraId="600DFC1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磋商费用</w:t>
      </w:r>
      <w:r>
        <w:rPr>
          <w:rFonts w:hint="eastAsia" w:ascii="宋体" w:hAnsi="宋体" w:eastAsia="宋体" w:cs="宋体"/>
          <w:color w:val="auto"/>
          <w:sz w:val="24"/>
          <w:szCs w:val="24"/>
          <w:highlight w:val="none"/>
        </w:rPr>
        <w:t xml:space="preserve"> </w:t>
      </w:r>
    </w:p>
    <w:p w14:paraId="5A72723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供应商应承担所有与准备和参加项目磋商有关的费用。不论磋商的结果如何，采购人及</w:t>
      </w:r>
      <w:r>
        <w:rPr>
          <w:rFonts w:hint="eastAsia" w:cs="宋体"/>
          <w:color w:val="auto"/>
          <w:sz w:val="24"/>
          <w:szCs w:val="24"/>
          <w:highlight w:val="none"/>
          <w:lang w:val="en-US" w:eastAsia="zh-CN"/>
        </w:rPr>
        <w:t>招标代理有限公司</w:t>
      </w:r>
      <w:r>
        <w:rPr>
          <w:rFonts w:hint="eastAsia" w:ascii="宋体" w:hAnsi="宋体" w:eastAsia="宋体" w:cs="宋体"/>
          <w:color w:val="auto"/>
          <w:sz w:val="24"/>
          <w:szCs w:val="24"/>
          <w:highlight w:val="none"/>
        </w:rPr>
        <w:t xml:space="preserve">均无义务和责任承担这些费用。  </w:t>
      </w:r>
    </w:p>
    <w:p w14:paraId="7D81CF5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 xml:space="preserve"> </w:t>
      </w:r>
    </w:p>
    <w:p w14:paraId="06BFFB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所有时间均为24小时制北京时间，所有货币单位均为人民币元，所使用的计量单位均以《中华人民共和国法定计量单位》为准（特别注明除外）。 </w:t>
      </w:r>
    </w:p>
    <w:p w14:paraId="7901A6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3F197F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654" w:firstLineChars="13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磋商文件</w:t>
      </w:r>
    </w:p>
    <w:p w14:paraId="6A7BA308">
      <w:pPr>
        <w:pStyle w:val="6"/>
        <w:numPr>
          <w:ilvl w:val="0"/>
          <w:numId w:val="0"/>
        </w:numPr>
        <w:ind w:right="0" w:rightChars="0"/>
        <w:rPr>
          <w:rFonts w:hint="eastAsia"/>
          <w:color w:val="auto"/>
          <w:highlight w:val="none"/>
        </w:rPr>
      </w:pPr>
    </w:p>
    <w:p w14:paraId="5FB564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 xml:space="preserve">磋商文件的编制依据与构成 </w:t>
      </w:r>
    </w:p>
    <w:p w14:paraId="2BF745F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sz w:val="24"/>
          <w:szCs w:val="24"/>
          <w:highlight w:val="none"/>
        </w:rPr>
        <w:t xml:space="preserve">本项目磋商文件的编制依据是《中华人民共和国政府采购法》及其实施条例、《政府采购竞争性磋商采购方式管理暂行办法》及其配套的法规、规章政策。 </w:t>
      </w:r>
    </w:p>
    <w:p w14:paraId="3D8E86F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7.2 </w:t>
      </w:r>
      <w:r>
        <w:rPr>
          <w:rFonts w:hint="eastAsia" w:ascii="宋体" w:hAnsi="宋体" w:eastAsia="宋体" w:cs="宋体"/>
          <w:color w:val="auto"/>
          <w:sz w:val="24"/>
          <w:szCs w:val="24"/>
          <w:highlight w:val="none"/>
        </w:rPr>
        <w:t xml:space="preserve">要求提供的服务、货物、磋商过程和合同条件在磋商文件中均有说明。磋商文件以中文文字编写。由下列文件以及在磋商过程中发出的澄清、修改和补充文件组成，内容包括： </w:t>
      </w:r>
    </w:p>
    <w:p w14:paraId="2140D6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 </w:t>
      </w:r>
    </w:p>
    <w:p w14:paraId="25DD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磋商须知； </w:t>
      </w:r>
    </w:p>
    <w:p w14:paraId="0423FC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 xml:space="preserve">； </w:t>
      </w:r>
    </w:p>
    <w:p w14:paraId="130806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合同格式； </w:t>
      </w:r>
    </w:p>
    <w:p w14:paraId="522C7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响应文件格式； </w:t>
      </w:r>
    </w:p>
    <w:p w14:paraId="48DE77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其他文件格式。 </w:t>
      </w:r>
    </w:p>
    <w:p w14:paraId="06BC3A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 xml:space="preserve">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 </w:t>
      </w:r>
    </w:p>
    <w:p w14:paraId="3BCDA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磋商文件的澄清和修改 </w:t>
      </w:r>
    </w:p>
    <w:p w14:paraId="16FD96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提交首次响应文件截止之日前，采购人、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可以对已发出的磋商文件进行必要的澄清或者修改，澄清或者修改的内容作为磋商文件的组成部分。澄清或者修改的内容可能影响响应文件编制的，采购人、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应当在提交首次响应文件截止时间至少5日前，以书面形式通知所有获取磋商文件的供应商；不足5日的，采购人、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应当顺延提交首次响应文件截止时间。同时在磋商文件指定的政府采购信息发布媒体上发布变更公告。潜在供应商在收到上述通知后，应以书面形式向采购人或</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回复确认。 </w:t>
      </w:r>
    </w:p>
    <w:p w14:paraId="170EE73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磋商文件的澄清或者修改内容作为磋商文件的组成部分，并对供应商具有约束力。当磋商文件、磋商文件的澄清或修改在同一内容的表述上不一致时，以最后发出的文件内容为准。</w:t>
      </w:r>
    </w:p>
    <w:p w14:paraId="66C670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 xml:space="preserve">答疑会或现场考察 </w:t>
      </w:r>
    </w:p>
    <w:p w14:paraId="1E55B4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sz w:val="24"/>
          <w:szCs w:val="24"/>
          <w:highlight w:val="none"/>
        </w:rPr>
        <w:t xml:space="preserve">除磋商须知前附表中另有规定，本项目不举行磋商前答疑会及现场考察。 </w:t>
      </w:r>
    </w:p>
    <w:p w14:paraId="2464188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如举行磋商前答疑会或现场考察的，则按以下规定：已获取磋商文件的潜在供应商对本项目提出疑问的，需在答疑会或现场考察召开日前至少一个工作日将问题以书面形式（加盖公章）提交至</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将以书面形式通知所有获取磋商文件的潜在供应商代表于磋商须知前附表规定的时间和地点出席答疑会或现场考察。 </w:t>
      </w:r>
    </w:p>
    <w:p w14:paraId="6E64C7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9.3 </w:t>
      </w:r>
      <w:r>
        <w:rPr>
          <w:rFonts w:hint="eastAsia" w:ascii="宋体" w:hAnsi="宋体" w:eastAsia="宋体" w:cs="宋体"/>
          <w:color w:val="auto"/>
          <w:sz w:val="24"/>
          <w:szCs w:val="24"/>
          <w:highlight w:val="none"/>
        </w:rPr>
        <w:t xml:space="preserve">已获取磋商文件的供应商如不出席答疑会或现场考察视为对磋商文件所有内容无任何异议。 </w:t>
      </w:r>
    </w:p>
    <w:p w14:paraId="7E2634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45E0B1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092" w:firstLineChars="11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响应文件的编制</w:t>
      </w:r>
    </w:p>
    <w:p w14:paraId="478F9191">
      <w:pPr>
        <w:pStyle w:val="6"/>
        <w:numPr>
          <w:ilvl w:val="0"/>
          <w:numId w:val="0"/>
        </w:numPr>
        <w:ind w:leftChars="200" w:right="0" w:rightChars="0"/>
        <w:rPr>
          <w:rFonts w:hint="eastAsia"/>
          <w:color w:val="auto"/>
          <w:highlight w:val="none"/>
        </w:rPr>
      </w:pPr>
    </w:p>
    <w:p w14:paraId="25BD9F0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 xml:space="preserve">响应文件的构成 </w:t>
      </w:r>
    </w:p>
    <w:p w14:paraId="055DAB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供应商编写的响应文件应包括价格部分、商务部分和技术部分。供应商</w:t>
      </w:r>
      <w:r>
        <w:rPr>
          <w:rFonts w:hint="eastAsia" w:cs="宋体"/>
          <w:color w:val="auto"/>
          <w:sz w:val="24"/>
          <w:szCs w:val="24"/>
          <w:highlight w:val="none"/>
          <w:lang w:val="en-US" w:eastAsia="zh-CN"/>
        </w:rPr>
        <w:t>可以</w:t>
      </w:r>
      <w:r>
        <w:rPr>
          <w:rFonts w:hint="eastAsia" w:ascii="宋体" w:hAnsi="宋体" w:eastAsia="宋体" w:cs="宋体"/>
          <w:color w:val="auto"/>
          <w:sz w:val="24"/>
          <w:szCs w:val="24"/>
          <w:highlight w:val="none"/>
        </w:rPr>
        <w:t>参考磋商文件第五部分</w:t>
      </w:r>
      <w:r>
        <w:rPr>
          <w:rFonts w:hint="eastAsia" w:ascii="宋体" w:hAnsi="宋体" w:eastAsia="宋体" w:cs="宋体"/>
          <w:b/>
          <w:bCs/>
          <w:color w:val="auto"/>
          <w:sz w:val="24"/>
          <w:szCs w:val="24"/>
          <w:highlight w:val="none"/>
        </w:rPr>
        <w:t>响应文件格式</w:t>
      </w:r>
      <w:r>
        <w:rPr>
          <w:rFonts w:hint="eastAsia" w:ascii="宋体" w:hAnsi="宋体" w:eastAsia="宋体" w:cs="宋体"/>
          <w:color w:val="auto"/>
          <w:sz w:val="24"/>
          <w:szCs w:val="24"/>
          <w:highlight w:val="none"/>
        </w:rPr>
        <w:t xml:space="preserve">顺序编排响应文件。 </w:t>
      </w:r>
    </w:p>
    <w:p w14:paraId="6CA2C47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响应文件的语言及编写原则 </w:t>
      </w:r>
    </w:p>
    <w:p w14:paraId="021685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响应文件的语言：响应文件、供应商与</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14:paraId="3DFA53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 xml:space="preserve">计量单位：除在磋商文件的技术规格中另有规定外，计量单位应使用中华人民共和国法定计量单位(国际单位制和国家选定的其他计量单位)。 </w:t>
      </w:r>
    </w:p>
    <w:p w14:paraId="7F6C98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供应商应完整、真实、准确地填写磋商文件中提供的磋商函、</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 xml:space="preserve">（如适用）以及磋商文件中规定的其它所有内容。 </w:t>
      </w:r>
    </w:p>
    <w:p w14:paraId="31C19A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 xml:space="preserve">供应商对磋商文件中多个包组进行投标的，其响应文件的编制应当按每个包组的要求分别编制、装订和封装。供应商应对响应文件进装订，对未经装订的响应文件可能发生的文件散落或缺损，由此造成的后果和责任由供应商承担。 </w:t>
      </w:r>
    </w:p>
    <w:p w14:paraId="4D6E26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供应商必须对响应文件所提供的全部资料的真实性承担法律责任，并无条件接受采购人、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及监管部门等对其中任何资料进行核实的要求。 </w:t>
      </w:r>
    </w:p>
    <w:p w14:paraId="26D248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11.6 </w:t>
      </w:r>
      <w:r>
        <w:rPr>
          <w:rFonts w:hint="eastAsia" w:ascii="宋体" w:hAnsi="宋体" w:eastAsia="宋体" w:cs="宋体"/>
          <w:color w:val="auto"/>
          <w:sz w:val="24"/>
          <w:szCs w:val="24"/>
          <w:highlight w:val="none"/>
        </w:rPr>
        <w:t xml:space="preserve">如果因为供应商的响应文件只填写和提供了本磋商文件要求的部分内容和附件，或没有提供磋商文件中所要求的全部资料及数据，由此造成的后果和责任由供应商承担。 </w:t>
      </w:r>
    </w:p>
    <w:p w14:paraId="2A6996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首次报价 </w:t>
      </w:r>
    </w:p>
    <w:p w14:paraId="107302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供应商对所提供的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均以人民币报价。 </w:t>
      </w:r>
    </w:p>
    <w:p w14:paraId="2540C0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 xml:space="preserve">首次报价超过本项目预算金额的按无效响应处理。 </w:t>
      </w:r>
    </w:p>
    <w:p w14:paraId="4D0689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供应商应按照“</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”中采购项目技术或服务要求规定的内容、责任范围进行首次报价，并按《</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要求报出首次价格。首次报价总价中不得包含磋商文件要求以外的内容，否则，在评审时不予核减。首次报价总价中不得缺漏磋商文件所要求的内容，否则，被视为包含在首次报价总价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一览表（首次报价表）》中若出现免费项及赠送项则视同该部分价包含在总报价中。 </w:t>
      </w:r>
    </w:p>
    <w:p w14:paraId="602348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》内容应包含：</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w:t>
      </w:r>
      <w:r>
        <w:rPr>
          <w:rFonts w:hint="eastAsia" w:cs="宋体"/>
          <w:color w:val="auto"/>
          <w:kern w:val="0"/>
          <w:sz w:val="24"/>
          <w:szCs w:val="24"/>
          <w:highlight w:val="none"/>
          <w:lang w:val="en-US" w:eastAsia="zh-CN" w:bidi="ar"/>
        </w:rPr>
        <w:t>及投标总价单</w:t>
      </w:r>
      <w:r>
        <w:rPr>
          <w:rFonts w:hint="eastAsia" w:ascii="宋体" w:hAnsi="宋体" w:eastAsia="宋体" w:cs="宋体"/>
          <w:color w:val="auto"/>
          <w:kern w:val="0"/>
          <w:sz w:val="24"/>
          <w:szCs w:val="24"/>
          <w:highlight w:val="none"/>
          <w:lang w:val="en-US" w:eastAsia="zh-CN" w:bidi="ar"/>
        </w:rPr>
        <w:t>为准</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本项目</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文件中投标总价单必须由投标单位注册造价工程师签字并盖专用章，否则视为不响应磋商文件。</w:t>
      </w:r>
    </w:p>
    <w:p w14:paraId="47F747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12.5 </w:t>
      </w: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 xml:space="preserve">中另有规定，供应商所报的磋商价在合同执行过程中是固定不变的，不得以任何理由予以变更。任何包含价格调整要求的磋商被认为是非实质性响应响应而予以拒绝。 </w:t>
      </w:r>
    </w:p>
    <w:p w14:paraId="0A8926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12.6 </w:t>
      </w:r>
      <w:r>
        <w:rPr>
          <w:rFonts w:hint="eastAsia" w:ascii="宋体" w:hAnsi="宋体" w:eastAsia="宋体" w:cs="宋体"/>
          <w:color w:val="auto"/>
          <w:sz w:val="24"/>
          <w:szCs w:val="24"/>
          <w:highlight w:val="none"/>
        </w:rPr>
        <w:t xml:space="preserve">除磋商须知前附表中允许有备选方案外，本次磋商不接受选择性报价，不接受具有附加条件的报价， 否则将被视为无效响应。 </w:t>
      </w:r>
    </w:p>
    <w:p w14:paraId="17B2F1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 xml:space="preserve">联合体投标 </w:t>
      </w:r>
    </w:p>
    <w:p w14:paraId="79005CB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 </w:t>
      </w:r>
      <w:r>
        <w:rPr>
          <w:rFonts w:hint="eastAsia" w:ascii="宋体" w:hAnsi="宋体" w:eastAsia="宋体" w:cs="宋体"/>
          <w:color w:val="auto"/>
          <w:sz w:val="24"/>
          <w:szCs w:val="24"/>
          <w:highlight w:val="none"/>
        </w:rPr>
        <w:t xml:space="preserve">磋商文件第一部分“磋商邀请”中拒绝接受联合体投标的，则不接受联合体磋商。如果“磋商邀请” 中允许联合体投标的，则必须满足： </w:t>
      </w:r>
    </w:p>
    <w:p w14:paraId="06A036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13.1.1 </w:t>
      </w:r>
      <w:r>
        <w:rPr>
          <w:rFonts w:hint="eastAsia" w:ascii="宋体" w:hAnsi="宋体" w:eastAsia="宋体" w:cs="宋体"/>
          <w:color w:val="auto"/>
          <w:sz w:val="24"/>
          <w:szCs w:val="24"/>
          <w:highlight w:val="none"/>
        </w:rPr>
        <w:t xml:space="preserve">以联合体形式参加磋商的，联合体各方均必须符合《中华人民共和国政府采购法》第二十二条规定，联合体中有同类资质的供应商按照联合体分工承担相同工作的，按照资质等级较低的供应商确定资质等级。  </w:t>
      </w:r>
    </w:p>
    <w:p w14:paraId="105E092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13.1.2 </w:t>
      </w:r>
      <w:r>
        <w:rPr>
          <w:rFonts w:hint="eastAsia" w:ascii="宋体" w:hAnsi="宋体" w:eastAsia="宋体" w:cs="宋体"/>
          <w:color w:val="auto"/>
          <w:sz w:val="24"/>
          <w:szCs w:val="24"/>
          <w:highlight w:val="none"/>
        </w:rPr>
        <w:t xml:space="preserve">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 </w:t>
      </w:r>
    </w:p>
    <w:p w14:paraId="47BAD0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13.1.3 </w:t>
      </w:r>
      <w:r>
        <w:rPr>
          <w:rFonts w:hint="eastAsia" w:ascii="宋体" w:hAnsi="宋体" w:eastAsia="宋体" w:cs="宋体"/>
          <w:color w:val="auto"/>
          <w:sz w:val="24"/>
          <w:szCs w:val="24"/>
          <w:highlight w:val="none"/>
        </w:rPr>
        <w:t xml:space="preserve">联合体磋商的，可以由联合体中的一方或者共同提交磋商保证金，以一方名义提交投磋商证金的，对联合体各方均具有约束力。 </w:t>
      </w:r>
    </w:p>
    <w:p w14:paraId="6741E9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13.1.4 </w:t>
      </w:r>
      <w:r>
        <w:rPr>
          <w:rFonts w:hint="eastAsia" w:ascii="宋体" w:hAnsi="宋体" w:eastAsia="宋体" w:cs="宋体"/>
          <w:color w:val="auto"/>
          <w:sz w:val="24"/>
          <w:szCs w:val="24"/>
          <w:highlight w:val="none"/>
        </w:rPr>
        <w:t xml:space="preserve">联合体成交的，联合体各方应当共同与采购人签订合同。 </w:t>
      </w:r>
    </w:p>
    <w:p w14:paraId="10AB0A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13.1.5 </w:t>
      </w:r>
      <w:r>
        <w:rPr>
          <w:rFonts w:hint="eastAsia" w:ascii="宋体" w:hAnsi="宋体" w:eastAsia="宋体" w:cs="宋体"/>
          <w:color w:val="auto"/>
          <w:sz w:val="24"/>
          <w:szCs w:val="24"/>
          <w:highlight w:val="none"/>
        </w:rPr>
        <w:t>联合体在报名登记时，提交经联合体各方盖章的联合体磋商协议，以确认联合体的牵头人及成员。</w:t>
      </w:r>
    </w:p>
    <w:p w14:paraId="0EEC4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 xml:space="preserve">证明供应商合格的资格文件 </w:t>
      </w:r>
    </w:p>
    <w:p w14:paraId="2BE35A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 xml:space="preserve">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 </w:t>
      </w:r>
    </w:p>
    <w:p w14:paraId="255C7EC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供应商提交的资格证明文件应满足第一部分“磋商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E15C6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 xml:space="preserve">证明标的的合格性和符合磋商文件规定的文件 </w:t>
      </w:r>
    </w:p>
    <w:p w14:paraId="4D944D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rPr>
        <w:t>供应商应提交证明文件，证明其拟磋商的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的合格性符合磋商文件规定。该证明文件作为响应文件的一部分。 </w:t>
      </w:r>
    </w:p>
    <w:p w14:paraId="0FD24E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 工程</w:t>
      </w:r>
      <w:r>
        <w:rPr>
          <w:rFonts w:hint="eastAsia" w:ascii="宋体" w:hAnsi="宋体" w:eastAsia="宋体" w:cs="宋体"/>
          <w:color w:val="auto"/>
          <w:sz w:val="24"/>
          <w:szCs w:val="24"/>
          <w:highlight w:val="none"/>
        </w:rPr>
        <w:t>合格性的证明文件应包括</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 xml:space="preserve">中对货物和服务原产地的说明。 </w:t>
      </w:r>
    </w:p>
    <w:p w14:paraId="64ABA0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15.3 </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与磋商文件的要求相一致的文件，可以是文字资料、图纸和数据，它包括： </w:t>
      </w:r>
    </w:p>
    <w:p w14:paraId="26F7C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15.3.1 工程</w:t>
      </w:r>
      <w:r>
        <w:rPr>
          <w:rFonts w:hint="eastAsia" w:ascii="宋体" w:hAnsi="宋体" w:eastAsia="宋体" w:cs="宋体"/>
          <w:color w:val="auto"/>
          <w:sz w:val="24"/>
          <w:szCs w:val="24"/>
          <w:highlight w:val="none"/>
        </w:rPr>
        <w:t xml:space="preserve">主要技术指标和性能的详细说明； </w:t>
      </w:r>
    </w:p>
    <w:p w14:paraId="298892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15.3.2 工程</w:t>
      </w:r>
      <w:r>
        <w:rPr>
          <w:rFonts w:hint="eastAsia" w:ascii="宋体" w:hAnsi="宋体" w:eastAsia="宋体" w:cs="宋体"/>
          <w:color w:val="auto"/>
          <w:sz w:val="24"/>
          <w:szCs w:val="24"/>
          <w:highlight w:val="none"/>
        </w:rPr>
        <w:t xml:space="preserve">正常使用所必须的备件和专用工具清单，包括备件和专用工具的货源及现行价格； </w:t>
      </w:r>
    </w:p>
    <w:p w14:paraId="313F1C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15.3.3</w:t>
      </w:r>
      <w:r>
        <w:rPr>
          <w:rFonts w:hint="eastAsia" w:ascii="宋体" w:hAnsi="宋体" w:eastAsia="宋体" w:cs="宋体"/>
          <w:color w:val="auto"/>
          <w:sz w:val="24"/>
          <w:szCs w:val="24"/>
          <w:highlight w:val="none"/>
        </w:rPr>
        <w:t>对照磋商文件技术规格，逐条说明所提供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 </w:t>
      </w:r>
    </w:p>
    <w:p w14:paraId="1D14449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 xml:space="preserve">不允许偏离的实质性条款 </w:t>
      </w:r>
    </w:p>
    <w:p w14:paraId="37D3EF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rPr>
        <w:t xml:space="preserve">响应文件必须对磋商文件中实质性条款的要求进行响应，不能出现负偏离，否则将导致响应无效。不允许负偏离的实质性条款如下： </w:t>
      </w:r>
    </w:p>
    <w:p w14:paraId="6030E0F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16.1.1 </w:t>
      </w:r>
      <w:r>
        <w:rPr>
          <w:rFonts w:hint="eastAsia" w:ascii="宋体" w:hAnsi="宋体" w:eastAsia="宋体" w:cs="宋体"/>
          <w:color w:val="auto"/>
          <w:sz w:val="24"/>
          <w:szCs w:val="24"/>
          <w:highlight w:val="none"/>
        </w:rPr>
        <w:t xml:space="preserve">加注“★部分”条款； </w:t>
      </w:r>
    </w:p>
    <w:p w14:paraId="7A9D6D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16.1.2 </w:t>
      </w:r>
      <w:r>
        <w:rPr>
          <w:rFonts w:hint="eastAsia" w:ascii="宋体" w:hAnsi="宋体" w:eastAsia="宋体" w:cs="宋体"/>
          <w:color w:val="auto"/>
          <w:sz w:val="24"/>
          <w:szCs w:val="24"/>
          <w:highlight w:val="none"/>
        </w:rPr>
        <w:t xml:space="preserve">磋商文件规定的其他必须响应的内容。 </w:t>
      </w:r>
    </w:p>
    <w:p w14:paraId="240049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响应文件中技术规格、参数或其他内容优于磋商文件的要求视作正偏离，不构成响应无效，供应商对这种优于</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要求的情况必须单独说明。</w:t>
      </w:r>
    </w:p>
    <w:p w14:paraId="38DB38D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 xml:space="preserve">磋商保证金 </w:t>
      </w:r>
    </w:p>
    <w:p w14:paraId="2B8C0E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 xml:space="preserve">供应商应按磋商须知前附表中规定的金额、期限缴纳磋商保证金，并作为其响应文件的组成部分。 </w:t>
      </w:r>
    </w:p>
    <w:p w14:paraId="69C65B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 采</w:t>
      </w:r>
      <w:r>
        <w:rPr>
          <w:rFonts w:hint="eastAsia" w:ascii="宋体" w:hAnsi="宋体" w:eastAsia="宋体" w:cs="宋体"/>
          <w:color w:val="auto"/>
          <w:sz w:val="24"/>
          <w:szCs w:val="24"/>
          <w:highlight w:val="none"/>
        </w:rPr>
        <w:t>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 </w:t>
      </w:r>
    </w:p>
    <w:p w14:paraId="0B8FAF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 </w:t>
      </w:r>
      <w:r>
        <w:rPr>
          <w:rFonts w:hint="eastAsia" w:ascii="宋体" w:hAnsi="宋体" w:eastAsia="宋体" w:cs="宋体"/>
          <w:color w:val="auto"/>
          <w:sz w:val="24"/>
          <w:szCs w:val="24"/>
          <w:highlight w:val="none"/>
        </w:rPr>
        <w:t xml:space="preserve">有下列情形之一的，磋商保证金不予退还： </w:t>
      </w:r>
    </w:p>
    <w:p w14:paraId="79F3BD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17.3.1 </w:t>
      </w:r>
      <w:r>
        <w:rPr>
          <w:rFonts w:hint="eastAsia" w:ascii="宋体" w:hAnsi="宋体" w:eastAsia="宋体" w:cs="宋体"/>
          <w:color w:val="auto"/>
          <w:sz w:val="24"/>
          <w:szCs w:val="24"/>
          <w:highlight w:val="none"/>
        </w:rPr>
        <w:t xml:space="preserve">供应商在提交响应文件截止时间后撤回响应文件的； </w:t>
      </w:r>
    </w:p>
    <w:p w14:paraId="2022B6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17.3.2 </w:t>
      </w:r>
      <w:r>
        <w:rPr>
          <w:rFonts w:hint="eastAsia" w:ascii="宋体" w:hAnsi="宋体" w:eastAsia="宋体" w:cs="宋体"/>
          <w:color w:val="auto"/>
          <w:sz w:val="24"/>
          <w:szCs w:val="24"/>
          <w:highlight w:val="none"/>
        </w:rPr>
        <w:t xml:space="preserve">供应商在响应文件中提供虚假材料的； </w:t>
      </w:r>
    </w:p>
    <w:p w14:paraId="033693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17.3.3 </w:t>
      </w:r>
      <w:r>
        <w:rPr>
          <w:rFonts w:hint="eastAsia" w:ascii="宋体" w:hAnsi="宋体" w:eastAsia="宋体" w:cs="宋体"/>
          <w:color w:val="auto"/>
          <w:sz w:val="24"/>
          <w:szCs w:val="24"/>
          <w:highlight w:val="none"/>
        </w:rPr>
        <w:t xml:space="preserve">除因不可抗力或磋商文件认可的情形以外，成交供应商不与采购人签订合同的； </w:t>
      </w:r>
    </w:p>
    <w:p w14:paraId="619F3C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17.3.4 </w:t>
      </w:r>
      <w:r>
        <w:rPr>
          <w:rFonts w:hint="eastAsia" w:ascii="宋体" w:hAnsi="宋体" w:eastAsia="宋体" w:cs="宋体"/>
          <w:color w:val="auto"/>
          <w:sz w:val="24"/>
          <w:szCs w:val="24"/>
          <w:highlight w:val="none"/>
        </w:rPr>
        <w:t xml:space="preserve">供应商与采购人、其他供应商恶意串通的； </w:t>
      </w:r>
    </w:p>
    <w:p w14:paraId="1967C5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17.3.5 </w:t>
      </w:r>
      <w:r>
        <w:rPr>
          <w:rFonts w:hint="eastAsia" w:ascii="宋体" w:hAnsi="宋体" w:eastAsia="宋体" w:cs="宋体"/>
          <w:color w:val="auto"/>
          <w:sz w:val="24"/>
          <w:szCs w:val="24"/>
          <w:highlight w:val="none"/>
        </w:rPr>
        <w:t xml:space="preserve">磋商文件规定的其他情形。 </w:t>
      </w:r>
    </w:p>
    <w:p w14:paraId="279F9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 </w:t>
      </w:r>
    </w:p>
    <w:p w14:paraId="350EF14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响应文件的有效期</w:t>
      </w:r>
      <w:r>
        <w:rPr>
          <w:rFonts w:hint="eastAsia" w:ascii="宋体" w:hAnsi="宋体" w:eastAsia="宋体" w:cs="宋体"/>
          <w:color w:val="auto"/>
          <w:sz w:val="24"/>
          <w:szCs w:val="24"/>
          <w:highlight w:val="none"/>
          <w:lang w:val="en-US" w:eastAsia="zh-CN"/>
        </w:rPr>
        <w:t>见磋商须知前附表之规定</w:t>
      </w:r>
      <w:r>
        <w:rPr>
          <w:rFonts w:hint="eastAsia" w:ascii="宋体" w:hAnsi="宋体" w:eastAsia="宋体" w:cs="宋体"/>
          <w:color w:val="auto"/>
          <w:sz w:val="24"/>
          <w:szCs w:val="24"/>
          <w:highlight w:val="none"/>
        </w:rPr>
        <w:t>，响应文件应在此期限内保持有效。磋商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有效期不足的响应文件将被视为非实质性响应，视为无效响应文件。 </w:t>
      </w:r>
    </w:p>
    <w:p w14:paraId="4C80A1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18.2 </w:t>
      </w:r>
      <w:r>
        <w:rPr>
          <w:rFonts w:hint="eastAsia" w:ascii="宋体" w:hAnsi="宋体" w:eastAsia="宋体" w:cs="宋体"/>
          <w:color w:val="auto"/>
          <w:sz w:val="24"/>
          <w:szCs w:val="24"/>
          <w:highlight w:val="none"/>
        </w:rPr>
        <w:t>特殊情况下，在原磋商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有效期截止之前，</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可要求供应商延长磋商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有效期。这种要求与答复均应以书面形式提交。供应商可拒绝</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的这种要求，其磋商保证金将被无息退还，但其磋商在原磋商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有效期期满后将不再有效。同意延长磋商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有效期的供应商将不会被要求和允许修正其磋商，而只会被要求相应地延长其磋商保证金的有效期。在这种情况下，本须知有关磋商保证金的退还和没收的规定将在延长了的有效期内继续有效。 </w:t>
      </w:r>
    </w:p>
    <w:p w14:paraId="175193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 xml:space="preserve">响应文件的式样和签署 </w:t>
      </w:r>
    </w:p>
    <w:p w14:paraId="6A956E5B">
      <w:pPr>
        <w:spacing w:line="440" w:lineRule="exact"/>
        <w:ind w:firstLine="480" w:firstLineChars="200"/>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19.1 </w:t>
      </w:r>
      <w:r>
        <w:rPr>
          <w:rFonts w:hint="eastAsia" w:ascii="宋体" w:hAnsi="宋体" w:eastAsia="宋体" w:cs="宋体"/>
          <w:color w:val="auto"/>
          <w:sz w:val="24"/>
          <w:szCs w:val="24"/>
          <w:highlight w:val="none"/>
        </w:rPr>
        <w:t>响应文件的式样：</w:t>
      </w:r>
      <w:r>
        <w:rPr>
          <w:rFonts w:hint="eastAsia"/>
          <w:color w:val="auto"/>
          <w:sz w:val="24"/>
          <w:szCs w:val="24"/>
          <w:highlight w:val="none"/>
        </w:rPr>
        <w:t xml:space="preserve">在政采云平台上传加密的电子响应文件。 </w:t>
      </w:r>
    </w:p>
    <w:p w14:paraId="0F62AC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w:t>
      </w:r>
      <w:r>
        <w:rPr>
          <w:rFonts w:hint="eastAsia" w:ascii="宋体" w:hAnsi="宋体" w:eastAsia="宋体" w:cs="宋体"/>
          <w:color w:val="auto"/>
          <w:sz w:val="24"/>
          <w:szCs w:val="24"/>
          <w:highlight w:val="none"/>
        </w:rPr>
        <w:t xml:space="preserve">响应文件的签署及盖章： </w:t>
      </w:r>
    </w:p>
    <w:p w14:paraId="08E4D9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19.2.1 </w:t>
      </w:r>
      <w:r>
        <w:rPr>
          <w:rFonts w:hint="eastAsia" w:ascii="宋体" w:hAnsi="宋体" w:eastAsia="宋体" w:cs="宋体"/>
          <w:color w:val="auto"/>
          <w:sz w:val="24"/>
          <w:szCs w:val="24"/>
          <w:highlight w:val="none"/>
        </w:rPr>
        <w:t xml:space="preserve">响应文件要求签名或盖章的内容（磋商文件第五部分“响应文件格式”中要求法人代表或授权委托人签名或盖章）必须由法定代表人或经其正式授权的代表签字或盖章，由授权代表签字或盖章的， 必须将书面形式出具的《法定代表人授权委托书》附在响应文件中。 </w:t>
      </w:r>
    </w:p>
    <w:p w14:paraId="3AC8BD8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ascii="宋体" w:hAnsi="宋体" w:eastAsia="宋体" w:cs="宋体"/>
          <w:color w:val="auto"/>
          <w:sz w:val="24"/>
          <w:szCs w:val="24"/>
          <w:highlight w:val="none"/>
          <w:lang w:val="en-US" w:eastAsia="zh-CN"/>
        </w:rPr>
        <w:t>19.2.2</w:t>
      </w:r>
      <w:r>
        <w:rPr>
          <w:rFonts w:hint="eastAsia"/>
          <w:color w:val="auto"/>
          <w:sz w:val="24"/>
          <w:szCs w:val="24"/>
          <w:highlight w:val="none"/>
        </w:rPr>
        <w:t>响应文件要求盖公章的内容（磋商文件第五部分“响应文件格式”中要求盖供应商公章）必须加盖供应商公章。</w:t>
      </w:r>
    </w:p>
    <w:p w14:paraId="1D8EB3C8">
      <w:pPr>
        <w:rPr>
          <w:rFonts w:hint="eastAsia" w:ascii="宋体" w:hAnsi="宋体" w:eastAsia="宋体" w:cs="宋体"/>
          <w:color w:val="auto"/>
          <w:sz w:val="24"/>
          <w:szCs w:val="24"/>
          <w:highlight w:val="none"/>
        </w:rPr>
      </w:pPr>
    </w:p>
    <w:p w14:paraId="3741AC9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11" w:firstLineChars="10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响应文件的递交</w:t>
      </w:r>
    </w:p>
    <w:p w14:paraId="09CC1A5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363ECEE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20 </w:t>
      </w:r>
      <w:r>
        <w:rPr>
          <w:rFonts w:hint="eastAsia" w:cs="宋体"/>
          <w:b/>
          <w:bCs/>
          <w:color w:val="auto"/>
          <w:sz w:val="24"/>
          <w:szCs w:val="24"/>
          <w:highlight w:val="none"/>
          <w:lang w:val="en-US" w:eastAsia="zh-CN"/>
        </w:rPr>
        <w:t>加密 电子响应文件</w:t>
      </w:r>
      <w:r>
        <w:rPr>
          <w:rFonts w:hint="eastAsia" w:ascii="宋体" w:hAnsi="宋体" w:eastAsia="宋体" w:cs="宋体"/>
          <w:b/>
          <w:bCs/>
          <w:color w:val="auto"/>
          <w:sz w:val="24"/>
          <w:szCs w:val="24"/>
          <w:highlight w:val="none"/>
        </w:rPr>
        <w:t xml:space="preserve"> </w:t>
      </w:r>
    </w:p>
    <w:p w14:paraId="1F4D43EF">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20.1</w:t>
      </w:r>
      <w:r>
        <w:rPr>
          <w:rFonts w:hint="eastAsia"/>
          <w:color w:val="auto"/>
          <w:sz w:val="24"/>
          <w:szCs w:val="24"/>
          <w:highlight w:val="none"/>
          <w:lang w:val="en-US" w:eastAsia="zh-CN"/>
        </w:rPr>
        <w:t xml:space="preserve"> 本项目采用不见面开标，供应商须在投标截止时间前通过CA在政采云平台上传加密的电子响应文件。供应商对不见面开评标系统的技术操作咨询，可通过 （https://www.xjca.com.cn/）或下载“新疆政务通”APP自行进行申领。自助查询，也可在政采云帮助中心常见问题解答和操作流程讲解视频中自助查询，网址为：（https://www.xjca.com.cn/）“项目采购”—“操作流程-电子招投标”— “政府采购项目电子交易管理操作指南-供应商”版面获取操作指南，同时对所有无法解决的问题可通过钉钉群及政采云在线客服获取服务支持。</w:t>
      </w:r>
      <w:r>
        <w:rPr>
          <w:rFonts w:hint="eastAsia"/>
          <w:color w:val="auto"/>
          <w:sz w:val="24"/>
          <w:szCs w:val="24"/>
          <w:highlight w:val="none"/>
        </w:rPr>
        <w:t xml:space="preserve"> </w:t>
      </w:r>
    </w:p>
    <w:p w14:paraId="49A3F86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21 </w:t>
      </w:r>
      <w:r>
        <w:rPr>
          <w:rFonts w:hint="eastAsia" w:ascii="宋体" w:hAnsi="宋体" w:eastAsia="宋体" w:cs="宋体"/>
          <w:b/>
          <w:bCs/>
          <w:color w:val="auto"/>
          <w:sz w:val="24"/>
          <w:szCs w:val="24"/>
          <w:highlight w:val="none"/>
        </w:rPr>
        <w:t>磋商响应截止</w:t>
      </w:r>
      <w:r>
        <w:rPr>
          <w:rFonts w:hint="eastAsia" w:ascii="宋体" w:hAnsi="宋体" w:eastAsia="宋体" w:cs="宋体"/>
          <w:color w:val="auto"/>
          <w:sz w:val="24"/>
          <w:szCs w:val="24"/>
          <w:highlight w:val="none"/>
        </w:rPr>
        <w:t xml:space="preserve"> </w:t>
      </w:r>
    </w:p>
    <w:p w14:paraId="29FD2E92">
      <w:pPr>
        <w:spacing w:line="44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val="en-US"/>
        </w:rPr>
        <w:t xml:space="preserve">21.1 </w:t>
      </w:r>
      <w:r>
        <w:rPr>
          <w:rFonts w:hint="eastAsia"/>
          <w:color w:val="auto"/>
          <w:sz w:val="24"/>
          <w:szCs w:val="24"/>
          <w:highlight w:val="none"/>
        </w:rPr>
        <w:t>供应商应在磋商文件第一部分“磋商</w:t>
      </w:r>
      <w:r>
        <w:rPr>
          <w:rFonts w:hint="eastAsia"/>
          <w:color w:val="auto"/>
          <w:sz w:val="24"/>
          <w:szCs w:val="24"/>
          <w:highlight w:val="none"/>
          <w:lang w:val="en-US" w:eastAsia="zh-CN"/>
        </w:rPr>
        <w:t>公告</w:t>
      </w:r>
      <w:r>
        <w:rPr>
          <w:rFonts w:hint="eastAsia"/>
          <w:color w:val="auto"/>
          <w:sz w:val="24"/>
          <w:szCs w:val="24"/>
          <w:highlight w:val="none"/>
        </w:rPr>
        <w:t>”中规定的截止日期和时间前将</w:t>
      </w:r>
      <w:r>
        <w:rPr>
          <w:rFonts w:hint="eastAsia"/>
          <w:color w:val="auto"/>
          <w:sz w:val="24"/>
          <w:szCs w:val="24"/>
          <w:highlight w:val="none"/>
          <w:lang w:val="en-US" w:eastAsia="zh-CN"/>
        </w:rPr>
        <w:t>电子</w:t>
      </w:r>
      <w:r>
        <w:rPr>
          <w:rFonts w:hint="eastAsia"/>
          <w:color w:val="auto"/>
          <w:sz w:val="24"/>
          <w:szCs w:val="24"/>
          <w:highlight w:val="none"/>
        </w:rPr>
        <w:t>响应文件</w:t>
      </w:r>
      <w:r>
        <w:rPr>
          <w:rFonts w:hint="eastAsia"/>
          <w:color w:val="auto"/>
          <w:sz w:val="24"/>
          <w:szCs w:val="24"/>
          <w:highlight w:val="none"/>
          <w:lang w:val="en-US" w:eastAsia="zh-CN"/>
        </w:rPr>
        <w:t>递交上传</w:t>
      </w:r>
      <w:r>
        <w:rPr>
          <w:rFonts w:hint="eastAsia"/>
          <w:color w:val="auto"/>
          <w:sz w:val="24"/>
          <w:szCs w:val="24"/>
          <w:highlight w:val="none"/>
        </w:rPr>
        <w:t>至新疆政府采购云平台</w:t>
      </w:r>
      <w:r>
        <w:rPr>
          <w:rFonts w:hint="eastAsia"/>
          <w:color w:val="auto"/>
          <w:sz w:val="24"/>
          <w:szCs w:val="24"/>
          <w:highlight w:val="none"/>
          <w:lang w:val="en-US" w:eastAsia="zh-CN"/>
        </w:rPr>
        <w:t>（https://www.xjca.com.cn/）</w:t>
      </w:r>
      <w:r>
        <w:rPr>
          <w:rFonts w:hint="eastAsia"/>
          <w:color w:val="auto"/>
          <w:sz w:val="24"/>
          <w:szCs w:val="24"/>
          <w:highlight w:val="none"/>
          <w:lang w:eastAsia="zh-CN"/>
        </w:rPr>
        <w:t>。</w:t>
      </w:r>
    </w:p>
    <w:p w14:paraId="341AA77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21.2 </w:t>
      </w:r>
      <w:r>
        <w:rPr>
          <w:rFonts w:hint="eastAsia" w:ascii="宋体" w:hAnsi="宋体" w:eastAsia="宋体" w:cs="宋体"/>
          <w:color w:val="auto"/>
          <w:sz w:val="24"/>
          <w:szCs w:val="24"/>
          <w:highlight w:val="none"/>
        </w:rPr>
        <w:t>为使供应商准备响应时有充分时间对磋商文件的修改部分进行研究，采购人或者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可适当推迟响应截止期，但应发布公告并书面通知所有获取磋商文件的潜在供应商。在此情况下，采购人或者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和供应商受响应截止期制约的所有权利和义务均应延长至新的截止期。 </w:t>
      </w:r>
    </w:p>
    <w:p w14:paraId="0C21A07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21.3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将拒收在磋商文件规定的响应截止时间之后送达的响应文件及未报名获取磋商文件的供应商递交的响应文件。 </w:t>
      </w:r>
    </w:p>
    <w:p w14:paraId="7151DD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rPr>
        <w:t>响应文件的修改和撤回</w:t>
      </w:r>
      <w:r>
        <w:rPr>
          <w:rFonts w:hint="eastAsia" w:ascii="宋体" w:hAnsi="宋体" w:eastAsia="宋体" w:cs="宋体"/>
          <w:color w:val="auto"/>
          <w:sz w:val="24"/>
          <w:szCs w:val="24"/>
          <w:highlight w:val="none"/>
        </w:rPr>
        <w:t xml:space="preserve"> </w:t>
      </w:r>
    </w:p>
    <w:p w14:paraId="10983E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7E4C5F0E">
      <w:pPr>
        <w:pStyle w:val="6"/>
        <w:rPr>
          <w:rFonts w:hint="eastAsia"/>
          <w:color w:val="auto"/>
          <w:highlight w:val="none"/>
        </w:rPr>
      </w:pPr>
    </w:p>
    <w:p w14:paraId="2BC60480">
      <w:pPr>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right="0" w:right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bCs/>
          <w:color w:val="auto"/>
          <w:sz w:val="28"/>
          <w:szCs w:val="28"/>
          <w:highlight w:val="none"/>
          <w:lang w:val="en-US" w:eastAsia="zh-CN"/>
        </w:rPr>
        <w:t>程序</w:t>
      </w:r>
    </w:p>
    <w:p w14:paraId="29FBA749">
      <w:pPr>
        <w:pStyle w:val="6"/>
        <w:numPr>
          <w:ilvl w:val="0"/>
          <w:numId w:val="0"/>
        </w:numPr>
        <w:ind w:right="0" w:rightChars="0"/>
        <w:rPr>
          <w:rFonts w:hint="eastAsia"/>
          <w:color w:val="auto"/>
          <w:highlight w:val="none"/>
          <w:lang w:eastAsia="zh-CN"/>
        </w:rPr>
      </w:pPr>
    </w:p>
    <w:p w14:paraId="74017B6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 开启</w:t>
      </w:r>
    </w:p>
    <w:p w14:paraId="160F00AB">
      <w:pPr>
        <w:pageBreakBefore w:val="0"/>
        <w:kinsoku/>
        <w:wordWrap/>
        <w:overflowPunct/>
        <w:topLinePunct w:val="0"/>
        <w:bidi w:val="0"/>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23.1 开启会议</w:t>
      </w:r>
      <w:r>
        <w:rPr>
          <w:rFonts w:hint="eastAsia"/>
          <w:color w:val="auto"/>
          <w:sz w:val="24"/>
          <w:szCs w:val="24"/>
          <w:highlight w:val="none"/>
        </w:rPr>
        <w:t>由</w:t>
      </w:r>
      <w:r>
        <w:rPr>
          <w:rFonts w:hint="eastAsia"/>
          <w:color w:val="auto"/>
          <w:sz w:val="24"/>
          <w:szCs w:val="24"/>
          <w:highlight w:val="none"/>
          <w:lang w:val="en-US" w:eastAsia="zh-CN"/>
        </w:rPr>
        <w:t>采购人和招标代理公司</w:t>
      </w:r>
      <w:r>
        <w:rPr>
          <w:rFonts w:hint="eastAsia"/>
          <w:color w:val="auto"/>
          <w:sz w:val="24"/>
          <w:szCs w:val="24"/>
          <w:highlight w:val="none"/>
        </w:rPr>
        <w:t>主持并在磋商邀请中规定的日期、时间和地点组织公开</w:t>
      </w:r>
      <w:r>
        <w:rPr>
          <w:rFonts w:hint="eastAsia"/>
          <w:color w:val="auto"/>
          <w:sz w:val="24"/>
          <w:szCs w:val="24"/>
          <w:highlight w:val="none"/>
          <w:lang w:val="en-US"/>
        </w:rPr>
        <w:t>开启</w:t>
      </w:r>
      <w:r>
        <w:rPr>
          <w:rFonts w:hint="eastAsia"/>
          <w:color w:val="auto"/>
          <w:sz w:val="24"/>
          <w:szCs w:val="24"/>
          <w:highlight w:val="none"/>
        </w:rPr>
        <w:t>。允许</w:t>
      </w:r>
      <w:r>
        <w:rPr>
          <w:rFonts w:hint="eastAsia"/>
          <w:color w:val="auto"/>
          <w:sz w:val="24"/>
          <w:szCs w:val="24"/>
          <w:highlight w:val="none"/>
          <w:lang w:val="en-US"/>
        </w:rPr>
        <w:t>供应商</w:t>
      </w:r>
      <w:r>
        <w:rPr>
          <w:rFonts w:hint="eastAsia"/>
          <w:color w:val="auto"/>
          <w:sz w:val="24"/>
          <w:szCs w:val="24"/>
          <w:highlight w:val="none"/>
        </w:rPr>
        <w:t>的法定代表人或其授权人参加</w:t>
      </w:r>
      <w:r>
        <w:rPr>
          <w:rFonts w:hint="eastAsia"/>
          <w:color w:val="auto"/>
          <w:sz w:val="24"/>
          <w:szCs w:val="24"/>
          <w:highlight w:val="none"/>
          <w:lang w:val="en-US"/>
        </w:rPr>
        <w:t>开启会议</w:t>
      </w:r>
      <w:r>
        <w:rPr>
          <w:rFonts w:hint="eastAsia"/>
          <w:color w:val="auto"/>
          <w:sz w:val="24"/>
          <w:szCs w:val="24"/>
          <w:highlight w:val="none"/>
        </w:rPr>
        <w:t>。</w:t>
      </w:r>
    </w:p>
    <w:p w14:paraId="18A82907">
      <w:pPr>
        <w:spacing w:line="440" w:lineRule="exact"/>
        <w:ind w:firstLine="480" w:firstLineChars="200"/>
        <w:rPr>
          <w:rFonts w:hint="eastAsia"/>
          <w:color w:val="auto"/>
          <w:sz w:val="24"/>
          <w:szCs w:val="24"/>
          <w:highlight w:val="none"/>
          <w:lang w:val="en-US"/>
        </w:rPr>
      </w:pPr>
      <w:r>
        <w:rPr>
          <w:rFonts w:hint="eastAsia"/>
          <w:color w:val="auto"/>
          <w:sz w:val="24"/>
          <w:szCs w:val="24"/>
          <w:highlight w:val="none"/>
          <w:lang w:val="en-US"/>
        </w:rPr>
        <w:t xml:space="preserve">23.2 </w:t>
      </w:r>
      <w:r>
        <w:rPr>
          <w:rFonts w:hint="eastAsia"/>
          <w:color w:val="auto"/>
          <w:sz w:val="24"/>
          <w:szCs w:val="24"/>
          <w:highlight w:val="none"/>
          <w:lang w:val="en-US" w:eastAsia="zh-CN"/>
        </w:rPr>
        <w:t>电子响应文件解密，</w:t>
      </w:r>
      <w:r>
        <w:rPr>
          <w:rFonts w:hint="eastAsia"/>
          <w:color w:val="auto"/>
          <w:sz w:val="24"/>
          <w:szCs w:val="24"/>
          <w:highlight w:val="none"/>
        </w:rPr>
        <w:t>由</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lang w:val="en-US" w:eastAsia="zh-CN"/>
        </w:rPr>
        <w:t>开启解密</w:t>
      </w:r>
      <w:r>
        <w:rPr>
          <w:rFonts w:hint="eastAsia"/>
          <w:color w:val="auto"/>
          <w:sz w:val="24"/>
          <w:szCs w:val="24"/>
          <w:highlight w:val="none"/>
          <w:lang w:val="en-US"/>
        </w:rPr>
        <w:t>。</w:t>
      </w:r>
    </w:p>
    <w:p w14:paraId="354B19D4">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 xml:space="preserve">23.3  </w:t>
      </w:r>
      <w:r>
        <w:rPr>
          <w:rFonts w:hint="eastAsia"/>
          <w:color w:val="auto"/>
          <w:sz w:val="24"/>
          <w:szCs w:val="24"/>
          <w:highlight w:val="none"/>
        </w:rPr>
        <w:t>供应商代表对</w:t>
      </w:r>
      <w:r>
        <w:rPr>
          <w:rFonts w:hint="eastAsia"/>
          <w:color w:val="auto"/>
          <w:sz w:val="24"/>
          <w:szCs w:val="24"/>
          <w:highlight w:val="none"/>
          <w:lang w:val="en-US"/>
        </w:rPr>
        <w:t>开启</w:t>
      </w:r>
      <w:r>
        <w:rPr>
          <w:rFonts w:hint="eastAsia"/>
          <w:color w:val="auto"/>
          <w:sz w:val="24"/>
          <w:szCs w:val="24"/>
          <w:highlight w:val="none"/>
        </w:rPr>
        <w:t>过程和</w:t>
      </w:r>
      <w:r>
        <w:rPr>
          <w:rFonts w:hint="eastAsia"/>
          <w:color w:val="auto"/>
          <w:sz w:val="24"/>
          <w:szCs w:val="24"/>
          <w:highlight w:val="none"/>
          <w:lang w:val="en-US"/>
        </w:rPr>
        <w:t>开启</w:t>
      </w:r>
      <w:r>
        <w:rPr>
          <w:rFonts w:hint="eastAsia"/>
          <w:color w:val="auto"/>
          <w:sz w:val="24"/>
          <w:szCs w:val="24"/>
          <w:highlight w:val="none"/>
        </w:rPr>
        <w:t>记录有疑问，以及认为采购人、</w:t>
      </w:r>
      <w:r>
        <w:rPr>
          <w:rFonts w:hint="eastAsia"/>
          <w:color w:val="auto"/>
          <w:sz w:val="24"/>
          <w:szCs w:val="24"/>
          <w:highlight w:val="none"/>
          <w:lang w:val="en-US" w:eastAsia="zh-CN"/>
        </w:rPr>
        <w:t>招标代理公司</w:t>
      </w:r>
      <w:r>
        <w:rPr>
          <w:rFonts w:hint="eastAsia"/>
          <w:color w:val="auto"/>
          <w:sz w:val="24"/>
          <w:szCs w:val="24"/>
          <w:highlight w:val="none"/>
        </w:rPr>
        <w:t>相关工作人员有需要回避的情形的，应当场提出询问或者回避申请。采购人、</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rPr>
        <w:t xml:space="preserve">对供应商代表提出的询问或者回避申请应当及时处理。 </w:t>
      </w:r>
    </w:p>
    <w:p w14:paraId="7D1CCC4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4 资格审查</w:t>
      </w:r>
      <w:r>
        <w:rPr>
          <w:rFonts w:hint="eastAsia" w:ascii="宋体" w:hAnsi="宋体" w:eastAsia="宋体" w:cs="宋体"/>
          <w:color w:val="auto"/>
          <w:sz w:val="24"/>
          <w:szCs w:val="24"/>
          <w:highlight w:val="none"/>
        </w:rPr>
        <w:t xml:space="preserve"> </w:t>
      </w:r>
    </w:p>
    <w:p w14:paraId="4B1B18A6">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lang w:val="en-US"/>
        </w:rPr>
        <w:t xml:space="preserve">24.1 </w:t>
      </w:r>
      <w:r>
        <w:rPr>
          <w:rFonts w:hint="eastAsia" w:cs="宋体"/>
          <w:b/>
          <w:bCs/>
          <w:color w:val="auto"/>
          <w:sz w:val="24"/>
          <w:szCs w:val="24"/>
          <w:highlight w:val="none"/>
          <w:lang w:val="en-US" w:eastAsia="zh-CN"/>
        </w:rPr>
        <w:t>采购单位监督人员</w:t>
      </w:r>
      <w:r>
        <w:rPr>
          <w:rFonts w:hint="eastAsia"/>
          <w:b/>
          <w:bCs/>
          <w:color w:val="auto"/>
          <w:sz w:val="24"/>
          <w:szCs w:val="24"/>
          <w:highlight w:val="none"/>
        </w:rPr>
        <w:t>依法对供应商资格进行审查。资格审查是审查供应商</w:t>
      </w:r>
      <w:r>
        <w:rPr>
          <w:rFonts w:hint="eastAsia"/>
          <w:b/>
          <w:bCs/>
          <w:color w:val="auto"/>
          <w:sz w:val="24"/>
          <w:szCs w:val="24"/>
          <w:highlight w:val="none"/>
          <w:lang w:val="en-US"/>
        </w:rPr>
        <w:t>资格证明</w:t>
      </w:r>
      <w:r>
        <w:rPr>
          <w:rFonts w:hint="eastAsia"/>
          <w:b/>
          <w:bCs/>
          <w:color w:val="auto"/>
          <w:sz w:val="24"/>
          <w:szCs w:val="24"/>
          <w:highlight w:val="none"/>
        </w:rPr>
        <w:t>文件是否对磋商文件</w:t>
      </w:r>
      <w:r>
        <w:rPr>
          <w:rFonts w:hint="eastAsia"/>
          <w:b/>
          <w:bCs/>
          <w:color w:val="auto"/>
          <w:sz w:val="24"/>
          <w:szCs w:val="24"/>
          <w:highlight w:val="none"/>
          <w:lang w:val="en-US"/>
        </w:rPr>
        <w:t>资格条件</w:t>
      </w:r>
      <w:r>
        <w:rPr>
          <w:rFonts w:hint="eastAsia"/>
          <w:b/>
          <w:bCs/>
          <w:color w:val="auto"/>
          <w:sz w:val="24"/>
          <w:szCs w:val="24"/>
          <w:highlight w:val="none"/>
        </w:rPr>
        <w:t>作出实质性的响应，审查细则详见</w:t>
      </w:r>
      <w:r>
        <w:rPr>
          <w:rFonts w:hint="eastAsia"/>
          <w:b/>
          <w:bCs/>
          <w:color w:val="auto"/>
          <w:sz w:val="24"/>
          <w:szCs w:val="24"/>
          <w:highlight w:val="none"/>
          <w:lang w:val="en-US"/>
        </w:rPr>
        <w:t>磋商须知第七部分：《资格审查表》</w:t>
      </w:r>
      <w:r>
        <w:rPr>
          <w:rFonts w:hint="eastAsia"/>
          <w:b/>
          <w:bCs/>
          <w:color w:val="auto"/>
          <w:sz w:val="24"/>
          <w:szCs w:val="24"/>
          <w:highlight w:val="none"/>
        </w:rPr>
        <w:t>。对</w:t>
      </w:r>
      <w:r>
        <w:rPr>
          <w:rFonts w:hint="eastAsia"/>
          <w:b/>
          <w:bCs/>
          <w:color w:val="auto"/>
          <w:sz w:val="24"/>
          <w:szCs w:val="24"/>
          <w:highlight w:val="none"/>
          <w:lang w:val="en-US"/>
        </w:rPr>
        <w:t>资格证明文件提供不全或</w:t>
      </w:r>
      <w:r>
        <w:rPr>
          <w:rFonts w:hint="eastAsia"/>
          <w:b/>
          <w:bCs/>
          <w:color w:val="auto"/>
          <w:sz w:val="24"/>
          <w:szCs w:val="24"/>
          <w:highlight w:val="none"/>
        </w:rPr>
        <w:t>资格性审查不通过的磋商供应商，</w:t>
      </w:r>
      <w:r>
        <w:rPr>
          <w:rFonts w:hint="eastAsia"/>
          <w:b/>
          <w:bCs/>
          <w:color w:val="auto"/>
          <w:sz w:val="24"/>
          <w:szCs w:val="24"/>
          <w:highlight w:val="none"/>
          <w:lang w:val="en-US"/>
        </w:rPr>
        <w:t>将</w:t>
      </w:r>
      <w:r>
        <w:rPr>
          <w:rFonts w:hint="eastAsia"/>
          <w:b/>
          <w:bCs/>
          <w:color w:val="auto"/>
          <w:sz w:val="24"/>
          <w:szCs w:val="24"/>
          <w:highlight w:val="none"/>
        </w:rPr>
        <w:t>由</w:t>
      </w:r>
      <w:r>
        <w:rPr>
          <w:rFonts w:hint="eastAsia" w:ascii="宋体" w:hAnsi="宋体" w:eastAsia="宋体" w:cs="宋体"/>
          <w:b/>
          <w:bCs/>
          <w:color w:val="auto"/>
          <w:sz w:val="24"/>
          <w:szCs w:val="24"/>
          <w:highlight w:val="none"/>
        </w:rPr>
        <w:t>磋商小组</w:t>
      </w:r>
      <w:r>
        <w:rPr>
          <w:rFonts w:hint="eastAsia"/>
          <w:b/>
          <w:bCs/>
          <w:color w:val="auto"/>
          <w:sz w:val="24"/>
          <w:szCs w:val="24"/>
          <w:highlight w:val="none"/>
        </w:rPr>
        <w:t>现场告知</w:t>
      </w:r>
      <w:r>
        <w:rPr>
          <w:rFonts w:hint="eastAsia"/>
          <w:b/>
          <w:bCs/>
          <w:color w:val="auto"/>
          <w:sz w:val="24"/>
          <w:szCs w:val="24"/>
          <w:highlight w:val="none"/>
          <w:lang w:val="en-US"/>
        </w:rPr>
        <w:t>其不得</w:t>
      </w:r>
      <w:r>
        <w:rPr>
          <w:rFonts w:hint="eastAsia"/>
          <w:b/>
          <w:bCs/>
          <w:color w:val="auto"/>
          <w:sz w:val="24"/>
          <w:szCs w:val="24"/>
          <w:highlight w:val="none"/>
        </w:rPr>
        <w:t xml:space="preserve">参与磋商。 </w:t>
      </w:r>
    </w:p>
    <w:p w14:paraId="51BB091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25 </w:t>
      </w:r>
      <w:r>
        <w:rPr>
          <w:rFonts w:hint="eastAsia" w:ascii="宋体" w:hAnsi="宋体" w:eastAsia="宋体" w:cs="宋体"/>
          <w:b/>
          <w:bCs/>
          <w:color w:val="auto"/>
          <w:sz w:val="24"/>
          <w:szCs w:val="24"/>
          <w:highlight w:val="none"/>
        </w:rPr>
        <w:t>磋商小组</w:t>
      </w:r>
      <w:r>
        <w:rPr>
          <w:rFonts w:hint="eastAsia" w:ascii="宋体" w:hAnsi="宋体" w:eastAsia="宋体" w:cs="宋体"/>
          <w:color w:val="auto"/>
          <w:sz w:val="24"/>
          <w:szCs w:val="24"/>
          <w:highlight w:val="none"/>
        </w:rPr>
        <w:t xml:space="preserve"> </w:t>
      </w:r>
    </w:p>
    <w:p w14:paraId="1F2A975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 xml:space="preserve">磋商小组根据采购项目的特点进行组建，并负责磋商工作。磋商小组由评审专家共3人以上单数组成，其中评审专家人数不得少于磋商小组成员总数的三分之二。评标专家依法从政府采购评审专家库内相关的专家名单中随机抽取。采购人代表人数、专家人数构成将按照磋商须知前附表中确定。 </w:t>
      </w:r>
    </w:p>
    <w:p w14:paraId="6CE299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 xml:space="preserve">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14:paraId="61DAF7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磋商小组名单在评审结果确定前严格保密。评审专家有下列情形之一的，受到邀请应主动提出回避， 采购当事人也可以要求该评审专家回避</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28489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25.3.1 </w:t>
      </w:r>
      <w:r>
        <w:rPr>
          <w:rFonts w:hint="eastAsia" w:ascii="宋体" w:hAnsi="宋体" w:eastAsia="宋体" w:cs="宋体"/>
          <w:color w:val="auto"/>
          <w:sz w:val="24"/>
          <w:szCs w:val="24"/>
          <w:highlight w:val="none"/>
        </w:rPr>
        <w:t xml:space="preserve">参加采购活动前3年内与参加该采购项目的供应商存在劳动关系或担任过供应商的董事、监事或是供应商的控股股东或者实际控制人； </w:t>
      </w:r>
    </w:p>
    <w:p w14:paraId="3F6377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25.3.2 </w:t>
      </w:r>
      <w:r>
        <w:rPr>
          <w:rFonts w:hint="eastAsia" w:ascii="宋体" w:hAnsi="宋体" w:eastAsia="宋体" w:cs="宋体"/>
          <w:color w:val="auto"/>
          <w:sz w:val="24"/>
          <w:szCs w:val="24"/>
          <w:highlight w:val="none"/>
        </w:rPr>
        <w:t xml:space="preserve">与参加该采购项目的供应商的法定代表人或者负责人有夫妻、直系血亲、三代以内旁系血亲或者近姻亲关系； </w:t>
      </w:r>
    </w:p>
    <w:p w14:paraId="141D96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25.3.3 </w:t>
      </w:r>
      <w:r>
        <w:rPr>
          <w:rFonts w:hint="eastAsia" w:ascii="宋体" w:hAnsi="宋体" w:eastAsia="宋体" w:cs="宋体"/>
          <w:color w:val="auto"/>
          <w:sz w:val="24"/>
          <w:szCs w:val="24"/>
          <w:highlight w:val="none"/>
        </w:rPr>
        <w:t xml:space="preserve">与参加该采购项目的供应商有其他可能影响政府采购活动公平、公正进行的关系。 </w:t>
      </w:r>
    </w:p>
    <w:p w14:paraId="14C5C7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 </w:t>
      </w:r>
      <w:r>
        <w:rPr>
          <w:rFonts w:hint="eastAsia" w:ascii="宋体" w:hAnsi="宋体" w:eastAsia="宋体" w:cs="宋体"/>
          <w:color w:val="auto"/>
          <w:sz w:val="24"/>
          <w:szCs w:val="24"/>
          <w:highlight w:val="none"/>
        </w:rPr>
        <w:t xml:space="preserve">磋商小组负责具体评审事务，并独立履行下列职责： </w:t>
      </w:r>
    </w:p>
    <w:p w14:paraId="62BB32C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25.4.1 </w:t>
      </w:r>
      <w:r>
        <w:rPr>
          <w:rFonts w:hint="eastAsia" w:ascii="宋体" w:hAnsi="宋体" w:eastAsia="宋体" w:cs="宋体"/>
          <w:color w:val="auto"/>
          <w:sz w:val="24"/>
          <w:szCs w:val="24"/>
          <w:highlight w:val="none"/>
        </w:rPr>
        <w:t xml:space="preserve">审查、评审响应文件是否符合磋商文件的商务、技术等实质性要求； </w:t>
      </w:r>
    </w:p>
    <w:p w14:paraId="71BCDD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25.4.2 </w:t>
      </w:r>
      <w:r>
        <w:rPr>
          <w:rFonts w:hint="eastAsia" w:ascii="宋体" w:hAnsi="宋体" w:eastAsia="宋体" w:cs="宋体"/>
          <w:color w:val="auto"/>
          <w:sz w:val="24"/>
          <w:szCs w:val="24"/>
          <w:highlight w:val="none"/>
        </w:rPr>
        <w:t xml:space="preserve">要求供应商对响应文件有关事项作出澄清或者说明； </w:t>
      </w:r>
    </w:p>
    <w:p w14:paraId="0F27558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25.4.3 </w:t>
      </w:r>
      <w:r>
        <w:rPr>
          <w:rFonts w:hint="eastAsia" w:ascii="宋体" w:hAnsi="宋体" w:eastAsia="宋体" w:cs="宋体"/>
          <w:color w:val="auto"/>
          <w:sz w:val="24"/>
          <w:szCs w:val="24"/>
          <w:highlight w:val="none"/>
        </w:rPr>
        <w:t xml:space="preserve">对响应文件进行比较和评价； </w:t>
      </w:r>
    </w:p>
    <w:p w14:paraId="276B5E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25.4.4 </w:t>
      </w:r>
      <w:r>
        <w:rPr>
          <w:rFonts w:hint="eastAsia" w:ascii="宋体" w:hAnsi="宋体" w:eastAsia="宋体" w:cs="宋体"/>
          <w:color w:val="auto"/>
          <w:sz w:val="24"/>
          <w:szCs w:val="24"/>
          <w:highlight w:val="none"/>
        </w:rPr>
        <w:t xml:space="preserve">确定成交候选供应商名单，以及根据采购人委托直接确定成交供应商； </w:t>
      </w:r>
    </w:p>
    <w:p w14:paraId="302A5D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25.4.5 </w:t>
      </w:r>
      <w:r>
        <w:rPr>
          <w:rFonts w:hint="eastAsia" w:ascii="宋体" w:hAnsi="宋体" w:eastAsia="宋体" w:cs="宋体"/>
          <w:color w:val="auto"/>
          <w:sz w:val="24"/>
          <w:szCs w:val="24"/>
          <w:highlight w:val="none"/>
        </w:rPr>
        <w:t>向采购人、</w:t>
      </w:r>
      <w:r>
        <w:rPr>
          <w:rFonts w:hint="eastAsia" w:cs="宋体"/>
          <w:color w:val="auto"/>
          <w:sz w:val="24"/>
          <w:szCs w:val="24"/>
          <w:highlight w:val="none"/>
          <w:lang w:val="en-US" w:eastAsia="zh-CN"/>
        </w:rPr>
        <w:t>托克逊县财政局采购办</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或者有关部门报告磋商中发现的违法行为。 </w:t>
      </w:r>
    </w:p>
    <w:p w14:paraId="6323AE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25.5 </w:t>
      </w:r>
      <w:r>
        <w:rPr>
          <w:rFonts w:hint="eastAsia" w:ascii="宋体" w:hAnsi="宋体" w:eastAsia="宋体" w:cs="宋体"/>
          <w:color w:val="auto"/>
          <w:sz w:val="24"/>
          <w:szCs w:val="24"/>
          <w:highlight w:val="none"/>
        </w:rPr>
        <w:t xml:space="preserve">磋商小组和有关工作人员不得透露对响应文件的评审和比较以及与磋商有关的其他情况。 </w:t>
      </w:r>
    </w:p>
    <w:p w14:paraId="6DC446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25.6 </w:t>
      </w:r>
      <w:r>
        <w:rPr>
          <w:rFonts w:hint="eastAsia" w:ascii="宋体" w:hAnsi="宋体" w:eastAsia="宋体" w:cs="宋体"/>
          <w:color w:val="auto"/>
          <w:sz w:val="24"/>
          <w:szCs w:val="24"/>
          <w:highlight w:val="none"/>
        </w:rPr>
        <w:t xml:space="preserve">磋商小组将按照磋商文件中确定的评标方法和评标标准进行磋商。 </w:t>
      </w:r>
    </w:p>
    <w:p w14:paraId="302C751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25.7 </w:t>
      </w:r>
      <w:r>
        <w:rPr>
          <w:rFonts w:hint="eastAsia" w:ascii="宋体" w:hAnsi="宋体" w:eastAsia="宋体" w:cs="宋体"/>
          <w:color w:val="auto"/>
          <w:sz w:val="24"/>
          <w:szCs w:val="24"/>
          <w:highlight w:val="none"/>
        </w:rPr>
        <w:t xml:space="preserve">磋商小组对磋商文件中描述有歧意或前后不一致的地方，有权进行评判，但对同一条款的评判应适用于每个磋商供应商。 </w:t>
      </w:r>
    </w:p>
    <w:p w14:paraId="69407E71">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25.8 </w:t>
      </w:r>
      <w:r>
        <w:rPr>
          <w:rFonts w:hint="eastAsia" w:ascii="宋体" w:hAnsi="宋体" w:eastAsia="宋体" w:cs="宋体"/>
          <w:color w:val="auto"/>
          <w:sz w:val="24"/>
          <w:szCs w:val="24"/>
          <w:highlight w:val="none"/>
        </w:rPr>
        <w:t>磋商中因磋商小组成员缺席、回避或者健康等特殊原因导致磋商小组成不符合相关法律法规规定的</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应当依法补足后继续磋商。被更换的磋商小组成员所作出的评审意见无效。 </w:t>
      </w:r>
    </w:p>
    <w:p w14:paraId="539EA12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25.9 </w:t>
      </w:r>
      <w:r>
        <w:rPr>
          <w:rFonts w:hint="eastAsia" w:ascii="宋体" w:hAnsi="宋体" w:eastAsia="宋体" w:cs="宋体"/>
          <w:color w:val="auto"/>
          <w:sz w:val="24"/>
          <w:szCs w:val="24"/>
          <w:highlight w:val="none"/>
        </w:rPr>
        <w:t>无法及时补足磋商小组成员的，采购人或者</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应当停止评标活动，封存所有响应文件和开标、磋商资料，依法重新组建磋商小组进行磋商。 </w:t>
      </w:r>
    </w:p>
    <w:p w14:paraId="571007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25.10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应当将变更、重新组建评磋商小组的情况予以记录，并随采购文件一并存档。 </w:t>
      </w:r>
    </w:p>
    <w:p w14:paraId="2455807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 </w:t>
      </w:r>
      <w:r>
        <w:rPr>
          <w:rFonts w:hint="eastAsia" w:ascii="宋体" w:hAnsi="宋体" w:eastAsia="宋体" w:cs="宋体"/>
          <w:b/>
          <w:bCs/>
          <w:color w:val="auto"/>
          <w:sz w:val="24"/>
          <w:szCs w:val="24"/>
          <w:highlight w:val="none"/>
        </w:rPr>
        <w:t>磋商过程</w:t>
      </w:r>
      <w:r>
        <w:rPr>
          <w:rFonts w:hint="eastAsia" w:ascii="宋体" w:hAnsi="宋体" w:eastAsia="宋体" w:cs="宋体"/>
          <w:color w:val="auto"/>
          <w:sz w:val="24"/>
          <w:szCs w:val="24"/>
          <w:highlight w:val="none"/>
        </w:rPr>
        <w:t xml:space="preserve"> </w:t>
      </w:r>
    </w:p>
    <w:p w14:paraId="16CAE26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26.1 </w:t>
      </w:r>
      <w:r>
        <w:rPr>
          <w:rFonts w:hint="eastAsia" w:ascii="宋体" w:hAnsi="宋体" w:eastAsia="宋体" w:cs="宋体"/>
          <w:b/>
          <w:bCs/>
          <w:color w:val="auto"/>
          <w:sz w:val="24"/>
          <w:szCs w:val="24"/>
          <w:highlight w:val="none"/>
        </w:rPr>
        <w:t>符合性审查</w:t>
      </w:r>
      <w:r>
        <w:rPr>
          <w:rFonts w:hint="eastAsia" w:ascii="宋体" w:hAnsi="宋体" w:eastAsia="宋体" w:cs="宋体"/>
          <w:color w:val="auto"/>
          <w:sz w:val="24"/>
          <w:szCs w:val="24"/>
          <w:highlight w:val="none"/>
        </w:rPr>
        <w:t xml:space="preserve"> </w:t>
      </w:r>
    </w:p>
    <w:p w14:paraId="5985D3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对符合性审查不通过的响应文件磋商小组将按无效响应处理，由磋商小组现场告知该磋商供应商，其响应文件作无效处理，不参与磋商。 </w:t>
      </w:r>
      <w:r>
        <w:rPr>
          <w:rFonts w:hint="eastAsia" w:ascii="宋体" w:hAnsi="宋体" w:eastAsia="宋体" w:cs="宋体"/>
          <w:b/>
          <w:bCs/>
          <w:color w:val="auto"/>
          <w:sz w:val="24"/>
          <w:szCs w:val="24"/>
          <w:highlight w:val="none"/>
        </w:rPr>
        <w:t>审查细则详见</w:t>
      </w:r>
      <w:r>
        <w:rPr>
          <w:rFonts w:hint="eastAsia" w:cs="宋体"/>
          <w:b/>
          <w:bCs/>
          <w:color w:val="auto"/>
          <w:sz w:val="24"/>
          <w:szCs w:val="24"/>
          <w:highlight w:val="none"/>
          <w:lang w:val="en-US" w:eastAsia="zh-CN"/>
        </w:rPr>
        <w:t>磋商须知</w:t>
      </w:r>
      <w:r>
        <w:rPr>
          <w:rFonts w:hint="eastAsia" w:ascii="宋体" w:hAnsi="宋体" w:eastAsia="宋体" w:cs="宋体"/>
          <w:b/>
          <w:bCs/>
          <w:color w:val="auto"/>
          <w:sz w:val="24"/>
          <w:szCs w:val="24"/>
          <w:highlight w:val="none"/>
          <w:lang w:val="en-US" w:eastAsia="zh-CN"/>
        </w:rPr>
        <w:t>第</w:t>
      </w: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p w14:paraId="47846F1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26.2 </w:t>
      </w:r>
      <w:r>
        <w:rPr>
          <w:rFonts w:hint="eastAsia" w:ascii="宋体" w:hAnsi="宋体" w:eastAsia="宋体" w:cs="宋体"/>
          <w:b/>
          <w:bCs/>
          <w:color w:val="auto"/>
          <w:sz w:val="24"/>
          <w:szCs w:val="24"/>
          <w:highlight w:val="none"/>
        </w:rPr>
        <w:t>磋商</w:t>
      </w:r>
      <w:r>
        <w:rPr>
          <w:rFonts w:hint="eastAsia" w:ascii="宋体" w:hAnsi="宋体" w:eastAsia="宋体" w:cs="宋体"/>
          <w:color w:val="auto"/>
          <w:sz w:val="24"/>
          <w:szCs w:val="24"/>
          <w:highlight w:val="none"/>
        </w:rPr>
        <w:t xml:space="preserve"> </w:t>
      </w:r>
    </w:p>
    <w:p w14:paraId="19EB900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26.2.1 </w:t>
      </w:r>
      <w:r>
        <w:rPr>
          <w:rFonts w:hint="eastAsia" w:ascii="宋体" w:hAnsi="宋体" w:eastAsia="宋体" w:cs="宋体"/>
          <w:color w:val="auto"/>
          <w:sz w:val="24"/>
          <w:szCs w:val="24"/>
          <w:highlight w:val="none"/>
        </w:rPr>
        <w:t>磋商小组所有成员集中与单一供应商分别进行</w:t>
      </w:r>
      <w:r>
        <w:rPr>
          <w:rFonts w:hint="eastAsia" w:cs="宋体"/>
          <w:color w:val="auto"/>
          <w:sz w:val="24"/>
          <w:szCs w:val="24"/>
          <w:highlight w:val="none"/>
          <w:lang w:val="en-US" w:eastAsia="zh-CN"/>
        </w:rPr>
        <w:t>线上</w:t>
      </w:r>
      <w:r>
        <w:rPr>
          <w:rFonts w:hint="eastAsia" w:ascii="宋体" w:hAnsi="宋体" w:eastAsia="宋体" w:cs="宋体"/>
          <w:color w:val="auto"/>
          <w:sz w:val="24"/>
          <w:szCs w:val="24"/>
          <w:highlight w:val="none"/>
        </w:rPr>
        <w:t xml:space="preserve">磋商，并给予所有参加磋商的供应商平等的磋商机会。 </w:t>
      </w:r>
    </w:p>
    <w:p w14:paraId="0A7F46F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26.2.3 </w:t>
      </w:r>
      <w:r>
        <w:rPr>
          <w:rFonts w:hint="eastAsia" w:ascii="宋体" w:hAnsi="宋体" w:eastAsia="宋体" w:cs="宋体"/>
          <w:color w:val="auto"/>
          <w:sz w:val="24"/>
          <w:szCs w:val="24"/>
          <w:highlight w:val="none"/>
        </w:rPr>
        <w:t>磋商小组对各供应商的最后报价进行审查，认为供应商的最后报价明显低于其他通过资格、符合性审查供应商的报价，有可能影响</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质量或者不能诚信履约的，</w:t>
      </w:r>
      <w:r>
        <w:rPr>
          <w:rFonts w:hint="eastAsia"/>
          <w:color w:val="auto"/>
          <w:sz w:val="24"/>
          <w:szCs w:val="24"/>
          <w:highlight w:val="none"/>
        </w:rPr>
        <w:t>应当要求其在</w:t>
      </w:r>
      <w:r>
        <w:rPr>
          <w:rFonts w:hint="eastAsia"/>
          <w:color w:val="auto"/>
          <w:sz w:val="24"/>
          <w:szCs w:val="24"/>
          <w:highlight w:val="none"/>
          <w:lang w:val="en-US" w:eastAsia="zh-CN"/>
        </w:rPr>
        <w:t>政采云不见面开评标大厅</w:t>
      </w:r>
      <w:r>
        <w:rPr>
          <w:rFonts w:hint="eastAsia"/>
          <w:color w:val="auto"/>
          <w:sz w:val="24"/>
          <w:szCs w:val="24"/>
          <w:highlight w:val="none"/>
        </w:rPr>
        <w:t>提供书面说明，必要时提交相关证明材料；供应商不能证明其报价合理性的，磋商小组应当将其作为无效响应处理。</w:t>
      </w:r>
      <w:r>
        <w:rPr>
          <w:rFonts w:hint="eastAsia"/>
          <w:color w:val="auto"/>
          <w:sz w:val="24"/>
          <w:szCs w:val="24"/>
          <w:highlight w:val="none"/>
          <w:lang w:val="en-US" w:eastAsia="zh-CN"/>
        </w:rPr>
        <w:t xml:space="preserve">  </w:t>
      </w:r>
    </w:p>
    <w:p w14:paraId="417F2AB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26.2.4 </w:t>
      </w:r>
      <w:r>
        <w:rPr>
          <w:rFonts w:hint="eastAsia" w:ascii="宋体" w:hAnsi="宋体" w:eastAsia="宋体" w:cs="宋体"/>
          <w:color w:val="auto"/>
          <w:sz w:val="24"/>
          <w:szCs w:val="24"/>
          <w:highlight w:val="none"/>
        </w:rPr>
        <w:t xml:space="preserve">供应商的报价出现前后不一致的情况，磋商小组将要求供应商根据磋商文件要求修正报价。修正后的报价经供应商确认后具有约束力，供应商不确认的，其响应无效。 </w:t>
      </w:r>
    </w:p>
    <w:p w14:paraId="02F1F6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 </w:t>
      </w:r>
      <w:r>
        <w:rPr>
          <w:rFonts w:hint="eastAsia" w:ascii="宋体" w:hAnsi="宋体" w:eastAsia="宋体" w:cs="宋体"/>
          <w:color w:val="auto"/>
          <w:sz w:val="24"/>
          <w:szCs w:val="24"/>
          <w:highlight w:val="none"/>
        </w:rPr>
        <w:t xml:space="preserve">报价按照下列规定修正： </w:t>
      </w:r>
    </w:p>
    <w:p w14:paraId="58CF1B8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26.2.5.1 </w:t>
      </w:r>
      <w:r>
        <w:rPr>
          <w:rFonts w:hint="eastAsia" w:ascii="宋体" w:hAnsi="宋体" w:eastAsia="宋体" w:cs="宋体"/>
          <w:color w:val="auto"/>
          <w:sz w:val="24"/>
          <w:szCs w:val="24"/>
          <w:highlight w:val="none"/>
        </w:rPr>
        <w:t>响应文件中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一览表（首次报价表）内容与响应文件中相应内容不一致的，以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一览表（首次报价表）为准； </w:t>
      </w:r>
    </w:p>
    <w:p w14:paraId="78564C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26.2.5.2 </w:t>
      </w:r>
      <w:r>
        <w:rPr>
          <w:rFonts w:hint="eastAsia" w:ascii="宋体" w:hAnsi="宋体" w:eastAsia="宋体" w:cs="宋体"/>
          <w:color w:val="auto"/>
          <w:sz w:val="24"/>
          <w:szCs w:val="24"/>
          <w:highlight w:val="none"/>
        </w:rPr>
        <w:t xml:space="preserve">大写金额和小写金额不一致的，以大写金额为准； </w:t>
      </w:r>
    </w:p>
    <w:p w14:paraId="778AEFE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26.2.5.3 </w:t>
      </w: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一览表的总价为准，并修改单价； </w:t>
      </w:r>
    </w:p>
    <w:p w14:paraId="4E2EB2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26.2.5.4 </w:t>
      </w:r>
      <w:r>
        <w:rPr>
          <w:rFonts w:hint="eastAsia" w:ascii="宋体" w:hAnsi="宋体" w:eastAsia="宋体" w:cs="宋体"/>
          <w:color w:val="auto"/>
          <w:sz w:val="24"/>
          <w:szCs w:val="24"/>
          <w:highlight w:val="none"/>
        </w:rPr>
        <w:t xml:space="preserve">总价金额与按单价汇总金额不一致的，以单价金额计算结果为准。 </w:t>
      </w:r>
    </w:p>
    <w:p w14:paraId="21D24D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26.2.5.5 </w:t>
      </w:r>
      <w:r>
        <w:rPr>
          <w:rFonts w:hint="eastAsia" w:ascii="宋体" w:hAnsi="宋体" w:eastAsia="宋体" w:cs="宋体"/>
          <w:color w:val="auto"/>
          <w:sz w:val="24"/>
          <w:szCs w:val="24"/>
          <w:highlight w:val="none"/>
        </w:rPr>
        <w:t xml:space="preserve">同时出现两种以上不一致的，按照前款规定的顺序修正。 </w:t>
      </w:r>
    </w:p>
    <w:p w14:paraId="453675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26.2.6 </w:t>
      </w:r>
      <w:r>
        <w:rPr>
          <w:rFonts w:hint="eastAsia" w:ascii="宋体" w:hAnsi="宋体" w:eastAsia="宋体" w:cs="宋体"/>
          <w:color w:val="auto"/>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706022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26.2.7 </w:t>
      </w:r>
      <w:r>
        <w:rPr>
          <w:rFonts w:hint="eastAsia" w:ascii="宋体" w:hAnsi="宋体" w:eastAsia="宋体" w:cs="宋体"/>
          <w:color w:val="auto"/>
          <w:sz w:val="24"/>
          <w:szCs w:val="24"/>
          <w:highlight w:val="none"/>
        </w:rPr>
        <w:t>对磋商文件作出的实质性变动是磋商文件的有效组成部分，磋商小组应当以书面形式同时通知所有参加磋商的供应商，供应商应当按照磋商文件的变动情况和磋商小组的要求重新提交响应文件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并由其法定代表人或授权代表签字或者加盖公章。供应商为自然人的，应当由本人签字并附身份证明。 </w:t>
      </w:r>
    </w:p>
    <w:p w14:paraId="4357E694">
      <w:pPr>
        <w:spacing w:line="440" w:lineRule="exact"/>
        <w:ind w:firstLine="480" w:firstLineChars="200"/>
        <w:rPr>
          <w:rFonts w:hint="eastAsia"/>
          <w:b/>
          <w:bCs/>
          <w:color w:val="auto"/>
          <w:sz w:val="24"/>
          <w:szCs w:val="24"/>
          <w:highlight w:val="none"/>
        </w:rPr>
      </w:pPr>
      <w:r>
        <w:rPr>
          <w:rFonts w:hint="eastAsia" w:ascii="宋体" w:hAnsi="宋体" w:eastAsia="宋体" w:cs="宋体"/>
          <w:color w:val="auto"/>
          <w:sz w:val="24"/>
          <w:szCs w:val="24"/>
          <w:highlight w:val="none"/>
          <w:lang w:val="en-US" w:eastAsia="zh-CN"/>
        </w:rPr>
        <w:t xml:space="preserve">26.2.8 </w:t>
      </w:r>
      <w:r>
        <w:rPr>
          <w:rFonts w:hint="eastAsia"/>
          <w:color w:val="auto"/>
          <w:sz w:val="24"/>
          <w:szCs w:val="24"/>
          <w:highlight w:val="none"/>
        </w:rPr>
        <w:t>磋商文件能够详细说明采购标的的技术、服务要求的，磋商结束后，磋商小组应当要求所有实质性响应的供应商在规定的时间内</w:t>
      </w:r>
      <w:r>
        <w:rPr>
          <w:rFonts w:hint="eastAsia"/>
          <w:color w:val="auto"/>
          <w:sz w:val="24"/>
          <w:szCs w:val="24"/>
          <w:highlight w:val="none"/>
          <w:lang w:val="en-US" w:eastAsia="zh-CN"/>
        </w:rPr>
        <w:t>在政采云不见面开评标大厅</w:t>
      </w:r>
      <w:r>
        <w:rPr>
          <w:rFonts w:hint="eastAsia"/>
          <w:color w:val="auto"/>
          <w:sz w:val="24"/>
          <w:szCs w:val="24"/>
          <w:highlight w:val="none"/>
        </w:rPr>
        <w:t>提交最后报价，提交最后报价的供应商不得少于3家。</w:t>
      </w:r>
      <w:r>
        <w:rPr>
          <w:rFonts w:hint="eastAsia"/>
          <w:b/>
          <w:bCs/>
          <w:color w:val="auto"/>
          <w:sz w:val="24"/>
          <w:szCs w:val="24"/>
          <w:highlight w:val="none"/>
          <w:lang w:val="en-US" w:eastAsia="zh-CN"/>
        </w:rPr>
        <w:t>供应商进入政采云平台“项目采购”-“开标评标”模块，在政采云不见面开评标大厅中，</w:t>
      </w:r>
      <w:r>
        <w:rPr>
          <w:rFonts w:hint="eastAsia"/>
          <w:b/>
          <w:bCs/>
          <w:color w:val="auto"/>
          <w:sz w:val="24"/>
          <w:szCs w:val="24"/>
          <w:highlight w:val="none"/>
        </w:rPr>
        <w:t>由磋商小组对各供应商进行符合性审查，通过的供应商，由磋商小组组长发起二轮报价，各供应商需在30分钟内完成报价，</w:t>
      </w:r>
      <w:r>
        <w:rPr>
          <w:rFonts w:hint="eastAsia"/>
          <w:b/>
          <w:bCs/>
          <w:color w:val="auto"/>
          <w:sz w:val="24"/>
          <w:szCs w:val="24"/>
          <w:highlight w:val="none"/>
          <w:lang w:val="en-US" w:eastAsia="zh-CN"/>
        </w:rPr>
        <w:t>供应商根据系统提示填写二次报价，并签章确认提交。</w:t>
      </w:r>
      <w:r>
        <w:rPr>
          <w:rFonts w:hint="eastAsia"/>
          <w:b/>
          <w:bCs/>
          <w:color w:val="auto"/>
          <w:sz w:val="24"/>
          <w:szCs w:val="24"/>
          <w:highlight w:val="none"/>
        </w:rPr>
        <w:t xml:space="preserve"> 逾期或者未在规定时间内完成二次报价的视为放弃报价。</w:t>
      </w:r>
    </w:p>
    <w:p w14:paraId="0D887545">
      <w:pPr>
        <w:spacing w:line="440" w:lineRule="exact"/>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3AC539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26.2.9 </w:t>
      </w:r>
      <w:r>
        <w:rPr>
          <w:rFonts w:hint="eastAsia" w:ascii="宋体" w:hAnsi="宋体" w:eastAsia="宋体" w:cs="宋体"/>
          <w:color w:val="auto"/>
          <w:sz w:val="24"/>
          <w:szCs w:val="24"/>
          <w:highlight w:val="none"/>
        </w:rPr>
        <w:t xml:space="preserve">在磋商过程中，供应商提交的澄清文件和最终响应文件，由供应商法定代表人或其授权代表签署后生效，供应商应受其约束。 </w:t>
      </w:r>
    </w:p>
    <w:p w14:paraId="60C7F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26.3 </w:t>
      </w:r>
      <w:r>
        <w:rPr>
          <w:rFonts w:hint="eastAsia" w:ascii="宋体" w:hAnsi="宋体" w:eastAsia="宋体" w:cs="宋体"/>
          <w:color w:val="auto"/>
          <w:sz w:val="24"/>
          <w:szCs w:val="24"/>
          <w:highlight w:val="none"/>
        </w:rPr>
        <w:t>已提交响应文件的供应商，在提交最后报价之前，可以根据磋商情况退出磋商。</w:t>
      </w:r>
      <w:r>
        <w:rPr>
          <w:rFonts w:hint="eastAsia" w:ascii="宋体" w:hAnsi="宋体" w:eastAsia="宋体" w:cs="宋体"/>
          <w:color w:val="auto"/>
          <w:sz w:val="24"/>
          <w:szCs w:val="24"/>
          <w:highlight w:val="none"/>
          <w:lang w:val="en-US" w:eastAsia="zh-CN"/>
        </w:rPr>
        <w:t>未作最后报价供应商视为自动退出磋商。供应商下轮报价可与上轮报价一致。</w:t>
      </w:r>
    </w:p>
    <w:p w14:paraId="27EEF2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26.4 </w:t>
      </w:r>
      <w:r>
        <w:rPr>
          <w:rFonts w:hint="eastAsia" w:cs="宋体"/>
          <w:color w:val="auto"/>
          <w:sz w:val="24"/>
          <w:szCs w:val="24"/>
          <w:highlight w:val="none"/>
          <w:lang w:val="en-US" w:eastAsia="zh-CN"/>
        </w:rPr>
        <w:t>招标代理</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对磋商过程和重要磋商内容进行记录。 </w:t>
      </w:r>
    </w:p>
    <w:p w14:paraId="75603F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27 </w:t>
      </w:r>
      <w:r>
        <w:rPr>
          <w:rFonts w:hint="eastAsia" w:ascii="宋体" w:hAnsi="宋体" w:eastAsia="宋体" w:cs="宋体"/>
          <w:b/>
          <w:bCs/>
          <w:color w:val="auto"/>
          <w:sz w:val="24"/>
          <w:szCs w:val="24"/>
          <w:highlight w:val="none"/>
        </w:rPr>
        <w:t>最后报价</w:t>
      </w:r>
      <w:r>
        <w:rPr>
          <w:rFonts w:hint="eastAsia" w:ascii="宋体" w:hAnsi="宋体" w:eastAsia="宋体" w:cs="宋体"/>
          <w:color w:val="auto"/>
          <w:sz w:val="24"/>
          <w:szCs w:val="24"/>
          <w:highlight w:val="none"/>
        </w:rPr>
        <w:t xml:space="preserve"> </w:t>
      </w:r>
    </w:p>
    <w:p w14:paraId="1C480F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磋商结束后，作出实质性响应的供应商应在规定的时间内密封提交最后报价（最后报价时间视磋商进程由磋商小组决定）。 </w:t>
      </w:r>
    </w:p>
    <w:p w14:paraId="56E8F7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 </w:t>
      </w:r>
      <w:r>
        <w:rPr>
          <w:rFonts w:hint="eastAsia" w:ascii="宋体" w:hAnsi="宋体" w:eastAsia="宋体" w:cs="宋体"/>
          <w:b/>
          <w:bCs/>
          <w:color w:val="auto"/>
          <w:sz w:val="24"/>
          <w:szCs w:val="24"/>
          <w:highlight w:val="none"/>
        </w:rPr>
        <w:t>评标方法</w:t>
      </w:r>
      <w:r>
        <w:rPr>
          <w:rFonts w:hint="eastAsia" w:ascii="宋体" w:hAnsi="宋体" w:eastAsia="宋体" w:cs="宋体"/>
          <w:color w:val="auto"/>
          <w:sz w:val="24"/>
          <w:szCs w:val="24"/>
          <w:highlight w:val="none"/>
        </w:rPr>
        <w:t xml:space="preserve"> </w:t>
      </w:r>
    </w:p>
    <w:p w14:paraId="709848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28.1 </w:t>
      </w:r>
      <w:r>
        <w:rPr>
          <w:rFonts w:hint="eastAsia" w:ascii="宋体" w:hAnsi="宋体" w:eastAsia="宋体" w:cs="宋体"/>
          <w:color w:val="auto"/>
          <w:sz w:val="24"/>
          <w:szCs w:val="24"/>
          <w:highlight w:val="none"/>
        </w:rPr>
        <w:t xml:space="preserve">本项目采用综合评分法。磋商小组对资格、符合性审查合格的响应文件进行商务、技术和价格评审， 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14:paraId="72A6F853">
      <w:pPr>
        <w:pStyle w:val="6"/>
        <w:rPr>
          <w:rFonts w:hint="eastAsia"/>
          <w:color w:val="auto"/>
          <w:highlight w:val="none"/>
        </w:rPr>
      </w:pPr>
    </w:p>
    <w:p w14:paraId="75261B5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综合得分＝商务得分+技术得分+磋商报价得分</w:t>
      </w:r>
    </w:p>
    <w:p w14:paraId="43EF697A">
      <w:pPr>
        <w:pStyle w:val="6"/>
        <w:rPr>
          <w:rFonts w:hint="eastAsia"/>
          <w:color w:val="auto"/>
          <w:highlight w:val="none"/>
        </w:rPr>
      </w:pPr>
    </w:p>
    <w:p w14:paraId="229BA4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28.2 </w:t>
      </w:r>
      <w:r>
        <w:rPr>
          <w:rFonts w:hint="eastAsia" w:ascii="宋体" w:hAnsi="宋体" w:eastAsia="宋体" w:cs="宋体"/>
          <w:color w:val="auto"/>
          <w:sz w:val="24"/>
          <w:szCs w:val="24"/>
          <w:highlight w:val="none"/>
        </w:rPr>
        <w:t xml:space="preserve">商务、技术评分 </w:t>
      </w:r>
    </w:p>
    <w:p w14:paraId="7727C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28.2.1 </w:t>
      </w:r>
      <w:r>
        <w:rPr>
          <w:rFonts w:hint="eastAsia" w:ascii="宋体" w:hAnsi="宋体" w:eastAsia="宋体" w:cs="宋体"/>
          <w:color w:val="auto"/>
          <w:sz w:val="24"/>
          <w:szCs w:val="24"/>
          <w:highlight w:val="none"/>
        </w:rPr>
        <w:t>磋商小组对供应商的商务、技术状况及响应程度进行评议和比较，并依据评分标准，评出其商务、技术评分。详细评分标准见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 </w:t>
      </w:r>
    </w:p>
    <w:p w14:paraId="77B4A8A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 </w:t>
      </w:r>
      <w:r>
        <w:rPr>
          <w:rFonts w:hint="eastAsia" w:ascii="宋体" w:hAnsi="宋体" w:eastAsia="宋体" w:cs="宋体"/>
          <w:color w:val="auto"/>
          <w:sz w:val="24"/>
          <w:szCs w:val="24"/>
          <w:highlight w:val="none"/>
        </w:rPr>
        <w:t xml:space="preserve">磋商报价评分 </w:t>
      </w:r>
    </w:p>
    <w:p w14:paraId="1B31EF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28.3.1 </w:t>
      </w:r>
      <w:r>
        <w:rPr>
          <w:rFonts w:hint="eastAsia" w:ascii="宋体" w:hAnsi="宋体" w:eastAsia="宋体" w:cs="宋体"/>
          <w:color w:val="auto"/>
          <w:sz w:val="24"/>
          <w:szCs w:val="24"/>
          <w:highlight w:val="none"/>
        </w:rPr>
        <w:t>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 xml:space="preserve">。其他供应商的价格分统一按照下列公式计算： </w:t>
      </w:r>
    </w:p>
    <w:p w14:paraId="2CE1077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磋商报价得分=(磋商基准价/最后磋商报价)×价格权重×100</w:t>
      </w:r>
      <w:r>
        <w:rPr>
          <w:rFonts w:hint="eastAsia" w:ascii="宋体" w:hAnsi="宋体" w:eastAsia="宋体" w:cs="宋体"/>
          <w:color w:val="auto"/>
          <w:sz w:val="24"/>
          <w:szCs w:val="24"/>
          <w:highlight w:val="none"/>
        </w:rPr>
        <w:t xml:space="preserve"> </w:t>
      </w:r>
    </w:p>
    <w:p w14:paraId="3DBE618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28.4 </w:t>
      </w:r>
      <w:r>
        <w:rPr>
          <w:rFonts w:hint="eastAsia" w:ascii="宋体" w:hAnsi="宋体" w:eastAsia="宋体" w:cs="宋体"/>
          <w:b/>
          <w:bCs/>
          <w:color w:val="auto"/>
          <w:sz w:val="24"/>
          <w:szCs w:val="24"/>
          <w:highlight w:val="none"/>
          <w:lang w:val="zh-CN"/>
        </w:rPr>
        <w:t>小微企业（监狱企业、残疾人福利性单位视同小微企业）价格扣除（仅非预留份额的采购项目或者采购包适用）</w:t>
      </w:r>
      <w:r>
        <w:rPr>
          <w:rFonts w:hint="eastAsia" w:ascii="宋体" w:hAnsi="宋体" w:eastAsia="宋体" w:cs="宋体"/>
          <w:color w:val="auto"/>
          <w:sz w:val="24"/>
          <w:szCs w:val="24"/>
          <w:highlight w:val="none"/>
        </w:rPr>
        <w:t xml:space="preserve"> </w:t>
      </w:r>
    </w:p>
    <w:p w14:paraId="7184DB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28.4.1 </w:t>
      </w:r>
      <w:r>
        <w:rPr>
          <w:rFonts w:hint="eastAsia" w:ascii="宋体" w:hAnsi="宋体" w:eastAsia="宋体" w:cs="宋体"/>
          <w:color w:val="auto"/>
          <w:sz w:val="24"/>
          <w:szCs w:val="24"/>
          <w:highlight w:val="none"/>
          <w:lang w:val="zh-CN"/>
        </w:rPr>
        <w:t>对于经主管预算单位统筹后未预留份额专门面向中小企业采购的采购项目，以及预留份额项目中的非预留部分采购包，对符合《政府采购促进中小企业发展管理办法》（财库〔2020〕46 号）规定的小微企业报价给予</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F361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接受大中型企业与小微企业组成联合体的采购项目，对联合协议约定小微企业的合同份额占到合同总金额30%以上的，对联合体的报价给予</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191FD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允许大中型企业向一家或者多家小微企业分包的采购项目，对于分包意向协议约定小微企业的合同份额占到合同总金额30%以上的，对大中型企业的报价给予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%的扣除，用扣除后的价格参加评审。</w:t>
      </w:r>
    </w:p>
    <w:p w14:paraId="3A452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参加政府采购活动的中小企业应当提供《中小企业声明函》原件。监狱企业应当提供监狱企业证明复印件。残疾人福利性单位应当提供《残疾人福利性单位声明函》原件。</w:t>
      </w:r>
      <w:r>
        <w:rPr>
          <w:rFonts w:hint="eastAsia" w:cs="宋体"/>
          <w:color w:val="auto"/>
          <w:sz w:val="24"/>
          <w:szCs w:val="24"/>
          <w:highlight w:val="none"/>
          <w:lang w:val="en-US" w:eastAsia="zh-CN"/>
        </w:rPr>
        <w:t>以上</w:t>
      </w:r>
      <w:r>
        <w:rPr>
          <w:rFonts w:hint="eastAsia" w:ascii="宋体" w:hAnsi="宋体" w:eastAsia="宋体" w:cs="宋体"/>
          <w:color w:val="auto"/>
          <w:sz w:val="24"/>
          <w:szCs w:val="24"/>
          <w:highlight w:val="none"/>
          <w:lang w:val="zh-CN"/>
        </w:rPr>
        <w:t>格式详见</w:t>
      </w:r>
      <w:r>
        <w:rPr>
          <w:rFonts w:hint="eastAsia" w:cs="宋体"/>
          <w:color w:val="auto"/>
          <w:sz w:val="24"/>
          <w:szCs w:val="24"/>
          <w:highlight w:val="none"/>
          <w:lang w:val="en-US" w:eastAsia="zh-CN"/>
        </w:rPr>
        <w:t>磋商文件</w:t>
      </w:r>
      <w:r>
        <w:rPr>
          <w:rFonts w:hint="eastAsia" w:ascii="宋体" w:hAnsi="宋体" w:eastAsia="宋体" w:cs="宋体"/>
          <w:color w:val="auto"/>
          <w:sz w:val="24"/>
          <w:szCs w:val="24"/>
          <w:highlight w:val="none"/>
          <w:lang w:val="zh-CN"/>
        </w:rPr>
        <w:t>第五部分响应文件格式</w:t>
      </w:r>
      <w:r>
        <w:rPr>
          <w:rFonts w:hint="eastAsia" w:cs="宋体"/>
          <w:color w:val="auto"/>
          <w:sz w:val="24"/>
          <w:szCs w:val="24"/>
          <w:highlight w:val="none"/>
          <w:lang w:val="zh-CN"/>
        </w:rPr>
        <w:t>，</w:t>
      </w:r>
      <w:r>
        <w:rPr>
          <w:rFonts w:hint="eastAsia" w:ascii="宋体" w:hAnsi="宋体" w:eastAsia="宋体" w:cs="宋体"/>
          <w:color w:val="auto"/>
          <w:sz w:val="24"/>
          <w:szCs w:val="24"/>
          <w:highlight w:val="none"/>
          <w:lang w:val="zh-CN"/>
        </w:rPr>
        <w:t>未提供的视为放弃享受小微企业价格扣除优惠政策。</w:t>
      </w:r>
    </w:p>
    <w:p w14:paraId="4CF7B3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rPr>
        <w:t>组成联合体或者接受分包的小微企业与联合体内其他企业、分包企业之间存在直接控股、管理关系的，不享受价格扣除优惠政策。</w:t>
      </w:r>
    </w:p>
    <w:p w14:paraId="6ADCDA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rPr>
        <w:t>依据《政府采购促进中小企业发展管理办法》（财库〔2020〕46 号）规定享受扶持政策的小微企业，不得将合同分包给大中型企业。</w:t>
      </w:r>
    </w:p>
    <w:p w14:paraId="18B0F6E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28.5 </w:t>
      </w:r>
      <w:r>
        <w:rPr>
          <w:rFonts w:hint="eastAsia" w:ascii="宋体" w:hAnsi="宋体" w:eastAsia="宋体" w:cs="宋体"/>
          <w:b/>
          <w:bCs/>
          <w:color w:val="auto"/>
          <w:sz w:val="24"/>
          <w:szCs w:val="24"/>
          <w:highlight w:val="none"/>
        </w:rPr>
        <w:t>节能产品、环境标志产品政府采购政策执行</w:t>
      </w:r>
      <w:r>
        <w:rPr>
          <w:rFonts w:hint="eastAsia" w:ascii="宋体" w:hAnsi="宋体" w:eastAsia="宋体" w:cs="宋体"/>
          <w:color w:val="auto"/>
          <w:sz w:val="24"/>
          <w:szCs w:val="24"/>
          <w:highlight w:val="none"/>
        </w:rPr>
        <w:t xml:space="preserve"> </w:t>
      </w:r>
    </w:p>
    <w:p w14:paraId="42C475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 xml:space="preserve">28.5.1 </w:t>
      </w: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14:paraId="3E2979F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28.5.2 采购标的</w:t>
      </w:r>
      <w:r>
        <w:rPr>
          <w:rFonts w:hint="eastAsia" w:ascii="宋体" w:hAnsi="宋体" w:eastAsia="宋体" w:cs="宋体"/>
          <w:color w:val="auto"/>
          <w:sz w:val="24"/>
          <w:szCs w:val="24"/>
          <w:highlight w:val="none"/>
        </w:rPr>
        <w:t>属于《节能产品政府采购品目清单》、《环境标志产品政府采购品目清单》中优先采购产品类别产品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将按照“第</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 xml:space="preserve">部分 </w:t>
      </w:r>
      <w:r>
        <w:rPr>
          <w:rFonts w:hint="eastAsia"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标准”给予加分。</w:t>
      </w:r>
    </w:p>
    <w:p w14:paraId="1505BD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价格项加分：</w:t>
      </w:r>
    </w:p>
    <w:p w14:paraId="423CCA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1、（节能清单部分产品的价格/投标报价）×3%×价格项满分值</w:t>
      </w:r>
    </w:p>
    <w:p w14:paraId="22761C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2、（环境清单部分产品的价格/投标报价）×3%×价格项满分值</w:t>
      </w:r>
    </w:p>
    <w:p w14:paraId="18A9DD1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技术项加分：</w:t>
      </w:r>
    </w:p>
    <w:p w14:paraId="54FF25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1、（节能清单部分产品的价格/投标报价）×3%×技术项满分值</w:t>
      </w:r>
    </w:p>
    <w:p w14:paraId="2F3505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2、（环境清单部分产品的价格/投标报价）×3%×技术项满分值</w:t>
      </w:r>
    </w:p>
    <w:p w14:paraId="4D2EF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期《节能产品政府采购清单》关于投标产品当前页的打印件；</w:t>
      </w:r>
    </w:p>
    <w:p w14:paraId="20D822D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lang w:val="zh-CN"/>
        </w:rPr>
      </w:pPr>
      <w:r>
        <w:rPr>
          <w:rFonts w:hint="eastAsia" w:ascii="宋体" w:hAnsi="宋体" w:eastAsia="宋体" w:cs="宋体"/>
          <w:color w:val="auto"/>
          <w:sz w:val="24"/>
          <w:szCs w:val="24"/>
          <w:highlight w:val="none"/>
        </w:rPr>
        <w:t>2、供应商提供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期《环境标志产品政府采购清单》关于投标产品当前页的打印件；</w:t>
      </w:r>
    </w:p>
    <w:p w14:paraId="6CAF750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29 </w:t>
      </w:r>
      <w:r>
        <w:rPr>
          <w:rFonts w:hint="eastAsia" w:ascii="宋体" w:hAnsi="宋体" w:eastAsia="宋体" w:cs="宋体"/>
          <w:b/>
          <w:bCs/>
          <w:color w:val="auto"/>
          <w:sz w:val="24"/>
          <w:szCs w:val="24"/>
          <w:highlight w:val="none"/>
        </w:rPr>
        <w:t>授标与定标原则</w:t>
      </w:r>
      <w:r>
        <w:rPr>
          <w:rFonts w:hint="eastAsia" w:ascii="宋体" w:hAnsi="宋体" w:eastAsia="宋体" w:cs="宋体"/>
          <w:color w:val="auto"/>
          <w:sz w:val="24"/>
          <w:szCs w:val="24"/>
          <w:highlight w:val="none"/>
        </w:rPr>
        <w:t xml:space="preserve"> </w:t>
      </w:r>
    </w:p>
    <w:p w14:paraId="4D7DE16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29.1 </w:t>
      </w:r>
      <w:r>
        <w:rPr>
          <w:rFonts w:hint="eastAsia" w:ascii="宋体" w:hAnsi="宋体" w:eastAsia="宋体" w:cs="宋体"/>
          <w:color w:val="auto"/>
          <w:sz w:val="24"/>
          <w:szCs w:val="24"/>
          <w:highlight w:val="none"/>
        </w:rPr>
        <w:t xml:space="preserve">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14:paraId="51DE68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29.2 </w:t>
      </w:r>
      <w:r>
        <w:rPr>
          <w:rFonts w:hint="eastAsia" w:ascii="宋体" w:hAnsi="宋体" w:eastAsia="宋体" w:cs="宋体"/>
          <w:color w:val="auto"/>
          <w:sz w:val="24"/>
          <w:szCs w:val="24"/>
          <w:highlight w:val="none"/>
        </w:rPr>
        <w:t xml:space="preserve">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14:paraId="4673285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29.3 </w:t>
      </w:r>
      <w:r>
        <w:rPr>
          <w:rFonts w:hint="eastAsia" w:ascii="宋体" w:hAnsi="宋体" w:eastAsia="宋体" w:cs="宋体"/>
          <w:color w:val="auto"/>
          <w:sz w:val="24"/>
          <w:szCs w:val="24"/>
          <w:highlight w:val="none"/>
        </w:rPr>
        <w:t xml:space="preserve">推荐综合得分排名第一的供应商为第一成交候选供应商，排名第二的供应商为第二成交候选供应商， 排名第三的供应商为第三成交候选供应商。 </w:t>
      </w:r>
    </w:p>
    <w:p w14:paraId="374231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29.4 </w:t>
      </w:r>
      <w:r>
        <w:rPr>
          <w:rFonts w:hint="eastAsia" w:ascii="宋体" w:hAnsi="宋体" w:eastAsia="宋体" w:cs="宋体"/>
          <w:color w:val="auto"/>
          <w:sz w:val="24"/>
          <w:szCs w:val="24"/>
          <w:highlight w:val="none"/>
        </w:rPr>
        <w:t>根据磋商小组的磋商结果，采购人在评标报告推荐的成交候选供应商中按顺序依法确定1名成交供应商。</w:t>
      </w:r>
    </w:p>
    <w:p w14:paraId="1B0F34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29.5 </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14:paraId="0CCBBF6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30 </w:t>
      </w:r>
      <w:r>
        <w:rPr>
          <w:rFonts w:hint="eastAsia" w:ascii="宋体" w:hAnsi="宋体" w:eastAsia="宋体" w:cs="宋体"/>
          <w:b/>
          <w:bCs/>
          <w:color w:val="auto"/>
          <w:sz w:val="24"/>
          <w:szCs w:val="24"/>
          <w:highlight w:val="none"/>
        </w:rPr>
        <w:t>成交通知书</w:t>
      </w:r>
      <w:r>
        <w:rPr>
          <w:rFonts w:hint="eastAsia" w:ascii="宋体" w:hAnsi="宋体" w:eastAsia="宋体" w:cs="宋体"/>
          <w:color w:val="auto"/>
          <w:sz w:val="24"/>
          <w:szCs w:val="24"/>
          <w:highlight w:val="none"/>
        </w:rPr>
        <w:t xml:space="preserve"> </w:t>
      </w:r>
    </w:p>
    <w:p w14:paraId="57A93F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30.1 </w:t>
      </w:r>
      <w:r>
        <w:rPr>
          <w:rFonts w:hint="eastAsia"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自成交供应商确定之日起2个工作日内，在磋商文件指定的媒体上发布成交公告，成交</w:t>
      </w:r>
      <w:r>
        <w:rPr>
          <w:rFonts w:hint="eastAsia" w:cs="宋体"/>
          <w:color w:val="auto"/>
          <w:sz w:val="24"/>
          <w:szCs w:val="24"/>
          <w:highlight w:val="none"/>
          <w:lang w:val="en-US" w:eastAsia="zh-CN"/>
        </w:rPr>
        <w:t>结果</w:t>
      </w:r>
      <w:r>
        <w:rPr>
          <w:rFonts w:hint="eastAsia" w:ascii="宋体" w:hAnsi="宋体" w:eastAsia="宋体" w:cs="宋体"/>
          <w:color w:val="auto"/>
          <w:sz w:val="24"/>
          <w:szCs w:val="24"/>
          <w:highlight w:val="none"/>
        </w:rPr>
        <w:t>公告期限为</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个工作日。同时向成交供应商发出《成交通知书》。 </w:t>
      </w:r>
    </w:p>
    <w:p w14:paraId="1EFEAB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30.2 </w:t>
      </w:r>
      <w:r>
        <w:rPr>
          <w:rFonts w:hint="eastAsia" w:ascii="宋体" w:hAnsi="宋体" w:eastAsia="宋体" w:cs="宋体"/>
          <w:color w:val="auto"/>
          <w:sz w:val="24"/>
          <w:szCs w:val="24"/>
          <w:highlight w:val="none"/>
        </w:rPr>
        <w:t xml:space="preserve">《成交通知书》是合同的一个组成部分，《成交通知书》对采购人和成交供应商均具有同等的法律效力；《成交通知书》发出后，采购人改变成交结果，或者成交供应商放弃成交资格，应当承担相应的法律责任。 </w:t>
      </w:r>
    </w:p>
    <w:p w14:paraId="2C8058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30.3 </w:t>
      </w:r>
      <w:r>
        <w:rPr>
          <w:rFonts w:hint="eastAsia" w:ascii="宋体" w:hAnsi="宋体" w:eastAsia="宋体" w:cs="宋体"/>
          <w:color w:val="auto"/>
          <w:sz w:val="24"/>
          <w:szCs w:val="24"/>
          <w:highlight w:val="none"/>
        </w:rPr>
        <w:t xml:space="preserve">《成交通知书》将作为授予合同资格的合法依据，是合同的一个组成部分。 </w:t>
      </w:r>
    </w:p>
    <w:p w14:paraId="1BBB3D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30.4 </w:t>
      </w:r>
      <w:r>
        <w:rPr>
          <w:rFonts w:hint="eastAsia" w:ascii="宋体" w:hAnsi="宋体" w:eastAsia="宋体" w:cs="宋体"/>
          <w:color w:val="auto"/>
          <w:sz w:val="24"/>
          <w:szCs w:val="24"/>
          <w:highlight w:val="none"/>
        </w:rPr>
        <w:t>成交供应商为享受中小企业扶持政策的小微企业及视同小微企业的残疾人福利性单位的，</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随成交结果同时公告其《中小企业声明函》、《残疾人福利性单位声明函》，接受社会监督。 </w:t>
      </w:r>
    </w:p>
    <w:p w14:paraId="6C589A8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31 </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 xml:space="preserve"> </w:t>
      </w:r>
    </w:p>
    <w:p w14:paraId="3D32A9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 </w:t>
      </w:r>
      <w:r>
        <w:rPr>
          <w:rFonts w:hint="eastAsia" w:ascii="宋体" w:hAnsi="宋体" w:eastAsia="宋体" w:cs="宋体"/>
          <w:color w:val="auto"/>
          <w:sz w:val="24"/>
          <w:szCs w:val="24"/>
          <w:highlight w:val="none"/>
        </w:rPr>
        <w:t xml:space="preserve">在采购活动中，出现下列情形之一的，应予废标： </w:t>
      </w:r>
    </w:p>
    <w:p w14:paraId="42BCDF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31.1.1 </w:t>
      </w:r>
      <w:r>
        <w:rPr>
          <w:rFonts w:hint="eastAsia" w:ascii="宋体" w:hAnsi="宋体" w:eastAsia="宋体" w:cs="宋体"/>
          <w:color w:val="auto"/>
          <w:sz w:val="24"/>
          <w:szCs w:val="24"/>
          <w:highlight w:val="none"/>
        </w:rPr>
        <w:t xml:space="preserve">因情况变化，不再符合规定的竞争性磋商采购方式适用情形的； </w:t>
      </w:r>
    </w:p>
    <w:p w14:paraId="77310B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31.1.2 </w:t>
      </w:r>
      <w:r>
        <w:rPr>
          <w:rFonts w:hint="eastAsia" w:ascii="宋体" w:hAnsi="宋体" w:eastAsia="宋体" w:cs="宋体"/>
          <w:color w:val="auto"/>
          <w:sz w:val="24"/>
          <w:szCs w:val="24"/>
          <w:highlight w:val="none"/>
        </w:rPr>
        <w:t xml:space="preserve">出现影响采购公正的违法、违规行为的； </w:t>
      </w:r>
    </w:p>
    <w:p w14:paraId="1758E38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31.1.3 </w:t>
      </w:r>
      <w:r>
        <w:rPr>
          <w:rFonts w:hint="eastAsia" w:ascii="宋体" w:hAnsi="宋体" w:eastAsia="宋体" w:cs="宋体"/>
          <w:color w:val="auto"/>
          <w:sz w:val="24"/>
          <w:szCs w:val="24"/>
          <w:highlight w:val="none"/>
        </w:rPr>
        <w:t>除本须知2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.2.8规定的情形外，在采购过程中符合要求的供应商或者报价未超过采购预算的供应商不足3家的。 </w:t>
      </w:r>
    </w:p>
    <w:p w14:paraId="4C9784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32 </w:t>
      </w:r>
      <w:r>
        <w:rPr>
          <w:rFonts w:hint="eastAsia" w:ascii="宋体" w:hAnsi="宋体" w:eastAsia="宋体" w:cs="宋体"/>
          <w:b/>
          <w:bCs/>
          <w:color w:val="auto"/>
          <w:sz w:val="24"/>
          <w:szCs w:val="24"/>
          <w:highlight w:val="none"/>
        </w:rPr>
        <w:t>询问、质疑、投诉</w:t>
      </w:r>
      <w:r>
        <w:rPr>
          <w:rFonts w:hint="eastAsia" w:ascii="宋体" w:hAnsi="宋体" w:eastAsia="宋体" w:cs="宋体"/>
          <w:color w:val="auto"/>
          <w:sz w:val="24"/>
          <w:szCs w:val="24"/>
          <w:highlight w:val="none"/>
        </w:rPr>
        <w:t xml:space="preserve"> </w:t>
      </w:r>
    </w:p>
    <w:p w14:paraId="6A1D81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 </w:t>
      </w:r>
      <w:r>
        <w:rPr>
          <w:rFonts w:hint="eastAsia" w:ascii="宋体" w:hAnsi="宋体" w:eastAsia="宋体" w:cs="宋体"/>
          <w:color w:val="auto"/>
          <w:sz w:val="24"/>
          <w:szCs w:val="24"/>
          <w:highlight w:val="none"/>
        </w:rPr>
        <w:t xml:space="preserve">询问 </w:t>
      </w:r>
    </w:p>
    <w:p w14:paraId="2809627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32.1.1 </w:t>
      </w:r>
      <w:r>
        <w:rPr>
          <w:rFonts w:hint="eastAsia" w:ascii="宋体" w:hAnsi="宋体" w:eastAsia="宋体" w:cs="宋体"/>
          <w:color w:val="auto"/>
          <w:sz w:val="24"/>
          <w:szCs w:val="24"/>
          <w:highlight w:val="none"/>
        </w:rPr>
        <w:t>供应商对政府采购活动事项（磋商文件、采购过程、成交或者成交结果）有疑问的，可以向采购人或者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eastAsia="zh-CN"/>
        </w:rPr>
        <w:t>心</w:t>
      </w:r>
      <w:r>
        <w:rPr>
          <w:rFonts w:hint="eastAsia" w:ascii="宋体" w:hAnsi="宋体" w:eastAsia="宋体" w:cs="宋体"/>
          <w:color w:val="auto"/>
          <w:sz w:val="24"/>
          <w:szCs w:val="24"/>
          <w:highlight w:val="none"/>
        </w:rPr>
        <w:t xml:space="preserve">提出询问，询问可以口头方式提出，也可以书面方式提出。 </w:t>
      </w:r>
    </w:p>
    <w:p w14:paraId="378922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32.1.2 </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在三个工作日内对供应商依法提出的询问作出答复。 </w:t>
      </w:r>
    </w:p>
    <w:p w14:paraId="333BE0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32.2 </w:t>
      </w:r>
      <w:r>
        <w:rPr>
          <w:rFonts w:hint="eastAsia" w:ascii="宋体" w:hAnsi="宋体" w:eastAsia="宋体" w:cs="宋体"/>
          <w:color w:val="auto"/>
          <w:sz w:val="24"/>
          <w:szCs w:val="24"/>
          <w:highlight w:val="none"/>
        </w:rPr>
        <w:t>质疑</w:t>
      </w:r>
    </w:p>
    <w:p w14:paraId="7F59EC9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33CF982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w:t>
      </w:r>
      <w:r>
        <w:rPr>
          <w:rFonts w:hint="eastAsia"/>
          <w:color w:val="auto"/>
          <w:sz w:val="24"/>
          <w:szCs w:val="24"/>
          <w:highlight w:val="none"/>
          <w:lang w:val="en-US" w:eastAsia="zh-CN"/>
        </w:rPr>
        <w:t>招标代理公司</w:t>
      </w:r>
      <w:r>
        <w:rPr>
          <w:rFonts w:hint="eastAsia" w:ascii="宋体" w:hAnsi="宋体"/>
          <w:color w:val="auto"/>
          <w:sz w:val="24"/>
          <w:szCs w:val="24"/>
          <w:highlight w:val="none"/>
        </w:rPr>
        <w:t>及采购人提出质疑。上述应知其权益受到损害之日，是指：</w:t>
      </w:r>
    </w:p>
    <w:p w14:paraId="526CC966">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.2.1</w:t>
      </w:r>
      <w:r>
        <w:rPr>
          <w:rFonts w:hint="eastAsia" w:hAnsi="宋体" w:cs="宋体"/>
          <w:color w:val="auto"/>
          <w:kern w:val="0"/>
          <w:sz w:val="24"/>
          <w:szCs w:val="24"/>
          <w:highlight w:val="none"/>
        </w:rPr>
        <w:t>对可以质疑的采购文件提出质疑的，为收到采购文件之日或者采购文件公告期限届满之日；</w:t>
      </w:r>
    </w:p>
    <w:p w14:paraId="638E22ED">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0A0C9854">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4C659776">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cs="宋体"/>
          <w:b/>
          <w:color w:val="auto"/>
          <w:kern w:val="0"/>
          <w:sz w:val="24"/>
          <w:szCs w:val="24"/>
          <w:highlight w:val="none"/>
          <w:lang w:val="en-US" w:eastAsia="zh-CN"/>
        </w:rPr>
        <w:t>招标代理公司</w:t>
      </w:r>
      <w:r>
        <w:rPr>
          <w:rFonts w:hint="eastAsia" w:hAnsi="宋体" w:cs="宋体"/>
          <w:b/>
          <w:color w:val="auto"/>
          <w:kern w:val="0"/>
          <w:sz w:val="24"/>
          <w:szCs w:val="24"/>
          <w:highlight w:val="none"/>
        </w:rPr>
        <w:t>、采购人将只对供应商第一次质疑作出答复。</w:t>
      </w:r>
    </w:p>
    <w:p w14:paraId="2A6EFB04">
      <w:pPr>
        <w:snapToGrid w:val="0"/>
        <w:spacing w:line="480" w:lineRule="exact"/>
        <w:ind w:firstLine="480" w:firstLineChars="200"/>
        <w:rPr>
          <w:rFonts w:ascii="宋体" w:hAnsi="宋体"/>
          <w:color w:val="auto"/>
          <w:sz w:val="24"/>
          <w:szCs w:val="24"/>
          <w:highlight w:val="none"/>
        </w:rPr>
      </w:pPr>
      <w:r>
        <w:rPr>
          <w:rFonts w:hint="eastAsia"/>
          <w:color w:val="auto"/>
          <w:sz w:val="24"/>
          <w:szCs w:val="24"/>
          <w:highlight w:val="none"/>
          <w:lang w:val="en-US" w:eastAsia="zh-CN"/>
        </w:rPr>
        <w:t>32</w:t>
      </w:r>
      <w:r>
        <w:rPr>
          <w:rFonts w:hint="eastAsia" w:ascii="宋体" w:hAnsi="宋体"/>
          <w:color w:val="auto"/>
          <w:sz w:val="24"/>
          <w:szCs w:val="24"/>
          <w:highlight w:val="none"/>
        </w:rPr>
        <w:t>.3质疑函必须按照本招标文件中《质疑函范本》要求的格式和内容进行填写。供应商如组成联合体参加投标，则《质疑函范本》中要求签字、盖章、加盖公章之处，联合体各方均须按要求签字、盖章、加盖公章。</w:t>
      </w:r>
    </w:p>
    <w:p w14:paraId="5B00806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.4 采购</w:t>
      </w:r>
      <w:r>
        <w:rPr>
          <w:rFonts w:hint="eastAsia"/>
          <w:color w:val="auto"/>
          <w:sz w:val="24"/>
          <w:szCs w:val="24"/>
          <w:highlight w:val="none"/>
          <w:lang w:val="en-US" w:eastAsia="zh-CN"/>
        </w:rPr>
        <w:t>代理机构</w:t>
      </w:r>
      <w:r>
        <w:rPr>
          <w:rFonts w:hint="eastAsia" w:ascii="宋体" w:hAnsi="宋体"/>
          <w:color w:val="auto"/>
          <w:sz w:val="24"/>
          <w:szCs w:val="24"/>
          <w:highlight w:val="none"/>
        </w:rPr>
        <w:t>只接收以纸质原件形式送达的质疑。</w:t>
      </w:r>
    </w:p>
    <w:p w14:paraId="1006DA44">
      <w:pPr>
        <w:pageBreakBefore w:val="0"/>
        <w:kinsoku/>
        <w:wordWrap/>
        <w:overflowPunct/>
        <w:topLinePunct w:val="0"/>
        <w:bidi w:val="0"/>
        <w:snapToGrid/>
        <w:spacing w:line="400" w:lineRule="exact"/>
        <w:ind w:firstLine="480" w:firstLineChars="200"/>
        <w:textAlignment w:val="auto"/>
        <w:rPr>
          <w:rFonts w:hint="eastAsia" w:ascii="仿宋" w:hAnsi="仿宋" w:eastAsia="仿宋" w:cs="仿宋"/>
          <w:sz w:val="28"/>
          <w:szCs w:val="28"/>
          <w:lang w:val="en-US" w:eastAsia="zh-CN"/>
        </w:rPr>
      </w:pPr>
      <w:r>
        <w:rPr>
          <w:rFonts w:hint="eastAsia" w:ascii="宋体" w:hAnsi="宋体"/>
          <w:color w:val="auto"/>
          <w:sz w:val="24"/>
          <w:szCs w:val="24"/>
          <w:highlight w:val="none"/>
        </w:rPr>
        <w:t>质疑接收人：</w:t>
      </w:r>
      <w:r>
        <w:rPr>
          <w:rFonts w:hint="eastAsia"/>
          <w:color w:val="auto"/>
          <w:sz w:val="24"/>
          <w:szCs w:val="24"/>
          <w:highlight w:val="none"/>
          <w:lang w:val="en-US" w:eastAsia="zh-CN"/>
        </w:rPr>
        <w:t>新疆华域天恒工程管理有限公司</w:t>
      </w:r>
    </w:p>
    <w:p w14:paraId="193E9BE4">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rPr>
        <w:t>联系地址</w:t>
      </w:r>
      <w:r>
        <w:rPr>
          <w:rFonts w:hint="eastAsia" w:ascii="宋体" w:hAnsi="宋体" w:eastAsia="宋体" w:cs="宋体"/>
          <w:color w:val="auto"/>
          <w:sz w:val="24"/>
          <w:szCs w:val="24"/>
          <w:highlight w:val="none"/>
        </w:rPr>
        <w:t>：吐鲁番市高昌区示范区和平街11幢2层201号</w:t>
      </w:r>
    </w:p>
    <w:p w14:paraId="4259268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联系人：马丽娜</w:t>
      </w:r>
    </w:p>
    <w:p w14:paraId="3E2C314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3899314280</w:t>
      </w:r>
      <w:r>
        <w:rPr>
          <w:rFonts w:hint="eastAsia" w:ascii="宋体" w:hAnsi="宋体" w:eastAsia="宋体" w:cs="宋体"/>
          <w:color w:val="auto"/>
          <w:sz w:val="24"/>
          <w:szCs w:val="24"/>
          <w:highlight w:val="none"/>
        </w:rPr>
        <w:t xml:space="preserve"> </w:t>
      </w:r>
    </w:p>
    <w:p w14:paraId="4CAAA4DD">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 以下情形的质疑不予受理</w:t>
      </w:r>
    </w:p>
    <w:p w14:paraId="6E753DDC">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.5.1 内容不符合《政府采购质疑和投诉办法》第十二条规定的质疑。</w:t>
      </w:r>
    </w:p>
    <w:p w14:paraId="07107DAA">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.5.2 超出政府采购法定期限的质疑。</w:t>
      </w:r>
    </w:p>
    <w:p w14:paraId="00A1E0B7">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.5.3 以传真、电子邮件等方式递交的非原件形式的质疑。</w:t>
      </w:r>
    </w:p>
    <w:p w14:paraId="1C94F55D">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.5.4 未参加投标活动的供应商或在投标活动中自身权益未受到损害的供</w:t>
      </w:r>
      <w:r>
        <w:rPr>
          <w:rFonts w:hint="eastAsia" w:ascii="宋体" w:hAnsi="宋体" w:eastAsia="宋体" w:cs="Times New Roman"/>
          <w:color w:val="auto"/>
          <w:sz w:val="24"/>
          <w:szCs w:val="24"/>
          <w:highlight w:val="none"/>
        </w:rPr>
        <w:t>应商所提出的质疑。</w:t>
      </w:r>
    </w:p>
    <w:p w14:paraId="2A5D7B10">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.5.5供应商组成联合体参加投标，联合体中任何一方或多方未按要求签字、盖章、加盖公章的质疑。</w:t>
      </w:r>
    </w:p>
    <w:p w14:paraId="6614F1ED">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无具体</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事项内容，或未提供有效线索，难以查证的</w:t>
      </w:r>
      <w:r>
        <w:rPr>
          <w:rFonts w:hint="eastAsia" w:ascii="宋体" w:hAnsi="宋体" w:eastAsia="宋体" w:cs="Times New Roman"/>
          <w:color w:val="auto"/>
          <w:sz w:val="24"/>
          <w:szCs w:val="24"/>
          <w:highlight w:val="none"/>
          <w:lang w:eastAsia="zh-CN"/>
        </w:rPr>
        <w:t>。</w:t>
      </w:r>
    </w:p>
    <w:p w14:paraId="150CEB2E">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.5.7</w:t>
      </w:r>
      <w:r>
        <w:rPr>
          <w:rFonts w:hint="eastAsia" w:ascii="宋体" w:hAnsi="宋体" w:eastAsia="宋体" w:cs="Times New Roman"/>
          <w:color w:val="auto"/>
          <w:sz w:val="24"/>
          <w:szCs w:val="24"/>
          <w:highlight w:val="none"/>
        </w:rPr>
        <w:t>所</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事项已进行处理，或正在行政复议、仲裁、诉讼、投诉等其他程序的</w:t>
      </w:r>
      <w:r>
        <w:rPr>
          <w:rFonts w:hint="eastAsia" w:ascii="宋体" w:hAnsi="宋体" w:eastAsia="宋体" w:cs="Times New Roman"/>
          <w:color w:val="auto"/>
          <w:sz w:val="24"/>
          <w:szCs w:val="24"/>
          <w:highlight w:val="none"/>
          <w:lang w:eastAsia="zh-CN"/>
        </w:rPr>
        <w:t>。</w:t>
      </w:r>
    </w:p>
    <w:p w14:paraId="31559BB4">
      <w:pPr>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.5.8不属于本中心管辖范围的质疑。</w:t>
      </w:r>
    </w:p>
    <w:p w14:paraId="43EC61A4">
      <w:pPr>
        <w:snapToGrid w:val="0"/>
        <w:spacing w:line="480" w:lineRule="exact"/>
        <w:ind w:firstLine="468" w:firstLineChars="195"/>
        <w:rPr>
          <w:rFonts w:hint="eastAsia"/>
          <w:color w:val="auto"/>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 xml:space="preserve">.6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b/>
          <w:color w:val="auto"/>
          <w:sz w:val="24"/>
          <w:szCs w:val="24"/>
          <w:highlight w:val="none"/>
          <w:lang w:val="en-US" w:eastAsia="zh-CN"/>
        </w:rPr>
        <w:t>招标代理公司</w:t>
      </w:r>
      <w:r>
        <w:rPr>
          <w:rFonts w:hint="eastAsia" w:ascii="宋体" w:hAnsi="宋体"/>
          <w:b/>
          <w:color w:val="auto"/>
          <w:sz w:val="24"/>
          <w:szCs w:val="24"/>
          <w:highlight w:val="none"/>
        </w:rPr>
        <w:t>有权依据政府采购的有关规定，报请政府采购监管部门对该供应商进行相应的行政处罚和记录该供应商的失信信息。</w:t>
      </w:r>
    </w:p>
    <w:p w14:paraId="70A19E1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 </w:t>
      </w:r>
      <w:r>
        <w:rPr>
          <w:rFonts w:hint="eastAsia" w:ascii="宋体" w:hAnsi="宋体" w:eastAsia="宋体" w:cs="宋体"/>
          <w:color w:val="auto"/>
          <w:sz w:val="24"/>
          <w:szCs w:val="24"/>
          <w:highlight w:val="none"/>
        </w:rPr>
        <w:t xml:space="preserve">投诉 </w:t>
      </w:r>
    </w:p>
    <w:p w14:paraId="491358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32.3.1 </w:t>
      </w:r>
      <w:r>
        <w:rPr>
          <w:rFonts w:hint="eastAsia" w:ascii="宋体" w:hAnsi="宋体" w:eastAsia="宋体" w:cs="宋体"/>
          <w:color w:val="auto"/>
          <w:sz w:val="24"/>
          <w:szCs w:val="24"/>
          <w:highlight w:val="none"/>
        </w:rPr>
        <w:t>质疑供应商对</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的答复不满意，或者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未在规定时间内作出答复的，可以在答复期满后十五个工作日内向同级财政部门提起投诉。 入不良行为记录名单，禁止其1至3年内参加政府采购活动： </w:t>
      </w:r>
    </w:p>
    <w:p w14:paraId="792ACE6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32.3.3.1 </w:t>
      </w:r>
      <w:r>
        <w:rPr>
          <w:rFonts w:hint="eastAsia" w:ascii="宋体" w:hAnsi="宋体" w:eastAsia="宋体" w:cs="宋体"/>
          <w:color w:val="auto"/>
          <w:sz w:val="24"/>
          <w:szCs w:val="24"/>
          <w:highlight w:val="none"/>
        </w:rPr>
        <w:t xml:space="preserve">捏造事实； </w:t>
      </w:r>
    </w:p>
    <w:p w14:paraId="5DEFE96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32.3.3.2 </w:t>
      </w:r>
      <w:r>
        <w:rPr>
          <w:rFonts w:hint="eastAsia" w:ascii="宋体" w:hAnsi="宋体" w:eastAsia="宋体" w:cs="宋体"/>
          <w:color w:val="auto"/>
          <w:sz w:val="24"/>
          <w:szCs w:val="24"/>
          <w:highlight w:val="none"/>
        </w:rPr>
        <w:t xml:space="preserve">提供虚假材料； </w:t>
      </w:r>
    </w:p>
    <w:p w14:paraId="1011BB5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32.3.3.3 </w:t>
      </w:r>
      <w:r>
        <w:rPr>
          <w:rFonts w:hint="eastAsia" w:ascii="宋体" w:hAnsi="宋体" w:eastAsia="宋体" w:cs="宋体"/>
          <w:color w:val="auto"/>
          <w:sz w:val="24"/>
          <w:szCs w:val="24"/>
          <w:highlight w:val="none"/>
        </w:rPr>
        <w:t xml:space="preserve">以非法手段取得证明材料。证据来源的合法性存在明显疑问，投诉人无法证明其取得方式合法的，视为以非法手段取得证明材料。 </w:t>
      </w:r>
    </w:p>
    <w:p w14:paraId="3E4D028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33 </w:t>
      </w:r>
      <w:r>
        <w:rPr>
          <w:rFonts w:hint="eastAsia" w:ascii="宋体" w:hAnsi="宋体" w:eastAsia="宋体" w:cs="宋体"/>
          <w:b/>
          <w:bCs/>
          <w:color w:val="auto"/>
          <w:sz w:val="24"/>
          <w:szCs w:val="24"/>
          <w:highlight w:val="none"/>
        </w:rPr>
        <w:t>特别说明</w:t>
      </w:r>
      <w:r>
        <w:rPr>
          <w:rFonts w:hint="eastAsia" w:ascii="宋体" w:hAnsi="宋体" w:eastAsia="宋体" w:cs="宋体"/>
          <w:color w:val="auto"/>
          <w:sz w:val="24"/>
          <w:szCs w:val="24"/>
          <w:highlight w:val="none"/>
        </w:rPr>
        <w:t xml:space="preserve"> </w:t>
      </w:r>
    </w:p>
    <w:p w14:paraId="18EB28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 </w:t>
      </w:r>
      <w:r>
        <w:rPr>
          <w:rFonts w:hint="eastAsia" w:ascii="宋体" w:hAnsi="宋体" w:eastAsia="宋体" w:cs="宋体"/>
          <w:color w:val="auto"/>
          <w:sz w:val="24"/>
          <w:szCs w:val="24"/>
          <w:highlight w:val="none"/>
        </w:rPr>
        <w:t xml:space="preserve">有下列情形之一的，视为供应商串通投标，其响应无效： </w:t>
      </w:r>
    </w:p>
    <w:p w14:paraId="3F961F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33.1.1 </w:t>
      </w:r>
      <w:r>
        <w:rPr>
          <w:rFonts w:hint="eastAsia" w:ascii="宋体" w:hAnsi="宋体" w:eastAsia="宋体" w:cs="宋体"/>
          <w:color w:val="auto"/>
          <w:sz w:val="24"/>
          <w:szCs w:val="24"/>
          <w:highlight w:val="none"/>
        </w:rPr>
        <w:t xml:space="preserve">不同供应商的响应文件由同一单位或者个人编制； </w:t>
      </w:r>
    </w:p>
    <w:p w14:paraId="78C2B1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33.1.2 </w:t>
      </w:r>
      <w:r>
        <w:rPr>
          <w:rFonts w:hint="eastAsia" w:ascii="宋体" w:hAnsi="宋体" w:eastAsia="宋体" w:cs="宋体"/>
          <w:color w:val="auto"/>
          <w:sz w:val="24"/>
          <w:szCs w:val="24"/>
          <w:highlight w:val="none"/>
        </w:rPr>
        <w:t xml:space="preserve">不同供应商委托同一单位或者个人办理投标事宜； </w:t>
      </w:r>
    </w:p>
    <w:p w14:paraId="28F3E7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33.1.3 </w:t>
      </w:r>
      <w:r>
        <w:rPr>
          <w:rFonts w:hint="eastAsia" w:ascii="宋体" w:hAnsi="宋体" w:eastAsia="宋体" w:cs="宋体"/>
          <w:color w:val="auto"/>
          <w:sz w:val="24"/>
          <w:szCs w:val="24"/>
          <w:highlight w:val="none"/>
        </w:rPr>
        <w:t xml:space="preserve">不同供应商的响应文件载明的项目管理成员或者联系人员为同一人； </w:t>
      </w:r>
    </w:p>
    <w:p w14:paraId="4555E8E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33.1.4 </w:t>
      </w:r>
      <w:r>
        <w:rPr>
          <w:rFonts w:hint="eastAsia" w:ascii="宋体" w:hAnsi="宋体" w:eastAsia="宋体" w:cs="宋体"/>
          <w:color w:val="auto"/>
          <w:sz w:val="24"/>
          <w:szCs w:val="24"/>
          <w:highlight w:val="none"/>
        </w:rPr>
        <w:t xml:space="preserve">不同供应商的响应文件异常一致或者磋商报价呈规律性差异； </w:t>
      </w:r>
    </w:p>
    <w:p w14:paraId="654338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33.1.5 </w:t>
      </w:r>
      <w:r>
        <w:rPr>
          <w:rFonts w:hint="eastAsia" w:ascii="宋体" w:hAnsi="宋体" w:eastAsia="宋体" w:cs="宋体"/>
          <w:color w:val="auto"/>
          <w:sz w:val="24"/>
          <w:szCs w:val="24"/>
          <w:highlight w:val="none"/>
        </w:rPr>
        <w:t xml:space="preserve">不同供应商的响应文件相互混装； </w:t>
      </w:r>
    </w:p>
    <w:p w14:paraId="4EB4092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33.1.6 </w:t>
      </w:r>
      <w:r>
        <w:rPr>
          <w:rFonts w:hint="eastAsia" w:ascii="宋体" w:hAnsi="宋体" w:eastAsia="宋体" w:cs="宋体"/>
          <w:color w:val="auto"/>
          <w:sz w:val="24"/>
          <w:szCs w:val="24"/>
          <w:highlight w:val="none"/>
        </w:rPr>
        <w:t xml:space="preserve">不同供应商的磋商保证金从同一单位或者个人的账户转出。 </w:t>
      </w:r>
    </w:p>
    <w:p w14:paraId="365540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 </w:t>
      </w:r>
      <w:r>
        <w:rPr>
          <w:rFonts w:hint="eastAsia" w:ascii="宋体" w:hAnsi="宋体" w:eastAsia="宋体" w:cs="宋体"/>
          <w:color w:val="auto"/>
          <w:sz w:val="24"/>
          <w:szCs w:val="24"/>
          <w:highlight w:val="none"/>
        </w:rPr>
        <w:t xml:space="preserve">供应商存在下列情况之一的，其响应无效: </w:t>
      </w:r>
    </w:p>
    <w:p w14:paraId="30A821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33.2.1 </w:t>
      </w:r>
      <w:r>
        <w:rPr>
          <w:rFonts w:hint="eastAsia" w:ascii="宋体" w:hAnsi="宋体" w:eastAsia="宋体" w:cs="宋体"/>
          <w:color w:val="auto"/>
          <w:sz w:val="24"/>
          <w:szCs w:val="24"/>
          <w:highlight w:val="none"/>
        </w:rPr>
        <w:t xml:space="preserve">未按照磋商文件的规定提交磋商保证金的； </w:t>
      </w:r>
    </w:p>
    <w:p w14:paraId="494C37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33.2.2 </w:t>
      </w:r>
      <w:r>
        <w:rPr>
          <w:rFonts w:hint="eastAsia" w:ascii="宋体" w:hAnsi="宋体" w:eastAsia="宋体" w:cs="宋体"/>
          <w:color w:val="auto"/>
          <w:sz w:val="24"/>
          <w:szCs w:val="24"/>
          <w:highlight w:val="none"/>
        </w:rPr>
        <w:t xml:space="preserve">响应文件未按磋商文件要求签署、盖章及响应文件的份数、编制不符合磋商文件要求的； </w:t>
      </w:r>
    </w:p>
    <w:p w14:paraId="083339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33.2.3 </w:t>
      </w:r>
      <w:r>
        <w:rPr>
          <w:rFonts w:hint="eastAsia" w:ascii="宋体" w:hAnsi="宋体" w:eastAsia="宋体" w:cs="宋体"/>
          <w:color w:val="auto"/>
          <w:sz w:val="24"/>
          <w:szCs w:val="24"/>
          <w:highlight w:val="none"/>
        </w:rPr>
        <w:t xml:space="preserve">不具备磋商文件中规定的资格要求的； </w:t>
      </w:r>
    </w:p>
    <w:p w14:paraId="711408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33.2.4 </w:t>
      </w:r>
      <w:r>
        <w:rPr>
          <w:rFonts w:hint="eastAsia" w:ascii="宋体" w:hAnsi="宋体" w:eastAsia="宋体" w:cs="宋体"/>
          <w:color w:val="auto"/>
          <w:sz w:val="24"/>
          <w:szCs w:val="24"/>
          <w:highlight w:val="none"/>
        </w:rPr>
        <w:t xml:space="preserve">报价超过磋商文件中规定的预算金额或者最高限价的； </w:t>
      </w:r>
    </w:p>
    <w:p w14:paraId="0138EF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33.2.5 </w:t>
      </w:r>
      <w:r>
        <w:rPr>
          <w:rFonts w:hint="eastAsia" w:ascii="宋体" w:hAnsi="宋体" w:eastAsia="宋体" w:cs="宋体"/>
          <w:color w:val="auto"/>
          <w:sz w:val="24"/>
          <w:szCs w:val="24"/>
          <w:highlight w:val="none"/>
        </w:rPr>
        <w:t xml:space="preserve">响应文件含有采购人不能接受的附加条件的； </w:t>
      </w:r>
    </w:p>
    <w:p w14:paraId="7BFDC18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33.2.6 </w:t>
      </w:r>
      <w:r>
        <w:rPr>
          <w:rFonts w:hint="eastAsia" w:ascii="宋体" w:hAnsi="宋体" w:eastAsia="宋体" w:cs="宋体"/>
          <w:color w:val="auto"/>
          <w:sz w:val="24"/>
          <w:szCs w:val="24"/>
          <w:highlight w:val="none"/>
        </w:rPr>
        <w:t>法律、法规和磋商文件规定的其他无效情形。</w:t>
      </w:r>
    </w:p>
    <w:p w14:paraId="18F69E50">
      <w:pPr>
        <w:pStyle w:val="6"/>
        <w:rPr>
          <w:rFonts w:hint="eastAsia" w:ascii="宋体" w:hAnsi="宋体" w:eastAsia="宋体" w:cs="宋体"/>
          <w:color w:val="auto"/>
          <w:sz w:val="24"/>
          <w:szCs w:val="24"/>
          <w:highlight w:val="none"/>
        </w:rPr>
      </w:pPr>
    </w:p>
    <w:p w14:paraId="535C6643">
      <w:pPr>
        <w:rPr>
          <w:rFonts w:hint="eastAsia" w:ascii="宋体" w:hAnsi="宋体" w:eastAsia="宋体" w:cs="宋体"/>
          <w:color w:val="auto"/>
          <w:sz w:val="24"/>
          <w:szCs w:val="24"/>
          <w:highlight w:val="none"/>
        </w:rPr>
      </w:pPr>
    </w:p>
    <w:p w14:paraId="10F52E4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授予合同</w:t>
      </w:r>
      <w:r>
        <w:rPr>
          <w:rFonts w:hint="eastAsia" w:ascii="宋体" w:hAnsi="宋体" w:eastAsia="宋体" w:cs="宋体"/>
          <w:color w:val="auto"/>
          <w:sz w:val="24"/>
          <w:szCs w:val="24"/>
          <w:highlight w:val="none"/>
        </w:rPr>
        <w:t xml:space="preserve"> </w:t>
      </w:r>
    </w:p>
    <w:p w14:paraId="23B81AA9">
      <w:pPr>
        <w:pStyle w:val="6"/>
        <w:numPr>
          <w:ilvl w:val="0"/>
          <w:numId w:val="0"/>
        </w:numPr>
        <w:ind w:left="3080" w:leftChars="0" w:right="0" w:rightChars="0"/>
        <w:rPr>
          <w:rFonts w:hint="eastAsia"/>
          <w:color w:val="auto"/>
          <w:highlight w:val="none"/>
        </w:rPr>
      </w:pPr>
    </w:p>
    <w:p w14:paraId="28937D4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34 </w:t>
      </w:r>
      <w:r>
        <w:rPr>
          <w:rFonts w:hint="eastAsia" w:ascii="宋体" w:hAnsi="宋体" w:eastAsia="宋体" w:cs="宋体"/>
          <w:b/>
          <w:bCs/>
          <w:color w:val="auto"/>
          <w:sz w:val="24"/>
          <w:szCs w:val="24"/>
          <w:highlight w:val="none"/>
        </w:rPr>
        <w:t>合同的订立</w:t>
      </w:r>
      <w:r>
        <w:rPr>
          <w:rFonts w:hint="eastAsia" w:ascii="宋体" w:hAnsi="宋体" w:eastAsia="宋体" w:cs="宋体"/>
          <w:color w:val="auto"/>
          <w:sz w:val="24"/>
          <w:szCs w:val="24"/>
          <w:highlight w:val="none"/>
        </w:rPr>
        <w:t xml:space="preserve"> </w:t>
      </w:r>
    </w:p>
    <w:p w14:paraId="1405571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34.1 </w:t>
      </w:r>
      <w:r>
        <w:rPr>
          <w:rFonts w:hint="eastAsia" w:ascii="宋体" w:hAnsi="宋体" w:eastAsia="宋体" w:cs="宋体"/>
          <w:color w:val="auto"/>
          <w:sz w:val="24"/>
          <w:szCs w:val="24"/>
          <w:highlight w:val="none"/>
        </w:rPr>
        <w:t xml:space="preserve">采购人应当自成交通知书发出之日起三十日内，按照磋商文件和成交供应商响应文件的约定，与成交供应商签订书面合同。所签订的合同不得对磋商文件和成交供应商响应文件作实质性修改。 </w:t>
      </w:r>
    </w:p>
    <w:p w14:paraId="410B49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34.2 </w:t>
      </w:r>
      <w:r>
        <w:rPr>
          <w:rFonts w:hint="eastAsia" w:ascii="宋体" w:hAnsi="宋体" w:eastAsia="宋体" w:cs="宋体"/>
          <w:color w:val="auto"/>
          <w:sz w:val="24"/>
          <w:szCs w:val="24"/>
          <w:highlight w:val="none"/>
        </w:rPr>
        <w:t xml:space="preserve">采购人不得向成交供应商提出任何不合理的要求，作为签订合同的条件，不得与成交供应商私下订立背离合同实质性内容的协议。 </w:t>
      </w:r>
    </w:p>
    <w:p w14:paraId="469A15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34.3 </w:t>
      </w:r>
      <w:r>
        <w:rPr>
          <w:rFonts w:hint="eastAsia" w:ascii="宋体" w:hAnsi="宋体" w:eastAsia="宋体" w:cs="宋体"/>
          <w:color w:val="auto"/>
          <w:sz w:val="24"/>
          <w:szCs w:val="24"/>
          <w:highlight w:val="none"/>
        </w:rPr>
        <w:t xml:space="preserve">自政府采购合同签订之日起两个工作日内，采购人应将政府采购合同在省级以上人民政府财政部门指定的媒体上公告，但政府采购合同中涉及国家秘密、商业秘密的内容除外。 </w:t>
      </w:r>
    </w:p>
    <w:p w14:paraId="1B55E7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34.4 </w:t>
      </w:r>
      <w:r>
        <w:rPr>
          <w:rFonts w:hint="eastAsia" w:ascii="宋体" w:hAnsi="宋体" w:eastAsia="宋体" w:cs="宋体"/>
          <w:color w:val="auto"/>
          <w:sz w:val="24"/>
          <w:szCs w:val="24"/>
          <w:highlight w:val="none"/>
        </w:rPr>
        <w:t xml:space="preserve">政府采购合同签订之日起七个工作日内，采购人应将政府采购合同副本报同级监管部门备案和有关部门备案。 </w:t>
      </w:r>
    </w:p>
    <w:p w14:paraId="7A210B3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35 </w:t>
      </w:r>
      <w:r>
        <w:rPr>
          <w:rFonts w:hint="eastAsia" w:ascii="宋体" w:hAnsi="宋体" w:eastAsia="宋体" w:cs="宋体"/>
          <w:b/>
          <w:bCs/>
          <w:color w:val="auto"/>
          <w:sz w:val="24"/>
          <w:szCs w:val="24"/>
          <w:highlight w:val="none"/>
        </w:rPr>
        <w:t>合同的履行</w:t>
      </w:r>
      <w:r>
        <w:rPr>
          <w:rFonts w:hint="eastAsia" w:ascii="宋体" w:hAnsi="宋体" w:eastAsia="宋体" w:cs="宋体"/>
          <w:color w:val="auto"/>
          <w:sz w:val="24"/>
          <w:szCs w:val="24"/>
          <w:highlight w:val="none"/>
        </w:rPr>
        <w:t xml:space="preserve"> </w:t>
      </w:r>
    </w:p>
    <w:p w14:paraId="6BE357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35.1 </w:t>
      </w:r>
      <w:r>
        <w:rPr>
          <w:rFonts w:hint="eastAsia" w:ascii="宋体" w:hAnsi="宋体" w:eastAsia="宋体" w:cs="宋体"/>
          <w:color w:val="auto"/>
          <w:sz w:val="24"/>
          <w:szCs w:val="24"/>
          <w:highlight w:val="none"/>
        </w:rPr>
        <w:t>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w:t>
      </w:r>
    </w:p>
    <w:p w14:paraId="2E59F6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35.2 </w:t>
      </w:r>
      <w:r>
        <w:rPr>
          <w:rFonts w:hint="eastAsia" w:ascii="宋体" w:hAnsi="宋体" w:eastAsia="宋体" w:cs="宋体"/>
          <w:color w:val="auto"/>
          <w:sz w:val="24"/>
          <w:szCs w:val="24"/>
          <w:highlight w:val="none"/>
        </w:rPr>
        <w:t xml:space="preserve">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14:paraId="1E5077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35.3 </w:t>
      </w:r>
      <w:r>
        <w:rPr>
          <w:rFonts w:hint="eastAsia" w:ascii="宋体" w:hAnsi="宋体" w:eastAsia="宋体" w:cs="宋体"/>
          <w:color w:val="auto"/>
          <w:sz w:val="24"/>
          <w:szCs w:val="24"/>
          <w:highlight w:val="none"/>
        </w:rPr>
        <w:t xml:space="preserve">成交供应商如为依据《政府采购促进中小企业发展管理办法》规定享受扶持政策获得政府采购合同的，小微企业不得将合同分包给大中型企业，中型企业不得将合同分包给大型企业。 </w:t>
      </w:r>
    </w:p>
    <w:p w14:paraId="07769716">
      <w:pPr>
        <w:pStyle w:val="6"/>
        <w:rPr>
          <w:rFonts w:hint="eastAsia"/>
          <w:color w:val="auto"/>
          <w:highlight w:val="none"/>
        </w:rPr>
      </w:pPr>
    </w:p>
    <w:p w14:paraId="1D9BA49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验收</w:t>
      </w:r>
      <w:r>
        <w:rPr>
          <w:rFonts w:hint="eastAsia" w:ascii="宋体" w:hAnsi="宋体" w:eastAsia="宋体" w:cs="宋体"/>
          <w:color w:val="auto"/>
          <w:sz w:val="24"/>
          <w:szCs w:val="24"/>
          <w:highlight w:val="none"/>
        </w:rPr>
        <w:t xml:space="preserve"> </w:t>
      </w:r>
    </w:p>
    <w:p w14:paraId="31F83D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 </w:t>
      </w:r>
      <w:r>
        <w:rPr>
          <w:rFonts w:hint="eastAsia" w:ascii="宋体" w:hAnsi="宋体" w:eastAsia="宋体" w:cs="宋体"/>
          <w:color w:val="auto"/>
          <w:sz w:val="24"/>
          <w:szCs w:val="24"/>
          <w:highlight w:val="none"/>
        </w:rPr>
        <w:t xml:space="preserve">采购人应当及时对采购项目进行验收。采购人可以邀请参加本项目的其他供应商或者第三方机构参与验收。参与验收的供应商或者第三方机构的意见作为验收书的参考资料一并存档。 </w:t>
      </w:r>
    </w:p>
    <w:p w14:paraId="450373C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 </w:t>
      </w:r>
      <w:r>
        <w:rPr>
          <w:rFonts w:hint="eastAsia" w:ascii="宋体" w:hAnsi="宋体" w:eastAsia="宋体" w:cs="宋体"/>
          <w:color w:val="auto"/>
          <w:sz w:val="24"/>
          <w:szCs w:val="24"/>
          <w:highlight w:val="none"/>
        </w:rPr>
        <w:t>在验收时，供应商应向采购人提供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的相关资料，按采购人提出的方式验收。 </w:t>
      </w:r>
    </w:p>
    <w:p w14:paraId="7B120B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36.3 </w:t>
      </w:r>
      <w:r>
        <w:rPr>
          <w:rFonts w:hint="eastAsia" w:ascii="宋体" w:hAnsi="宋体" w:eastAsia="宋体" w:cs="宋体"/>
          <w:color w:val="auto"/>
          <w:sz w:val="24"/>
          <w:szCs w:val="24"/>
          <w:highlight w:val="none"/>
        </w:rPr>
        <w:t>由采购人对</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的质量、规格和数量及其他进行检验。如发现质量、规格和数量等任何一项与磋商文件要求规定不符，采购人有权拒绝接受。 </w:t>
      </w:r>
    </w:p>
    <w:p w14:paraId="426562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36.4 </w:t>
      </w:r>
      <w:r>
        <w:rPr>
          <w:rFonts w:hint="eastAsia" w:ascii="宋体" w:hAnsi="宋体" w:eastAsia="宋体" w:cs="宋体"/>
          <w:color w:val="auto"/>
          <w:sz w:val="24"/>
          <w:szCs w:val="24"/>
          <w:highlight w:val="none"/>
        </w:rPr>
        <w:t>采购人应当加强对成交供应商的履约管理，并按照采购合同约定，及时向成交供应商支付采购资金。对于成交供应商违反采购合同约定的行为，采购人应当及时处理，依法追究其违约责任。</w:t>
      </w:r>
    </w:p>
    <w:p w14:paraId="708FED09">
      <w:pPr>
        <w:rPr>
          <w:rFonts w:hint="eastAsia"/>
          <w:color w:val="auto"/>
          <w:highlight w:val="none"/>
          <w:lang w:val="zh-CN" w:eastAsia="zh-CN"/>
        </w:rPr>
      </w:pPr>
    </w:p>
    <w:p w14:paraId="6BCEA5A5">
      <w:pPr>
        <w:rPr>
          <w:rFonts w:hint="eastAsia"/>
          <w:color w:val="auto"/>
          <w:highlight w:val="none"/>
          <w:lang w:val="zh-CN" w:eastAsia="zh-CN"/>
        </w:rPr>
      </w:pPr>
      <w:r>
        <w:rPr>
          <w:rFonts w:hint="eastAsia"/>
          <w:color w:val="auto"/>
          <w:highlight w:val="none"/>
          <w:lang w:val="zh-CN" w:eastAsia="zh-CN"/>
        </w:rPr>
        <w:br w:type="page"/>
      </w:r>
    </w:p>
    <w:p w14:paraId="5BFF31A5">
      <w:pPr>
        <w:pStyle w:val="6"/>
        <w:ind w:firstLine="1405" w:firstLineChars="500"/>
        <w:rPr>
          <w:rFonts w:hint="eastAsia"/>
          <w:color w:val="auto"/>
          <w:highlight w:val="none"/>
          <w:lang w:val="zh-CN"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评</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rPr>
        <w:t>标准</w:t>
      </w:r>
    </w:p>
    <w:p w14:paraId="1A0D85B3">
      <w:pPr>
        <w:rPr>
          <w:rFonts w:hint="eastAsia"/>
          <w:color w:val="auto"/>
          <w:highlight w:val="none"/>
          <w:lang w:val="zh-CN" w:eastAsia="zh-CN"/>
        </w:rPr>
      </w:pPr>
    </w:p>
    <w:p w14:paraId="19F85A20">
      <w:pPr>
        <w:pStyle w:val="6"/>
        <w:ind w:left="0" w:leftChars="0" w:firstLine="0" w:firstLineChars="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37  资格审查表</w:t>
      </w:r>
    </w:p>
    <w:tbl>
      <w:tblPr>
        <w:tblStyle w:val="19"/>
        <w:tblpPr w:leftFromText="180" w:rightFromText="180" w:vertAnchor="text" w:horzAnchor="page" w:tblpXSpec="center" w:tblpY="286"/>
        <w:tblOverlap w:val="never"/>
        <w:tblW w:w="56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388"/>
        <w:gridCol w:w="4468"/>
        <w:gridCol w:w="2567"/>
        <w:gridCol w:w="787"/>
        <w:gridCol w:w="1214"/>
      </w:tblGrid>
      <w:tr w14:paraId="47E3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vMerge w:val="restart"/>
            <w:shd w:val="clear" w:color="auto" w:fill="FFFFFF"/>
            <w:noWrap w:val="0"/>
            <w:vAlign w:val="center"/>
          </w:tcPr>
          <w:p w14:paraId="61DF278E">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类型</w:t>
            </w:r>
          </w:p>
        </w:tc>
        <w:tc>
          <w:tcPr>
            <w:tcW w:w="2143" w:type="pct"/>
            <w:vMerge w:val="restart"/>
            <w:shd w:val="clear" w:color="auto" w:fill="FFFFFF"/>
            <w:noWrap w:val="0"/>
            <w:vAlign w:val="center"/>
          </w:tcPr>
          <w:p w14:paraId="6D234AB8">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审查要求</w:t>
            </w:r>
          </w:p>
        </w:tc>
        <w:tc>
          <w:tcPr>
            <w:tcW w:w="1231" w:type="pct"/>
            <w:vMerge w:val="restart"/>
            <w:shd w:val="clear" w:color="auto" w:fill="FFFFFF"/>
            <w:noWrap w:val="0"/>
            <w:vAlign w:val="center"/>
          </w:tcPr>
          <w:p w14:paraId="41D3119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要求说明</w:t>
            </w:r>
          </w:p>
        </w:tc>
        <w:tc>
          <w:tcPr>
            <w:tcW w:w="959" w:type="pct"/>
            <w:gridSpan w:val="2"/>
            <w:shd w:val="clear" w:color="auto" w:fill="FFFFFF"/>
            <w:noWrap w:val="0"/>
            <w:vAlign w:val="center"/>
          </w:tcPr>
          <w:p w14:paraId="641E87F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评审意见</w:t>
            </w:r>
          </w:p>
        </w:tc>
      </w:tr>
      <w:tr w14:paraId="581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65" w:type="pct"/>
            <w:vMerge w:val="continue"/>
            <w:shd w:val="clear" w:color="auto" w:fill="FFFDFA"/>
            <w:noWrap w:val="0"/>
            <w:vAlign w:val="center"/>
          </w:tcPr>
          <w:p w14:paraId="54C69F46">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2143" w:type="pct"/>
            <w:vMerge w:val="continue"/>
            <w:shd w:val="clear" w:color="auto" w:fill="FFFDFA"/>
            <w:noWrap w:val="0"/>
            <w:vAlign w:val="center"/>
          </w:tcPr>
          <w:p w14:paraId="6E3445E5">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1231" w:type="pct"/>
            <w:vMerge w:val="continue"/>
            <w:shd w:val="clear" w:color="auto" w:fill="FFFDFA"/>
            <w:noWrap w:val="0"/>
            <w:vAlign w:val="center"/>
          </w:tcPr>
          <w:p w14:paraId="6D1BF8C3">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377" w:type="pct"/>
            <w:shd w:val="clear" w:color="auto" w:fill="FFFDFA"/>
            <w:noWrap w:val="0"/>
            <w:vAlign w:val="center"/>
          </w:tcPr>
          <w:p w14:paraId="07557D0F">
            <w:pPr>
              <w:pageBreakBefore w:val="0"/>
              <w:kinsoku/>
              <w:wordWrap/>
              <w:overflowPunct/>
              <w:topLinePunct w:val="0"/>
              <w:bidi w:val="0"/>
              <w:spacing w:beforeAutospacing="0" w:afterAutospacing="0" w:line="40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符合</w:t>
            </w:r>
          </w:p>
        </w:tc>
        <w:tc>
          <w:tcPr>
            <w:tcW w:w="582" w:type="pct"/>
            <w:shd w:val="clear" w:color="auto" w:fill="FFFDFA"/>
            <w:noWrap w:val="0"/>
            <w:vAlign w:val="center"/>
          </w:tcPr>
          <w:p w14:paraId="0C858BFC">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不符合</w:t>
            </w:r>
          </w:p>
        </w:tc>
      </w:tr>
      <w:tr w14:paraId="3BB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41DFBC08">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基本资质</w:t>
            </w:r>
          </w:p>
        </w:tc>
        <w:tc>
          <w:tcPr>
            <w:tcW w:w="2143" w:type="pct"/>
            <w:shd w:val="clear" w:color="auto" w:fill="FFFFFF"/>
            <w:noWrap w:val="0"/>
            <w:vAlign w:val="center"/>
          </w:tcPr>
          <w:p w14:paraId="12DA2732">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满足《中华人民共和国政府采购法》第二十二条规定</w:t>
            </w:r>
          </w:p>
        </w:tc>
        <w:tc>
          <w:tcPr>
            <w:tcW w:w="1231" w:type="pct"/>
            <w:shd w:val="clear" w:color="auto" w:fill="FFFFFF"/>
            <w:noWrap w:val="0"/>
            <w:vAlign w:val="center"/>
          </w:tcPr>
          <w:p w14:paraId="43DAB160">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请根据要求上传营业执照等相关资料。</w:t>
            </w:r>
          </w:p>
        </w:tc>
        <w:tc>
          <w:tcPr>
            <w:tcW w:w="377" w:type="pct"/>
            <w:shd w:val="clear" w:color="auto" w:fill="FFFFFF"/>
            <w:noWrap w:val="0"/>
            <w:vAlign w:val="center"/>
          </w:tcPr>
          <w:p w14:paraId="5137697D">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45C1F272">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4281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75086070">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特定资质</w:t>
            </w:r>
          </w:p>
        </w:tc>
        <w:tc>
          <w:tcPr>
            <w:tcW w:w="2143" w:type="pct"/>
            <w:shd w:val="clear" w:color="auto" w:fill="FFFFFF"/>
            <w:noWrap w:val="0"/>
            <w:vAlign w:val="center"/>
          </w:tcPr>
          <w:p w14:paraId="56AC7F4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公路工程施工总承包叁级及以上资质。项目经理须具备公路工程专业注册建造师二级及以上执业资格，持有有效的交通运输主管部门颁发的安全生产考核合格证书(B类)。（2）投标人在人员、设备、资金等方面具有相应的施工能力，具备有效的安全生产许可证。</w:t>
            </w:r>
          </w:p>
        </w:tc>
        <w:tc>
          <w:tcPr>
            <w:tcW w:w="1231" w:type="pct"/>
            <w:shd w:val="clear" w:color="auto" w:fill="FFFFFF"/>
            <w:noWrap w:val="0"/>
            <w:vAlign w:val="center"/>
          </w:tcPr>
          <w:p w14:paraId="0D869B49">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提供企业资质证书、安全生产许可证、建造师注册证及安全生产考核合格证书、法定代表人证明书/法人授权委托书。</w:t>
            </w:r>
          </w:p>
        </w:tc>
        <w:tc>
          <w:tcPr>
            <w:tcW w:w="377" w:type="pct"/>
            <w:shd w:val="clear" w:color="auto" w:fill="FFFFFF"/>
            <w:noWrap w:val="0"/>
            <w:vAlign w:val="center"/>
          </w:tcPr>
          <w:p w14:paraId="36EAE6B7">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28015509">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5C8C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665" w:type="pct"/>
            <w:shd w:val="clear" w:color="auto" w:fill="FFFFFF"/>
            <w:noWrap w:val="0"/>
            <w:vAlign w:val="center"/>
          </w:tcPr>
          <w:p w14:paraId="0D44E79F">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4349" w:type="dxa"/>
            <w:shd w:val="clear" w:color="auto" w:fill="FFFFFF"/>
            <w:noWrap w:val="0"/>
            <w:vAlign w:val="center"/>
          </w:tcPr>
          <w:p w14:paraId="718C3402">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投标保证金</w:t>
            </w:r>
          </w:p>
        </w:tc>
        <w:tc>
          <w:tcPr>
            <w:tcW w:w="2499" w:type="dxa"/>
            <w:shd w:val="clear" w:color="auto" w:fill="FFFFFF"/>
            <w:noWrap w:val="0"/>
            <w:vAlign w:val="center"/>
          </w:tcPr>
          <w:p w14:paraId="1E5767E5">
            <w:pPr>
              <w:pStyle w:val="47"/>
              <w:pageBreakBefore w:val="0"/>
              <w:kinsoku/>
              <w:wordWrap/>
              <w:overflowPunct/>
              <w:bidi w:val="0"/>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w:t>
            </w:r>
            <w:r>
              <w:rPr>
                <w:rFonts w:hint="eastAsia" w:ascii="宋体" w:hAnsi="宋体" w:eastAsia="宋体" w:cs="宋体"/>
                <w:color w:val="000000"/>
                <w:sz w:val="24"/>
                <w:szCs w:val="24"/>
                <w:highlight w:val="none"/>
              </w:rPr>
              <w:t>投标保证金</w:t>
            </w:r>
            <w:r>
              <w:rPr>
                <w:rFonts w:hint="eastAsia" w:ascii="宋体" w:hAnsi="宋体" w:cs="宋体"/>
                <w:color w:val="000000"/>
                <w:sz w:val="24"/>
                <w:szCs w:val="24"/>
                <w:highlight w:val="none"/>
                <w:lang w:val="en-US" w:eastAsia="zh-CN"/>
              </w:rPr>
              <w:t>打款凭证或</w:t>
            </w:r>
            <w:r>
              <w:rPr>
                <w:rFonts w:hint="eastAsia" w:ascii="宋体" w:hAnsi="宋体" w:eastAsia="宋体" w:cs="宋体"/>
                <w:kern w:val="2"/>
                <w:sz w:val="24"/>
                <w:szCs w:val="24"/>
                <w:lang w:val="en-US" w:eastAsia="zh-CN" w:bidi="ar-SA"/>
              </w:rPr>
              <w:t>保函，原件扫描件加盖企业公章。</w:t>
            </w:r>
          </w:p>
        </w:tc>
        <w:tc>
          <w:tcPr>
            <w:tcW w:w="377" w:type="pct"/>
            <w:shd w:val="clear" w:color="auto" w:fill="FFFFFF"/>
            <w:noWrap w:val="0"/>
            <w:vAlign w:val="center"/>
          </w:tcPr>
          <w:p w14:paraId="5F54AE8E">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181A6006">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1BC9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1351" w:type="dxa"/>
            <w:shd w:val="clear" w:color="auto" w:fill="FFFFFF"/>
            <w:noWrap w:val="0"/>
            <w:vAlign w:val="center"/>
          </w:tcPr>
          <w:p w14:paraId="766EDE83">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采购政策</w:t>
            </w:r>
          </w:p>
        </w:tc>
        <w:tc>
          <w:tcPr>
            <w:tcW w:w="4349" w:type="dxa"/>
            <w:shd w:val="clear" w:color="auto" w:fill="FFFFFF"/>
            <w:noWrap w:val="0"/>
            <w:vAlign w:val="center"/>
          </w:tcPr>
          <w:p w14:paraId="0985B45D">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专门面向中小企业</w:t>
            </w:r>
          </w:p>
        </w:tc>
        <w:tc>
          <w:tcPr>
            <w:tcW w:w="2499" w:type="dxa"/>
            <w:shd w:val="clear" w:color="auto" w:fill="FFFFFF"/>
            <w:noWrap w:val="0"/>
            <w:vAlign w:val="center"/>
          </w:tcPr>
          <w:p w14:paraId="2A5BC5EC">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请根据要求单独上传《中小企业声明函》。格式以采购文件要求为准。</w:t>
            </w:r>
          </w:p>
        </w:tc>
        <w:tc>
          <w:tcPr>
            <w:tcW w:w="766" w:type="dxa"/>
            <w:shd w:val="clear" w:color="auto" w:fill="FFFFFF"/>
            <w:noWrap w:val="0"/>
            <w:vAlign w:val="center"/>
          </w:tcPr>
          <w:p w14:paraId="0057A90C">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1182" w:type="dxa"/>
            <w:shd w:val="clear" w:color="auto" w:fill="FFFFFF"/>
            <w:noWrap w:val="0"/>
            <w:vAlign w:val="center"/>
          </w:tcPr>
          <w:p w14:paraId="7E74A54A">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bl>
    <w:p w14:paraId="702C658A">
      <w:pPr>
        <w:pageBreakBefore w:val="0"/>
        <w:kinsoku/>
        <w:wordWrap/>
        <w:overflowPunct/>
        <w:topLinePunct w:val="0"/>
        <w:bidi w:val="0"/>
        <w:spacing w:beforeAutospacing="0" w:afterAutospacing="0" w:line="400" w:lineRule="exact"/>
        <w:rPr>
          <w:rFonts w:hint="eastAsia"/>
        </w:rPr>
        <w:sectPr>
          <w:pgSz w:w="11906" w:h="16839"/>
          <w:pgMar w:top="400" w:right="1640" w:bottom="1111" w:left="1256" w:header="0" w:footer="932" w:gutter="0"/>
          <w:pgNumType w:fmt="decimal"/>
          <w:cols w:space="720" w:num="1"/>
        </w:sectPr>
      </w:pPr>
      <w:r>
        <w:rPr>
          <w:rFonts w:hint="eastAsia" w:ascii="宋体" w:hAnsi="宋体" w:eastAsia="宋体" w:cs="宋体"/>
          <w:b/>
          <w:bCs/>
          <w:color w:val="auto"/>
          <w:kern w:val="0"/>
          <w:sz w:val="24"/>
          <w:szCs w:val="24"/>
          <w:highlight w:val="none"/>
        </w:rPr>
        <w:t>注：</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有一项未通过不得参与下阶段评审，视为废标。</w:t>
      </w:r>
    </w:p>
    <w:p w14:paraId="4A5AB2C7">
      <w:pPr>
        <w:pStyle w:val="6"/>
        <w:ind w:left="0" w:leftChars="0" w:firstLine="0" w:firstLineChars="0"/>
        <w:jc w:val="center"/>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 xml:space="preserve">38 </w:t>
      </w:r>
      <w:r>
        <w:rPr>
          <w:rFonts w:hint="eastAsia" w:ascii="宋体" w:hAnsi="宋体" w:eastAsia="宋体" w:cs="宋体"/>
          <w:b/>
          <w:bCs/>
          <w:color w:val="auto"/>
          <w:sz w:val="30"/>
          <w:szCs w:val="30"/>
          <w:highlight w:val="none"/>
        </w:rPr>
        <w:t>符合性审查表</w:t>
      </w:r>
    </w:p>
    <w:tbl>
      <w:tblPr>
        <w:tblStyle w:val="19"/>
        <w:tblpPr w:leftFromText="180" w:rightFromText="180" w:vertAnchor="page" w:horzAnchor="page" w:tblpX="1279" w:tblpY="3504"/>
        <w:tblOverlap w:val="never"/>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8768"/>
      </w:tblGrid>
      <w:tr w14:paraId="55AB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22D232A1">
            <w:pPr>
              <w:pStyle w:val="32"/>
              <w:spacing w:before="94" w:line="600" w:lineRule="auto"/>
              <w:ind w:left="181" w:right="68"/>
              <w:jc w:val="center"/>
              <w:rPr>
                <w:b/>
                <w:bCs/>
                <w:color w:val="auto"/>
                <w:sz w:val="21"/>
                <w:highlight w:val="none"/>
              </w:rPr>
            </w:pPr>
            <w:r>
              <w:rPr>
                <w:b/>
                <w:bCs/>
                <w:color w:val="auto"/>
                <w:sz w:val="21"/>
                <w:highlight w:val="none"/>
              </w:rPr>
              <w:t xml:space="preserve">序号 </w:t>
            </w:r>
          </w:p>
        </w:tc>
        <w:tc>
          <w:tcPr>
            <w:tcW w:w="8768" w:type="dxa"/>
            <w:noWrap w:val="0"/>
            <w:vAlign w:val="top"/>
          </w:tcPr>
          <w:p w14:paraId="6FA72E00">
            <w:pPr>
              <w:pStyle w:val="32"/>
              <w:spacing w:before="94" w:line="600" w:lineRule="auto"/>
              <w:ind w:right="4062" w:firstLine="3795" w:firstLineChars="1800"/>
              <w:jc w:val="both"/>
              <w:rPr>
                <w:b/>
                <w:bCs/>
                <w:color w:val="auto"/>
                <w:sz w:val="21"/>
                <w:highlight w:val="none"/>
              </w:rPr>
            </w:pPr>
            <w:r>
              <w:rPr>
                <w:rFonts w:hint="eastAsia"/>
                <w:b/>
                <w:bCs/>
                <w:color w:val="auto"/>
                <w:sz w:val="21"/>
                <w:highlight w:val="none"/>
                <w:lang w:val="en-US" w:eastAsia="zh-CN"/>
              </w:rPr>
              <w:t>评审</w:t>
            </w:r>
            <w:r>
              <w:rPr>
                <w:b/>
                <w:bCs/>
                <w:color w:val="auto"/>
                <w:sz w:val="21"/>
                <w:highlight w:val="none"/>
              </w:rPr>
              <w:t>内容</w:t>
            </w:r>
          </w:p>
        </w:tc>
      </w:tr>
      <w:tr w14:paraId="07FC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822" w:type="dxa"/>
            <w:noWrap w:val="0"/>
            <w:vAlign w:val="top"/>
          </w:tcPr>
          <w:p w14:paraId="78130E6C">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1</w:t>
            </w:r>
          </w:p>
        </w:tc>
        <w:tc>
          <w:tcPr>
            <w:tcW w:w="8768" w:type="dxa"/>
            <w:noWrap w:val="0"/>
            <w:vAlign w:val="top"/>
          </w:tcPr>
          <w:p w14:paraId="74BEEB5D">
            <w:pPr>
              <w:pStyle w:val="44"/>
              <w:spacing w:before="122" w:line="219" w:lineRule="auto"/>
              <w:ind w:left="124" w:leftChars="0" w:right="0" w:rightChars="0"/>
              <w:rPr>
                <w:color w:val="auto"/>
                <w:sz w:val="21"/>
                <w:highlight w:val="none"/>
              </w:rPr>
            </w:pPr>
            <w:r>
              <w:rPr>
                <w:spacing w:val="-2"/>
                <w:sz w:val="21"/>
                <w:szCs w:val="21"/>
              </w:rPr>
              <w:t>响应文件的编制、签</w:t>
            </w:r>
            <w:r>
              <w:rPr>
                <w:rFonts w:hint="eastAsia"/>
                <w:spacing w:val="-2"/>
                <w:sz w:val="21"/>
                <w:szCs w:val="21"/>
                <w:lang w:val="en-US" w:eastAsia="zh-CN"/>
              </w:rPr>
              <w:t>字</w:t>
            </w:r>
            <w:r>
              <w:rPr>
                <w:spacing w:val="-2"/>
                <w:sz w:val="21"/>
                <w:szCs w:val="21"/>
              </w:rPr>
              <w:t>及盖章是否符合磋商文件的要求。</w:t>
            </w:r>
          </w:p>
        </w:tc>
      </w:tr>
      <w:tr w14:paraId="551F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C4182BC">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2</w:t>
            </w:r>
          </w:p>
        </w:tc>
        <w:tc>
          <w:tcPr>
            <w:tcW w:w="8768" w:type="dxa"/>
            <w:noWrap w:val="0"/>
            <w:vAlign w:val="top"/>
          </w:tcPr>
          <w:p w14:paraId="540C7D50">
            <w:pPr>
              <w:pStyle w:val="44"/>
              <w:spacing w:before="123" w:line="218" w:lineRule="auto"/>
              <w:ind w:left="113" w:leftChars="0" w:right="0" w:rightChars="0"/>
              <w:rPr>
                <w:color w:val="auto"/>
                <w:sz w:val="21"/>
                <w:highlight w:val="none"/>
              </w:rPr>
            </w:pPr>
            <w:r>
              <w:rPr>
                <w:spacing w:val="-1"/>
                <w:sz w:val="21"/>
                <w:szCs w:val="21"/>
              </w:rPr>
              <w:t>磋商报价（首次报价或最后报价）是否超过磋商文件中规定</w:t>
            </w:r>
            <w:r>
              <w:rPr>
                <w:spacing w:val="-2"/>
                <w:sz w:val="21"/>
                <w:szCs w:val="21"/>
              </w:rPr>
              <w:t>的控制价的。</w:t>
            </w:r>
          </w:p>
        </w:tc>
      </w:tr>
      <w:tr w14:paraId="227F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6D018B5">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3</w:t>
            </w:r>
          </w:p>
        </w:tc>
        <w:tc>
          <w:tcPr>
            <w:tcW w:w="8768" w:type="dxa"/>
            <w:noWrap w:val="0"/>
            <w:vAlign w:val="top"/>
          </w:tcPr>
          <w:p w14:paraId="3F52E318">
            <w:pPr>
              <w:pStyle w:val="44"/>
              <w:spacing w:before="125" w:line="219" w:lineRule="auto"/>
              <w:ind w:left="124" w:leftChars="0" w:right="0" w:rightChars="0"/>
              <w:rPr>
                <w:color w:val="auto"/>
                <w:sz w:val="21"/>
                <w:highlight w:val="none"/>
              </w:rPr>
            </w:pPr>
            <w:r>
              <w:rPr>
                <w:spacing w:val="-3"/>
                <w:sz w:val="21"/>
                <w:szCs w:val="21"/>
              </w:rPr>
              <w:t>响应文件是否含有采购人不能接受的附加条件的。</w:t>
            </w:r>
          </w:p>
        </w:tc>
      </w:tr>
      <w:tr w14:paraId="2FD6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30505D47">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4</w:t>
            </w:r>
          </w:p>
        </w:tc>
        <w:tc>
          <w:tcPr>
            <w:tcW w:w="8768" w:type="dxa"/>
            <w:noWrap w:val="0"/>
            <w:vAlign w:val="top"/>
          </w:tcPr>
          <w:p w14:paraId="0494771A">
            <w:pPr>
              <w:pStyle w:val="44"/>
              <w:spacing w:before="124" w:line="220" w:lineRule="auto"/>
              <w:ind w:left="113" w:leftChars="0" w:right="0" w:rightChars="0"/>
              <w:rPr>
                <w:color w:val="auto"/>
                <w:sz w:val="21"/>
                <w:highlight w:val="none"/>
              </w:rPr>
            </w:pPr>
            <w:r>
              <w:rPr>
                <w:spacing w:val="-2"/>
                <w:sz w:val="21"/>
                <w:szCs w:val="21"/>
              </w:rPr>
              <w:t>磋商响应有效期是否满足磋商文件要求。</w:t>
            </w:r>
          </w:p>
        </w:tc>
      </w:tr>
      <w:tr w14:paraId="3FCD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28FF3340">
            <w:pPr>
              <w:pStyle w:val="32"/>
              <w:spacing w:before="106" w:line="600" w:lineRule="auto"/>
              <w:ind w:left="10"/>
              <w:jc w:val="center"/>
              <w:rPr>
                <w:rFonts w:hint="eastAsia" w:ascii="Times New Roman" w:eastAsia="宋体"/>
                <w:color w:val="auto"/>
                <w:w w:val="100"/>
                <w:sz w:val="21"/>
                <w:highlight w:val="none"/>
                <w:lang w:val="en-US" w:eastAsia="zh-CN"/>
              </w:rPr>
            </w:pPr>
            <w:r>
              <w:rPr>
                <w:rFonts w:hint="eastAsia" w:ascii="Times New Roman"/>
                <w:color w:val="auto"/>
                <w:w w:val="100"/>
                <w:sz w:val="21"/>
                <w:highlight w:val="none"/>
                <w:lang w:val="en-US" w:eastAsia="zh-CN"/>
              </w:rPr>
              <w:t>5</w:t>
            </w:r>
          </w:p>
        </w:tc>
        <w:tc>
          <w:tcPr>
            <w:tcW w:w="8768" w:type="dxa"/>
            <w:noWrap w:val="0"/>
            <w:vAlign w:val="top"/>
          </w:tcPr>
          <w:p w14:paraId="3F0E16C6">
            <w:pPr>
              <w:pStyle w:val="44"/>
              <w:spacing w:before="126" w:line="682" w:lineRule="exact"/>
              <w:ind w:left="113"/>
              <w:rPr>
                <w:sz w:val="21"/>
                <w:szCs w:val="21"/>
              </w:rPr>
            </w:pPr>
            <w:r>
              <w:rPr>
                <w:position w:val="37"/>
                <w:sz w:val="21"/>
                <w:szCs w:val="21"/>
              </w:rPr>
              <w:t>施工招标项目工程量清单封面需有</w:t>
            </w:r>
            <w:r>
              <w:rPr>
                <w:rFonts w:hint="eastAsia"/>
                <w:position w:val="37"/>
                <w:sz w:val="21"/>
                <w:szCs w:val="21"/>
                <w:lang w:val="en-US" w:eastAsia="zh-CN"/>
              </w:rPr>
              <w:t>注册造价师</w:t>
            </w:r>
            <w:r>
              <w:rPr>
                <w:spacing w:val="-1"/>
                <w:position w:val="37"/>
                <w:sz w:val="21"/>
                <w:szCs w:val="21"/>
              </w:rPr>
              <w:t>签字和印章</w:t>
            </w:r>
          </w:p>
          <w:p w14:paraId="6756A3A1">
            <w:pPr>
              <w:pStyle w:val="44"/>
              <w:spacing w:before="1" w:line="218" w:lineRule="auto"/>
              <w:ind w:left="119" w:leftChars="0" w:right="0" w:rightChars="0"/>
              <w:rPr>
                <w:rFonts w:hint="default" w:eastAsia="宋体"/>
                <w:color w:val="auto"/>
                <w:sz w:val="21"/>
                <w:highlight w:val="none"/>
                <w:lang w:val="en-US" w:eastAsia="zh-CN"/>
              </w:rPr>
            </w:pPr>
            <w:r>
              <w:rPr>
                <w:spacing w:val="-2"/>
                <w:sz w:val="21"/>
                <w:szCs w:val="21"/>
              </w:rPr>
              <w:t>（由</w:t>
            </w:r>
            <w:r>
              <w:rPr>
                <w:rFonts w:hint="eastAsia"/>
                <w:spacing w:val="-2"/>
                <w:sz w:val="21"/>
                <w:szCs w:val="21"/>
                <w:lang w:val="en-US" w:eastAsia="zh-CN"/>
              </w:rPr>
              <w:t>注册造价工程师</w:t>
            </w:r>
            <w:r>
              <w:rPr>
                <w:spacing w:val="-2"/>
                <w:sz w:val="21"/>
                <w:szCs w:val="21"/>
              </w:rPr>
              <w:t>在工程量清单封面签字并加盖执业</w:t>
            </w:r>
            <w:r>
              <w:rPr>
                <w:color w:val="auto"/>
                <w:spacing w:val="-2"/>
                <w:sz w:val="21"/>
                <w:szCs w:val="21"/>
              </w:rPr>
              <w:t>印章</w:t>
            </w:r>
            <w:r>
              <w:rPr>
                <w:color w:val="auto"/>
                <w:spacing w:val="-2"/>
              </w:rPr>
              <w:t>）</w:t>
            </w:r>
            <w:r>
              <w:rPr>
                <w:color w:val="auto"/>
                <w:spacing w:val="-2"/>
                <w:sz w:val="21"/>
                <w:szCs w:val="21"/>
              </w:rPr>
              <w:t>。</w:t>
            </w:r>
          </w:p>
        </w:tc>
      </w:tr>
      <w:tr w14:paraId="607A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556B8B7">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6</w:t>
            </w:r>
          </w:p>
        </w:tc>
        <w:tc>
          <w:tcPr>
            <w:tcW w:w="8768" w:type="dxa"/>
            <w:noWrap w:val="0"/>
            <w:vAlign w:val="top"/>
          </w:tcPr>
          <w:p w14:paraId="72EA70F4">
            <w:pPr>
              <w:pStyle w:val="44"/>
              <w:spacing w:before="127" w:line="220" w:lineRule="auto"/>
              <w:ind w:left="124"/>
              <w:rPr>
                <w:sz w:val="21"/>
                <w:szCs w:val="21"/>
              </w:rPr>
            </w:pPr>
            <w:r>
              <w:rPr>
                <w:sz w:val="21"/>
                <w:szCs w:val="21"/>
              </w:rPr>
              <w:t>响应文件是否完全满足磋商文件的实质性条款（</w:t>
            </w:r>
            <w:r>
              <w:rPr>
                <w:spacing w:val="-1"/>
                <w:sz w:val="21"/>
                <w:szCs w:val="21"/>
              </w:rPr>
              <w:t>即标注★部分条款）且无负偏离的。（包括计</w:t>
            </w:r>
          </w:p>
          <w:p w14:paraId="3F7F7144">
            <w:pPr>
              <w:spacing w:line="360" w:lineRule="auto"/>
              <w:rPr>
                <w:rFonts w:ascii="Arial"/>
                <w:sz w:val="21"/>
              </w:rPr>
            </w:pPr>
          </w:p>
          <w:p w14:paraId="41DBA5FB">
            <w:pPr>
              <w:pStyle w:val="44"/>
              <w:spacing w:before="68" w:line="220" w:lineRule="auto"/>
              <w:ind w:left="113" w:leftChars="0" w:right="0" w:rightChars="0"/>
              <w:rPr>
                <w:color w:val="auto"/>
                <w:sz w:val="21"/>
                <w:highlight w:val="none"/>
              </w:rPr>
            </w:pPr>
            <w:r>
              <w:rPr>
                <w:spacing w:val="-1"/>
                <w:sz w:val="21"/>
                <w:szCs w:val="21"/>
              </w:rPr>
              <w:t>划工期符合招标文件规定、投标范围及内容符合招标文件规定）</w:t>
            </w:r>
          </w:p>
        </w:tc>
      </w:tr>
      <w:tr w14:paraId="6772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60FA2846">
            <w:pPr>
              <w:pStyle w:val="32"/>
              <w:spacing w:before="113"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7</w:t>
            </w:r>
          </w:p>
        </w:tc>
        <w:tc>
          <w:tcPr>
            <w:tcW w:w="8768" w:type="dxa"/>
            <w:noWrap w:val="0"/>
            <w:vAlign w:val="top"/>
          </w:tcPr>
          <w:p w14:paraId="2F276357">
            <w:pPr>
              <w:pStyle w:val="44"/>
              <w:spacing w:before="134" w:line="220" w:lineRule="auto"/>
              <w:ind w:left="124" w:leftChars="0" w:right="0" w:rightChars="0"/>
              <w:rPr>
                <w:color w:val="auto"/>
                <w:sz w:val="21"/>
                <w:highlight w:val="none"/>
              </w:rPr>
            </w:pPr>
            <w:r>
              <w:rPr>
                <w:spacing w:val="-2"/>
                <w:sz w:val="21"/>
                <w:szCs w:val="21"/>
              </w:rPr>
              <w:t>响应文件是否存在法律、法规和磋商文件规定的其他无效情形。</w:t>
            </w:r>
          </w:p>
        </w:tc>
      </w:tr>
      <w:tr w14:paraId="615A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590" w:type="dxa"/>
            <w:gridSpan w:val="2"/>
            <w:noWrap w:val="0"/>
            <w:vAlign w:val="top"/>
          </w:tcPr>
          <w:p w14:paraId="62FF74E7">
            <w:pPr>
              <w:pStyle w:val="32"/>
              <w:spacing w:before="94" w:line="600" w:lineRule="auto"/>
              <w:ind w:left="107"/>
              <w:rPr>
                <w:color w:val="auto"/>
                <w:sz w:val="21"/>
                <w:highlight w:val="none"/>
              </w:rPr>
            </w:pPr>
            <w:r>
              <w:rPr>
                <w:b/>
                <w:bCs/>
                <w:color w:val="auto"/>
                <w:sz w:val="21"/>
                <w:highlight w:val="none"/>
              </w:rPr>
              <w:t xml:space="preserve">说明：供应商必须满足符合性审查表内所有条款，否则被认定为无效响应。 </w:t>
            </w:r>
          </w:p>
        </w:tc>
      </w:tr>
    </w:tbl>
    <w:p w14:paraId="2A401316">
      <w:pPr>
        <w:pStyle w:val="6"/>
        <w:ind w:left="0" w:leftChars="0" w:firstLine="0" w:firstLineChars="0"/>
        <w:rPr>
          <w:rFonts w:hint="eastAsia" w:ascii="宋体" w:hAnsi="宋体" w:eastAsia="宋体" w:cs="宋体"/>
          <w:b/>
          <w:bCs/>
          <w:color w:val="auto"/>
          <w:sz w:val="30"/>
          <w:szCs w:val="30"/>
          <w:highlight w:val="none"/>
          <w:lang w:val="en-US" w:eastAsia="zh-CN"/>
        </w:rPr>
      </w:pPr>
    </w:p>
    <w:p w14:paraId="1CA10C42">
      <w:pPr>
        <w:rPr>
          <w:rFonts w:hint="eastAsia"/>
          <w:color w:val="auto"/>
          <w:highlight w:val="none"/>
          <w:lang w:val="en-US" w:eastAsia="zh-CN"/>
        </w:rPr>
      </w:pPr>
    </w:p>
    <w:p w14:paraId="34EB608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0"/>
          <w:szCs w:val="30"/>
          <w:highlight w:val="none"/>
          <w:lang w:val="en-US" w:eastAsia="zh-CN"/>
        </w:rPr>
      </w:pPr>
    </w:p>
    <w:p w14:paraId="29D7D6A8">
      <w:pPr>
        <w:pStyle w:val="17"/>
        <w:rPr>
          <w:rFonts w:hint="eastAsia" w:ascii="宋体" w:hAnsi="宋体" w:eastAsia="宋体" w:cs="宋体"/>
          <w:b/>
          <w:bCs/>
          <w:color w:val="auto"/>
          <w:sz w:val="30"/>
          <w:szCs w:val="30"/>
          <w:highlight w:val="none"/>
          <w:lang w:val="en-US" w:eastAsia="zh-CN"/>
        </w:rPr>
      </w:pPr>
    </w:p>
    <w:p w14:paraId="672496D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30"/>
          <w:szCs w:val="30"/>
          <w:highlight w:val="none"/>
          <w:lang w:val="en-US" w:eastAsia="zh-CN"/>
        </w:rPr>
        <w:br w:type="page"/>
      </w:r>
      <w:r>
        <w:rPr>
          <w:rFonts w:hint="eastAsia" w:cs="宋体"/>
          <w:b/>
          <w:bCs/>
          <w:color w:val="auto"/>
          <w:sz w:val="30"/>
          <w:szCs w:val="30"/>
          <w:highlight w:val="none"/>
          <w:lang w:val="en-US" w:eastAsia="zh-CN"/>
        </w:rPr>
        <w:t>39</w:t>
      </w:r>
      <w:r>
        <w:rPr>
          <w:rFonts w:hint="eastAsia" w:ascii="宋体" w:hAnsi="宋体" w:eastAsia="宋体" w:cs="宋体"/>
          <w:b/>
          <w:bCs/>
          <w:color w:val="auto"/>
          <w:sz w:val="30"/>
          <w:szCs w:val="30"/>
          <w:highlight w:val="none"/>
          <w:lang w:val="en-US" w:eastAsia="zh-CN"/>
        </w:rPr>
        <w:t xml:space="preserve"> 评分标准</w:t>
      </w:r>
      <w:r>
        <w:rPr>
          <w:rFonts w:hint="eastAsia" w:ascii="宋体" w:hAnsi="宋体" w:eastAsia="宋体" w:cs="宋体"/>
          <w:color w:val="auto"/>
          <w:sz w:val="24"/>
          <w:szCs w:val="24"/>
          <w:highlight w:val="none"/>
        </w:rPr>
        <w:t xml:space="preserve"> </w:t>
      </w:r>
    </w:p>
    <w:p w14:paraId="7288C31A">
      <w:pPr>
        <w:pStyle w:val="40"/>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满足招磋商文件要求且最后投标价格最低的投标报价为磋商基准价，磋商报价得分=（磋商基准价／最后磋商报价）×价格权值×100，计算分数时四舍五入取小数点后两位</w:t>
      </w:r>
      <w:r>
        <w:rPr>
          <w:rFonts w:hint="eastAsia" w:asciiTheme="minorEastAsia" w:hAnsiTheme="minorEastAsia" w:eastAsiaTheme="minorEastAsia" w:cstheme="minorEastAsia"/>
          <w:color w:val="000000" w:themeColor="text1"/>
          <w:sz w:val="24"/>
          <w:szCs w:val="24"/>
          <w14:textFill>
            <w14:solidFill>
              <w14:schemeClr w14:val="tx1"/>
            </w14:solidFill>
          </w14:textFill>
        </w:rPr>
        <w:t>。【说明：</w:t>
      </w:r>
      <w:r>
        <w:rPr>
          <w:rFonts w:hint="eastAsia" w:asciiTheme="minorEastAsia" w:hAnsiTheme="minorEastAsia" w:eastAsiaTheme="minorEastAsia" w:cstheme="minorEastAsia"/>
          <w:b/>
          <w:color w:val="000000" w:themeColor="text1"/>
          <w:sz w:val="24"/>
          <w:szCs w:val="24"/>
          <w14:textFill>
            <w14:solidFill>
              <w14:schemeClr w14:val="tx1"/>
            </w14:solidFill>
          </w14:textFill>
        </w:rPr>
        <w:t>商务标部分满分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21</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分，技术标部分满分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49</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分，经济标部分满分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0分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bl>
      <w:tblPr>
        <w:tblStyle w:val="45"/>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315"/>
        <w:gridCol w:w="6761"/>
        <w:gridCol w:w="858"/>
      </w:tblGrid>
      <w:tr w14:paraId="145A2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96" w:type="dxa"/>
            <w:vAlign w:val="top"/>
          </w:tcPr>
          <w:p w14:paraId="6B848F2C">
            <w:pPr>
              <w:pStyle w:val="44"/>
              <w:spacing w:before="291" w:line="222" w:lineRule="auto"/>
              <w:ind w:left="3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评分项目</w:t>
            </w:r>
          </w:p>
        </w:tc>
        <w:tc>
          <w:tcPr>
            <w:tcW w:w="1315" w:type="dxa"/>
            <w:vAlign w:val="top"/>
          </w:tcPr>
          <w:p w14:paraId="683D3DEB">
            <w:pPr>
              <w:pStyle w:val="44"/>
              <w:spacing w:before="243" w:line="222" w:lineRule="auto"/>
              <w:ind w:left="19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评分因素</w:t>
            </w:r>
          </w:p>
        </w:tc>
        <w:tc>
          <w:tcPr>
            <w:tcW w:w="6761" w:type="dxa"/>
            <w:vAlign w:val="top"/>
          </w:tcPr>
          <w:p w14:paraId="6CE71E9D">
            <w:pPr>
              <w:pStyle w:val="44"/>
              <w:spacing w:before="243" w:line="222" w:lineRule="auto"/>
              <w:ind w:left="29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评审内容</w:t>
            </w:r>
          </w:p>
        </w:tc>
        <w:tc>
          <w:tcPr>
            <w:tcW w:w="858" w:type="dxa"/>
            <w:vAlign w:val="top"/>
          </w:tcPr>
          <w:p w14:paraId="23C70BA9">
            <w:pPr>
              <w:pStyle w:val="44"/>
              <w:spacing w:before="243" w:line="223" w:lineRule="auto"/>
              <w:ind w:left="20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分值</w:t>
            </w:r>
          </w:p>
        </w:tc>
      </w:tr>
      <w:tr w14:paraId="77DCB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996" w:type="dxa"/>
            <w:vAlign w:val="top"/>
          </w:tcPr>
          <w:p w14:paraId="0E0BE671">
            <w:pPr>
              <w:spacing w:line="259" w:lineRule="auto"/>
              <w:rPr>
                <w:rFonts w:hint="eastAsia" w:asciiTheme="minorEastAsia" w:hAnsiTheme="minorEastAsia" w:eastAsiaTheme="minorEastAsia" w:cstheme="minorEastAsia"/>
                <w:sz w:val="21"/>
              </w:rPr>
            </w:pPr>
          </w:p>
          <w:p w14:paraId="12254015">
            <w:pPr>
              <w:spacing w:line="260" w:lineRule="auto"/>
              <w:rPr>
                <w:rFonts w:hint="eastAsia" w:asciiTheme="minorEastAsia" w:hAnsiTheme="minorEastAsia" w:eastAsiaTheme="minorEastAsia" w:cstheme="minorEastAsia"/>
                <w:sz w:val="21"/>
              </w:rPr>
            </w:pPr>
          </w:p>
          <w:p w14:paraId="267F1148">
            <w:pPr>
              <w:spacing w:line="260" w:lineRule="auto"/>
              <w:rPr>
                <w:rFonts w:hint="eastAsia" w:asciiTheme="minorEastAsia" w:hAnsiTheme="minorEastAsia" w:eastAsiaTheme="minorEastAsia" w:cstheme="minorEastAsia"/>
                <w:sz w:val="21"/>
              </w:rPr>
            </w:pPr>
          </w:p>
          <w:p w14:paraId="21AC0CA8">
            <w:pPr>
              <w:pStyle w:val="44"/>
              <w:spacing w:before="78" w:line="232" w:lineRule="auto"/>
              <w:ind w:left="36" w:right="15"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价格部分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（30分）</w:t>
            </w:r>
          </w:p>
        </w:tc>
        <w:tc>
          <w:tcPr>
            <w:tcW w:w="1315" w:type="dxa"/>
            <w:vAlign w:val="top"/>
          </w:tcPr>
          <w:p w14:paraId="00C3C473">
            <w:pPr>
              <w:spacing w:line="311" w:lineRule="auto"/>
              <w:rPr>
                <w:rFonts w:hint="eastAsia" w:asciiTheme="minorEastAsia" w:hAnsiTheme="minorEastAsia" w:eastAsiaTheme="minorEastAsia" w:cstheme="minorEastAsia"/>
                <w:sz w:val="21"/>
              </w:rPr>
            </w:pPr>
          </w:p>
          <w:p w14:paraId="13456AC2">
            <w:pPr>
              <w:spacing w:line="312" w:lineRule="auto"/>
              <w:rPr>
                <w:rFonts w:hint="eastAsia" w:asciiTheme="minorEastAsia" w:hAnsiTheme="minorEastAsia" w:eastAsiaTheme="minorEastAsia" w:cstheme="minorEastAsia"/>
                <w:sz w:val="21"/>
              </w:rPr>
            </w:pPr>
          </w:p>
          <w:p w14:paraId="6BF6C4E4">
            <w:pPr>
              <w:spacing w:line="312" w:lineRule="auto"/>
              <w:rPr>
                <w:rFonts w:hint="eastAsia" w:asciiTheme="minorEastAsia" w:hAnsiTheme="minorEastAsia" w:eastAsiaTheme="minorEastAsia" w:cstheme="minorEastAsia"/>
                <w:sz w:val="21"/>
              </w:rPr>
            </w:pPr>
          </w:p>
          <w:p w14:paraId="5583B159">
            <w:pPr>
              <w:pStyle w:val="44"/>
              <w:spacing w:before="78" w:line="222" w:lineRule="auto"/>
              <w:ind w:left="18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磋商报价</w:t>
            </w:r>
          </w:p>
        </w:tc>
        <w:tc>
          <w:tcPr>
            <w:tcW w:w="6761" w:type="dxa"/>
            <w:vAlign w:val="top"/>
          </w:tcPr>
          <w:p w14:paraId="3A66C06D">
            <w:pPr>
              <w:pStyle w:val="44"/>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综合评分法中的价格分统一采用低价优先法计算，即满足磋商文件要求（通过资格、符合性审查）且最后报价最低的供应商的价格（指价格核准后的价格，下同）为磋商基准价，其价格得分为</w:t>
            </w:r>
            <w:r>
              <w:rPr>
                <w:rFonts w:hint="eastAsia" w:asciiTheme="minorEastAsia" w:hAnsiTheme="minorEastAsia" w:eastAsiaTheme="minorEastAsia" w:cstheme="minorEastAsia"/>
                <w:spacing w:val="-1"/>
              </w:rPr>
              <w:t>满分。其他供应商的价格得分统一按照下列公式计算：</w:t>
            </w:r>
          </w:p>
          <w:p w14:paraId="7E2D68EF">
            <w:pPr>
              <w:pStyle w:val="44"/>
              <w:spacing w:before="24" w:line="231" w:lineRule="auto"/>
              <w:ind w:left="18" w:right="154" w:hanging="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磋商基准价=满足磋商文件要求（通过资格、符合性审查）且最后报价最低的供应商的价格（指价格核准后的价格，下同）</w:t>
            </w:r>
          </w:p>
          <w:p w14:paraId="6559CF70">
            <w:pPr>
              <w:pStyle w:val="44"/>
              <w:spacing w:before="20" w:line="222" w:lineRule="auto"/>
              <w:ind w:left="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磋商报价得分=(磋商基准价/最后磋商报价)×价格权重×</w:t>
            </w:r>
            <w:r>
              <w:rPr>
                <w:rFonts w:hint="eastAsia" w:asciiTheme="minorEastAsia" w:hAnsiTheme="minorEastAsia" w:eastAsiaTheme="minorEastAsia" w:cstheme="minorEastAsia"/>
                <w:spacing w:val="-77"/>
              </w:rPr>
              <w:t xml:space="preserve"> </w:t>
            </w:r>
            <w:r>
              <w:rPr>
                <w:rFonts w:hint="eastAsia" w:asciiTheme="minorEastAsia" w:hAnsiTheme="minorEastAsia" w:eastAsiaTheme="minorEastAsia" w:cstheme="minorEastAsia"/>
                <w:spacing w:val="-2"/>
              </w:rPr>
              <w:t>100</w:t>
            </w:r>
          </w:p>
        </w:tc>
        <w:tc>
          <w:tcPr>
            <w:tcW w:w="858" w:type="dxa"/>
            <w:vAlign w:val="top"/>
          </w:tcPr>
          <w:p w14:paraId="3231756C">
            <w:pPr>
              <w:spacing w:line="282" w:lineRule="auto"/>
              <w:jc w:val="both"/>
              <w:rPr>
                <w:rFonts w:hint="eastAsia" w:asciiTheme="minorEastAsia" w:hAnsiTheme="minorEastAsia" w:eastAsiaTheme="minorEastAsia" w:cstheme="minorEastAsia"/>
                <w:sz w:val="21"/>
              </w:rPr>
            </w:pPr>
          </w:p>
          <w:p w14:paraId="6B87C847">
            <w:pPr>
              <w:spacing w:line="283" w:lineRule="auto"/>
              <w:jc w:val="both"/>
              <w:rPr>
                <w:rFonts w:hint="eastAsia" w:asciiTheme="minorEastAsia" w:hAnsiTheme="minorEastAsia" w:eastAsiaTheme="minorEastAsia" w:cstheme="minorEastAsia"/>
                <w:sz w:val="21"/>
              </w:rPr>
            </w:pPr>
          </w:p>
          <w:p w14:paraId="0D80C543">
            <w:pPr>
              <w:spacing w:line="283" w:lineRule="auto"/>
              <w:jc w:val="both"/>
              <w:rPr>
                <w:rFonts w:hint="eastAsia" w:asciiTheme="minorEastAsia" w:hAnsiTheme="minorEastAsia" w:eastAsiaTheme="minorEastAsia" w:cstheme="minorEastAsia"/>
                <w:sz w:val="21"/>
              </w:rPr>
            </w:pPr>
          </w:p>
          <w:p w14:paraId="6EAF56A3">
            <w:pPr>
              <w:spacing w:line="283" w:lineRule="auto"/>
              <w:jc w:val="both"/>
              <w:rPr>
                <w:rFonts w:hint="eastAsia" w:asciiTheme="minorEastAsia" w:hAnsiTheme="minorEastAsia" w:eastAsiaTheme="minorEastAsia" w:cstheme="minorEastAsia"/>
                <w:sz w:val="21"/>
              </w:rPr>
            </w:pPr>
          </w:p>
          <w:p w14:paraId="53581682">
            <w:pPr>
              <w:pStyle w:val="44"/>
              <w:spacing w:before="78" w:line="180" w:lineRule="auto"/>
              <w:ind w:left="31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30</w:t>
            </w:r>
          </w:p>
        </w:tc>
      </w:tr>
      <w:tr w14:paraId="3781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996" w:type="dxa"/>
            <w:vMerge w:val="restart"/>
            <w:tcBorders>
              <w:bottom w:val="nil"/>
            </w:tcBorders>
            <w:vAlign w:val="top"/>
          </w:tcPr>
          <w:p w14:paraId="26311507">
            <w:pPr>
              <w:spacing w:line="257" w:lineRule="auto"/>
              <w:rPr>
                <w:rFonts w:hint="eastAsia" w:asciiTheme="minorEastAsia" w:hAnsiTheme="minorEastAsia" w:eastAsiaTheme="minorEastAsia" w:cstheme="minorEastAsia"/>
                <w:sz w:val="21"/>
              </w:rPr>
            </w:pPr>
          </w:p>
          <w:p w14:paraId="3DBFC3C1">
            <w:pPr>
              <w:spacing w:line="257" w:lineRule="auto"/>
              <w:rPr>
                <w:rFonts w:hint="eastAsia" w:asciiTheme="minorEastAsia" w:hAnsiTheme="minorEastAsia" w:eastAsiaTheme="minorEastAsia" w:cstheme="minorEastAsia"/>
                <w:sz w:val="21"/>
              </w:rPr>
            </w:pPr>
          </w:p>
          <w:p w14:paraId="6B330D9C">
            <w:pPr>
              <w:spacing w:line="257" w:lineRule="auto"/>
              <w:rPr>
                <w:rFonts w:hint="eastAsia" w:asciiTheme="minorEastAsia" w:hAnsiTheme="minorEastAsia" w:eastAsiaTheme="minorEastAsia" w:cstheme="minorEastAsia"/>
                <w:sz w:val="21"/>
              </w:rPr>
            </w:pPr>
          </w:p>
          <w:p w14:paraId="3B6B813E">
            <w:pPr>
              <w:spacing w:line="257" w:lineRule="auto"/>
              <w:rPr>
                <w:rFonts w:hint="eastAsia" w:asciiTheme="minorEastAsia" w:hAnsiTheme="minorEastAsia" w:eastAsiaTheme="minorEastAsia" w:cstheme="minorEastAsia"/>
                <w:sz w:val="21"/>
              </w:rPr>
            </w:pPr>
          </w:p>
          <w:p w14:paraId="001D7917">
            <w:pPr>
              <w:spacing w:line="257" w:lineRule="auto"/>
              <w:rPr>
                <w:rFonts w:hint="eastAsia" w:asciiTheme="minorEastAsia" w:hAnsiTheme="minorEastAsia" w:eastAsiaTheme="minorEastAsia" w:cstheme="minorEastAsia"/>
                <w:sz w:val="21"/>
              </w:rPr>
            </w:pPr>
          </w:p>
          <w:p w14:paraId="267AEB69">
            <w:pPr>
              <w:spacing w:line="257" w:lineRule="auto"/>
              <w:rPr>
                <w:rFonts w:hint="eastAsia" w:asciiTheme="minorEastAsia" w:hAnsiTheme="minorEastAsia" w:eastAsiaTheme="minorEastAsia" w:cstheme="minorEastAsia"/>
                <w:sz w:val="21"/>
              </w:rPr>
            </w:pPr>
          </w:p>
          <w:p w14:paraId="59A616CE">
            <w:pPr>
              <w:pStyle w:val="44"/>
              <w:spacing w:before="78" w:line="231" w:lineRule="auto"/>
              <w:ind w:right="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商务部分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5"/>
                <w:lang w:val="en-US" w:eastAsia="zh-CN"/>
              </w:rPr>
              <w:t>21</w:t>
            </w:r>
            <w:r>
              <w:rPr>
                <w:rFonts w:hint="eastAsia" w:asciiTheme="minorEastAsia" w:hAnsiTheme="minorEastAsia" w:eastAsiaTheme="minorEastAsia" w:cstheme="minorEastAsia"/>
                <w:spacing w:val="-5"/>
              </w:rPr>
              <w:t>分）</w:t>
            </w:r>
          </w:p>
        </w:tc>
        <w:tc>
          <w:tcPr>
            <w:tcW w:w="1315" w:type="dxa"/>
            <w:vAlign w:val="top"/>
          </w:tcPr>
          <w:p w14:paraId="3BB58968">
            <w:pPr>
              <w:pStyle w:val="44"/>
              <w:spacing w:before="78" w:line="230" w:lineRule="auto"/>
              <w:ind w:left="70" w:right="55" w:firstLine="29"/>
              <w:jc w:val="center"/>
              <w:rPr>
                <w:rFonts w:hint="eastAsia" w:asciiTheme="minorEastAsia" w:hAnsiTheme="minorEastAsia" w:eastAsiaTheme="minorEastAsia" w:cstheme="minorEastAsia"/>
                <w:lang w:val="en-US" w:eastAsia="zh-CN"/>
              </w:rPr>
            </w:pPr>
          </w:p>
          <w:p w14:paraId="10F093A8">
            <w:pPr>
              <w:pStyle w:val="44"/>
              <w:spacing w:before="78" w:line="230" w:lineRule="auto"/>
              <w:ind w:left="70" w:right="55" w:firstLine="29"/>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企业业绩</w:t>
            </w:r>
          </w:p>
        </w:tc>
        <w:tc>
          <w:tcPr>
            <w:tcW w:w="6761" w:type="dxa"/>
            <w:vAlign w:val="top"/>
          </w:tcPr>
          <w:p w14:paraId="5304E382">
            <w:pPr>
              <w:rPr>
                <w:rFonts w:hint="eastAsia" w:asciiTheme="minorEastAsia" w:hAnsiTheme="minorEastAsia" w:eastAsiaTheme="minorEastAsia" w:cstheme="minorEastAsia"/>
                <w:sz w:val="22"/>
                <w:szCs w:val="22"/>
                <w:lang w:val="en-US" w:eastAsia="zh-CN" w:bidi="ar-SA"/>
              </w:rPr>
            </w:pPr>
          </w:p>
          <w:p w14:paraId="568C42D7">
            <w:pPr>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zh-CN" w:bidi="ar-SA"/>
              </w:rPr>
              <w:t>投标企业</w:t>
            </w:r>
            <w:r>
              <w:rPr>
                <w:rFonts w:hint="eastAsia" w:asciiTheme="minorEastAsia" w:hAnsiTheme="minorEastAsia" w:eastAsiaTheme="minorEastAsia" w:cstheme="minorEastAsia"/>
                <w:sz w:val="22"/>
                <w:szCs w:val="22"/>
                <w:lang w:val="zh-CN" w:eastAsia="en-US" w:bidi="ar-SA"/>
              </w:rPr>
              <w:t>具有近三年（20</w:t>
            </w:r>
            <w:r>
              <w:rPr>
                <w:rFonts w:hint="eastAsia" w:asciiTheme="minorEastAsia" w:hAnsiTheme="minorEastAsia" w:eastAsiaTheme="minorEastAsia" w:cstheme="minorEastAsia"/>
                <w:sz w:val="22"/>
                <w:szCs w:val="22"/>
                <w:lang w:val="en-US" w:eastAsia="zh-CN" w:bidi="ar-SA"/>
              </w:rPr>
              <w:t>23</w:t>
            </w:r>
            <w:r>
              <w:rPr>
                <w:rFonts w:hint="eastAsia" w:asciiTheme="minorEastAsia" w:hAnsiTheme="minorEastAsia" w:eastAsiaTheme="minorEastAsia" w:cstheme="minorEastAsia"/>
                <w:sz w:val="22"/>
                <w:szCs w:val="22"/>
                <w:lang w:val="zh-CN" w:eastAsia="en-US" w:bidi="ar-SA"/>
              </w:rPr>
              <w:t>年</w:t>
            </w:r>
            <w:r>
              <w:rPr>
                <w:rFonts w:hint="eastAsia" w:asciiTheme="minorEastAsia" w:hAnsiTheme="minorEastAsia" w:eastAsiaTheme="minorEastAsia" w:cstheme="minorEastAsia"/>
                <w:sz w:val="22"/>
                <w:szCs w:val="22"/>
                <w:lang w:val="en-US" w:eastAsia="zh-CN" w:bidi="ar-SA"/>
              </w:rPr>
              <w:t>05</w:t>
            </w:r>
            <w:r>
              <w:rPr>
                <w:rFonts w:hint="eastAsia" w:asciiTheme="minorEastAsia" w:hAnsiTheme="minorEastAsia" w:eastAsiaTheme="minorEastAsia" w:cstheme="minorEastAsia"/>
                <w:sz w:val="22"/>
                <w:szCs w:val="22"/>
                <w:lang w:val="zh-CN" w:eastAsia="en-US" w:bidi="ar-SA"/>
              </w:rPr>
              <w:t>月</w:t>
            </w:r>
            <w:r>
              <w:rPr>
                <w:rFonts w:hint="eastAsia" w:asciiTheme="minorEastAsia" w:hAnsiTheme="minorEastAsia" w:eastAsiaTheme="minorEastAsia" w:cstheme="minorEastAsia"/>
                <w:sz w:val="22"/>
                <w:szCs w:val="22"/>
                <w:lang w:val="en-US" w:eastAsia="zh-CN" w:bidi="ar-SA"/>
              </w:rPr>
              <w:t>0</w:t>
            </w:r>
            <w:r>
              <w:rPr>
                <w:rFonts w:hint="eastAsia" w:asciiTheme="minorEastAsia" w:hAnsiTheme="minorEastAsia" w:eastAsiaTheme="minorEastAsia" w:cstheme="minorEastAsia"/>
                <w:sz w:val="22"/>
                <w:szCs w:val="22"/>
                <w:lang w:val="zh-CN" w:eastAsia="en-US" w:bidi="ar-SA"/>
              </w:rPr>
              <w:t>1日至今）类似项目业绩，提供一个得</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zh-CN" w:eastAsia="en-US" w:bidi="ar-SA"/>
              </w:rPr>
              <w:t>分，</w:t>
            </w:r>
            <w:r>
              <w:rPr>
                <w:rFonts w:hint="eastAsia" w:asciiTheme="minorEastAsia" w:hAnsiTheme="minorEastAsia" w:eastAsiaTheme="minorEastAsia" w:cstheme="minorEastAsia"/>
                <w:sz w:val="22"/>
                <w:szCs w:val="22"/>
                <w:lang w:val="en-US" w:eastAsia="zh-CN" w:bidi="ar-SA"/>
              </w:rPr>
              <w:t>满分8分</w:t>
            </w:r>
            <w:r>
              <w:rPr>
                <w:rFonts w:hint="eastAsia" w:asciiTheme="minorEastAsia" w:hAnsiTheme="minorEastAsia" w:eastAsiaTheme="minorEastAsia" w:cstheme="minorEastAsia"/>
                <w:sz w:val="22"/>
                <w:szCs w:val="22"/>
                <w:lang w:val="zh-CN" w:eastAsia="en-US" w:bidi="ar-SA"/>
              </w:rPr>
              <w:t>。（提供中标通知书</w:t>
            </w:r>
            <w:r>
              <w:rPr>
                <w:rFonts w:hint="eastAsia" w:asciiTheme="minorEastAsia" w:hAnsiTheme="minorEastAsia" w:eastAsiaTheme="minorEastAsia" w:cstheme="minorEastAsia"/>
                <w:sz w:val="22"/>
                <w:szCs w:val="22"/>
                <w:lang w:val="en-US" w:eastAsia="zh-CN" w:bidi="ar-SA"/>
              </w:rPr>
              <w:t>及</w:t>
            </w:r>
            <w:r>
              <w:rPr>
                <w:rFonts w:hint="eastAsia" w:asciiTheme="minorEastAsia" w:hAnsiTheme="minorEastAsia" w:eastAsiaTheme="minorEastAsia" w:cstheme="minorEastAsia"/>
                <w:sz w:val="22"/>
                <w:szCs w:val="22"/>
                <w:lang w:val="zh-CN" w:eastAsia="en-US" w:bidi="ar-SA"/>
              </w:rPr>
              <w:t>施工合同</w:t>
            </w:r>
            <w:r>
              <w:rPr>
                <w:rFonts w:hint="eastAsia" w:asciiTheme="minorEastAsia" w:hAnsiTheme="minorEastAsia" w:eastAsiaTheme="minorEastAsia" w:cstheme="minorEastAsia"/>
                <w:sz w:val="22"/>
                <w:szCs w:val="22"/>
                <w:lang w:val="en-US" w:eastAsia="zh-CN" w:bidi="ar-SA"/>
              </w:rPr>
              <w:t>复印件加盖公章</w:t>
            </w:r>
            <w:r>
              <w:rPr>
                <w:rFonts w:hint="eastAsia" w:asciiTheme="minorEastAsia" w:hAnsiTheme="minorEastAsia" w:eastAsiaTheme="minorEastAsia" w:cstheme="minorEastAsia"/>
                <w:sz w:val="22"/>
                <w:szCs w:val="22"/>
                <w:lang w:val="zh-CN" w:eastAsia="en-US" w:bidi="ar-SA"/>
              </w:rPr>
              <w:t>）</w:t>
            </w:r>
          </w:p>
        </w:tc>
        <w:tc>
          <w:tcPr>
            <w:tcW w:w="858" w:type="dxa"/>
            <w:vAlign w:val="top"/>
          </w:tcPr>
          <w:p w14:paraId="49792AC0">
            <w:pPr>
              <w:spacing w:line="310" w:lineRule="auto"/>
              <w:jc w:val="both"/>
              <w:rPr>
                <w:rFonts w:hint="eastAsia" w:asciiTheme="minorEastAsia" w:hAnsiTheme="minorEastAsia" w:eastAsiaTheme="minorEastAsia" w:cstheme="minorEastAsia"/>
                <w:sz w:val="21"/>
              </w:rPr>
            </w:pPr>
          </w:p>
          <w:p w14:paraId="32C5C356">
            <w:pPr>
              <w:pStyle w:val="44"/>
              <w:spacing w:before="78" w:line="180" w:lineRule="auto"/>
              <w:ind w:left="377"/>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8</w:t>
            </w:r>
          </w:p>
        </w:tc>
      </w:tr>
      <w:tr w14:paraId="6465C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96" w:type="dxa"/>
            <w:vMerge w:val="continue"/>
            <w:tcBorders>
              <w:top w:val="nil"/>
              <w:bottom w:val="nil"/>
            </w:tcBorders>
            <w:vAlign w:val="top"/>
          </w:tcPr>
          <w:p w14:paraId="61843151">
            <w:pPr>
              <w:rPr>
                <w:rFonts w:hint="eastAsia" w:asciiTheme="minorEastAsia" w:hAnsiTheme="minorEastAsia" w:eastAsiaTheme="minorEastAsia" w:cstheme="minorEastAsia"/>
                <w:sz w:val="21"/>
              </w:rPr>
            </w:pPr>
          </w:p>
        </w:tc>
        <w:tc>
          <w:tcPr>
            <w:tcW w:w="1315" w:type="dxa"/>
            <w:vAlign w:val="top"/>
          </w:tcPr>
          <w:p w14:paraId="513E7161">
            <w:pPr>
              <w:pStyle w:val="44"/>
              <w:spacing w:before="78" w:line="232" w:lineRule="auto"/>
              <w:ind w:right="5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项目经理</w:t>
            </w:r>
            <w:r>
              <w:rPr>
                <w:rFonts w:hint="eastAsia" w:asciiTheme="minorEastAsia" w:hAnsiTheme="minorEastAsia" w:eastAsiaTheme="minorEastAsia" w:cstheme="minorEastAsia"/>
                <w:spacing w:val="-8"/>
              </w:rPr>
              <w:t>业绩</w:t>
            </w:r>
          </w:p>
        </w:tc>
        <w:tc>
          <w:tcPr>
            <w:tcW w:w="6761" w:type="dxa"/>
            <w:vAlign w:val="top"/>
          </w:tcPr>
          <w:p w14:paraId="6217F1B2">
            <w:pPr>
              <w:pStyle w:val="44"/>
              <w:spacing w:before="34" w:line="235" w:lineRule="auto"/>
              <w:ind w:left="16" w:firstLine="3"/>
              <w:jc w:val="both"/>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zh-CN" w:bidi="ar-SA"/>
              </w:rPr>
              <w:t>项目经理</w:t>
            </w:r>
            <w:r>
              <w:rPr>
                <w:rFonts w:hint="eastAsia" w:asciiTheme="minorEastAsia" w:hAnsiTheme="minorEastAsia" w:eastAsiaTheme="minorEastAsia" w:cstheme="minorEastAsia"/>
                <w:sz w:val="22"/>
                <w:szCs w:val="22"/>
                <w:lang w:val="en-US" w:eastAsia="en-US" w:bidi="ar-SA"/>
              </w:rPr>
              <w:t>担任过类似工程项目经理的，</w:t>
            </w:r>
            <w:r>
              <w:rPr>
                <w:rFonts w:hint="eastAsia" w:asciiTheme="minorEastAsia" w:hAnsiTheme="minorEastAsia" w:eastAsiaTheme="minorEastAsia" w:cstheme="minorEastAsia"/>
                <w:sz w:val="22"/>
                <w:szCs w:val="22"/>
                <w:lang w:val="zh-CN" w:eastAsia="en-US" w:bidi="ar-SA"/>
              </w:rPr>
              <w:t>提供一个得</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zh-CN" w:eastAsia="en-US" w:bidi="ar-SA"/>
              </w:rPr>
              <w:t>分，</w:t>
            </w:r>
            <w:r>
              <w:rPr>
                <w:rFonts w:hint="eastAsia" w:asciiTheme="minorEastAsia" w:hAnsiTheme="minorEastAsia" w:eastAsiaTheme="minorEastAsia" w:cstheme="minorEastAsia"/>
                <w:sz w:val="22"/>
                <w:szCs w:val="22"/>
                <w:lang w:val="en-US" w:eastAsia="zh-CN" w:bidi="ar-SA"/>
              </w:rPr>
              <w:t>满分8分</w:t>
            </w:r>
            <w:r>
              <w:rPr>
                <w:rFonts w:hint="eastAsia" w:asciiTheme="minorEastAsia" w:hAnsiTheme="minorEastAsia" w:eastAsiaTheme="minorEastAsia" w:cstheme="minorEastAsia"/>
                <w:sz w:val="22"/>
                <w:szCs w:val="22"/>
                <w:lang w:val="zh-CN" w:eastAsia="en-US" w:bidi="ar-SA"/>
              </w:rPr>
              <w:t>。（提供中标通知书</w:t>
            </w:r>
            <w:r>
              <w:rPr>
                <w:rFonts w:hint="eastAsia" w:asciiTheme="minorEastAsia" w:hAnsiTheme="minorEastAsia" w:eastAsiaTheme="minorEastAsia" w:cstheme="minorEastAsia"/>
                <w:sz w:val="22"/>
                <w:szCs w:val="22"/>
                <w:lang w:val="en-US" w:eastAsia="zh-CN" w:bidi="ar-SA"/>
              </w:rPr>
              <w:t>及</w:t>
            </w:r>
            <w:r>
              <w:rPr>
                <w:rFonts w:hint="eastAsia" w:asciiTheme="minorEastAsia" w:hAnsiTheme="minorEastAsia" w:eastAsiaTheme="minorEastAsia" w:cstheme="minorEastAsia"/>
                <w:sz w:val="22"/>
                <w:szCs w:val="22"/>
                <w:lang w:val="zh-CN" w:eastAsia="en-US" w:bidi="ar-SA"/>
              </w:rPr>
              <w:t>施工合同</w:t>
            </w:r>
            <w:r>
              <w:rPr>
                <w:rFonts w:hint="eastAsia" w:asciiTheme="minorEastAsia" w:hAnsiTheme="minorEastAsia" w:eastAsiaTheme="minorEastAsia" w:cstheme="minorEastAsia"/>
                <w:sz w:val="22"/>
                <w:szCs w:val="22"/>
                <w:lang w:val="en-US" w:eastAsia="zh-CN" w:bidi="ar-SA"/>
              </w:rPr>
              <w:t>复印件加盖公章</w:t>
            </w:r>
            <w:r>
              <w:rPr>
                <w:rFonts w:hint="eastAsia" w:asciiTheme="minorEastAsia" w:hAnsiTheme="minorEastAsia" w:eastAsiaTheme="minorEastAsia" w:cstheme="minorEastAsia"/>
                <w:sz w:val="22"/>
                <w:szCs w:val="22"/>
                <w:lang w:val="zh-CN" w:eastAsia="en-US" w:bidi="ar-SA"/>
              </w:rPr>
              <w:t>）</w:t>
            </w:r>
          </w:p>
        </w:tc>
        <w:tc>
          <w:tcPr>
            <w:tcW w:w="858" w:type="dxa"/>
            <w:vAlign w:val="top"/>
          </w:tcPr>
          <w:p w14:paraId="5D86C123">
            <w:pPr>
              <w:spacing w:line="309" w:lineRule="auto"/>
              <w:jc w:val="both"/>
              <w:rPr>
                <w:rFonts w:hint="eastAsia" w:asciiTheme="minorEastAsia" w:hAnsiTheme="minorEastAsia" w:eastAsiaTheme="minorEastAsia" w:cstheme="minorEastAsia"/>
                <w:sz w:val="21"/>
              </w:rPr>
            </w:pPr>
          </w:p>
          <w:p w14:paraId="3C291D7A">
            <w:pPr>
              <w:pStyle w:val="44"/>
              <w:spacing w:before="78" w:line="181" w:lineRule="auto"/>
              <w:ind w:left="332"/>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14"/>
                <w:lang w:val="en-US" w:eastAsia="zh-CN"/>
              </w:rPr>
              <w:t>8</w:t>
            </w:r>
          </w:p>
        </w:tc>
      </w:tr>
      <w:tr w14:paraId="1CD95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Merge w:val="continue"/>
            <w:tcBorders>
              <w:top w:val="nil"/>
            </w:tcBorders>
            <w:vAlign w:val="top"/>
          </w:tcPr>
          <w:p w14:paraId="22F21932">
            <w:pPr>
              <w:rPr>
                <w:rFonts w:hint="eastAsia" w:asciiTheme="minorEastAsia" w:hAnsiTheme="minorEastAsia" w:eastAsiaTheme="minorEastAsia" w:cstheme="minorEastAsia"/>
                <w:sz w:val="21"/>
              </w:rPr>
            </w:pPr>
          </w:p>
        </w:tc>
        <w:tc>
          <w:tcPr>
            <w:tcW w:w="1315" w:type="dxa"/>
            <w:vAlign w:val="top"/>
          </w:tcPr>
          <w:p w14:paraId="58BF5269">
            <w:pPr>
              <w:pStyle w:val="44"/>
              <w:spacing w:before="174" w:line="236" w:lineRule="auto"/>
              <w:ind w:left="71" w:right="55" w:firstLine="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不随意更换</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项目经理、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技术负责人</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25"/>
              </w:rPr>
              <w:t>及</w:t>
            </w:r>
            <w:r>
              <w:rPr>
                <w:rFonts w:hint="eastAsia" w:asciiTheme="minorEastAsia" w:hAnsiTheme="minorEastAsia" w:eastAsiaTheme="minorEastAsia" w:cstheme="minorEastAsia"/>
                <w:spacing w:val="-1"/>
                <w:lang w:val="en-US" w:eastAsia="zh-CN"/>
              </w:rPr>
              <w:t>主要岗位人员</w:t>
            </w:r>
            <w:r>
              <w:rPr>
                <w:rFonts w:hint="eastAsia" w:asciiTheme="minorEastAsia" w:hAnsiTheme="minorEastAsia" w:eastAsiaTheme="minorEastAsia" w:cstheme="minorEastAsia"/>
                <w:spacing w:val="-10"/>
              </w:rPr>
              <w:t>的承诺</w:t>
            </w:r>
          </w:p>
        </w:tc>
        <w:tc>
          <w:tcPr>
            <w:tcW w:w="6761" w:type="dxa"/>
            <w:vAlign w:val="top"/>
          </w:tcPr>
          <w:p w14:paraId="3C5F28F2">
            <w:pPr>
              <w:spacing w:line="279" w:lineRule="auto"/>
              <w:rPr>
                <w:rFonts w:hint="eastAsia" w:asciiTheme="minorEastAsia" w:hAnsiTheme="minorEastAsia" w:eastAsiaTheme="minorEastAsia" w:cstheme="minorEastAsia"/>
                <w:sz w:val="21"/>
              </w:rPr>
            </w:pPr>
          </w:p>
          <w:p w14:paraId="5572BAA5">
            <w:pPr>
              <w:spacing w:line="280" w:lineRule="auto"/>
              <w:rPr>
                <w:rFonts w:hint="eastAsia" w:asciiTheme="minorEastAsia" w:hAnsiTheme="minorEastAsia" w:eastAsiaTheme="minorEastAsia" w:cstheme="minorEastAsia"/>
                <w:sz w:val="21"/>
              </w:rPr>
            </w:pPr>
          </w:p>
          <w:p w14:paraId="75B29EA4">
            <w:pPr>
              <w:pStyle w:val="44"/>
              <w:spacing w:before="78" w:line="230" w:lineRule="auto"/>
              <w:ind w:left="19"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有不随意更换项目经理、技术负责人及</w:t>
            </w:r>
            <w:r>
              <w:rPr>
                <w:rFonts w:hint="eastAsia" w:asciiTheme="minorEastAsia" w:hAnsiTheme="minorEastAsia" w:eastAsiaTheme="minorEastAsia" w:cstheme="minorEastAsia"/>
                <w:spacing w:val="-1"/>
                <w:lang w:val="en-US" w:eastAsia="zh-CN"/>
              </w:rPr>
              <w:t>主要岗位人员</w:t>
            </w:r>
            <w:r>
              <w:rPr>
                <w:rFonts w:hint="eastAsia" w:asciiTheme="minorEastAsia" w:hAnsiTheme="minorEastAsia" w:eastAsiaTheme="minorEastAsia" w:cstheme="minorEastAsia"/>
                <w:spacing w:val="-1"/>
              </w:rPr>
              <w:t>的承诺，且有相应经济处罚措施的，得5分，否则得0分。</w:t>
            </w:r>
          </w:p>
        </w:tc>
        <w:tc>
          <w:tcPr>
            <w:tcW w:w="858" w:type="dxa"/>
            <w:vAlign w:val="top"/>
          </w:tcPr>
          <w:p w14:paraId="15962C20">
            <w:pPr>
              <w:spacing w:line="252" w:lineRule="auto"/>
              <w:jc w:val="both"/>
              <w:rPr>
                <w:rFonts w:hint="eastAsia" w:asciiTheme="minorEastAsia" w:hAnsiTheme="minorEastAsia" w:eastAsiaTheme="minorEastAsia" w:cstheme="minorEastAsia"/>
                <w:sz w:val="21"/>
              </w:rPr>
            </w:pPr>
          </w:p>
          <w:p w14:paraId="077A7625">
            <w:pPr>
              <w:spacing w:line="252" w:lineRule="auto"/>
              <w:jc w:val="both"/>
              <w:rPr>
                <w:rFonts w:hint="eastAsia" w:asciiTheme="minorEastAsia" w:hAnsiTheme="minorEastAsia" w:eastAsiaTheme="minorEastAsia" w:cstheme="minorEastAsia"/>
                <w:sz w:val="21"/>
              </w:rPr>
            </w:pPr>
          </w:p>
          <w:p w14:paraId="2B32CB47">
            <w:pPr>
              <w:spacing w:line="252" w:lineRule="auto"/>
              <w:jc w:val="both"/>
              <w:rPr>
                <w:rFonts w:hint="eastAsia" w:asciiTheme="minorEastAsia" w:hAnsiTheme="minorEastAsia" w:eastAsiaTheme="minorEastAsia" w:cstheme="minorEastAsia"/>
                <w:sz w:val="21"/>
              </w:rPr>
            </w:pPr>
          </w:p>
          <w:p w14:paraId="58026011">
            <w:pPr>
              <w:pStyle w:val="44"/>
              <w:spacing w:before="78" w:line="179" w:lineRule="auto"/>
              <w:ind w:left="37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r>
      <w:tr w14:paraId="26463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96" w:type="dxa"/>
            <w:vMerge w:val="restart"/>
            <w:vAlign w:val="top"/>
          </w:tcPr>
          <w:p w14:paraId="497E3003">
            <w:pPr>
              <w:pStyle w:val="44"/>
              <w:spacing w:before="113" w:line="231" w:lineRule="auto"/>
              <w:ind w:left="89" w:right="55" w:hanging="17"/>
              <w:rPr>
                <w:rFonts w:hint="eastAsia" w:asciiTheme="minorEastAsia" w:hAnsiTheme="minorEastAsia" w:eastAsiaTheme="minorEastAsia" w:cstheme="minorEastAsia"/>
                <w:spacing w:val="-4"/>
              </w:rPr>
            </w:pPr>
          </w:p>
          <w:p w14:paraId="58862185">
            <w:pPr>
              <w:pStyle w:val="44"/>
              <w:spacing w:before="113" w:line="231" w:lineRule="auto"/>
              <w:ind w:left="89" w:right="55" w:hanging="17"/>
              <w:rPr>
                <w:rFonts w:hint="eastAsia" w:asciiTheme="minorEastAsia" w:hAnsiTheme="minorEastAsia" w:eastAsiaTheme="minorEastAsia" w:cstheme="minorEastAsia"/>
                <w:spacing w:val="-4"/>
              </w:rPr>
            </w:pPr>
          </w:p>
          <w:p w14:paraId="65142694">
            <w:pPr>
              <w:pStyle w:val="44"/>
              <w:spacing w:before="113" w:line="231" w:lineRule="auto"/>
              <w:ind w:left="89" w:right="55" w:hanging="17"/>
              <w:rPr>
                <w:rFonts w:hint="eastAsia" w:asciiTheme="minorEastAsia" w:hAnsiTheme="minorEastAsia" w:eastAsiaTheme="minorEastAsia" w:cstheme="minorEastAsia"/>
                <w:spacing w:val="-4"/>
              </w:rPr>
            </w:pPr>
          </w:p>
          <w:p w14:paraId="0160257A">
            <w:pPr>
              <w:pStyle w:val="44"/>
              <w:spacing w:before="113" w:line="231" w:lineRule="auto"/>
              <w:ind w:left="89" w:right="55" w:hanging="17"/>
              <w:rPr>
                <w:rFonts w:hint="eastAsia" w:asciiTheme="minorEastAsia" w:hAnsiTheme="minorEastAsia" w:eastAsiaTheme="minorEastAsia" w:cstheme="minorEastAsia"/>
                <w:spacing w:val="-4"/>
              </w:rPr>
            </w:pPr>
          </w:p>
          <w:p w14:paraId="5548548E">
            <w:pPr>
              <w:pStyle w:val="44"/>
              <w:spacing w:before="113" w:line="231" w:lineRule="auto"/>
              <w:ind w:left="89" w:right="55" w:hanging="17"/>
              <w:rPr>
                <w:rFonts w:hint="eastAsia" w:asciiTheme="minorEastAsia" w:hAnsiTheme="minorEastAsia" w:eastAsiaTheme="minorEastAsia" w:cstheme="minorEastAsia"/>
                <w:spacing w:val="-4"/>
              </w:rPr>
            </w:pPr>
          </w:p>
          <w:p w14:paraId="35ABB0C8">
            <w:pPr>
              <w:pStyle w:val="44"/>
              <w:spacing w:before="113" w:line="231" w:lineRule="auto"/>
              <w:ind w:left="89" w:right="55" w:hanging="17"/>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技术部分 （</w:t>
            </w:r>
            <w:r>
              <w:rPr>
                <w:rFonts w:hint="eastAsia" w:asciiTheme="minorEastAsia" w:hAnsiTheme="minorEastAsia" w:eastAsiaTheme="minorEastAsia" w:cstheme="minorEastAsia"/>
                <w:spacing w:val="-4"/>
                <w:lang w:val="en-US" w:eastAsia="zh-CN"/>
              </w:rPr>
              <w:t>49</w:t>
            </w:r>
            <w:r>
              <w:rPr>
                <w:rFonts w:hint="eastAsia" w:asciiTheme="minorEastAsia" w:hAnsiTheme="minorEastAsia" w:eastAsiaTheme="minorEastAsia" w:cstheme="minorEastAsia"/>
                <w:spacing w:val="-4"/>
              </w:rPr>
              <w:t>分）</w:t>
            </w:r>
          </w:p>
        </w:tc>
        <w:tc>
          <w:tcPr>
            <w:tcW w:w="1315" w:type="dxa"/>
            <w:vAlign w:val="top"/>
          </w:tcPr>
          <w:p w14:paraId="3437DB0C">
            <w:pPr>
              <w:pStyle w:val="44"/>
              <w:spacing w:before="113" w:line="231" w:lineRule="auto"/>
              <w:ind w:left="89" w:right="55" w:hanging="17"/>
              <w:rPr>
                <w:rFonts w:hint="eastAsia" w:asciiTheme="minorEastAsia" w:hAnsiTheme="minorEastAsia" w:eastAsiaTheme="minorEastAsia" w:cstheme="minorEastAsia"/>
                <w:spacing w:val="-4"/>
              </w:rPr>
            </w:pPr>
          </w:p>
          <w:p w14:paraId="6A02BD7C">
            <w:pPr>
              <w:pStyle w:val="44"/>
              <w:spacing w:before="113" w:line="231" w:lineRule="auto"/>
              <w:ind w:left="89" w:right="55" w:hanging="17"/>
              <w:rPr>
                <w:rFonts w:hint="eastAsia" w:asciiTheme="minorEastAsia" w:hAnsiTheme="minorEastAsia" w:eastAsiaTheme="minorEastAsia" w:cstheme="minorEastAsia"/>
                <w:spacing w:val="-4"/>
              </w:rPr>
            </w:pPr>
          </w:p>
          <w:p w14:paraId="4D847A9F">
            <w:pPr>
              <w:pStyle w:val="44"/>
              <w:spacing w:before="113" w:line="231" w:lineRule="auto"/>
              <w:ind w:left="89" w:right="55" w:hanging="17"/>
              <w:rPr>
                <w:rFonts w:hint="eastAsia" w:asciiTheme="minorEastAsia" w:hAnsiTheme="minorEastAsia" w:eastAsiaTheme="minorEastAsia" w:cstheme="minorEastAsia"/>
                <w:spacing w:val="-4"/>
              </w:rPr>
            </w:pPr>
          </w:p>
          <w:p w14:paraId="7F0A5E5B">
            <w:pPr>
              <w:pStyle w:val="44"/>
              <w:spacing w:before="113" w:line="231" w:lineRule="auto"/>
              <w:ind w:left="89" w:right="55" w:hanging="17"/>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施工方案与 技术措施</w:t>
            </w:r>
          </w:p>
        </w:tc>
        <w:tc>
          <w:tcPr>
            <w:tcW w:w="6761" w:type="dxa"/>
            <w:vAlign w:val="top"/>
          </w:tcPr>
          <w:p w14:paraId="03A26FB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w:t>
            </w:r>
            <w:r>
              <w:rPr>
                <w:rFonts w:hint="eastAsia" w:asciiTheme="minorEastAsia" w:hAnsiTheme="minorEastAsia" w:eastAsiaTheme="minorEastAsia" w:cstheme="minorEastAsia"/>
                <w:spacing w:val="-4"/>
                <w:lang w:val="en-US" w:eastAsia="zh-CN"/>
              </w:rPr>
              <w:t>施工方案符合工程实际情况，部署及措施先进、可靠，以提高生产率、缩短工期、提高质量、降低消耗为目标，针对项目的重点、难点分析应透彻，解决方案切实可行，</w:t>
            </w:r>
            <w:r>
              <w:rPr>
                <w:rFonts w:hint="eastAsia" w:asciiTheme="minorEastAsia" w:hAnsiTheme="minorEastAsia" w:eastAsiaTheme="minorEastAsia" w:cstheme="minorEastAsia"/>
                <w:spacing w:val="-4"/>
                <w:lang w:val="en-US" w:eastAsia="en-US"/>
              </w:rPr>
              <w:t>工程特点及施工重点和难点分析准确、全面的，得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06879B3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（2）施工程序、工艺符合工程实际和有关施工规程规范,且投入的设备和人力计划安排合理的，得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分，基本合理的，</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483134BA">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（3）各工序工作历时安排合理且有详细计算说明的，得2分，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63367D6F">
            <w:pPr>
              <w:pStyle w:val="44"/>
              <w:spacing w:before="113" w:line="231" w:lineRule="auto"/>
              <w:ind w:left="89" w:right="55" w:hanging="17"/>
              <w:rPr>
                <w:rFonts w:hint="eastAsia" w:asciiTheme="minorEastAsia" w:hAnsiTheme="minorEastAsia" w:eastAsiaTheme="minorEastAsia" w:cstheme="minorEastAsia"/>
                <w:spacing w:val="-4"/>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2F99B315">
            <w:pPr>
              <w:pStyle w:val="44"/>
              <w:spacing w:before="113" w:line="231" w:lineRule="auto"/>
              <w:ind w:left="89" w:right="55" w:hanging="17"/>
              <w:rPr>
                <w:rFonts w:hint="eastAsia" w:asciiTheme="minorEastAsia" w:hAnsiTheme="minorEastAsia" w:eastAsiaTheme="minorEastAsia" w:cstheme="minorEastAsia"/>
                <w:spacing w:val="-4"/>
              </w:rPr>
            </w:pPr>
          </w:p>
          <w:p w14:paraId="0DE0D187">
            <w:pPr>
              <w:pStyle w:val="44"/>
              <w:spacing w:before="113" w:line="231" w:lineRule="auto"/>
              <w:ind w:left="89" w:right="55" w:hanging="17"/>
              <w:rPr>
                <w:rFonts w:hint="eastAsia" w:asciiTheme="minorEastAsia" w:hAnsiTheme="minorEastAsia" w:eastAsiaTheme="minorEastAsia" w:cstheme="minorEastAsia"/>
                <w:spacing w:val="-4"/>
              </w:rPr>
            </w:pPr>
          </w:p>
          <w:p w14:paraId="7B347522">
            <w:pPr>
              <w:pStyle w:val="44"/>
              <w:spacing w:before="113" w:line="231" w:lineRule="auto"/>
              <w:ind w:left="89" w:right="55" w:hanging="17"/>
              <w:rPr>
                <w:rFonts w:hint="eastAsia" w:asciiTheme="minorEastAsia" w:hAnsiTheme="minorEastAsia" w:eastAsiaTheme="minorEastAsia" w:cstheme="minorEastAsia"/>
                <w:spacing w:val="-4"/>
              </w:rPr>
            </w:pPr>
          </w:p>
          <w:p w14:paraId="6F15C92F">
            <w:pPr>
              <w:pStyle w:val="44"/>
              <w:spacing w:before="113" w:line="231" w:lineRule="auto"/>
              <w:ind w:left="89" w:right="55" w:hanging="17"/>
              <w:jc w:val="center"/>
              <w:rPr>
                <w:rFonts w:hint="eastAsia" w:asciiTheme="minorEastAsia" w:hAnsiTheme="minorEastAsia" w:eastAsiaTheme="minorEastAsia" w:cstheme="minorEastAsia"/>
                <w:spacing w:val="-4"/>
                <w:lang w:eastAsia="zh-CN"/>
              </w:rPr>
            </w:pPr>
            <w:r>
              <w:rPr>
                <w:rFonts w:hint="eastAsia" w:asciiTheme="minorEastAsia" w:hAnsiTheme="minorEastAsia" w:eastAsiaTheme="minorEastAsia" w:cstheme="minorEastAsia"/>
                <w:spacing w:val="-4"/>
                <w:lang w:val="en-US" w:eastAsia="zh-CN"/>
              </w:rPr>
              <w:t>8</w:t>
            </w:r>
          </w:p>
        </w:tc>
      </w:tr>
      <w:tr w14:paraId="54CED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4E89AA0C">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734BB90F">
            <w:pPr>
              <w:pStyle w:val="44"/>
              <w:spacing w:before="113" w:line="231" w:lineRule="auto"/>
              <w:ind w:left="89" w:right="55" w:hanging="17"/>
              <w:rPr>
                <w:rFonts w:hint="eastAsia" w:asciiTheme="minorEastAsia" w:hAnsiTheme="minorEastAsia" w:eastAsiaTheme="minorEastAsia" w:cstheme="minorEastAsia"/>
                <w:spacing w:val="-4"/>
              </w:rPr>
            </w:pPr>
          </w:p>
          <w:p w14:paraId="4CF30EDC">
            <w:pPr>
              <w:pStyle w:val="44"/>
              <w:spacing w:before="113" w:line="231" w:lineRule="auto"/>
              <w:ind w:left="89" w:right="55" w:hanging="17"/>
              <w:rPr>
                <w:rFonts w:hint="eastAsia" w:asciiTheme="minorEastAsia" w:hAnsiTheme="minorEastAsia" w:eastAsiaTheme="minorEastAsia" w:cstheme="minorEastAsia"/>
                <w:spacing w:val="-4"/>
              </w:rPr>
            </w:pPr>
          </w:p>
          <w:p w14:paraId="76A4F87A">
            <w:pPr>
              <w:pStyle w:val="44"/>
              <w:spacing w:before="113" w:line="231" w:lineRule="auto"/>
              <w:ind w:left="89" w:right="55" w:hanging="17"/>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质量</w:t>
            </w:r>
            <w:r>
              <w:rPr>
                <w:rFonts w:hint="eastAsia" w:asciiTheme="minorEastAsia" w:hAnsiTheme="minorEastAsia" w:eastAsiaTheme="minorEastAsia" w:cstheme="minorEastAsia"/>
                <w:spacing w:val="-4"/>
                <w:lang w:val="en-US" w:eastAsia="zh-CN"/>
              </w:rPr>
              <w:t>保证措施和体系</w:t>
            </w:r>
          </w:p>
        </w:tc>
        <w:tc>
          <w:tcPr>
            <w:tcW w:w="6761" w:type="dxa"/>
            <w:vAlign w:val="top"/>
          </w:tcPr>
          <w:p w14:paraId="0F366C2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zh-CN"/>
              </w:rPr>
              <w:t>保证措施应符合科学的施工规律、国家规定的强制性标准并有针对性，同时要符合实际情况，切实可行。质量目标明确，管理机构健全，职责分工明确；管理制度齐全；实施措施全面、有效。</w:t>
            </w:r>
            <w:r>
              <w:rPr>
                <w:rFonts w:hint="eastAsia" w:asciiTheme="minorEastAsia" w:hAnsiTheme="minorEastAsia" w:eastAsiaTheme="minorEastAsia" w:cstheme="minorEastAsia"/>
                <w:spacing w:val="-4"/>
                <w:lang w:val="en-US" w:eastAsia="en-US"/>
              </w:rPr>
              <w:t>质量保证体系健全、职责明确的，得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3058EEE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（2）工程所用原材料、中间产品、金属结构等检测的种类、数量符合相关规程规范的，得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2DA8565F">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（3）自设工地实验室或者委托符合要求的质量检测单位的，得2分，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1A799054">
            <w:pPr>
              <w:pStyle w:val="44"/>
              <w:spacing w:before="113" w:line="231" w:lineRule="auto"/>
              <w:ind w:left="89" w:right="55" w:hanging="17"/>
              <w:rPr>
                <w:rFonts w:hint="eastAsia" w:asciiTheme="minorEastAsia" w:hAnsiTheme="minorEastAsia" w:eastAsiaTheme="minorEastAsia" w:cstheme="minorEastAsia"/>
                <w:spacing w:val="-4"/>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3F513A16">
            <w:pPr>
              <w:pStyle w:val="44"/>
              <w:spacing w:before="113" w:line="231" w:lineRule="auto"/>
              <w:ind w:left="89" w:right="55" w:hanging="17"/>
              <w:jc w:val="center"/>
              <w:rPr>
                <w:rFonts w:hint="eastAsia" w:asciiTheme="minorEastAsia" w:hAnsiTheme="minorEastAsia" w:eastAsiaTheme="minorEastAsia" w:cstheme="minorEastAsia"/>
                <w:spacing w:val="-4"/>
                <w:lang w:eastAsia="zh-CN"/>
              </w:rPr>
            </w:pPr>
            <w:r>
              <w:rPr>
                <w:rFonts w:hint="eastAsia" w:asciiTheme="minorEastAsia" w:hAnsiTheme="minorEastAsia" w:eastAsiaTheme="minorEastAsia" w:cstheme="minorEastAsia"/>
                <w:spacing w:val="-4"/>
                <w:lang w:val="en-US" w:eastAsia="zh-CN"/>
              </w:rPr>
              <w:t>8</w:t>
            </w:r>
          </w:p>
        </w:tc>
      </w:tr>
      <w:tr w14:paraId="67121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710B8484">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500B350D">
            <w:pPr>
              <w:pStyle w:val="44"/>
              <w:spacing w:before="113" w:line="231" w:lineRule="auto"/>
              <w:ind w:left="89" w:right="55" w:hanging="17"/>
              <w:rPr>
                <w:rFonts w:hint="eastAsia" w:asciiTheme="minorEastAsia" w:hAnsiTheme="minorEastAsia" w:eastAsiaTheme="minorEastAsia" w:cstheme="minorEastAsia"/>
                <w:spacing w:val="-4"/>
              </w:rPr>
            </w:pPr>
          </w:p>
          <w:p w14:paraId="5E905EE1">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安全</w:t>
            </w:r>
            <w:r>
              <w:rPr>
                <w:rFonts w:hint="eastAsia" w:asciiTheme="minorEastAsia" w:hAnsiTheme="minorEastAsia" w:eastAsiaTheme="minorEastAsia" w:cstheme="minorEastAsia"/>
                <w:spacing w:val="-4"/>
                <w:lang w:val="en-US" w:eastAsia="zh-CN"/>
              </w:rPr>
              <w:t>保证措施和体系</w:t>
            </w:r>
          </w:p>
        </w:tc>
        <w:tc>
          <w:tcPr>
            <w:tcW w:w="6761" w:type="dxa"/>
            <w:vAlign w:val="top"/>
          </w:tcPr>
          <w:p w14:paraId="562D2627">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w:t>
            </w:r>
            <w:r>
              <w:rPr>
                <w:rFonts w:hint="eastAsia" w:asciiTheme="minorEastAsia" w:hAnsiTheme="minorEastAsia" w:eastAsiaTheme="minorEastAsia" w:cstheme="minorEastAsia"/>
                <w:spacing w:val="-4"/>
                <w:lang w:val="en-US" w:eastAsia="zh-CN"/>
              </w:rPr>
              <w:t>保证措施应符合国家及自治区规定的强制性标准并有针对性，同时要符合实际情况，切实可行。安全目标明确，优于招标文件要求；管理机构健全，职责分工明确；管理制度齐全；实施与监控措施全面、有效。</w:t>
            </w:r>
            <w:r>
              <w:rPr>
                <w:rFonts w:hint="eastAsia" w:asciiTheme="minorEastAsia" w:hAnsiTheme="minorEastAsia" w:eastAsiaTheme="minorEastAsia" w:cstheme="minorEastAsia"/>
                <w:spacing w:val="-4"/>
                <w:lang w:val="en-US" w:eastAsia="en-US"/>
              </w:rPr>
              <w:t>安全生产责任制健全、职责明确的，得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 xml:space="preserve">得0分；  </w:t>
            </w:r>
          </w:p>
          <w:p w14:paraId="3DC7F5C6">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en-US"/>
              </w:rPr>
              <w:t>（2）安全管理资源配置合理、措施符合相关安全技术（操作）规程的，得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tc>
        <w:tc>
          <w:tcPr>
            <w:tcW w:w="858" w:type="dxa"/>
            <w:vAlign w:val="top"/>
          </w:tcPr>
          <w:p w14:paraId="7AADC2DA">
            <w:pPr>
              <w:pStyle w:val="44"/>
              <w:spacing w:before="113" w:line="231" w:lineRule="auto"/>
              <w:ind w:left="89" w:right="55" w:hanging="17"/>
              <w:jc w:val="center"/>
              <w:rPr>
                <w:rFonts w:hint="eastAsia" w:asciiTheme="minorEastAsia" w:hAnsiTheme="minorEastAsia" w:eastAsiaTheme="minorEastAsia" w:cstheme="minorEastAsia"/>
                <w:spacing w:val="-4"/>
              </w:rPr>
            </w:pPr>
          </w:p>
          <w:p w14:paraId="17415578">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8</w:t>
            </w:r>
          </w:p>
        </w:tc>
      </w:tr>
      <w:tr w14:paraId="04CFA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15D7025B">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50D3978C">
            <w:pPr>
              <w:pStyle w:val="44"/>
              <w:spacing w:before="113" w:line="231" w:lineRule="auto"/>
              <w:ind w:left="89" w:right="55" w:hanging="17"/>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环境保护管</w:t>
            </w:r>
          </w:p>
          <w:p w14:paraId="0B937B83">
            <w:pPr>
              <w:pStyle w:val="44"/>
              <w:spacing w:before="113" w:line="231" w:lineRule="auto"/>
              <w:ind w:left="89" w:right="55" w:hanging="17"/>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理体系与措</w:t>
            </w:r>
          </w:p>
          <w:p w14:paraId="3AA0E0C2">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施</w:t>
            </w:r>
          </w:p>
        </w:tc>
        <w:tc>
          <w:tcPr>
            <w:tcW w:w="6761" w:type="dxa"/>
            <w:vAlign w:val="top"/>
          </w:tcPr>
          <w:p w14:paraId="001B61A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环境保护管理资源配置合理、措施合理的，得</w:t>
            </w:r>
            <w:r>
              <w:rPr>
                <w:rFonts w:hint="eastAsia" w:asciiTheme="minorEastAsia" w:hAnsiTheme="minorEastAsia" w:eastAsiaTheme="minorEastAsia" w:cstheme="minorEastAsia"/>
                <w:spacing w:val="-4"/>
                <w:lang w:val="en-US" w:eastAsia="zh-CN"/>
              </w:rPr>
              <w:t>8</w:t>
            </w:r>
            <w:r>
              <w:rPr>
                <w:rFonts w:hint="eastAsia" w:asciiTheme="minorEastAsia" w:hAnsiTheme="minorEastAsia" w:eastAsiaTheme="minorEastAsia" w:cstheme="minorEastAsia"/>
                <w:spacing w:val="-4"/>
                <w:lang w:val="en-US" w:eastAsia="en-US"/>
              </w:rPr>
              <w:t>分，环境保护管理资源配置、措施</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未提供的</w:t>
            </w:r>
            <w:r>
              <w:rPr>
                <w:rFonts w:hint="eastAsia" w:asciiTheme="minorEastAsia" w:hAnsiTheme="minorEastAsia" w:eastAsiaTheme="minorEastAsia" w:cstheme="minorEastAsia"/>
                <w:spacing w:val="-4"/>
                <w:lang w:val="en-US" w:eastAsia="en-US"/>
              </w:rPr>
              <w:t>得0分。</w:t>
            </w:r>
          </w:p>
          <w:p w14:paraId="61CA0835">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44946DF1">
            <w:pPr>
              <w:pStyle w:val="44"/>
              <w:spacing w:before="113" w:line="231" w:lineRule="auto"/>
              <w:ind w:left="89" w:right="55" w:hanging="17"/>
              <w:jc w:val="center"/>
              <w:rPr>
                <w:rFonts w:hint="eastAsia" w:asciiTheme="minorEastAsia" w:hAnsiTheme="minorEastAsia" w:eastAsiaTheme="minorEastAsia" w:cstheme="minorEastAsia"/>
                <w:spacing w:val="-4"/>
              </w:rPr>
            </w:pPr>
          </w:p>
          <w:p w14:paraId="33EAE6D5">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8</w:t>
            </w:r>
          </w:p>
        </w:tc>
      </w:tr>
      <w:tr w14:paraId="78F17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759CB683">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442924CE">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工程进度计 划与措施</w:t>
            </w:r>
          </w:p>
        </w:tc>
        <w:tc>
          <w:tcPr>
            <w:tcW w:w="6761" w:type="dxa"/>
            <w:vAlign w:val="top"/>
          </w:tcPr>
          <w:p w14:paraId="70B03900">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工程进度计划应在空间和时间上做合理的统筹安排且符合施工的科学规律，</w:t>
            </w:r>
            <w:r>
              <w:rPr>
                <w:rFonts w:hint="eastAsia" w:asciiTheme="minorEastAsia" w:hAnsiTheme="minorEastAsia" w:eastAsiaTheme="minorEastAsia" w:cstheme="minorEastAsia"/>
                <w:spacing w:val="-4"/>
              </w:rPr>
              <w:t>工程施工流程、进度计划横道图（或者网络图）中关键线路以及措施合理的，得6分，否则得0分。</w:t>
            </w:r>
          </w:p>
        </w:tc>
        <w:tc>
          <w:tcPr>
            <w:tcW w:w="858" w:type="dxa"/>
            <w:vAlign w:val="top"/>
          </w:tcPr>
          <w:p w14:paraId="650B0BD4">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8104A09">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6</w:t>
            </w:r>
          </w:p>
        </w:tc>
      </w:tr>
      <w:tr w14:paraId="69506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38682812">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5340483A">
            <w:pPr>
              <w:pStyle w:val="44"/>
              <w:spacing w:before="113" w:line="231" w:lineRule="auto"/>
              <w:ind w:left="89" w:right="55" w:hanging="17"/>
              <w:rPr>
                <w:rFonts w:hint="eastAsia" w:asciiTheme="minorEastAsia" w:hAnsiTheme="minorEastAsia" w:eastAsiaTheme="minorEastAsia" w:cstheme="minorEastAsia"/>
                <w:spacing w:val="-4"/>
              </w:rPr>
            </w:pPr>
          </w:p>
          <w:p w14:paraId="01AEAB7E">
            <w:pPr>
              <w:pStyle w:val="44"/>
              <w:spacing w:before="113" w:line="231" w:lineRule="auto"/>
              <w:ind w:left="89" w:right="55" w:hanging="17"/>
              <w:rPr>
                <w:rFonts w:hint="eastAsia" w:asciiTheme="minorEastAsia" w:hAnsiTheme="minorEastAsia" w:eastAsiaTheme="minorEastAsia" w:cstheme="minorEastAsia"/>
                <w:spacing w:val="-4"/>
              </w:rPr>
            </w:pPr>
          </w:p>
          <w:p w14:paraId="1C610B36">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资源配备计 划</w:t>
            </w:r>
          </w:p>
        </w:tc>
        <w:tc>
          <w:tcPr>
            <w:tcW w:w="6761" w:type="dxa"/>
            <w:vAlign w:val="top"/>
          </w:tcPr>
          <w:p w14:paraId="3EE8602E">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（1）资金使用计划安排合理的，得2分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3AB0E900">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（2）劳动力安排计划合理且有计算说明的，得2分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4FFAED6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（3）主要材料用量计划安排合理且有计算说明的，得2分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6CE0CC3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（4）主要施工机械设备使用计划合理且有计算说明的，得2分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724D0B4F">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7462A97A">
            <w:pPr>
              <w:pStyle w:val="44"/>
              <w:spacing w:before="113" w:line="231" w:lineRule="auto"/>
              <w:ind w:left="89" w:right="55" w:hanging="17"/>
              <w:jc w:val="center"/>
              <w:rPr>
                <w:rFonts w:hint="eastAsia" w:asciiTheme="minorEastAsia" w:hAnsiTheme="minorEastAsia" w:eastAsiaTheme="minorEastAsia" w:cstheme="minorEastAsia"/>
                <w:spacing w:val="-4"/>
              </w:rPr>
            </w:pPr>
          </w:p>
          <w:p w14:paraId="69E2D9BE">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757263B">
            <w:pPr>
              <w:pStyle w:val="44"/>
              <w:spacing w:before="113" w:line="231" w:lineRule="auto"/>
              <w:ind w:left="89" w:right="55" w:hanging="17"/>
              <w:jc w:val="center"/>
              <w:rPr>
                <w:rFonts w:hint="eastAsia" w:asciiTheme="minorEastAsia" w:hAnsiTheme="minorEastAsia" w:eastAsiaTheme="minorEastAsia" w:cstheme="minorEastAsia"/>
                <w:spacing w:val="-4"/>
              </w:rPr>
            </w:pPr>
          </w:p>
          <w:p w14:paraId="3763C2C4">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8</w:t>
            </w:r>
          </w:p>
        </w:tc>
      </w:tr>
      <w:tr w14:paraId="13710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top"/>
          </w:tcPr>
          <w:p w14:paraId="252ED8DA">
            <w:pPr>
              <w:pStyle w:val="44"/>
              <w:spacing w:before="113" w:line="231" w:lineRule="auto"/>
              <w:ind w:left="89" w:right="55" w:hanging="17"/>
              <w:rPr>
                <w:rFonts w:hint="eastAsia" w:asciiTheme="minorEastAsia" w:hAnsiTheme="minorEastAsia" w:eastAsiaTheme="minorEastAsia" w:cstheme="minorEastAsia"/>
                <w:spacing w:val="-4"/>
              </w:rPr>
            </w:pPr>
          </w:p>
        </w:tc>
        <w:tc>
          <w:tcPr>
            <w:tcW w:w="1315" w:type="dxa"/>
            <w:vAlign w:val="top"/>
          </w:tcPr>
          <w:p w14:paraId="24F36E78">
            <w:pPr>
              <w:pStyle w:val="44"/>
              <w:spacing w:before="113" w:line="231" w:lineRule="auto"/>
              <w:ind w:left="89" w:right="55" w:hanging="17"/>
              <w:rPr>
                <w:rFonts w:hint="eastAsia" w:asciiTheme="minorEastAsia" w:hAnsiTheme="minorEastAsia" w:eastAsiaTheme="minorEastAsia" w:cstheme="minorEastAsia"/>
                <w:spacing w:val="-4"/>
              </w:rPr>
            </w:pPr>
          </w:p>
          <w:p w14:paraId="3726ED9D">
            <w:pPr>
              <w:pStyle w:val="44"/>
              <w:spacing w:before="113" w:line="231" w:lineRule="auto"/>
              <w:ind w:left="89" w:leftChars="0" w:right="55" w:rightChars="0" w:hanging="17" w:firstLineChars="0"/>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内容完整性 和编制水平</w:t>
            </w:r>
          </w:p>
        </w:tc>
        <w:tc>
          <w:tcPr>
            <w:tcW w:w="6761" w:type="dxa"/>
            <w:vAlign w:val="top"/>
          </w:tcPr>
          <w:p w14:paraId="73A3D957">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施工组织包含施工条件、施工导流（如需要）、料场的选择与开采（如需要）、主体工程施工、施工交通运输、施工工厂设施 （如需要）、施工总布置、施工总进度、主要技术供应等章节，且内容完整、编制合理的，得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3D65958E">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73904C65">
            <w:pPr>
              <w:pStyle w:val="44"/>
              <w:spacing w:before="113" w:line="231" w:lineRule="auto"/>
              <w:ind w:left="89" w:right="55" w:hanging="17"/>
              <w:jc w:val="center"/>
              <w:rPr>
                <w:rFonts w:hint="eastAsia" w:asciiTheme="minorEastAsia" w:hAnsiTheme="minorEastAsia" w:eastAsiaTheme="minorEastAsia" w:cstheme="minorEastAsia"/>
                <w:spacing w:val="-4"/>
              </w:rPr>
            </w:pPr>
          </w:p>
          <w:p w14:paraId="68322988">
            <w:pPr>
              <w:pStyle w:val="44"/>
              <w:spacing w:before="113" w:line="231" w:lineRule="auto"/>
              <w:ind w:left="89" w:right="55" w:hanging="17"/>
              <w:jc w:val="center"/>
              <w:rPr>
                <w:rFonts w:hint="eastAsia" w:asciiTheme="minorEastAsia" w:hAnsiTheme="minorEastAsia" w:eastAsiaTheme="minorEastAsia" w:cstheme="minorEastAsia"/>
                <w:spacing w:val="-4"/>
              </w:rPr>
            </w:pPr>
          </w:p>
          <w:p w14:paraId="481D8CFA">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3</w:t>
            </w:r>
          </w:p>
        </w:tc>
      </w:tr>
      <w:tr w14:paraId="079B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072" w:type="dxa"/>
            <w:gridSpan w:val="3"/>
            <w:vAlign w:val="top"/>
          </w:tcPr>
          <w:p w14:paraId="41D4C847">
            <w:pPr>
              <w:pStyle w:val="44"/>
              <w:spacing w:before="113" w:line="231" w:lineRule="auto"/>
              <w:ind w:left="89" w:leftChars="0" w:right="55" w:rightChars="0" w:hanging="17" w:firstLineChars="0"/>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合计</w:t>
            </w:r>
          </w:p>
        </w:tc>
        <w:tc>
          <w:tcPr>
            <w:tcW w:w="858" w:type="dxa"/>
            <w:vAlign w:val="top"/>
          </w:tcPr>
          <w:p w14:paraId="084DC4FC">
            <w:pPr>
              <w:pStyle w:val="44"/>
              <w:spacing w:before="113" w:line="231" w:lineRule="auto"/>
              <w:ind w:left="89" w:leftChars="0" w:right="55" w:rightChars="0" w:hanging="17" w:firstLineChars="0"/>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100</w:t>
            </w:r>
          </w:p>
        </w:tc>
      </w:tr>
    </w:tbl>
    <w:p w14:paraId="13156CD6">
      <w:pPr>
        <w:pStyle w:val="40"/>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A21A6C5">
      <w:pPr>
        <w:spacing w:line="53" w:lineRule="auto"/>
        <w:rPr>
          <w:rFonts w:hint="eastAsia" w:asciiTheme="minorEastAsia" w:hAnsiTheme="minorEastAsia" w:eastAsiaTheme="minorEastAsia" w:cstheme="minorEastAsia"/>
          <w:sz w:val="2"/>
        </w:rPr>
      </w:pPr>
    </w:p>
    <w:p w14:paraId="001556CC">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根据《关于推动解决政府采购异常低价问题的通知》财库〔2026〕2号</w:t>
      </w:r>
    </w:p>
    <w:p w14:paraId="2899D5E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评审中出现下列情形之一的，评审委员会应当启动异常低价投标（响应）审查程序：</w:t>
      </w:r>
    </w:p>
    <w:p w14:paraId="772DE15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1.投标（响应）报价低于全部通过符合性审查供应商投标（响应）报价平均值50%的，即投标（响应）报价&lt;全部通过符合性审查供应商投标（响应）报价平均值×50%；</w:t>
      </w:r>
    </w:p>
    <w:p w14:paraId="41E6AB4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2.投标（响应）报价低于通过符合性审查的次低报价供应商投标（响应）报价50%的，即投标（响应）报价&lt;通过符合性审查的次低报价供应商投标（响应）报价×50%；</w:t>
      </w:r>
    </w:p>
    <w:p w14:paraId="49DFFF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3.投标（响应）报价低于采购项目最高限价45%的，即投标（响应）报价&lt;采购项目最高限价×45%；</w:t>
      </w:r>
    </w:p>
    <w:p w14:paraId="0D82EC63">
      <w:pPr>
        <w:keepNext w:val="0"/>
        <w:keepLines w:val="0"/>
        <w:pageBreakBefore w:val="0"/>
        <w:widowControl/>
        <w:kinsoku/>
        <w:wordWrap/>
        <w:overflowPunct/>
        <w:topLinePunct w:val="0"/>
        <w:autoSpaceDE/>
        <w:autoSpaceDN/>
        <w:bidi w:val="0"/>
        <w:adjustRightInd/>
        <w:snapToGrid/>
        <w:spacing w:line="280" w:lineRule="exact"/>
        <w:textAlignment w:val="auto"/>
        <w:sectPr>
          <w:footerReference r:id="rId13" w:type="default"/>
          <w:pgSz w:w="11910" w:h="16840"/>
          <w:pgMar w:top="1196" w:right="1016" w:bottom="1204" w:left="958" w:header="0" w:footer="1041" w:gutter="0"/>
          <w:pgNumType w:fmt="decimal"/>
          <w:cols w:space="720" w:num="1"/>
        </w:sectPr>
      </w:pPr>
      <w:r>
        <w:rPr>
          <w:rFonts w:hint="eastAsia" w:ascii="仿宋" w:hAnsi="仿宋" w:eastAsia="仿宋" w:cs="仿宋"/>
          <w:b/>
          <w:bCs/>
          <w:color w:val="auto"/>
          <w:sz w:val="28"/>
          <w:szCs w:val="28"/>
          <w:lang w:val="en-US" w:eastAsia="zh-CN"/>
        </w:rPr>
        <w:t>4.评审委员会基于专业判断，认为供应商报价过低，有可能影响产品质量或者不能诚信履约的其他情形。</w:t>
      </w:r>
    </w:p>
    <w:p w14:paraId="383304FC">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微软雅黑" w:hAnsi="微软雅黑" w:eastAsia="微软雅黑" w:cs="微软雅黑"/>
          <w:b/>
          <w:bCs/>
          <w:color w:val="auto"/>
          <w:sz w:val="32"/>
          <w:szCs w:val="32"/>
          <w:highlight w:val="none"/>
        </w:rPr>
      </w:pPr>
      <w:bookmarkStart w:id="13" w:name="_Toc26743_WPSOffice_Level1"/>
      <w:r>
        <w:rPr>
          <w:rFonts w:hint="eastAsia" w:ascii="微软雅黑" w:hAnsi="微软雅黑" w:eastAsia="微软雅黑" w:cs="微软雅黑"/>
          <w:b/>
          <w:bCs/>
          <w:color w:val="auto"/>
          <w:sz w:val="32"/>
          <w:szCs w:val="32"/>
          <w:highlight w:val="none"/>
        </w:rPr>
        <w:t>第三部分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lang w:val="en-US" w:eastAsia="zh-CN"/>
        </w:rPr>
        <w:t>采购项目需求</w:t>
      </w:r>
      <w:bookmarkEnd w:id="13"/>
    </w:p>
    <w:p w14:paraId="7248B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采购项目需求</w:t>
      </w:r>
      <w:r>
        <w:rPr>
          <w:rFonts w:hint="eastAsia" w:ascii="宋体" w:hAnsi="宋体" w:eastAsia="宋体" w:cs="宋体"/>
          <w:b/>
          <w:bCs/>
          <w:color w:val="auto"/>
          <w:sz w:val="24"/>
          <w:szCs w:val="24"/>
          <w:highlight w:val="none"/>
        </w:rPr>
        <w:t>中标注“★部分”条款为实质性条款，供应商如在任何一条负偏离则导致响应无效。</w:t>
      </w:r>
      <w:r>
        <w:rPr>
          <w:rFonts w:hint="eastAsia" w:ascii="宋体" w:hAnsi="宋体" w:eastAsia="宋体" w:cs="宋体"/>
          <w:color w:val="auto"/>
          <w:sz w:val="24"/>
          <w:szCs w:val="24"/>
          <w:highlight w:val="none"/>
        </w:rPr>
        <w:t xml:space="preserve"> </w:t>
      </w:r>
    </w:p>
    <w:p w14:paraId="65F9148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p>
    <w:p w14:paraId="644C297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I 商务要求</w:t>
      </w:r>
    </w:p>
    <w:p w14:paraId="269B178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19"/>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14:paraId="510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3E9CA0C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序号 </w:t>
            </w:r>
          </w:p>
        </w:tc>
        <w:tc>
          <w:tcPr>
            <w:tcW w:w="1471" w:type="dxa"/>
            <w:noWrap w:val="0"/>
            <w:vAlign w:val="top"/>
          </w:tcPr>
          <w:p w14:paraId="4A495FEB">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条款名称 </w:t>
            </w:r>
          </w:p>
        </w:tc>
        <w:tc>
          <w:tcPr>
            <w:tcW w:w="7549" w:type="dxa"/>
            <w:noWrap w:val="0"/>
            <w:vAlign w:val="top"/>
          </w:tcPr>
          <w:p w14:paraId="5E60575B">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说   明 </w:t>
            </w:r>
          </w:p>
        </w:tc>
      </w:tr>
      <w:tr w14:paraId="0978B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50A0EC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p>
        </w:tc>
        <w:tc>
          <w:tcPr>
            <w:tcW w:w="1471" w:type="dxa"/>
            <w:noWrap w:val="0"/>
            <w:vAlign w:val="top"/>
          </w:tcPr>
          <w:p w14:paraId="4E97D10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c>
          <w:tcPr>
            <w:tcW w:w="7549" w:type="dxa"/>
            <w:noWrap w:val="0"/>
            <w:vAlign w:val="top"/>
          </w:tcPr>
          <w:p w14:paraId="1074461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第一部分</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资格要求”。 </w:t>
            </w:r>
          </w:p>
        </w:tc>
      </w:tr>
      <w:tr w14:paraId="5DC9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4D6F21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p>
        </w:tc>
        <w:tc>
          <w:tcPr>
            <w:tcW w:w="1471" w:type="dxa"/>
            <w:noWrap w:val="0"/>
            <w:vAlign w:val="top"/>
          </w:tcPr>
          <w:p w14:paraId="457341C7">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★完工期 </w:t>
            </w:r>
          </w:p>
        </w:tc>
        <w:tc>
          <w:tcPr>
            <w:tcW w:w="7549" w:type="dxa"/>
            <w:noWrap w:val="0"/>
            <w:vAlign w:val="top"/>
          </w:tcPr>
          <w:p w14:paraId="7820E15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合同签订后90日历天内。</w:t>
            </w:r>
          </w:p>
        </w:tc>
      </w:tr>
      <w:tr w14:paraId="6580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206C2E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p>
        </w:tc>
        <w:tc>
          <w:tcPr>
            <w:tcW w:w="1471" w:type="dxa"/>
            <w:noWrap w:val="0"/>
            <w:vAlign w:val="top"/>
          </w:tcPr>
          <w:p w14:paraId="15D48332">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★质保期 </w:t>
            </w:r>
          </w:p>
        </w:tc>
        <w:tc>
          <w:tcPr>
            <w:tcW w:w="7549" w:type="dxa"/>
            <w:noWrap w:val="0"/>
            <w:vAlign w:val="top"/>
          </w:tcPr>
          <w:p w14:paraId="48846A2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符合国家规定</w:t>
            </w:r>
          </w:p>
        </w:tc>
      </w:tr>
      <w:tr w14:paraId="5601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44FDAD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p>
        </w:tc>
        <w:tc>
          <w:tcPr>
            <w:tcW w:w="1471" w:type="dxa"/>
            <w:noWrap w:val="0"/>
            <w:vAlign w:val="top"/>
          </w:tcPr>
          <w:p w14:paraId="64F9687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施工地点 </w:t>
            </w:r>
          </w:p>
        </w:tc>
        <w:tc>
          <w:tcPr>
            <w:tcW w:w="7549" w:type="dxa"/>
            <w:noWrap w:val="0"/>
            <w:vAlign w:val="top"/>
          </w:tcPr>
          <w:p w14:paraId="0545D581">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采购人指定地点。 </w:t>
            </w:r>
          </w:p>
        </w:tc>
      </w:tr>
      <w:tr w14:paraId="6E5D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47786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46C066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65FC22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005B17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A19B5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6909A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E4DD7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p>
        </w:tc>
        <w:tc>
          <w:tcPr>
            <w:tcW w:w="1471" w:type="dxa"/>
            <w:noWrap w:val="0"/>
            <w:vAlign w:val="top"/>
          </w:tcPr>
          <w:p w14:paraId="582142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43A9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AC922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5DF684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1B74E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E67A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D5DCE4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报价要求 </w:t>
            </w:r>
          </w:p>
        </w:tc>
        <w:tc>
          <w:tcPr>
            <w:tcW w:w="7549" w:type="dxa"/>
            <w:noWrap w:val="0"/>
            <w:vAlign w:val="top"/>
          </w:tcPr>
          <w:p w14:paraId="7CD461F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1、本项目的报价和结算支付均以人民币为货币单位。 </w:t>
            </w:r>
          </w:p>
          <w:p w14:paraId="66E4381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2、供应商报价应包括设计、采购、运输、安装、相关部门验收及保修期内的维护保养等所有含税费用，以及供应商认为必要的其他货物、材料、工程、服务。</w:t>
            </w:r>
          </w:p>
          <w:p w14:paraId="46BA5AB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3、如出现任何遗漏内容需产生额外费用，均由成交供应商自行承担，采购人将不再另支付任何费用。 </w:t>
            </w:r>
          </w:p>
          <w:p w14:paraId="18AD7D4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697E7E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5、供应商应被认为在填报报价之前，已经仔细阅读了本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文件的所有有关章节以及审查了所有相关资料，已确保本次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范围内的各种价格风险均已包含在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的报价内。 </w:t>
            </w:r>
          </w:p>
        </w:tc>
      </w:tr>
      <w:tr w14:paraId="368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0" w:hRule="atLeast"/>
          <w:jc w:val="center"/>
        </w:trPr>
        <w:tc>
          <w:tcPr>
            <w:tcW w:w="836" w:type="dxa"/>
            <w:noWrap w:val="0"/>
            <w:vAlign w:val="top"/>
          </w:tcPr>
          <w:p w14:paraId="3487F2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ED936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640AA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823E1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426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F2D8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p>
        </w:tc>
        <w:tc>
          <w:tcPr>
            <w:tcW w:w="1471" w:type="dxa"/>
            <w:noWrap w:val="0"/>
            <w:vAlign w:val="top"/>
          </w:tcPr>
          <w:p w14:paraId="7189BB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CF0B7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4ED3FC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2EC8CE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958ECF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质量要求和质量保修期 </w:t>
            </w:r>
          </w:p>
        </w:tc>
        <w:tc>
          <w:tcPr>
            <w:tcW w:w="7549" w:type="dxa"/>
            <w:noWrap w:val="0"/>
            <w:vAlign w:val="top"/>
          </w:tcPr>
          <w:p w14:paraId="6D93B0A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1、质量：符合国家有关施工质量验收标准的合格工程或合同约定。工程规范以现行的或承担具体施工任务期间国家和行业新颁布施行的规范、规程为准。</w:t>
            </w:r>
          </w:p>
          <w:p w14:paraId="176D159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2、材料、设备、施工须达到现行中华人民共和国以及省、自治区、直辖市或行业的工程建设标准、规范的要求及验收标准及有关规范为质量评定验收标准。 </w:t>
            </w:r>
          </w:p>
          <w:p w14:paraId="368F92B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3、质量保修期：</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国务院《建设工程质量管理条例》第四十</w:t>
            </w:r>
            <w:r>
              <w:rPr>
                <w:rFonts w:hint="eastAsia" w:ascii="宋体" w:hAnsi="宋体" w:eastAsia="宋体" w:cs="宋体"/>
                <w:color w:val="auto"/>
                <w:sz w:val="24"/>
                <w:szCs w:val="24"/>
                <w:highlight w:val="none"/>
                <w:lang w:val="en-US" w:eastAsia="zh-CN"/>
              </w:rPr>
              <w:t>条相关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执行。</w:t>
            </w:r>
          </w:p>
          <w:p w14:paraId="2CCC521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4D99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836" w:type="dxa"/>
            <w:noWrap w:val="0"/>
            <w:vAlign w:val="top"/>
          </w:tcPr>
          <w:p w14:paraId="6D3909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A8DF6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D1AB4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  </w:t>
            </w:r>
          </w:p>
        </w:tc>
        <w:tc>
          <w:tcPr>
            <w:tcW w:w="1471" w:type="dxa"/>
            <w:noWrap w:val="0"/>
            <w:vAlign w:val="top"/>
          </w:tcPr>
          <w:p w14:paraId="7F8951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12526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4CA4E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验收 </w:t>
            </w:r>
          </w:p>
        </w:tc>
        <w:tc>
          <w:tcPr>
            <w:tcW w:w="7549" w:type="dxa"/>
            <w:noWrap w:val="0"/>
            <w:vAlign w:val="top"/>
          </w:tcPr>
          <w:p w14:paraId="5D73F03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14:paraId="6FC0638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2、采购人在收到成交供应商提交的竣工报告后不组织验收，或验收后不提出修改意见，视为竣工报告已被认可。 </w:t>
            </w:r>
          </w:p>
          <w:p w14:paraId="22342E4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14:paraId="607B911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4、竣工报告被认可，则表明已完成合同工程，并视为通过竣工验收，采购人应向成交供应商颁发工程竣工验收证书。 </w:t>
            </w:r>
          </w:p>
        </w:tc>
      </w:tr>
      <w:tr w14:paraId="74D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1BF125A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3E05430">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宋体" w:hAnsi="宋体" w:eastAsia="宋体" w:cs="宋体"/>
                <w:color w:val="FF0000"/>
                <w:sz w:val="24"/>
                <w:szCs w:val="24"/>
                <w:highlight w:val="none"/>
                <w:lang w:val="zh-CN" w:eastAsia="zh-CN"/>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471" w:type="dxa"/>
            <w:noWrap w:val="0"/>
            <w:vAlign w:val="top"/>
          </w:tcPr>
          <w:p w14:paraId="056F4B7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E1186EB">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宋体" w:hAnsi="宋体" w:eastAsia="宋体" w:cs="宋体"/>
                <w:color w:val="FF0000"/>
                <w:sz w:val="24"/>
                <w:szCs w:val="24"/>
                <w:highlight w:val="none"/>
                <w:lang w:val="zh-CN" w:eastAsia="zh-CN"/>
              </w:rPr>
            </w:pPr>
            <w:r>
              <w:rPr>
                <w:rFonts w:hint="eastAsia" w:ascii="宋体" w:hAnsi="宋体" w:eastAsia="宋体" w:cs="宋体"/>
                <w:color w:val="000000" w:themeColor="text1"/>
                <w:sz w:val="24"/>
                <w:szCs w:val="24"/>
                <w:highlight w:val="none"/>
                <w14:textFill>
                  <w14:solidFill>
                    <w14:schemeClr w14:val="tx1"/>
                  </w14:solidFill>
                </w14:textFill>
              </w:rPr>
              <w:t>付款方式</w:t>
            </w:r>
          </w:p>
        </w:tc>
        <w:tc>
          <w:tcPr>
            <w:tcW w:w="7549" w:type="dxa"/>
            <w:noWrap w:val="0"/>
            <w:vAlign w:val="top"/>
          </w:tcPr>
          <w:p w14:paraId="0057D07C">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left"/>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rPr>
              <w:t>施工合同签订开工后，首次按合同价的30%支付预付款。施工过程中根据施工进度支付工程进度款，竣工验收后按审计结算价支付剩余工程款。预留3%作为质量保证金(质保期一年，接受担保机构的保函、保险机构的保单等其他非现金交易担保方式)，质保期满项目承包方提请返还保证金申请，经双方验收无误并签署一致意见后一次性结清。</w:t>
            </w:r>
          </w:p>
        </w:tc>
      </w:tr>
      <w:tr w14:paraId="79E0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36" w:type="dxa"/>
            <w:noWrap w:val="0"/>
            <w:vAlign w:val="top"/>
          </w:tcPr>
          <w:p w14:paraId="235B64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F6290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CE32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DDE76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9E7F3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9  </w:t>
            </w:r>
          </w:p>
        </w:tc>
        <w:tc>
          <w:tcPr>
            <w:tcW w:w="1471" w:type="dxa"/>
            <w:noWrap w:val="0"/>
            <w:vAlign w:val="top"/>
          </w:tcPr>
          <w:p w14:paraId="335B31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DA0C0C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7838BB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2C437D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7F80428">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项目要求 </w:t>
            </w:r>
          </w:p>
        </w:tc>
        <w:tc>
          <w:tcPr>
            <w:tcW w:w="7549" w:type="dxa"/>
            <w:noWrap w:val="0"/>
            <w:vAlign w:val="top"/>
          </w:tcPr>
          <w:p w14:paraId="762CDA8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1、成交人必须遵照采购人的管理及安排，按采购人的内容、质量、时间要求制作,所有的服务必须达到采购人的要求。 </w:t>
            </w:r>
          </w:p>
          <w:p w14:paraId="23B5784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2、项目建设工作完成后应按要求及时清理现场工作。 </w:t>
            </w:r>
          </w:p>
          <w:p w14:paraId="70A07424">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3、★成交供应商必须在施工过程中注意自身及周边安全，负责施工过程中的所有事故处理和费用。 </w:t>
            </w:r>
          </w:p>
          <w:p w14:paraId="1B2ED42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中详细列出参与本项目的人员名单。 </w:t>
            </w:r>
          </w:p>
        </w:tc>
      </w:tr>
      <w:tr w14:paraId="1C32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jc w:val="center"/>
        </w:trPr>
        <w:tc>
          <w:tcPr>
            <w:tcW w:w="836" w:type="dxa"/>
            <w:noWrap w:val="0"/>
            <w:vAlign w:val="top"/>
          </w:tcPr>
          <w:p w14:paraId="09A5DA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17E2D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CF0E66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10.  </w:t>
            </w:r>
          </w:p>
        </w:tc>
        <w:tc>
          <w:tcPr>
            <w:tcW w:w="1471" w:type="dxa"/>
            <w:noWrap w:val="0"/>
            <w:vAlign w:val="top"/>
          </w:tcPr>
          <w:p w14:paraId="550304C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41FFF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64BD9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其它要求 </w:t>
            </w:r>
          </w:p>
        </w:tc>
        <w:tc>
          <w:tcPr>
            <w:tcW w:w="7549" w:type="dxa"/>
            <w:noWrap w:val="0"/>
            <w:vAlign w:val="top"/>
          </w:tcPr>
          <w:p w14:paraId="21E4A9B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1、成交供应商施工前后，需负责原有地面拆旧，杂物清理及外运； </w:t>
            </w:r>
          </w:p>
          <w:p w14:paraId="3D01BA8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2、成交供应商需严格按照采购人需求及设计效果图保质保量施工，不得偷工减料； </w:t>
            </w:r>
          </w:p>
          <w:p w14:paraId="32C0C8E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3、施工中使用的原材料必须为原厂全新材料，不得翻旧利旧，保证设计效果质量。 </w:t>
            </w:r>
          </w:p>
        </w:tc>
      </w:tr>
    </w:tbl>
    <w:p w14:paraId="55B726D8">
      <w:pPr>
        <w:tabs>
          <w:tab w:val="left" w:pos="562"/>
        </w:tabs>
        <w:bidi w:val="0"/>
        <w:jc w:val="left"/>
        <w:rPr>
          <w:rFonts w:hint="eastAsia"/>
          <w:color w:val="auto"/>
          <w:highlight w:val="none"/>
          <w:lang w:val="zh-CN" w:eastAsia="zh-CN"/>
        </w:rPr>
        <w:sectPr>
          <w:footerReference r:id="rId14" w:type="default"/>
          <w:pgSz w:w="11910" w:h="16840"/>
          <w:pgMar w:top="1984" w:right="1531" w:bottom="2098" w:left="1531" w:header="670" w:footer="1041" w:gutter="0"/>
          <w:pgNumType w:fmt="decimal"/>
          <w:cols w:space="720" w:num="1"/>
          <w:rtlGutter w:val="0"/>
          <w:docGrid w:linePitch="1" w:charSpace="0"/>
        </w:sectPr>
      </w:pPr>
    </w:p>
    <w:p w14:paraId="42BE51B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II  技术要求 </w:t>
      </w:r>
    </w:p>
    <w:p w14:paraId="31853F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1095FD8">
      <w:pPr>
        <w:keepNext w:val="0"/>
        <w:keepLines w:val="0"/>
        <w:pageBreakBefore w:val="0"/>
        <w:widowControl w:val="0"/>
        <w:numPr>
          <w:ilvl w:val="0"/>
          <w:numId w:val="6"/>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工程量清单 </w:t>
      </w:r>
    </w:p>
    <w:p w14:paraId="0AA44945">
      <w:pPr>
        <w:pStyle w:val="14"/>
        <w:numPr>
          <w:ilvl w:val="0"/>
          <w:numId w:val="0"/>
        </w:numPr>
        <w:ind w:right="0" w:rightChars="0"/>
        <w:rPr>
          <w:rFonts w:hint="eastAsia"/>
          <w:color w:val="auto"/>
          <w:highlight w:val="none"/>
        </w:rPr>
      </w:pPr>
    </w:p>
    <w:p w14:paraId="03930D38">
      <w:pPr>
        <w:pStyle w:val="2"/>
        <w:spacing w:line="360" w:lineRule="exact"/>
        <w:ind w:left="0" w:leftChars="0" w:firstLine="0" w:firstLineChars="0"/>
        <w:rPr>
          <w:rFonts w:hint="eastAsia"/>
          <w:color w:val="auto"/>
          <w:sz w:val="24"/>
          <w:szCs w:val="24"/>
          <w:highlight w:val="none"/>
        </w:rPr>
      </w:pPr>
      <w:bookmarkStart w:id="14" w:name="_Toc152045773"/>
      <w:bookmarkStart w:id="15" w:name="_Toc246996341"/>
      <w:bookmarkStart w:id="16" w:name="_Toc495501809"/>
      <w:bookmarkStart w:id="17" w:name="_Toc418164814"/>
      <w:bookmarkStart w:id="18" w:name="_Toc144974835"/>
      <w:bookmarkStart w:id="19" w:name="_Toc179632790"/>
      <w:bookmarkStart w:id="20" w:name="_Toc246997084"/>
      <w:bookmarkStart w:id="21" w:name="_Toc152042555"/>
      <w:bookmarkStart w:id="22" w:name="_Toc247085856"/>
      <w:r>
        <w:rPr>
          <w:rFonts w:hint="eastAsia"/>
          <w:color w:val="auto"/>
          <w:sz w:val="24"/>
          <w:szCs w:val="24"/>
          <w:highlight w:val="none"/>
        </w:rPr>
        <w:t>1. 工程量清单说明</w:t>
      </w:r>
      <w:bookmarkEnd w:id="14"/>
      <w:bookmarkEnd w:id="15"/>
      <w:bookmarkEnd w:id="16"/>
      <w:bookmarkEnd w:id="17"/>
      <w:bookmarkEnd w:id="18"/>
      <w:bookmarkEnd w:id="19"/>
      <w:bookmarkEnd w:id="20"/>
      <w:bookmarkEnd w:id="21"/>
      <w:bookmarkEnd w:id="22"/>
    </w:p>
    <w:p w14:paraId="473A9996">
      <w:pPr>
        <w:spacing w:line="360" w:lineRule="exact"/>
        <w:rPr>
          <w:rFonts w:hint="eastAsia"/>
          <w:color w:val="auto"/>
          <w:highlight w:val="none"/>
        </w:rPr>
      </w:pPr>
      <w:r>
        <w:rPr>
          <w:rFonts w:hint="eastAsia"/>
          <w:color w:val="auto"/>
          <w:highlight w:val="none"/>
        </w:rPr>
        <w:t>1.1 本工程量清单是根据</w:t>
      </w:r>
      <w:r>
        <w:rPr>
          <w:rFonts w:hint="eastAsia"/>
          <w:color w:val="auto"/>
          <w:highlight w:val="none"/>
          <w:lang w:eastAsia="zh-CN"/>
        </w:rPr>
        <w:t>谈判文件</w:t>
      </w:r>
      <w:r>
        <w:rPr>
          <w:rFonts w:hint="eastAsia"/>
          <w:color w:val="auto"/>
          <w:highlight w:val="none"/>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677849">
      <w:pPr>
        <w:spacing w:line="360" w:lineRule="exact"/>
        <w:rPr>
          <w:rFonts w:hint="eastAsia"/>
          <w:color w:val="auto"/>
          <w:highlight w:val="none"/>
        </w:rPr>
      </w:pPr>
      <w:r>
        <w:rPr>
          <w:rFonts w:hint="eastAsia"/>
          <w:color w:val="auto"/>
          <w:highlight w:val="none"/>
        </w:rPr>
        <w:t>1.2 本工程量清单应与</w:t>
      </w:r>
      <w:r>
        <w:rPr>
          <w:rFonts w:hint="eastAsia"/>
          <w:color w:val="auto"/>
          <w:highlight w:val="none"/>
          <w:lang w:eastAsia="zh-CN"/>
        </w:rPr>
        <w:t>谈判文件</w:t>
      </w:r>
      <w:r>
        <w:rPr>
          <w:rFonts w:hint="eastAsia"/>
          <w:color w:val="auto"/>
          <w:highlight w:val="none"/>
        </w:rPr>
        <w:t>中的</w:t>
      </w:r>
      <w:r>
        <w:rPr>
          <w:rFonts w:hint="eastAsia"/>
          <w:color w:val="auto"/>
          <w:highlight w:val="none"/>
          <w:lang w:eastAsia="zh-CN"/>
        </w:rPr>
        <w:t>供应商</w:t>
      </w:r>
      <w:r>
        <w:rPr>
          <w:rFonts w:hint="eastAsia"/>
          <w:color w:val="auto"/>
          <w:highlight w:val="none"/>
        </w:rPr>
        <w:t>须知、通用合同条款、专用合同条款、技术标准和要求及图纸等一起阅读和理解。</w:t>
      </w:r>
    </w:p>
    <w:p w14:paraId="7191C17A">
      <w:pPr>
        <w:spacing w:line="360" w:lineRule="exact"/>
        <w:rPr>
          <w:rFonts w:hint="eastAsia"/>
          <w:color w:val="auto"/>
          <w:highlight w:val="none"/>
        </w:rPr>
      </w:pPr>
      <w:r>
        <w:rPr>
          <w:rFonts w:hint="eastAsia"/>
          <w:color w:val="auto"/>
          <w:highlight w:val="none"/>
        </w:rPr>
        <w:t>1.3 本工程量清单仅是投标报价的共同基础，实际工程计量和工程价款的支付应遵循合同条款的约定和第七章“技术标准和要求”的有关规定。</w:t>
      </w:r>
    </w:p>
    <w:p w14:paraId="7DC272F1">
      <w:pPr>
        <w:spacing w:line="360" w:lineRule="exact"/>
        <w:rPr>
          <w:rFonts w:hint="eastAsia"/>
          <w:color w:val="auto"/>
          <w:highlight w:val="none"/>
        </w:rPr>
      </w:pPr>
      <w:r>
        <w:rPr>
          <w:rFonts w:hint="eastAsia"/>
          <w:color w:val="auto"/>
          <w:highlight w:val="none"/>
        </w:rPr>
        <w:t>1.4 补充子目工程量计算规则及子目工作内容说明：</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73217800">
      <w:pPr>
        <w:pStyle w:val="2"/>
        <w:spacing w:line="360" w:lineRule="exact"/>
        <w:ind w:left="0" w:leftChars="0" w:firstLine="0" w:firstLineChars="0"/>
        <w:rPr>
          <w:rFonts w:hint="eastAsia"/>
          <w:color w:val="auto"/>
          <w:sz w:val="24"/>
          <w:szCs w:val="24"/>
          <w:highlight w:val="none"/>
        </w:rPr>
      </w:pPr>
      <w:bookmarkStart w:id="23" w:name="_Toc246996342"/>
      <w:bookmarkStart w:id="24" w:name="_Toc152042556"/>
      <w:bookmarkStart w:id="25" w:name="_Toc179632791"/>
      <w:bookmarkStart w:id="26" w:name="_Toc246997085"/>
      <w:bookmarkStart w:id="27" w:name="_Toc152045774"/>
      <w:bookmarkStart w:id="28" w:name="_Toc495501810"/>
      <w:bookmarkStart w:id="29" w:name="_Toc418164815"/>
      <w:bookmarkStart w:id="30" w:name="_Toc247085857"/>
      <w:bookmarkStart w:id="31" w:name="_Toc144974836"/>
      <w:r>
        <w:rPr>
          <w:rFonts w:hint="eastAsia"/>
          <w:color w:val="auto"/>
          <w:sz w:val="24"/>
          <w:szCs w:val="24"/>
          <w:highlight w:val="none"/>
        </w:rPr>
        <w:t>2. 投标报价说明</w:t>
      </w:r>
      <w:bookmarkEnd w:id="23"/>
      <w:bookmarkEnd w:id="24"/>
      <w:bookmarkEnd w:id="25"/>
      <w:bookmarkEnd w:id="26"/>
      <w:bookmarkEnd w:id="27"/>
      <w:bookmarkEnd w:id="28"/>
      <w:bookmarkEnd w:id="29"/>
      <w:bookmarkEnd w:id="30"/>
      <w:bookmarkEnd w:id="31"/>
    </w:p>
    <w:p w14:paraId="4731003C">
      <w:pPr>
        <w:spacing w:line="360" w:lineRule="exact"/>
        <w:rPr>
          <w:rFonts w:hint="eastAsia"/>
          <w:color w:val="auto"/>
          <w:highlight w:val="none"/>
        </w:rPr>
      </w:pPr>
      <w:bookmarkStart w:id="32" w:name="_Toc246997087"/>
      <w:bookmarkStart w:id="33" w:name="_Toc152042558"/>
      <w:bookmarkStart w:id="34" w:name="_Toc247085859"/>
      <w:bookmarkStart w:id="35" w:name="_Toc152042557"/>
      <w:bookmarkStart w:id="36" w:name="_Toc246996344"/>
      <w:bookmarkStart w:id="37" w:name="_Toc144974837"/>
      <w:bookmarkStart w:id="38" w:name="_Toc144974838"/>
      <w:bookmarkStart w:id="39" w:name="_Toc152045775"/>
      <w:bookmarkStart w:id="40" w:name="_Toc152045776"/>
      <w:bookmarkStart w:id="41" w:name="_Toc179632793"/>
      <w:r>
        <w:rPr>
          <w:rFonts w:hint="eastAsia"/>
          <w:color w:val="auto"/>
          <w:highlight w:val="none"/>
        </w:rPr>
        <w:t>2.1</w:t>
      </w:r>
      <w:r>
        <w:rPr>
          <w:rFonts w:hint="eastAsia"/>
          <w:color w:val="auto"/>
          <w:highlight w:val="none"/>
          <w:lang w:val="en-US" w:eastAsia="zh-CN"/>
        </w:rPr>
        <w:t xml:space="preserve"> </w:t>
      </w:r>
      <w:r>
        <w:rPr>
          <w:rFonts w:hint="eastAsia"/>
          <w:color w:val="auto"/>
          <w:highlight w:val="none"/>
        </w:rPr>
        <w:t>投标报价应根据</w:t>
      </w:r>
      <w:r>
        <w:rPr>
          <w:rFonts w:hint="eastAsia"/>
          <w:color w:val="auto"/>
          <w:highlight w:val="none"/>
          <w:lang w:eastAsia="zh-CN"/>
        </w:rPr>
        <w:t>谈判文件</w:t>
      </w:r>
      <w:r>
        <w:rPr>
          <w:rFonts w:hint="eastAsia"/>
          <w:color w:val="auto"/>
          <w:highlight w:val="none"/>
        </w:rPr>
        <w:t>中的有关计价要求，并按照下列依据自主报价（另附）</w:t>
      </w:r>
    </w:p>
    <w:p w14:paraId="0699BB24">
      <w:pPr>
        <w:spacing w:line="360" w:lineRule="exact"/>
        <w:rPr>
          <w:rFonts w:hint="eastAsia"/>
          <w:color w:val="auto"/>
          <w:highlight w:val="none"/>
        </w:rPr>
      </w:pPr>
      <w:r>
        <w:rPr>
          <w:rFonts w:hint="eastAsia"/>
          <w:color w:val="auto"/>
          <w:highlight w:val="none"/>
        </w:rPr>
        <w:t>2.2 工程量清单中的每一子目须填入单价或价格，且只允许有一个报价。工程量清单中</w:t>
      </w:r>
      <w:r>
        <w:rPr>
          <w:rFonts w:hint="eastAsia"/>
          <w:color w:val="auto"/>
          <w:highlight w:val="none"/>
          <w:lang w:eastAsia="zh-CN"/>
        </w:rPr>
        <w:t>供应商</w:t>
      </w:r>
      <w:r>
        <w:rPr>
          <w:rFonts w:hint="eastAsia"/>
          <w:color w:val="auto"/>
          <w:highlight w:val="none"/>
        </w:rPr>
        <w:t>没有填入单价或价格的子目，其费用视为已分摊在工程量清单中其他相关子目的单价或价格之中。</w:t>
      </w:r>
    </w:p>
    <w:p w14:paraId="5557403F">
      <w:pPr>
        <w:spacing w:line="360" w:lineRule="exact"/>
        <w:rPr>
          <w:rFonts w:hint="eastAsia"/>
          <w:color w:val="auto"/>
          <w:highlight w:val="none"/>
        </w:rPr>
      </w:pPr>
      <w:r>
        <w:rPr>
          <w:rFonts w:hint="eastAsia"/>
          <w:color w:val="auto"/>
          <w:highlight w:val="none"/>
        </w:rPr>
        <w:t>2.3 工程量清单中标价的单价或金额，应包括所需的人工费、材料和施工机具使用费和企业管理费、利润以及一定范围内的风险费用等。</w:t>
      </w:r>
    </w:p>
    <w:p w14:paraId="132A8982">
      <w:pPr>
        <w:spacing w:line="360" w:lineRule="exact"/>
        <w:rPr>
          <w:rFonts w:hint="eastAsia"/>
          <w:color w:val="auto"/>
          <w:highlight w:val="none"/>
        </w:rPr>
      </w:pPr>
      <w:r>
        <w:rPr>
          <w:rFonts w:hint="eastAsia"/>
          <w:color w:val="auto"/>
          <w:highlight w:val="none"/>
        </w:rPr>
        <w:t>2.4</w:t>
      </w:r>
      <w:r>
        <w:rPr>
          <w:rFonts w:hint="eastAsia"/>
          <w:color w:val="auto"/>
          <w:highlight w:val="none"/>
          <w:lang w:val="en-US" w:eastAsia="zh-CN"/>
        </w:rPr>
        <w:t xml:space="preserve"> </w:t>
      </w:r>
      <w:r>
        <w:rPr>
          <w:rFonts w:hint="eastAsia"/>
          <w:color w:val="auto"/>
          <w:highlight w:val="none"/>
        </w:rPr>
        <w:t>投标总报价为</w:t>
      </w:r>
      <w:r>
        <w:rPr>
          <w:rFonts w:hint="eastAsia"/>
          <w:color w:val="auto"/>
          <w:highlight w:val="none"/>
          <w:lang w:eastAsia="zh-CN"/>
        </w:rPr>
        <w:t>供应商</w:t>
      </w:r>
      <w:r>
        <w:rPr>
          <w:rFonts w:hint="eastAsia"/>
          <w:color w:val="auto"/>
          <w:highlight w:val="none"/>
        </w:rPr>
        <w:t>完成招标范围所述的全部工程内容的体现和完成该工程项目的成本、管理费、技术措施费、利润、风险费及政策性文件规定的不可竞争费用、规费和税金等所有费用，以及所有根据合同或其它原因由</w:t>
      </w:r>
      <w:r>
        <w:rPr>
          <w:rFonts w:hint="eastAsia"/>
          <w:color w:val="auto"/>
          <w:highlight w:val="none"/>
          <w:lang w:eastAsia="zh-CN"/>
        </w:rPr>
        <w:t>供应商</w:t>
      </w:r>
      <w:r>
        <w:rPr>
          <w:rFonts w:hint="eastAsia"/>
          <w:color w:val="auto"/>
          <w:highlight w:val="none"/>
        </w:rPr>
        <w:t>支付的税金和其它应缴纳的费用。</w:t>
      </w:r>
    </w:p>
    <w:p w14:paraId="0448E806">
      <w:pPr>
        <w:spacing w:line="360" w:lineRule="exact"/>
        <w:rPr>
          <w:rFonts w:hint="eastAsia"/>
          <w:color w:val="auto"/>
          <w:highlight w:val="none"/>
        </w:rPr>
      </w:pPr>
      <w:r>
        <w:rPr>
          <w:rFonts w:hint="eastAsia"/>
          <w:color w:val="auto"/>
          <w:highlight w:val="none"/>
        </w:rPr>
        <w:t xml:space="preserve">2.5 </w:t>
      </w:r>
      <w:r>
        <w:rPr>
          <w:rFonts w:hint="eastAsia"/>
          <w:color w:val="auto"/>
          <w:highlight w:val="none"/>
          <w:lang w:val="en-US" w:eastAsia="zh-CN"/>
        </w:rPr>
        <w:t xml:space="preserve"> </w:t>
      </w:r>
      <w:r>
        <w:rPr>
          <w:rFonts w:hint="eastAsia"/>
          <w:color w:val="auto"/>
          <w:highlight w:val="none"/>
        </w:rPr>
        <w:t>暂列金额的数量及拟用子目的说明：（另附）</w:t>
      </w:r>
    </w:p>
    <w:p w14:paraId="066F273E">
      <w:pPr>
        <w:pStyle w:val="2"/>
        <w:spacing w:line="360" w:lineRule="exact"/>
        <w:ind w:left="0" w:leftChars="0" w:firstLine="0" w:firstLineChars="0"/>
        <w:rPr>
          <w:rFonts w:hint="eastAsia"/>
          <w:color w:val="auto"/>
          <w:sz w:val="24"/>
          <w:szCs w:val="24"/>
          <w:highlight w:val="none"/>
        </w:rPr>
      </w:pPr>
      <w:bookmarkStart w:id="42" w:name="_Toc418164816"/>
      <w:bookmarkStart w:id="43" w:name="_Toc179632792"/>
      <w:bookmarkStart w:id="44" w:name="_Toc246997086"/>
      <w:bookmarkStart w:id="45" w:name="_Toc411795051"/>
      <w:bookmarkStart w:id="46" w:name="_Toc247085858"/>
      <w:bookmarkStart w:id="47" w:name="_Toc495501811"/>
      <w:bookmarkStart w:id="48" w:name="_Toc246996343"/>
      <w:r>
        <w:rPr>
          <w:rFonts w:hint="eastAsia"/>
          <w:color w:val="auto"/>
          <w:sz w:val="24"/>
          <w:szCs w:val="24"/>
          <w:highlight w:val="none"/>
        </w:rPr>
        <w:t>3. 其他说明</w:t>
      </w:r>
      <w:bookmarkEnd w:id="42"/>
      <w:bookmarkEnd w:id="43"/>
      <w:bookmarkEnd w:id="44"/>
      <w:bookmarkEnd w:id="45"/>
      <w:bookmarkEnd w:id="46"/>
      <w:bookmarkEnd w:id="47"/>
      <w:bookmarkEnd w:id="48"/>
    </w:p>
    <w:p w14:paraId="29BFFACB">
      <w:pPr>
        <w:pStyle w:val="2"/>
        <w:spacing w:line="360" w:lineRule="exact"/>
        <w:ind w:left="0" w:leftChars="0" w:firstLine="0" w:firstLineChars="0"/>
        <w:rPr>
          <w:rFonts w:hint="eastAsia"/>
          <w:color w:val="auto"/>
          <w:sz w:val="24"/>
          <w:szCs w:val="24"/>
          <w:highlight w:val="none"/>
        </w:rPr>
      </w:pPr>
    </w:p>
    <w:p w14:paraId="5E1FF02E">
      <w:pPr>
        <w:pStyle w:val="2"/>
        <w:spacing w:line="360" w:lineRule="exact"/>
        <w:ind w:left="0" w:leftChars="0" w:firstLine="0" w:firstLineChars="0"/>
        <w:rPr>
          <w:rFonts w:hint="eastAsia"/>
          <w:color w:val="auto"/>
          <w:sz w:val="24"/>
          <w:szCs w:val="24"/>
          <w:highlight w:val="none"/>
        </w:rPr>
      </w:pPr>
      <w:bookmarkStart w:id="49" w:name="_Toc418164817"/>
      <w:bookmarkStart w:id="50" w:name="_Toc495501812"/>
      <w:r>
        <w:rPr>
          <w:rFonts w:hint="eastAsia"/>
          <w:color w:val="auto"/>
          <w:sz w:val="24"/>
          <w:szCs w:val="24"/>
          <w:highlight w:val="none"/>
        </w:rPr>
        <w:t>4. 工程量清单</w:t>
      </w:r>
      <w:bookmarkEnd w:id="32"/>
      <w:bookmarkEnd w:id="33"/>
      <w:bookmarkEnd w:id="34"/>
      <w:bookmarkEnd w:id="35"/>
      <w:bookmarkEnd w:id="36"/>
      <w:bookmarkEnd w:id="37"/>
      <w:bookmarkEnd w:id="38"/>
      <w:bookmarkEnd w:id="39"/>
      <w:bookmarkEnd w:id="40"/>
      <w:bookmarkEnd w:id="41"/>
      <w:bookmarkEnd w:id="49"/>
      <w:r>
        <w:rPr>
          <w:rFonts w:hint="eastAsia"/>
          <w:color w:val="auto"/>
          <w:sz w:val="24"/>
          <w:szCs w:val="24"/>
          <w:highlight w:val="none"/>
        </w:rPr>
        <w:t xml:space="preserve"> （另附）</w:t>
      </w:r>
      <w:bookmarkEnd w:id="50"/>
    </w:p>
    <w:p w14:paraId="17BD272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24209B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二、图纸（</w:t>
      </w:r>
      <w:r>
        <w:rPr>
          <w:rFonts w:hint="eastAsia"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另附）</w:t>
      </w:r>
    </w:p>
    <w:p w14:paraId="74FC71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5" w:type="default"/>
          <w:pgSz w:w="11910" w:h="16840"/>
          <w:pgMar w:top="1984" w:right="1531" w:bottom="2098" w:left="1531" w:header="670" w:footer="1041" w:gutter="0"/>
          <w:pgNumType w:fmt="decimal"/>
          <w:cols w:space="720" w:num="1"/>
          <w:rtlGutter w:val="0"/>
          <w:docGrid w:linePitch="1" w:charSpace="0"/>
        </w:sectPr>
      </w:pPr>
    </w:p>
    <w:p w14:paraId="08DE5039">
      <w:pPr>
        <w:keepNext w:val="0"/>
        <w:keepLines w:val="0"/>
        <w:pageBreakBefore w:val="0"/>
        <w:widowControl w:val="0"/>
        <w:numPr>
          <w:ilvl w:val="0"/>
          <w:numId w:val="7"/>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51" w:name="_Toc2627_WPSOffice_Level1"/>
      <w:r>
        <w:rPr>
          <w:rFonts w:hint="eastAsia" w:ascii="微软雅黑" w:hAnsi="微软雅黑" w:eastAsia="微软雅黑" w:cs="微软雅黑"/>
          <w:b/>
          <w:bCs/>
          <w:color w:val="auto"/>
          <w:sz w:val="32"/>
          <w:szCs w:val="32"/>
          <w:highlight w:val="none"/>
        </w:rPr>
        <w:t>合同格式</w:t>
      </w:r>
      <w:bookmarkEnd w:id="51"/>
      <w:r>
        <w:rPr>
          <w:rFonts w:hint="eastAsia" w:ascii="微软雅黑" w:hAnsi="微软雅黑" w:eastAsia="微软雅黑" w:cs="微软雅黑"/>
          <w:b/>
          <w:bCs/>
          <w:color w:val="auto"/>
          <w:sz w:val="32"/>
          <w:szCs w:val="32"/>
          <w:highlight w:val="none"/>
        </w:rPr>
        <w:t xml:space="preserve"> </w:t>
      </w:r>
    </w:p>
    <w:p w14:paraId="2BAFEE61">
      <w:pPr>
        <w:pStyle w:val="14"/>
        <w:rPr>
          <w:rFonts w:hint="eastAsia"/>
          <w:color w:val="auto"/>
          <w:highlight w:val="none"/>
        </w:rPr>
      </w:pPr>
    </w:p>
    <w:p w14:paraId="6467CE77">
      <w:pPr>
        <w:pStyle w:val="6"/>
        <w:numPr>
          <w:ilvl w:val="0"/>
          <w:numId w:val="0"/>
        </w:numPr>
        <w:ind w:right="0" w:rightChars="0"/>
        <w:rPr>
          <w:rFonts w:hint="eastAsia"/>
          <w:color w:val="auto"/>
          <w:highlight w:val="none"/>
        </w:rPr>
      </w:pPr>
    </w:p>
    <w:p w14:paraId="1C2DCDE5">
      <w:pPr>
        <w:widowControl/>
        <w:kinsoku w:val="0"/>
        <w:autoSpaceDE w:val="0"/>
        <w:autoSpaceDN w:val="0"/>
        <w:adjustRightInd w:val="0"/>
        <w:snapToGrid w:val="0"/>
        <w:jc w:val="center"/>
        <w:textAlignment w:val="baseline"/>
        <w:outlineLvl w:val="0"/>
        <w:rPr>
          <w:rFonts w:hint="eastAsia" w:ascii="宋体" w:hAnsi="宋体" w:cs="宋体"/>
          <w:color w:val="auto"/>
          <w:sz w:val="32"/>
          <w:szCs w:val="32"/>
          <w:highlight w:val="none"/>
        </w:rPr>
      </w:pPr>
      <w:bookmarkStart w:id="52" w:name="_bookmark4"/>
      <w:bookmarkEnd w:id="52"/>
      <w:bookmarkStart w:id="53" w:name="_Toc10386_WPSOffice_Level1"/>
      <w:r>
        <w:rPr>
          <w:rFonts w:hint="eastAsia" w:ascii="宋体" w:hAnsi="宋体" w:cs="宋体"/>
          <w:color w:val="auto"/>
          <w:sz w:val="32"/>
          <w:szCs w:val="32"/>
          <w:highlight w:val="none"/>
        </w:rPr>
        <w:t>第一篇 合同格式和通用合同条款</w:t>
      </w:r>
    </w:p>
    <w:p w14:paraId="23CD7BD8">
      <w:pPr>
        <w:rPr>
          <w:rFonts w:hint="eastAsia" w:ascii="宋体" w:hAnsi="宋体" w:cs="宋体"/>
          <w:color w:val="auto"/>
          <w:sz w:val="24"/>
          <w:szCs w:val="24"/>
          <w:highlight w:val="none"/>
        </w:rPr>
      </w:pPr>
    </w:p>
    <w:p w14:paraId="141CA62E">
      <w:pPr>
        <w:widowControl/>
        <w:kinsoku w:val="0"/>
        <w:autoSpaceDE w:val="0"/>
        <w:autoSpaceDN w:val="0"/>
        <w:adjustRightInd w:val="0"/>
        <w:snapToGrid w:val="0"/>
        <w:jc w:val="center"/>
        <w:textAlignment w:val="baseline"/>
        <w:outlineLvl w:val="1"/>
        <w:rPr>
          <w:rFonts w:hint="eastAsia" w:ascii="宋体" w:hAnsi="宋体" w:cs="宋体"/>
          <w:color w:val="auto"/>
          <w:sz w:val="32"/>
          <w:szCs w:val="32"/>
          <w:highlight w:val="none"/>
        </w:rPr>
      </w:pPr>
      <w:bookmarkStart w:id="54" w:name="bookmark159"/>
      <w:bookmarkEnd w:id="54"/>
      <w:r>
        <w:rPr>
          <w:rFonts w:hint="eastAsia" w:ascii="宋体" w:hAnsi="宋体" w:cs="宋体"/>
          <w:color w:val="auto"/>
          <w:sz w:val="32"/>
          <w:szCs w:val="32"/>
          <w:highlight w:val="none"/>
        </w:rPr>
        <w:t>第二章 通用合同条款</w:t>
      </w:r>
    </w:p>
    <w:p w14:paraId="1603B302">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55" w:name="bookmark161"/>
      <w:bookmarkEnd w:id="55"/>
      <w:r>
        <w:rPr>
          <w:rFonts w:hint="eastAsia" w:ascii="宋体" w:hAnsi="宋体" w:cs="宋体"/>
          <w:b/>
          <w:bCs/>
          <w:color w:val="auto"/>
          <w:sz w:val="24"/>
          <w:szCs w:val="24"/>
          <w:highlight w:val="none"/>
        </w:rPr>
        <w:t>1.一般约定</w:t>
      </w:r>
    </w:p>
    <w:p w14:paraId="10C029ED">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 词语定义</w:t>
      </w:r>
    </w:p>
    <w:p w14:paraId="07CD314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合同中的下列词语应具有本款所赋予的含义。</w:t>
      </w:r>
    </w:p>
    <w:p w14:paraId="144EDC6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 合同</w:t>
      </w:r>
    </w:p>
    <w:p w14:paraId="26720B3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1.1.1.1 合同文件（或称合同）：指合同协议书、中标通知书（如有）、投标函及投标函附录（如有）、专用合同条款、通用合同条款、技术规范、图纸、工程量清单计量规则（或养护绩效管理规则）、已标价工程量清单（或绩效清单），以及其他合同文件。</w:t>
      </w:r>
    </w:p>
    <w:p w14:paraId="67C1906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1.1.1.2 合同协议书：指由发包人和承包人共同签署的明确签约合同价、工期和合同组成等合同核心内容的文件。</w:t>
      </w:r>
    </w:p>
    <w:p w14:paraId="1A54CEE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1.1.1.3 中标通知书：指发包人通知承包人中标的函件。</w:t>
      </w:r>
    </w:p>
    <w:p w14:paraId="08C961D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1.1.1.4 投标函：指构成合同文件组成部分的由承包人填写并签署，明确投标报价、工期等实质性内容的文件。</w:t>
      </w:r>
    </w:p>
    <w:p w14:paraId="2994C9F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1.1.1.5 投标函附录：指附在投标函后构成合同文件的附录。</w:t>
      </w:r>
    </w:p>
    <w:p w14:paraId="4E5A3F8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1.1.1.6 技术规范：指本合同所约定的技术标准和要求，是合同文件的组成部分。</w:t>
      </w:r>
    </w:p>
    <w:p w14:paraId="1070AD7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1.1.1.7 图纸：指包含在合同中的工程图纸，以及由发包人按合同约定提供的任何补充和修改的图纸，包括配套的说明。</w:t>
      </w:r>
    </w:p>
    <w:p w14:paraId="52AF736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1.1.1.8 工程量清单计量规则：指合同约定的计算合同工程量清单子目数量的规则。</w:t>
      </w:r>
    </w:p>
    <w:p w14:paraId="0876CCD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1.1.1.9 养护绩效管理规则：指合同约定的衡量承包人完成绩效服务水平的情况并据此支付合同款项的规则，包括养护绩效内容及要求、养护绩效考核、资金支付方法等。</w:t>
      </w:r>
    </w:p>
    <w:p w14:paraId="24E706C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1.1.1.10 已标价工程量清单：指构成合同文件组成部分的已标明价格、经算术性错误修正及其他错误修正（如有）且承包人已确认的最终的工程量清单，包括工程量清单说明、投标报价说明（如有）、计日工说明、其他说明及工程量清单各项表格。</w:t>
      </w:r>
    </w:p>
    <w:p w14:paraId="047AAB8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1.1.1.11 绩效清单：指构成合同文件组成部分的已标明合同总价，以及合同总价所包括的日常养护、养护工程相应线路路段或设施综合报价的清单，包括绩效清单说明、报价说明及绩效清单表、 日常养护绩效清单测算明细、养护工程绩效清单测算明细（如有）、其他说明文件和表格清单。</w:t>
      </w:r>
    </w:p>
    <w:p w14:paraId="04B601D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1.1.1.12 其他合同文件：指经合同双方当事人确认构成合同文件的其他文件（包括合同谈判文件等）。</w:t>
      </w:r>
    </w:p>
    <w:p w14:paraId="6E738ED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bookmarkStart w:id="56" w:name="bookmark162"/>
      <w:bookmarkEnd w:id="56"/>
      <w:r>
        <w:rPr>
          <w:rFonts w:hint="eastAsia" w:ascii="宋体" w:hAnsi="宋体" w:cs="宋体"/>
          <w:color w:val="auto"/>
          <w:sz w:val="24"/>
          <w:szCs w:val="24"/>
          <w:highlight w:val="none"/>
        </w:rPr>
        <w:t>1.1.2 合同当事人和人员</w:t>
      </w:r>
    </w:p>
    <w:p w14:paraId="36B0B28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1.1.2.1 合同当事人：指发包人和（或）承包人。</w:t>
      </w:r>
    </w:p>
    <w:p w14:paraId="7084718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1.1.2.2 发包人：指专用合同条款中指明并与承包人在合同协议书中签字的当事人。</w:t>
      </w:r>
    </w:p>
    <w:p w14:paraId="721B52D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1.1.2.3 承包人：指与发包人签订合同协议书的当事人。</w:t>
      </w:r>
    </w:p>
    <w:p w14:paraId="7FE6936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1.1.2.4 承包人项目经理：指由承包人书面委派负责管理养护项目的全权负责人。</w:t>
      </w:r>
    </w:p>
    <w:p w14:paraId="18E4BF2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1.1.2.5 承包人项目总工：指由承包人书面委派负责养护项目技术管理的总工程师或技术总负责人。</w:t>
      </w:r>
    </w:p>
    <w:p w14:paraId="31CFC66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1.1.2.6 分包人：指从承包人处分包合同中部分养护工程，并与其签订分包合同的法人或其他组织。</w:t>
      </w:r>
    </w:p>
    <w:p w14:paraId="0A1BD41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1.1.2.7 咨询人（监理人）：指在专用合同条款中指明的，受发包人委托对合同履行实施管理的法人或其他组织。未委托咨询人（监理人）的，本合同中咨询人（监理人）职责由发包人指定的管理机构或人员履行。</w:t>
      </w:r>
    </w:p>
    <w:p w14:paraId="0DA0A96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1.1.2.8 咨询总负责人（总监理工程师）：指由咨询人（监理人）委派的负责对合同履行实施管理的全权负责人。</w:t>
      </w:r>
    </w:p>
    <w:p w14:paraId="206AD5B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1.1.3养护项目、养护工程和设备</w:t>
      </w:r>
    </w:p>
    <w:p w14:paraId="3D11E0F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1.1.3.1 养护项目：指单独或组合发包的日常养护、养护工程项目等养护作业，或采用长年限方式实施的检测评定、设计、 日常养护和养护工程等组合发包的项目。具体工作内容在专用合同条款中约定。</w:t>
      </w:r>
    </w:p>
    <w:p w14:paraId="4B440E2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1.1.3.2 养护工程：指按合同约定施工并验收的预防养护、修复养护、专项养护、应急养护工程，包括工程设备。具体工作内容在专用合同条款中约定。</w:t>
      </w:r>
    </w:p>
    <w:p w14:paraId="212CE7E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1.1.3.3 日常养护：指养护工程以外的养护作业，包括日常保养和日常维修。具体工作内容在专用合同条款中约定。</w:t>
      </w:r>
    </w:p>
    <w:p w14:paraId="3E5FC50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1.1.3.4 临时工程：指为完成指定实施的养护工程所修建的各类临时性工程，不包括养护作业设备。</w:t>
      </w:r>
    </w:p>
    <w:p w14:paraId="0BD58D9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1.1.3.5 单位养护工程：指具备独立结构功能和施工组织条件的养护工程。</w:t>
      </w:r>
    </w:p>
    <w:p w14:paraId="3DA061C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1.1.3.6 养护单元：指根据养护工程性质和设施特点，结合养护施工方法、工序及规模等划分的养护工程基本评定单位。</w:t>
      </w:r>
    </w:p>
    <w:p w14:paraId="325EAB1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1.1.3.7 工程设备：指构成或计划构成养护工程一部分的机电设备、金属结构设备、仪器装置及其他类似的设备和装置。</w:t>
      </w:r>
    </w:p>
    <w:p w14:paraId="3BF3549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1.1.3.8 养护作业设备：指为完成合同约定的各项工作所需的设备、器具和其他物品，不包括临时工程和材料。</w:t>
      </w:r>
    </w:p>
    <w:p w14:paraId="0FD15E3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1.1.3.9 临时设施：指为完成合同约定的各项工作所服务的临时性生产和生活设施。</w:t>
      </w:r>
    </w:p>
    <w:p w14:paraId="655A2EC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1.1.3.10 承包人设备：指承包人自带的养护作业设备。</w:t>
      </w:r>
    </w:p>
    <w:p w14:paraId="33A7ADF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1.1.3.11 养护作业场地（或称工地、现场）：指用于实施养护作业的场所，以及在合同中指定作为养护作业场地组成部分的其他场所，包括临时占地。</w:t>
      </w:r>
    </w:p>
    <w:p w14:paraId="628A21E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1.1.3.12 临时占地：指为实施养护作业而需要的一切临时占用的土地，包括养护作业所用的临时支线、便道、便桥和现场的临时出入通道，以及生产（办公）、生活等临时设施用地等。</w:t>
      </w:r>
    </w:p>
    <w:p w14:paraId="2E57530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1.1.4 日期</w:t>
      </w:r>
    </w:p>
    <w:p w14:paraId="141032E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1.1.4.1 开工通知：指咨询人按第 11.1 款通知承包人开工的函件。</w:t>
      </w:r>
    </w:p>
    <w:p w14:paraId="0DE6E31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1.1.4.2 开工日期：指咨询人按第 11.1 款发出的开工通知中写明的开工日期。</w:t>
      </w:r>
    </w:p>
    <w:p w14:paraId="1513AC4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1.1.4.3 工期：指承包人按照合同约定完成养护项 目所需的期限，包括按第11.3 款和第 11.4 款约定所作的变更。具体内容在专用合同条款中约定。</w:t>
      </w:r>
    </w:p>
    <w:p w14:paraId="7B87CAA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1.1.4.4 交工日期：指第 1.1.4.3目约定工期届满时的日期。实际交工日期以交工验收证书中写明的日期为准。</w:t>
      </w:r>
    </w:p>
    <w:p w14:paraId="14AA177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1.1.4.5 缺陷责任期：指履行第 19.1.2 项约定的缺陷责任的期限，具体期限由专用合同条款约定，包括根据第 19.3 款约定所作的延长。</w:t>
      </w:r>
    </w:p>
    <w:p w14:paraId="53AB38E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1.1.4.6 基准日期：指合同协议书签订日前 28 天的日期（适用于直接发包或通过其他竞争性方式发包的养护项目），或投标截止时间前 28 天的日期（适用于招标发包的养护项目）。</w:t>
      </w:r>
    </w:p>
    <w:p w14:paraId="4F0BACA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1.1.4.7 天：除特别指明外，指日历天。合同中按天计算时间的，开始当天不计入，从次日开始计算。期限最后一天的截止时间为当天二十四时。</w:t>
      </w:r>
    </w:p>
    <w:p w14:paraId="0BCB37D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1.1.5 合同价格和费用</w:t>
      </w:r>
    </w:p>
    <w:p w14:paraId="5942D54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1.1.5.1 签约合同价：指签订合同时合同协议书中写明的，包括了暂列金额、暂估价的合同总金额。</w:t>
      </w:r>
    </w:p>
    <w:p w14:paraId="047E2B7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1.1.5.2 合同价格：指承包人按合同约定完成了包括缺陷责任期内的全部承包工作后，发包人应付给承包人的金额，包括在履行合同过程中按合同约定进行的变更和调整。</w:t>
      </w:r>
    </w:p>
    <w:p w14:paraId="0227251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1.1.5.3 费用：指为履行合同所发生的或将要发生的所有合理开支，包括管理费和应分摊的其他费用，但不包括利润。</w:t>
      </w:r>
    </w:p>
    <w:p w14:paraId="28F1E0E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1.1.5.4 暂列金额：指已标价工程量清单中所列的暂列金额，用于支付在签订协议书时尚未确定或不可预见变更的工程、材料、工程设备、服务的金额，包括以计日工方式支付的金额。</w:t>
      </w:r>
    </w:p>
    <w:p w14:paraId="7506FE5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1.1.5.5 暂估价：指发包人在工程量清单中给定的用于支付必然发生但暂时不能确定价格的工程、材料、工程设备、服务的金额。</w:t>
      </w:r>
    </w:p>
    <w:p w14:paraId="3B4B2C2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1.1.5.6 计日工：指对零星工作采取的一种计价方式，按合同中的计日工子目及其单价计价付款。</w:t>
      </w:r>
    </w:p>
    <w:p w14:paraId="1A637A2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1.1.5.7 质量保证金：指按第17.4.1项约定用于保证在缺陷责任期内履行缺陷修复义务的金额。</w:t>
      </w:r>
    </w:p>
    <w:p w14:paraId="255A5AF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1.1.6 其他</w:t>
      </w:r>
    </w:p>
    <w:p w14:paraId="3F694C7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1.1.6.1 书面形式：指合同文件、信件、电报、电传、传真等可以有形地表现所载内容的形式。以电子数据交换、电子邮件等方式能够有形地表现所载内容，并可以随时调取查用的数据电文，视为书面形式。</w:t>
      </w:r>
    </w:p>
    <w:p w14:paraId="7DF28F4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1.1.6.2 工程验收：指养护工程的交工验收或竣工验收。</w:t>
      </w:r>
    </w:p>
    <w:p w14:paraId="0A880AF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1.1.6.3 交工验收：指养护工程完工后组织进行的验收。</w:t>
      </w:r>
    </w:p>
    <w:p w14:paraId="1D165F0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1.1.6.4 竣工验收：指养护工程缺陷责任期满后组织进行的验收。</w:t>
      </w:r>
    </w:p>
    <w:p w14:paraId="772DD6A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1.1.6.5 交工验收证书：指养护工程交工验收合格后签发的验收证书。</w:t>
      </w:r>
    </w:p>
    <w:p w14:paraId="0E04B57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1.1.6.6 转包：指承包人违反法律和不履行合同约定的责任和义务，将养护项目全部委托或以分包的名义将养护项目支解后全部委托给其他企业的行为。</w:t>
      </w:r>
    </w:p>
    <w:p w14:paraId="0C0E460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1.1.6.7 分包：指承包人将其所承包养护项目中的部分工作发包给其他企业（分包人），由分包人自行组织完成分包工作并能独立控制工作质量、进度、生产安全等的活动。</w:t>
      </w:r>
    </w:p>
    <w:p w14:paraId="71958130">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 语言文字</w:t>
      </w:r>
    </w:p>
    <w:p w14:paraId="6F93994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除专用术语外，合同使用的语言文字为中文。必要时专用术语应附有中文注释。</w:t>
      </w:r>
    </w:p>
    <w:p w14:paraId="66C96ECB">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 法律</w:t>
      </w:r>
    </w:p>
    <w:p w14:paraId="04C2F73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适用于合同的法律包括中华人民共和国法律、行政法规、部门规章，以及养护项目所在地的地方性法规、 自治条例、单行条例和地方政府规章。</w:t>
      </w:r>
    </w:p>
    <w:p w14:paraId="45590DAE">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 标准的变化</w:t>
      </w:r>
    </w:p>
    <w:p w14:paraId="09E0535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在养护项目实施过程中，技术规范中所引用的标准版本发生重大变化，或者有新的国家、行业或地方标准实施，经发包人同意执行新标准的，由此导致费用增加和（或）工期延误由发包人承担。</w:t>
      </w:r>
    </w:p>
    <w:p w14:paraId="156909A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 图纸和承包人文件</w:t>
      </w:r>
    </w:p>
    <w:p w14:paraId="07C428E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1.5.1 图纸的提供</w:t>
      </w:r>
    </w:p>
    <w:p w14:paraId="0B88791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专用合同条款约定的期限内，咨询人应向承包人免费提供由发包人或其委托的设计单位设计的施工图纸、技术规范和其他技术资料（如有）2份，并向承包人进行技术交底。由于发包人未按时提供图纸造成工期延误的，按第11.3款的约定办理。</w:t>
      </w:r>
    </w:p>
    <w:p w14:paraId="0CC547B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1.5.2 承包人提供的文件</w:t>
      </w:r>
    </w:p>
    <w:p w14:paraId="17AD58E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根据合同要求与养护作业需要，承包人应免费向咨询人提交相关部分养护项目的图纸 3 份，并附必要的图纸说明和资料供咨询人批准。咨询人有修改意见的，承包人应作出修改后重新提交。</w:t>
      </w:r>
    </w:p>
    <w:p w14:paraId="549FA0B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1.5.3 图纸的修改</w:t>
      </w:r>
    </w:p>
    <w:p w14:paraId="3796C99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图纸需要修改和补充的，应由咨询人取得发包人同意后，在该养护工程或养护工程相应部位施工前的合理期限内签发图纸修改图给承包人，具体签发期限在专用合同条款中约定。承包人应按修改后的图纸实施作业。</w:t>
      </w:r>
    </w:p>
    <w:p w14:paraId="727553B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1.5.4 图纸的错误</w:t>
      </w:r>
    </w:p>
    <w:p w14:paraId="13125C2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当承包人在查阅合同文件或在养护项目实施过程中，发现有关的设计、技术规范、图纸或其他资料中的任何差错、遗漏或缺陷后，应及时通知咨询人。咨询人接到该通知后，应立即就此作出决定，并通知承包人和发包人。</w:t>
      </w:r>
    </w:p>
    <w:p w14:paraId="2C2EDF4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1.5.5 图纸和承包人文件的保管</w:t>
      </w:r>
    </w:p>
    <w:p w14:paraId="318CC06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咨询人和承包人均应在养护作业场地各保存一套完整的包含第 1.5.1 项、第1.5.2 项、第 1.5.3 项约定内容的图纸和承包人文件。</w:t>
      </w:r>
    </w:p>
    <w:p w14:paraId="10241B7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 联络</w:t>
      </w:r>
    </w:p>
    <w:p w14:paraId="0F2DF8A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1.6.1 与合同有关的通知、批准、证明、证书、指示、要求、请求、同意、意见、确定和决定等，均应采用书面形式。</w:t>
      </w:r>
    </w:p>
    <w:p w14:paraId="1F2F0FF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1.6.2 第 1.6.1 项中的通知、批准、证明、证书、指示、要求、请求、同意、意见、确定和决定等来往函件，均应在合同约定的期限内送达指定地点和接收人，并办理签收手续。</w:t>
      </w:r>
    </w:p>
    <w:p w14:paraId="295431A6">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 转让</w:t>
      </w:r>
    </w:p>
    <w:p w14:paraId="11FC198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除合同另有约定外，未经对方当事人同意，一方当事人不得将合同权利全部或部分转让给第三人，也不得全部或部分转移合同义务。</w:t>
      </w:r>
    </w:p>
    <w:p w14:paraId="3E53562D">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 严禁贿赂</w:t>
      </w:r>
    </w:p>
    <w:p w14:paraId="5735931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合同双方当事人不得以贿赂或变相贿赂的方式，谋取不当利益或损害对方权益。因贿赂造成对方损失的，行为人应赔偿损失，并承担相应的法律责任。</w:t>
      </w:r>
    </w:p>
    <w:p w14:paraId="65C10C6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在合同执行过程中，发包人和承包人应严格履行廉政合同约定的双方在廉政建设方面的权利和义务以及应承担的违约责任。</w:t>
      </w:r>
    </w:p>
    <w:p w14:paraId="2C0C1062">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 知识产权</w:t>
      </w:r>
    </w:p>
    <w:p w14:paraId="4E65998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1.9.1 承包人在使用任何材料、承包人设备、工程设备或采用施工工艺时，因侵犯专利权或其他知识产权所引起的责任，由承包人承担，但由于遵照发包人提供的设计或技术规范引起的除外。</w:t>
      </w:r>
    </w:p>
    <w:p w14:paraId="30EDE7E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1.9.2 承包人在实施养护项目中采用专利技术的，专利技术的使用费已包含在签约合同价内。</w:t>
      </w:r>
    </w:p>
    <w:p w14:paraId="45D0DA2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1.9.3 承包人的技术秘密和声明需要保密的资料和信息，发包人和咨询人不得为合同以外的目的泄露给他人。</w:t>
      </w:r>
    </w:p>
    <w:p w14:paraId="14105640">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57" w:name="bookmark163"/>
      <w:bookmarkEnd w:id="57"/>
      <w:r>
        <w:rPr>
          <w:rFonts w:hint="eastAsia" w:ascii="宋体" w:hAnsi="宋体" w:cs="宋体"/>
          <w:b/>
          <w:bCs/>
          <w:color w:val="auto"/>
          <w:sz w:val="24"/>
          <w:szCs w:val="24"/>
          <w:highlight w:val="none"/>
        </w:rPr>
        <w:t>1.10 图纸和文件的保密</w:t>
      </w:r>
    </w:p>
    <w:p w14:paraId="437C37F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1.10.1 发包人提供的图纸和文件，未经发包人同意，承包人不得为合同以外的目的泄露给他人或公开发表与引用。</w:t>
      </w:r>
    </w:p>
    <w:p w14:paraId="34287F3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1.10.2 承包人提供的文件，未经承包人同意，发包人和咨询人不得为合同以外的目的泄露给他人或公开发表与引用。</w:t>
      </w:r>
    </w:p>
    <w:p w14:paraId="11E929B6">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1.11 养护管理信息系统</w:t>
      </w:r>
    </w:p>
    <w:p w14:paraId="06D42D7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发包人使用养护管理信息系统进行项目管理的，养护相关技术文件和养护数据的收集、加工、录入、存储、归档、费用列支等要求在专用合同条款中约定。</w:t>
      </w:r>
    </w:p>
    <w:p w14:paraId="41548078">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1.12 施工产生资源的利用</w:t>
      </w:r>
    </w:p>
    <w:p w14:paraId="35BE50E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合同工程范围内，承包人在施工过程中产生的可循环再生利用资源应按要求进行分类收集，及时回收运至发包人指定地点进行分类储存与再生利用，可循环再生利用资源的范围、处置方式、费用承担及利益分享等事宜，由发包人和承包人依据国家相关法律在专用合同条款中约定。无法循环再生利用的废料应集中弃运至路线外的垃圾场妥善处理。</w:t>
      </w:r>
    </w:p>
    <w:p w14:paraId="69B0C24A">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58" w:name="bookmark9"/>
      <w:bookmarkEnd w:id="58"/>
      <w:bookmarkStart w:id="59" w:name="bookmark10"/>
      <w:bookmarkEnd w:id="59"/>
      <w:r>
        <w:rPr>
          <w:rFonts w:hint="eastAsia" w:ascii="宋体" w:hAnsi="宋体" w:cs="宋体"/>
          <w:b/>
          <w:bCs/>
          <w:color w:val="auto"/>
          <w:sz w:val="24"/>
          <w:szCs w:val="24"/>
          <w:highlight w:val="none"/>
        </w:rPr>
        <w:t>2.发包人义务</w:t>
      </w:r>
    </w:p>
    <w:p w14:paraId="024560BC">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2.1 遵守法律</w:t>
      </w:r>
    </w:p>
    <w:p w14:paraId="5EB2460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发包人在履行合同过程中应遵守法律，并保证承包人免于承担因发包人违反法律而引起的任何责任。</w:t>
      </w:r>
    </w:p>
    <w:p w14:paraId="4A5371C9">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 发出开工通知</w:t>
      </w:r>
    </w:p>
    <w:p w14:paraId="33339FA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发包人应委托咨询人按第 11.1 款的约定向承包人发出开工通知。</w:t>
      </w:r>
    </w:p>
    <w:p w14:paraId="4DBE6D45">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 提供养护作业场地</w:t>
      </w:r>
    </w:p>
    <w:p w14:paraId="3A285E4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除专用合同条款另有约定外，发包人应按已通过审查或批复的施工组织设计文件，向承包人提供在公路两侧路权范围内的养护作业场地。</w:t>
      </w:r>
    </w:p>
    <w:p w14:paraId="50F4056F">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2.4 协助承包人办理证件和批件</w:t>
      </w:r>
    </w:p>
    <w:p w14:paraId="60CA9F5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发包人应协助承包人办理法律规定的有关施工证件和批件。</w:t>
      </w:r>
    </w:p>
    <w:p w14:paraId="57DF8F5D">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2.5 组织设计交底</w:t>
      </w:r>
    </w:p>
    <w:p w14:paraId="30333CA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发包人应根据合同进度计划，组织设计单位向承包人进行设计交底。</w:t>
      </w:r>
    </w:p>
    <w:p w14:paraId="5B8693A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2.6 支付合同价款</w:t>
      </w:r>
    </w:p>
    <w:p w14:paraId="363726C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发包人应按合同约定向承包人及时支付合同价款。</w:t>
      </w:r>
    </w:p>
    <w:p w14:paraId="2D03323B">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2.7 组织工程验收</w:t>
      </w:r>
    </w:p>
    <w:p w14:paraId="0C9DED8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发包人应按合同约定及时组织工程验收。</w:t>
      </w:r>
    </w:p>
    <w:p w14:paraId="1D57330B">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60" w:name="bookmark164"/>
      <w:bookmarkEnd w:id="60"/>
      <w:r>
        <w:rPr>
          <w:rFonts w:hint="eastAsia" w:ascii="宋体" w:hAnsi="宋体" w:cs="宋体"/>
          <w:b/>
          <w:bCs/>
          <w:color w:val="auto"/>
          <w:sz w:val="24"/>
          <w:szCs w:val="24"/>
          <w:highlight w:val="none"/>
        </w:rPr>
        <w:t>2.8 其他义务</w:t>
      </w:r>
    </w:p>
    <w:p w14:paraId="25D73A8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发包人应履行合同约定的其他义务。</w:t>
      </w:r>
    </w:p>
    <w:p w14:paraId="699BD6A4">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61" w:name="bookmark11"/>
      <w:bookmarkEnd w:id="61"/>
      <w:bookmarkStart w:id="62" w:name="bookmark12"/>
      <w:bookmarkEnd w:id="62"/>
      <w:r>
        <w:rPr>
          <w:rFonts w:hint="eastAsia" w:ascii="宋体" w:hAnsi="宋体" w:cs="宋体"/>
          <w:b/>
          <w:bCs/>
          <w:color w:val="auto"/>
          <w:sz w:val="24"/>
          <w:szCs w:val="24"/>
          <w:highlight w:val="none"/>
        </w:rPr>
        <w:t>3.咨询人（监理人）</w:t>
      </w:r>
    </w:p>
    <w:p w14:paraId="2F7AAD3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3.1 咨询人的职责和权力</w:t>
      </w:r>
    </w:p>
    <w:p w14:paraId="0668F40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3.1.1 咨询人受发包人委托，享有合同约定的权力。咨询人在行使下列权力前需要经发包人事先批准：</w:t>
      </w:r>
    </w:p>
    <w:p w14:paraId="4171319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（1）根据第 4.3 款，同意分包部分养护项目；</w:t>
      </w:r>
    </w:p>
    <w:p w14:paraId="11316EC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（2）确定第 4.13 款下产生的费用增加额；</w:t>
      </w:r>
    </w:p>
    <w:p w14:paraId="43EC35D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（3）根据第 11.1 款、第 12.3 款、第 12.4 款发布开工通知、暂停养护作业指示或复工通知；</w:t>
      </w:r>
    </w:p>
    <w:p w14:paraId="34114D2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（4）决定第 11.3 款、第 11.4 款下的工期延长；</w:t>
      </w:r>
    </w:p>
    <w:p w14:paraId="7AA027A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（5）审查批准技术方案或设计的变更；</w:t>
      </w:r>
    </w:p>
    <w:p w14:paraId="2A82D77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（6）根据第 15.3 款发出变更指示；</w:t>
      </w:r>
    </w:p>
    <w:p w14:paraId="7347634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（7）确定第 15.4 款下变更工作的单价；</w:t>
      </w:r>
    </w:p>
    <w:p w14:paraId="486D00F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（8）按照第 15.6 款决定有关暂列金额的使用；</w:t>
      </w:r>
    </w:p>
    <w:p w14:paraId="23DA86A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（9）确定第 15.8 款下的暂估价金额；</w:t>
      </w:r>
    </w:p>
    <w:p w14:paraId="25E82CE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（10）确定第 23.1 款下的索赔额。</w:t>
      </w:r>
    </w:p>
    <w:p w14:paraId="041C751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如果发生紧急情况，咨询人认为将造成人员伤亡，或危及本养护项目或邻近的财产安全需立即采取行动，咨询人有权在未征得发包人的批准的情况下发布处理紧急情况所必需的指令，承包人应予执行，由此造成的费用增加由咨询人按第 3.5 款商定或确定。</w:t>
      </w:r>
    </w:p>
    <w:p w14:paraId="3BD808B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3.1.2 咨询人发出的任何指示应视为已得到发包人的批准，但咨询人无权免除或变更合同约定的发包人和承包人的权利、义务和责任。</w:t>
      </w:r>
    </w:p>
    <w:p w14:paraId="01097D5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3.1.3 合同约定应由承包人承担的义务和责任，不因咨询人对承包人提交文件的审查或批准，对工程、材料、设备的检查和检验，以及为实施监督管理作出的指示等职务行为而减轻或解除。</w:t>
      </w:r>
    </w:p>
    <w:p w14:paraId="2CB1659E">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3.2 咨询总负责人</w:t>
      </w:r>
    </w:p>
    <w:p w14:paraId="7D86493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发包人应在发出开工通知前将咨询总负责人的任命通知承包人。咨询总负责人更换时，应在调离 7 天前通知承包人。</w:t>
      </w:r>
    </w:p>
    <w:p w14:paraId="7980E541">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3.3 咨询人员</w:t>
      </w:r>
    </w:p>
    <w:p w14:paraId="463CF6E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3.3.1 咨询总负责人可以授权其他咨询人员负责执行其指派的一项或多项监督管理工作。咨询总负责人应将被授权咨询人员的姓名及其授权范围通知承包人。被授权的咨询人员在授权范围内发出的指示视为已得到咨询总负责人的同意，与咨询</w:t>
      </w:r>
      <w:bookmarkStart w:id="63" w:name="bookmark165"/>
      <w:bookmarkEnd w:id="63"/>
      <w:r>
        <w:rPr>
          <w:rFonts w:hint="eastAsia" w:ascii="宋体" w:hAnsi="宋体" w:cs="宋体"/>
          <w:color w:val="auto"/>
          <w:sz w:val="24"/>
          <w:szCs w:val="24"/>
          <w:highlight w:val="none"/>
        </w:rPr>
        <w:t>总负责人发出的指示具有同等效力。咨询总负责人撤销某项授权时，应将撤销授权的决定及时通知承包人。</w:t>
      </w:r>
    </w:p>
    <w:p w14:paraId="5DB01E1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3.3.2 咨询人员对承包人的任何工作、工程或其采用的材料和工程设备未在约定的或合理的期限内提出否定意见的，视为已获批准，但不影响咨询人在以后拒绝该项工作、工程、材料或工程设备的权利。</w:t>
      </w:r>
    </w:p>
    <w:p w14:paraId="1A3C4D0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3.3.3 承包人对咨询总负责人授权的咨询人员发出的指示有疑问的，可向咨询总负责人提出书面异议，咨询总负责人应在 48 小时内对该指示予以确认、更改或撤销。</w:t>
      </w:r>
    </w:p>
    <w:p w14:paraId="1BDB98F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3.3.4 除专用合同条款另有约定外，咨询总负责人不应将第 3.5 款约定应由咨询总负责人作出确定的权力授权或委托给其他咨询人员。</w:t>
      </w:r>
    </w:p>
    <w:p w14:paraId="7F875C59">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3.4 咨询人的指示</w:t>
      </w:r>
    </w:p>
    <w:p w14:paraId="34C28ED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3.4.1 咨询人应按第 3.1 款的约定向承包人发出指示，咨询人的指示应盖有咨询人单位公章或其授权的项目管理机构章，并由咨询总负责人或咨询总负责人按第3.3.1 项约定授权的咨询人员签名。</w:t>
      </w:r>
    </w:p>
    <w:p w14:paraId="0FD1447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3.4.2 承包人收到咨询人按第 3.4.1 项作出的指示后应遵照执行。指示构成变更的，应按第 15 条处理。</w:t>
      </w:r>
    </w:p>
    <w:p w14:paraId="13754DC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3.4.3 在紧急情况下，咨询总负责人或被授权的咨询人员可以当场签发临时书面指示，承包人应遵照执行。承包人应在收到上述临时书面指示后 24 小时内，向咨询人发出书面确认函。咨询人在收到书面确认函后 24 小时内未予答复的，该书面确认函应被视为咨询人的正式指示。</w:t>
      </w:r>
    </w:p>
    <w:p w14:paraId="3385A7B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3.4.4 除合同另有约定外，承包人只从咨询总负责人或按第 3.3.1 项被授权的咨询人员处取得指示。</w:t>
      </w:r>
    </w:p>
    <w:p w14:paraId="5E79500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3.4.5 由于咨询人未能按合同约定发出指示、指示延误或指示错误而导致承包人费用增加和（或）工期延误的，由发包人承担赔偿责任。</w:t>
      </w:r>
    </w:p>
    <w:p w14:paraId="0B79B5EF">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3.5 商定或确定</w:t>
      </w:r>
    </w:p>
    <w:p w14:paraId="0038068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3.5.1 合同约定咨询总负责人应按照本款对任何事项进行商定或确定时，咨询总负责人应与合同当事人协商，尽量达成一致。不能达成一致的，咨询总负责人应认真研究后审慎确定。</w:t>
      </w:r>
    </w:p>
    <w:p w14:paraId="34D6F45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如果这项商定或确定导致费用增加和（或）工期延长，或者涉及确定变更工程的价格，则咨询总负责人在发出通知前，应征得发包人的同意。</w:t>
      </w:r>
    </w:p>
    <w:p w14:paraId="16D778E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3.5.2 咨询总负责人应将商定或确定的事项通知合同当事人，并附详细依据。对咨询总负责人的确定有异议的，构成争议，按照第 24 条的约定处理。在争议解决前，双方应暂按咨询总负责人的确定执行，按照第 24 条的约定对咨询总负责人的确定作出修改的，按修改后的结果执行。</w:t>
      </w:r>
    </w:p>
    <w:p w14:paraId="6799E68A">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64" w:name="bookmark14"/>
      <w:bookmarkEnd w:id="64"/>
      <w:bookmarkStart w:id="65" w:name="bookmark13"/>
      <w:bookmarkEnd w:id="65"/>
      <w:r>
        <w:rPr>
          <w:rFonts w:hint="eastAsia" w:ascii="宋体" w:hAnsi="宋体" w:cs="宋体"/>
          <w:b/>
          <w:bCs/>
          <w:color w:val="auto"/>
          <w:sz w:val="24"/>
          <w:szCs w:val="24"/>
          <w:highlight w:val="none"/>
        </w:rPr>
        <w:t>4.承包人</w:t>
      </w:r>
    </w:p>
    <w:p w14:paraId="71BAFBBA">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4.1 承包人的一般义务</w:t>
      </w:r>
    </w:p>
    <w:p w14:paraId="42AEEFE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4.1.1 遵守法律</w:t>
      </w:r>
    </w:p>
    <w:p w14:paraId="5C6D943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承包人在履行合同过程中应遵守法律，并保证发包人免于承担因承包人违反法律而引起的任何责任。</w:t>
      </w:r>
    </w:p>
    <w:p w14:paraId="484E991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4.1.2 依法纳税</w:t>
      </w:r>
    </w:p>
    <w:p w14:paraId="19F85F5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承包人应按有关法律规定纳税，应缴纳的税金包括在合同价格内。</w:t>
      </w:r>
    </w:p>
    <w:p w14:paraId="2B878BA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4.1.3 完成各项承包工作</w:t>
      </w:r>
    </w:p>
    <w:p w14:paraId="67AB910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承包人应按合同约定以及咨询人根据第 3.4 款作出的指示，实施、完成全部养护项目，并修补养护项目中的任何缺陷。除专用合同条款另有约定外，承包人应提供为完成合同工作所需的劳务、材料、养护作业设备、工程设备和其他物品，并按合同约定负责临时设施的设计、建造、运行、维护、管理和拆除。</w:t>
      </w:r>
    </w:p>
    <w:p w14:paraId="1CA6639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4.1.4 对养护作业和方法的完备性负责</w:t>
      </w:r>
    </w:p>
    <w:p w14:paraId="39D33DA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承包人应按合同约定的工作内容和进度要求，编制施工组织设计和施工措施计划，并对所有养护作业和方法的完备性和安全可靠性负责。</w:t>
      </w:r>
    </w:p>
    <w:p w14:paraId="70F7292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4.1.5 保证养护项目和人员的安全</w:t>
      </w:r>
    </w:p>
    <w:p w14:paraId="0809C8C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承包人应按第 9.2 款约定采取安全措施，确保本合同约定范围内的养护项目及其人员、材料、设备和设施的安全，防止因养护项目实施造成的人身伤害和财产损失。</w:t>
      </w:r>
    </w:p>
    <w:p w14:paraId="42FB53B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4.1.6 负责养护作业场地及其周边环境与生态的保护工作</w:t>
      </w:r>
    </w:p>
    <w:p w14:paraId="008D2B8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承包人应按照第 9.4 款约定负责养护作业场地及其周边环境与生态的保护工作。</w:t>
      </w:r>
    </w:p>
    <w:p w14:paraId="2361C09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4.1.7 避免损害公众与他人利益</w:t>
      </w:r>
    </w:p>
    <w:p w14:paraId="5E18879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在进行合同约定的各项工作时，不得侵害发包人与他人使用公用道路、水源、市政管网等公共设施的权利，避免对邻近的公共设施产生干扰。承包人占用或使用他人的场地或设施，影响他人作业或生活的，应承担相应责任。</w:t>
      </w:r>
    </w:p>
    <w:p w14:paraId="563D1D5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4.1.8 为他人提供方便</w:t>
      </w:r>
    </w:p>
    <w:p w14:paraId="78D3C86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承包人应按咨询人的指示为他人在养护作业场地或附近实施与养护项目有关的其他各项工作提供可能的条件。除合同另有约定外，提供有关条件的内容和可能发生的费用，由咨询人按第 3.5 款商定或确定。</w:t>
      </w:r>
    </w:p>
    <w:p w14:paraId="5BF2E53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4.1.9 养护项目的维护和照管</w:t>
      </w:r>
    </w:p>
    <w:p w14:paraId="2971BC4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（1）未开放交通前，承包人应负责照管和维护作业控制区内已实施的养护项目及相关材料、设备。</w:t>
      </w:r>
    </w:p>
    <w:p w14:paraId="40A1C22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（2）在承包人负责照管与维护期间，如果养护项目或材料、设备等发生损失</w:t>
      </w:r>
    </w:p>
    <w:p w14:paraId="504680C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或损害，除不可抗力原因之外，承包人均应自费弥补，并达到合同要求。承包人还应对按第 19 条约定实施缺陷修复过程中由承包人造成的对养护项目的任何损失或损害负责。</w:t>
      </w:r>
    </w:p>
    <w:p w14:paraId="66AC360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4.1.10 临时占地的租用和退还</w:t>
      </w:r>
    </w:p>
    <w:p w14:paraId="1B5BA9E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除专用合同条款另有约定外，承包人自行负责临时占地的租用、恢复和移交，并承担相关费用。发包人应尽可能协助承包人办理临时占地相关手续。</w:t>
      </w:r>
    </w:p>
    <w:p w14:paraId="0864CC9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4.1.11 其他义务</w:t>
      </w:r>
    </w:p>
    <w:p w14:paraId="58FBBE3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承包人应履行专用合同条款约定的其他义务。</w:t>
      </w:r>
    </w:p>
    <w:p w14:paraId="2E967CF2">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4.2 履约保证金</w:t>
      </w:r>
    </w:p>
    <w:p w14:paraId="7DD127C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4.2.1 承包人应按照专用合同条款约定的形式、金额和期限提交履约保证金。承包人应保证其履约保证金在发包人签发交工验收证书且承包人按照合同约定缴纳质量保证金前一直有效。发包人应在收到承包人缴纳的质量保证金后 14 天内将履约保证金退还给承包人。</w:t>
      </w:r>
    </w:p>
    <w:p w14:paraId="5EC5407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4.2.2 承包人拒绝按照本合同约定缴纳质量保证金的，发包人有权从交工付款证书中扣留相应金额作为质量保证金，或者直接将履约保证金金额用于保证承包人在缺陷责任期内履行缺陷修复义务。</w:t>
      </w:r>
    </w:p>
    <w:p w14:paraId="0001FD8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4.3 转包、分包</w:t>
      </w:r>
    </w:p>
    <w:p w14:paraId="66A77D8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4.3.1 承包人不得将其承包的养护项目全部工作转包给第三人，或将其承包的养护项目中的全部工作支解后以分包的名义转包给第三人。</w:t>
      </w:r>
    </w:p>
    <w:p w14:paraId="05F77CD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4.3.2 承包人不得将专用合同条款约定的养护项目分包给第三人。</w:t>
      </w:r>
    </w:p>
    <w:p w14:paraId="5D08614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4.3.3 承包人拟进行分包的，应向咨询人提出申请并经发包人同意后，方可在合同约定的范围内进行分包。分包人的资格能力应与其分包工作的标准和规模相适应，且满足专用合同条款约定的相关条件。承包人应向咨询人提交分包人的资格证明材料，经咨询人审查同意后报发包人批准。</w:t>
      </w:r>
    </w:p>
    <w:p w14:paraId="267F44A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4.3.4 分包不减轻或免除承包人的责任和义务，承包人应与分包人就分包工作向发包人承担连带责任。</w:t>
      </w:r>
    </w:p>
    <w:p w14:paraId="5C87565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4.3.5 承包人应妥善处理其与分包人之间的合同争议、纠纷，并保障发包人免于承担相应法律责任。</w:t>
      </w:r>
    </w:p>
    <w:p w14:paraId="1D405E5C">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4.4 联合体</w:t>
      </w:r>
    </w:p>
    <w:p w14:paraId="11BD942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4.4.1 联合体各方应共同与发包人签订合同协议书。联合体各方应为履行合同承担连带责任。</w:t>
      </w:r>
    </w:p>
    <w:p w14:paraId="0F3D145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4.4.2 联合体协议经发包人确认后作为合同附件。在履行合同过程中，未经发包人同意，不得变更联合体成员和其负责的工作范围，或者修改联合体协议中与本合同履行相关的内容。</w:t>
      </w:r>
    </w:p>
    <w:p w14:paraId="42B3E47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bookmarkStart w:id="66" w:name="bookmark166"/>
      <w:bookmarkEnd w:id="66"/>
      <w:r>
        <w:rPr>
          <w:rFonts w:hint="eastAsia" w:ascii="宋体" w:hAnsi="宋体" w:cs="宋体"/>
          <w:color w:val="auto"/>
          <w:sz w:val="24"/>
          <w:szCs w:val="24"/>
          <w:highlight w:val="none"/>
        </w:rPr>
        <w:t>4.4.3 联合体牵头人负责与发包人和咨询人联系、接受指示，并向联合体各方传达发包人指示、下达工作指令，负责组织联合体各成员全面履行合同。</w:t>
      </w:r>
    </w:p>
    <w:p w14:paraId="1093B09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4.4.4 联合体牵头人在履行合同中作出的所有行为和决定，均视为已得到联合体全部成员认可。</w:t>
      </w:r>
    </w:p>
    <w:p w14:paraId="65B80964">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4.5 承包人项目经理和项目总工</w:t>
      </w:r>
    </w:p>
    <w:p w14:paraId="49D656B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4.5.1 承包人应按合同协议书的约定指派项目经理和项目总工，并在专用合同条款约定的期限内到职。承包人更换项目经理或项目总工应事先征得发包人同意，并应在更换 7 天前将拟更换人员的姓名和详细资料提交发包人和咨询人。承包人项目经理和项目总工在养护作业场地的驻场要求在专用合同条款中约定。</w:t>
      </w:r>
    </w:p>
    <w:p w14:paraId="6218ADF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4.5.2 承包人项目经理应按合同约定以及咨询人按第 3.4 款作出的指示，负责组织合同工程的实施。在情况紧急且无法与咨询人取得联系时，可采取保证工程和人员生命财产安全的紧急措施，并在采取措施后 24 小时内向咨询人提交书面报告。</w:t>
      </w:r>
    </w:p>
    <w:p w14:paraId="4D7ED31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4.5.3 承包人为履行合同发出的一切函件均应盖有承包人单位公章或承包人授权的项目管理机构章，并由承包人项目经理或其授权代表签字。</w:t>
      </w:r>
    </w:p>
    <w:p w14:paraId="4175437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4.5.4 承包人项目经理可以授权其下属人员履行其某项职责，但事先应将这些人员的姓名和授权范围通知咨询人。</w:t>
      </w:r>
    </w:p>
    <w:p w14:paraId="4F7A7C0C">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4.6 承包人人员的管理</w:t>
      </w:r>
    </w:p>
    <w:p w14:paraId="484BF0C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4.6.1 承包人应在接到开工通知后 7 天内，向咨询人提交承包人在养护作业场地的管理机构以及人员安排的报告，其内容应包括管理机构的设置、各主要岗位的技术和管理人员名单及其资格，以及各工种技术工人的安排状况。承包人应向咨询人提交养护作业场地人员变动情况的报告。</w:t>
      </w:r>
    </w:p>
    <w:p w14:paraId="5C83196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4.6.2 为完成合同约定的各项工作，承包人应向养护作业场地派遣或雇用足够数量且具备相应资格能力的技术人员、管理人员、专职安全生产管理人员和工人。</w:t>
      </w:r>
    </w:p>
    <w:p w14:paraId="0D5471B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4.6.3 承包人安排在养护作业场地的主要管理人员和技术骨干应与承包人承诺的名单一致，并保持相对稳定，相关人员的现场管理要求在专用合同条款中约定。未经咨询人批准，上述人员不应无故不到位或被替换；若确实无法到位或需替换，需经咨询人审核并报发包人批准后，用同等或更高资格和资历的人员替换。</w:t>
      </w:r>
    </w:p>
    <w:p w14:paraId="437027C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4.6.4 特殊岗位的工作人员均应持有相应的资格证明，咨询人有权随时检查。咨询人认为有必要时，可进行现场考核。</w:t>
      </w:r>
    </w:p>
    <w:p w14:paraId="3269DFC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4.6.5 承包人虽已按承诺派遣了上述各类人员，但仍不能满足合同进度计划、质量和安全管理要求时，咨询人有权要求承包人继续增派或雇用这类人员，并书面通知承包人和抄送发包人。承包人在接到上述通知后应立即执行咨询人的上述指示，不得无故拖延，由此增加的费用和（或）工期延误由承包人承担。</w:t>
      </w:r>
    </w:p>
    <w:p w14:paraId="6C6DEC52">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67" w:name="bookmark167"/>
      <w:bookmarkEnd w:id="67"/>
      <w:r>
        <w:rPr>
          <w:rFonts w:hint="eastAsia" w:ascii="宋体" w:hAnsi="宋体" w:cs="宋体"/>
          <w:b/>
          <w:bCs/>
          <w:color w:val="auto"/>
          <w:sz w:val="24"/>
          <w:szCs w:val="24"/>
          <w:highlight w:val="none"/>
        </w:rPr>
        <w:t>4.7 撤换承包人项目经理和其他人员</w:t>
      </w:r>
    </w:p>
    <w:p w14:paraId="1665EB4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对其项目经理和其他人员进行有效管理。咨询人要求撤换不能胜任本职工作、行为不端或玩忽职守的承包人项目经理和其他人员的，承包人应予以撤换。同时委派经发包人与咨询人同意的新的项目经理和其他人员。</w:t>
      </w:r>
    </w:p>
    <w:p w14:paraId="7C08CFCB">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4.8 承包人劳动用工管理</w:t>
      </w:r>
    </w:p>
    <w:p w14:paraId="714B9A4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4.8.1 承包人应按国家法律法规和有关规定，健全劳动用工管理制度，保障劳动用工的合法权益，设立农民工工资专用账户，及时足额支付农民工工资。</w:t>
      </w:r>
    </w:p>
    <w:p w14:paraId="39F6FEE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4.8.2 承包人与其劳动用工发生劳动纠纷的，由承包人自行解决，由此给发包人造成损失的，承包人应予赔偿。</w:t>
      </w:r>
    </w:p>
    <w:p w14:paraId="5778F529">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4.9 保障承包人人员的合法权益</w:t>
      </w:r>
    </w:p>
    <w:p w14:paraId="656AC83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4.9.1 承包人应与其雇佣的人员签订劳动合同，并按时发放工资。</w:t>
      </w:r>
    </w:p>
    <w:p w14:paraId="43C9FBC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4.9.2 承包人应按劳动法的规定安排工作时间，保证其雇佣人员享有休息和休假的权利。因养护作业的特殊需要占用休假日或延长工作时间的，应不超过法律规定的限度，并按法律规定给予补休或报酬。</w:t>
      </w:r>
    </w:p>
    <w:p w14:paraId="0C30401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4.9.3 承包人应为其雇佣人员提供必要的食宿条件，以及符合环境保护和卫生要求的生活环境和工作环境。</w:t>
      </w:r>
    </w:p>
    <w:p w14:paraId="6C2A7D9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4.9.4 承包人应按国家有关劳动保护的规定，采取有效防止粉尘、降低噪声、控制有害气体和保障高温、高寒、高空作业安全等劳动保护措施。其雇佣人员在养护作业过程中受到伤害的，承包人应立即采取有效措施进行抢救和治疗。</w:t>
      </w:r>
    </w:p>
    <w:p w14:paraId="1276048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4.9.5 承包人应按有关法律规定和合同约定，为其雇佣人员办理保险。</w:t>
      </w:r>
    </w:p>
    <w:p w14:paraId="7BEE5D5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4.9.6 承包人应负责处理其雇佣人员因工伤亡事故的善后事宜。</w:t>
      </w:r>
    </w:p>
    <w:p w14:paraId="2D042652">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4.10 传染病防控</w:t>
      </w:r>
    </w:p>
    <w:p w14:paraId="4975517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在组织人员进驻养护作业场地时，应切实采取预防传染病的有效措施，配备必要的医药用品、消毒、测温、通风等设施、设备，加强传染病防控工作。除专用合同条款另有约定外，一旦暴发任何传染病，承包人应遵守并执行当地政府或卫生防疫部门为防治和消灭上述传染病蔓延而制定的指令和要求，由此导致的费用增加和（或）工期延误由发包人承担，但由于承包人自身原因导致的除外。</w:t>
      </w:r>
    </w:p>
    <w:p w14:paraId="7789CBDA">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4.11 合同价款应专款专用</w:t>
      </w:r>
    </w:p>
    <w:p w14:paraId="46A9C94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发包人按合同约定支付给承包人的各项价款应专用于养护项目。</w:t>
      </w:r>
    </w:p>
    <w:p w14:paraId="6BBE656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4.12 承包人现场查勘</w:t>
      </w:r>
    </w:p>
    <w:p w14:paraId="0F6B053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4.12.1 承包人应对养护作业场地和周围环境进行查勘，并收集有关项目、地质、水文、气象条件、交通条件、风俗习惯以及其他为完成合同工作有关的资料。在全部合同工作中，应视为承包人已充分估计了应承担的责任和风险。</w:t>
      </w:r>
    </w:p>
    <w:p w14:paraId="27C7F57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4.12.2 发包人可以按照专用合同条款的约定向承包人提供养护项目的相关图纸和资料，便于承包人充分了解养护项目实际情况。</w:t>
      </w:r>
    </w:p>
    <w:p w14:paraId="58320A1F">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68" w:name="bookmark168"/>
      <w:bookmarkEnd w:id="68"/>
      <w:r>
        <w:rPr>
          <w:rFonts w:hint="eastAsia" w:ascii="宋体" w:hAnsi="宋体" w:cs="宋体"/>
          <w:b/>
          <w:bCs/>
          <w:color w:val="auto"/>
          <w:sz w:val="24"/>
          <w:szCs w:val="24"/>
          <w:highlight w:val="none"/>
        </w:rPr>
        <w:t>4.13 不利物质条件</w:t>
      </w:r>
    </w:p>
    <w:p w14:paraId="196963B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4.13.1 不利物质条件，除专用合同条款另有约定外，是指承包人在养护作业场地遇到的不可预见的自然物质条件、非自然的物质障碍和污染物，包括地下和水文条件，但不包括气候条件。</w:t>
      </w:r>
    </w:p>
    <w:p w14:paraId="23FD1AF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4.13.2 承包人遇到不利物质条件时，应采取适应不利物质条件的合理措施继续作业，并及时通知咨询人。咨询人应当及时发出指示，指示构成变更的，按第 15条约定办理。咨询人没有发出指示的，承包人因采取合理措施而增加的费用和（或）工期延误，由发包人承担。</w:t>
      </w:r>
    </w:p>
    <w:p w14:paraId="25E24007">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69" w:name="bookmark15"/>
      <w:bookmarkEnd w:id="69"/>
      <w:bookmarkStart w:id="70" w:name="bookmark16"/>
      <w:bookmarkEnd w:id="70"/>
      <w:r>
        <w:rPr>
          <w:rFonts w:hint="eastAsia" w:ascii="宋体" w:hAnsi="宋体" w:cs="宋体"/>
          <w:b/>
          <w:bCs/>
          <w:color w:val="auto"/>
          <w:sz w:val="24"/>
          <w:szCs w:val="24"/>
          <w:highlight w:val="none"/>
        </w:rPr>
        <w:t>5.材料和工程设备</w:t>
      </w:r>
    </w:p>
    <w:p w14:paraId="7935EF6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5.1 承包人提供的材料和工程设备</w:t>
      </w:r>
    </w:p>
    <w:p w14:paraId="4BB7E90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5.1.1 除专用合同条款另有约定外，承包人提供的材料和工程设备均由承包人负责采购、运输和保管。承包人应对其采购的材料和工程设备负责。</w:t>
      </w:r>
    </w:p>
    <w:p w14:paraId="5DABB72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5.1.2 承包人应按专用合同条款的约定，将各项材料和工程设备的供货人及品种、规格、数量和供货时间等报送咨询人审批。承包人应向咨询人提交其负责提供的材料和工程设备的质量证明文件，并满足合同约定的质量标准。</w:t>
      </w:r>
    </w:p>
    <w:p w14:paraId="107A73A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5.1.3 对承包人提供的材料和工程设备，承包人应会同咨询人进行检验和交货验收，查验材料合格证明和产品合格证书，并按合同约定和咨询人指示，进行材料的抽样检验和工程设备的检验测试，检验和测试结果应提交咨询人，所需费用由承包人承担。</w:t>
      </w:r>
    </w:p>
    <w:p w14:paraId="2669A158">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5.2 发包人提供的材料和工程设备</w:t>
      </w:r>
    </w:p>
    <w:p w14:paraId="78C0150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发包人提供材料和工程设备的，应在专用合同条款中写明材料和工程设备的名称、规格、数量、价格、交货方式、交货地点和计划交货日期等。</w:t>
      </w:r>
    </w:p>
    <w:p w14:paraId="39B4F8D2">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5.3 材料和工程设备专用于养护项目</w:t>
      </w:r>
    </w:p>
    <w:p w14:paraId="5EB707A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5.3.1 运入养护作业场地的材料、工程设备，包括备品备件、安装专用工器具与随机资料，必须专用于养护项目，未经咨询人同意，承包人不得运出养护作业场地或挪作他用。</w:t>
      </w:r>
    </w:p>
    <w:p w14:paraId="61451DC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5.3.2 随同工程设备运入养护作业场地的备品备件、专用工器具与随机资料，应由承包人会同咨询人按供货人的装箱单清点后共同封存，未经咨询人同意不得启用。承包人因合同工作需要使用上述物品时，应向咨询人提出申请。</w:t>
      </w:r>
    </w:p>
    <w:p w14:paraId="44BF0B07">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5.4 禁止使用不合格的材料和工程设备</w:t>
      </w:r>
    </w:p>
    <w:p w14:paraId="2C48CF7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5.4.1 咨询人有权拒绝承包人提供的不合格材料或工程设备，并要求承包人立即进行更换。咨询人应在更换后再次进行检查和检验，由此增加的费用和（或）工</w:t>
      </w:r>
      <w:bookmarkStart w:id="71" w:name="bookmark169"/>
      <w:bookmarkEnd w:id="71"/>
      <w:r>
        <w:rPr>
          <w:rFonts w:hint="eastAsia" w:ascii="宋体" w:hAnsi="宋体" w:cs="宋体"/>
          <w:color w:val="auto"/>
          <w:sz w:val="24"/>
          <w:szCs w:val="24"/>
          <w:highlight w:val="none"/>
        </w:rPr>
        <w:t>期延误由承包人承担。</w:t>
      </w:r>
    </w:p>
    <w:p w14:paraId="147CCD3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5.4.2 咨询人发现承包人使用了不合格的材料和工程设备，应及时发出指示要求承包人立即改正，并禁止在养护项目中继续使用不合格的材料和工程设备。</w:t>
      </w:r>
    </w:p>
    <w:p w14:paraId="0B98EEF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5.4.3 发包人提供的材料或工程设备不符合合同要求的，承包人有权拒绝，并可要求发包人更换，由此增加的费用和（或）工期延误由发包人承担。</w:t>
      </w:r>
    </w:p>
    <w:p w14:paraId="7A7D4EC5">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72" w:name="bookmark18"/>
      <w:bookmarkEnd w:id="72"/>
      <w:bookmarkStart w:id="73" w:name="bookmark17"/>
      <w:bookmarkEnd w:id="73"/>
      <w:r>
        <w:rPr>
          <w:rFonts w:hint="eastAsia" w:ascii="宋体" w:hAnsi="宋体" w:cs="宋体"/>
          <w:b/>
          <w:bCs/>
          <w:color w:val="auto"/>
          <w:sz w:val="24"/>
          <w:szCs w:val="24"/>
          <w:highlight w:val="none"/>
        </w:rPr>
        <w:t>6.养护作业设备和临时设施</w:t>
      </w:r>
    </w:p>
    <w:p w14:paraId="3AF7D154">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6.1 承包人提供的养护作业设备和临时设施</w:t>
      </w:r>
    </w:p>
    <w:p w14:paraId="3100D8F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6.1.1 承包人应按合同进度计划的要求，及时配置养护作业设备和修建临时设施。进入养护作业场地的承包人设备需经咨询人核查后才能投入使用。承包人更换合同约定的承包人设备的，应报咨询人批准。</w:t>
      </w:r>
    </w:p>
    <w:p w14:paraId="750F502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6.1.2 承包人应自行承担修建临时设施的费用，需要临时占地的，应由承包人按第 4.1. 10 项约定办理。</w:t>
      </w:r>
    </w:p>
    <w:p w14:paraId="2984F1F0">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6.2 发包人提供的养护作业设备和临时设施</w:t>
      </w:r>
    </w:p>
    <w:p w14:paraId="5824BC5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发包人提供的养护作业设备或临时设施在专用合同条款中约定。</w:t>
      </w:r>
    </w:p>
    <w:p w14:paraId="1B9646D5">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6.3 要求承包人增加或更换养护作业设备</w:t>
      </w:r>
    </w:p>
    <w:p w14:paraId="2814E54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承诺的养护作业设备必须按时到达现场，不得拖延、缺短或任意更换。承包人虽已按承诺提供了上述设备，但仍不能满足合同进度计划和（或）质量要求时，咨询人有权要求承包人增加或更换养护作业设备，承包人应及时增加或更换，由此增加的费用和（或）工期延误由承包人承担。</w:t>
      </w:r>
    </w:p>
    <w:p w14:paraId="30FBBF61">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6.4 养护作业设备和临时设施专用于养护项目</w:t>
      </w:r>
    </w:p>
    <w:p w14:paraId="1A9D339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6.4.1 除合同另有约定外，运入养护作业场地的所有养护作业设备以及在养护作业场地建设的临时设施应专用于养护项目。未经咨询人同意，不得将上述养护作业设备和临时设施中的任何部分运出养护作业场地或挪作他用。</w:t>
      </w:r>
    </w:p>
    <w:p w14:paraId="2131197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6.4.2经咨询人同意，承包人可根据合同进度计划撤走闲置的养护作业设备。</w:t>
      </w:r>
    </w:p>
    <w:p w14:paraId="706AAF8B">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74" w:name="bookmark20"/>
      <w:bookmarkEnd w:id="74"/>
      <w:bookmarkStart w:id="75" w:name="bookmark19"/>
      <w:bookmarkEnd w:id="75"/>
      <w:r>
        <w:rPr>
          <w:rFonts w:hint="eastAsia" w:ascii="宋体" w:hAnsi="宋体" w:cs="宋体"/>
          <w:b/>
          <w:bCs/>
          <w:color w:val="auto"/>
          <w:sz w:val="24"/>
          <w:szCs w:val="24"/>
          <w:highlight w:val="none"/>
        </w:rPr>
        <w:t>7.交通运输</w:t>
      </w:r>
    </w:p>
    <w:p w14:paraId="47C9D3DE">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7.1 道路通行权和场外设施</w:t>
      </w:r>
    </w:p>
    <w:p w14:paraId="0847698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根据养护项目的实施需要，负责办理取得出入养护作业场地的专用和临时道路的通行权，以及取得为养护作业所需修建场外设施的权利，并承担有关费用。需要发包人协调时，发包人应协助承包人办理相关手续。</w:t>
      </w:r>
    </w:p>
    <w:p w14:paraId="0E6B1969">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7.2 养护路段内交通</w:t>
      </w:r>
    </w:p>
    <w:p w14:paraId="5DA7CC4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除专用合同条款另有约定外，承包人养护管理车辆及作业车辆通过养护路段产生的通行费由承包人自行承担。</w:t>
      </w:r>
    </w:p>
    <w:p w14:paraId="3EA59656">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7.3 养护路段外交通</w:t>
      </w:r>
    </w:p>
    <w:p w14:paraId="3D750BA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7.3.1 承包人养护管理车辆及作业车辆行驶养护路段外道路的通行费由承包人自行承担。</w:t>
      </w:r>
    </w:p>
    <w:p w14:paraId="354C871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7.3.2 承包人应遵守有关交通法规，严格按照道路和桥梁的限制荷重安全行驶，并服从交通管理部门的检查和监督。</w:t>
      </w:r>
    </w:p>
    <w:p w14:paraId="307B24D5">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7.4 道路和桥梁的损坏责任</w:t>
      </w:r>
    </w:p>
    <w:p w14:paraId="6862D9C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因承包人运输造成养护路段内外道路和桥梁损坏的，由承包人承担修复损坏的全部费用和可能引起的赔偿。</w:t>
      </w:r>
    </w:p>
    <w:p w14:paraId="202CBFAA">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76" w:name="bookmark21"/>
      <w:bookmarkEnd w:id="76"/>
      <w:bookmarkStart w:id="77" w:name="bookmark22"/>
      <w:bookmarkEnd w:id="77"/>
      <w:r>
        <w:rPr>
          <w:rFonts w:hint="eastAsia" w:ascii="宋体" w:hAnsi="宋体" w:cs="宋体"/>
          <w:b/>
          <w:bCs/>
          <w:color w:val="auto"/>
          <w:sz w:val="24"/>
          <w:szCs w:val="24"/>
          <w:highlight w:val="none"/>
        </w:rPr>
        <w:t>8.测量放线</w:t>
      </w:r>
    </w:p>
    <w:p w14:paraId="68D2A3AF">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8.1 施工控制网</w:t>
      </w:r>
    </w:p>
    <w:p w14:paraId="178EC3F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8.1.1 除专用合同条款另有约定外，发包人应通过咨询人向承包人提供测量基准点、基准线和水准点及其书面资料。除专用合同条款另有约定外，承包人应根据国家测绘基准、测绘系统和工程测量技术规范，按基准点（线）以及养护项目精度要求，测设施工控制网，并在专用合同条款约定的期限内，将施工控制网资料报送咨询人审批。</w:t>
      </w:r>
    </w:p>
    <w:p w14:paraId="1CF587D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8.1.2 承包人应负责管理施工控制网点。施工控制网点丢失或损坏的，承包人应及时修复。承包人应承担施工控制网点的管理与修复费用，并在工程验收后将施工控制网点移交发包人。</w:t>
      </w:r>
    </w:p>
    <w:p w14:paraId="2A5D213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8.1.3 咨询人需要使用施工控制网的，承包人应提供必要的协助，发包人不再为此支付费用。</w:t>
      </w:r>
    </w:p>
    <w:p w14:paraId="0FDC27F8">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8.2 施工测量</w:t>
      </w:r>
    </w:p>
    <w:p w14:paraId="428DB75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8.2.1 承包人应负责施工过程中的全部施工测量放线工作，并配置合格的人员、仪器、设备和其他物品。</w:t>
      </w:r>
    </w:p>
    <w:p w14:paraId="4B00914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8.2.2 咨询人可以指示承包人进行抽样复测，当复测中发现错误或出现超过合同约定的误差时，承包人应按咨询人指示进行修正或补测，并承担相应的复测费用。</w:t>
      </w:r>
    </w:p>
    <w:p w14:paraId="53F12C24">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8.3 基准资料错误的责任</w:t>
      </w:r>
    </w:p>
    <w:p w14:paraId="36A025B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咨询人。</w:t>
      </w:r>
    </w:p>
    <w:p w14:paraId="7D90C9E5">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78" w:name="bookmark24"/>
      <w:bookmarkEnd w:id="78"/>
      <w:bookmarkStart w:id="79" w:name="bookmark23"/>
      <w:bookmarkEnd w:id="79"/>
      <w:r>
        <w:rPr>
          <w:rFonts w:hint="eastAsia" w:ascii="宋体" w:hAnsi="宋体" w:cs="宋体"/>
          <w:b/>
          <w:bCs/>
          <w:color w:val="auto"/>
          <w:sz w:val="24"/>
          <w:szCs w:val="24"/>
          <w:highlight w:val="none"/>
        </w:rPr>
        <w:t>9.养护作业安全、治安保卫和环境保护</w:t>
      </w:r>
    </w:p>
    <w:p w14:paraId="07B2CDB2">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9.1 发包人的养护作业安全责任</w:t>
      </w:r>
    </w:p>
    <w:p w14:paraId="4011679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9.1.1 发包人应按合同约定履行安全职责，授权咨询人按合同约定的安全工作内容监督、检查承包人安全工作的实施，组织承包人和有关单位进行安全检查。</w:t>
      </w:r>
    </w:p>
    <w:p w14:paraId="0A80F61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9.1.2 发包人应对其现场管理机构雇佣的全部人员的工伤事故承担责任，但由于承包人原因造成发包人人员工伤的，应由承包人承担责任。</w:t>
      </w:r>
    </w:p>
    <w:p w14:paraId="54D24F5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9.1.3 由于发包人原因在养护作业场地内及其毗邻地带造成的第三者人身伤亡和财产损失，应由发包人负责赔偿。</w:t>
      </w:r>
    </w:p>
    <w:p w14:paraId="4493880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9.2 承包人的养护作业安全责任</w:t>
      </w:r>
    </w:p>
    <w:p w14:paraId="1A42F30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9.2.1 承包人应按合同约定履行安全职责，严格执行国家、地方政府有关安全管理方面的法律、法规、政策文件及技术标准，同时严格执行发包人制定的本项目安全生产管理方面的规章制度、安全检查程序及安全管理要求，以及咨询人有关安全工作的指示。</w:t>
      </w:r>
    </w:p>
    <w:p w14:paraId="6B13548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根据养护项目的实际安全施工要求，编制实施性施工安全组织设计，并在签订合同协议书后7天内，报咨询人和发包人批准。该实施性施工安全组织设计包括（但不限于）施工安全保障体系，交通安全保障方案，安全生产责任制度，安全生产管理规章制度，安全防护施工方案，养护安全作业方案，施工现场临时用电方案，施工安全风险评估，安全预控及保证措施方案，应急预案，安全标识、警示和围护方案等。对影响安全的重要工序和危险性较大的工程应编制专项施工方案，并附安全验算结果，经承包人技术负责人签名并报咨询人和发包人批准后实施，由专职安全生产管理人员进行现场监督。</w:t>
      </w:r>
    </w:p>
    <w:p w14:paraId="025D1A2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咨询人和发包人在检查中发现有安全问题或有违反安全管理规章制度的情况时，可视为承包人违约，应按第22.1款的约定办理。</w:t>
      </w:r>
    </w:p>
    <w:p w14:paraId="36BE9F9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9.2.2 承包人应加强养护作业安全管理，特别应加强对易燃、易爆材料、火工器材、有毒与腐蚀性材料和其他危险品的管理，以及对爆破作业和地下工程施工等危险作业的管理。</w:t>
      </w:r>
    </w:p>
    <w:p w14:paraId="67A416E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9.2.3 承包人应严格按照国家安全标准制定养护作业安全操作规程，配备必要的安全生产和劳动保护设施，加强对承包人人员的安全教育，并发放安全工作手册和劳动保护用具。</w:t>
      </w:r>
    </w:p>
    <w:p w14:paraId="3009D4B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9.2.4 承包人应按咨询人的指示制定应对灾害的应急预案，报送咨询人审批。承包人还应按预案做好安全检查，配置必要的救助物资和器材，切实保护好有关人员的人身和财产安全。</w:t>
      </w:r>
    </w:p>
    <w:p w14:paraId="228549B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9.2.5 安全生产费用按照专用合同条款约定的金额在工程量清单100章相关子目中计取。安全生产费用应用于施工安全防护用具及设施的采购和更新、安全施工</w:t>
      </w:r>
      <w:bookmarkStart w:id="80" w:name="bookmark170"/>
      <w:bookmarkEnd w:id="80"/>
      <w:r>
        <w:rPr>
          <w:rFonts w:hint="eastAsia" w:ascii="宋体" w:hAnsi="宋体" w:cs="宋体"/>
          <w:color w:val="auto"/>
          <w:sz w:val="24"/>
          <w:szCs w:val="24"/>
          <w:highlight w:val="none"/>
        </w:rPr>
        <w:t>措施的落实、安全生产条件的改善，不得挪作他用。如承包人在此基础上增加安全生产费用以满足项目养护作业需要，则承包人应在本项目工程量清单其他相关子目的单价或总价中予以考虑，发包人不再另行支付。因采取合同未约定的特殊防护措施增加的费用，由咨询人按第 3.5 款商定或确定。</w:t>
      </w:r>
    </w:p>
    <w:p w14:paraId="661D5CF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9.2.6 承包人应对其履行合同所雇佣的全部人员，包括分包人人员的工伤事故承担责任，但由于发包人原因造成承包人人员工伤事故的，应由发包人承担责任。</w:t>
      </w:r>
    </w:p>
    <w:p w14:paraId="72C1A7C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9.2.7 由于承包人原因在养护作业场地内及其毗邻地带造成的第三者人员伤亡和财产损失，由承包人负责赔偿。</w:t>
      </w:r>
    </w:p>
    <w:p w14:paraId="292721C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9.2.8 承包人应充分关注和保障所有在现场工作的人员的安全，按专用合同条款约定的数量和条件在养护作业场地配置专职安全生产管理人员；对所有施工机具设备和高空作业设备均应定期检查，并有专职安全生产管理人员的签名记录。</w:t>
      </w:r>
    </w:p>
    <w:p w14:paraId="0DE5FB9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9.2.9 承包人应办理养护路段作业的有关许可手续，并服从和配合路政与交警部门的统一监管。承包人应根据路政和交警部门的要求和现场作业需求，编制交通组织方案和养护安全作业方案，并按发包人及有关行政主管部门批准的交通组织方案设置交通安全标志、标牌、护栏、隔离等交通安全防护设施，在执行过程中，应按照执行效果实时作出调整，安排应急处理设备或设施，确保其他影响道路的信息准确、安全畅通。</w:t>
      </w:r>
    </w:p>
    <w:p w14:paraId="10895EB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9.2.10 在整个养护作业过程中对承包人采取的安全措施，发包人和咨询人有权监督，并向承包人提出整改要求。如果由于承包人未能对其负责的上述事项采取各种必要的措施而导致或发生与此有关的人身伤亡、罚款、索赔、损失补偿、诉讼费用及其他一切责任应由承包人负责。</w:t>
      </w:r>
    </w:p>
    <w:p w14:paraId="12CBD5DF">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9.3 治安保卫</w:t>
      </w:r>
    </w:p>
    <w:p w14:paraId="4134E6F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9.3.1 承包人应负责维护养护作业场地的社会治安，做好其管辖区的治安保卫工作。</w:t>
      </w:r>
    </w:p>
    <w:p w14:paraId="63FCAAC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9.3.2 除合同另有约定外，承包人应负责编制应对突发治安事件的应急预案。在养护作业过程中发生治安事件的，承包人应立即向发包人和公安部门报告。承包人应积极协助当地有关部门采取措施平息事态，防止事态扩大，尽量减少财产损失和避免人员伤亡。</w:t>
      </w:r>
    </w:p>
    <w:p w14:paraId="58EB844B">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9.4 环境保护</w:t>
      </w:r>
    </w:p>
    <w:p w14:paraId="1C2F012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9.4.1 承包人在项目实施过程中，应遵守有关环境保护的法律，履行合同约定的环境保护义务，并对违反法律和合同约定义务所造成的环境破坏、人身伤害和财产损失负责。</w:t>
      </w:r>
    </w:p>
    <w:p w14:paraId="21D9E8B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9.4.2 承包人应按合同约定的环保工作内容，编制施工环保措施计划，报送咨询人审批。</w:t>
      </w:r>
    </w:p>
    <w:p w14:paraId="2059347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99082F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9.4.4 承包人应按国家饮用水管理标准定期对饮用水源进行监测，防止养护作业活动污染饮用水源。</w:t>
      </w:r>
    </w:p>
    <w:p w14:paraId="482640C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9.4.5 承包人应按合同约定，加强对噪声、粉尘、废气、废水和废油的控制，努力降低噪声，控制粉尘和废气浓度，做好废水和废油的治理和排放。</w:t>
      </w:r>
    </w:p>
    <w:p w14:paraId="2BAD157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9.4.6 在养护作业期间，承包人应随时保持现场整洁，养护作业设备和材料、工程设备应整齐妥善存放和储存，废料与垃圾及不再需要的临时设施应及时从现场清除、拆除并运走。</w:t>
      </w:r>
    </w:p>
    <w:p w14:paraId="313E969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9.4.7 承包人应在养护作业场地设置完善的排水措施，养护作业形成的坡面应及时修整并采取防止水土流失的工程措施，在养护作业过程中要尽可能减少对生态的破坏。</w:t>
      </w:r>
    </w:p>
    <w:p w14:paraId="308CCD2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9.4.8 在整个养护作业过程中对承包人采取的环境保护措施，发包人和咨询人有权监督，并向承包人提出整改要求。如果由于承包人未能对其负责的上述事项采取各种必要的措施而导致或发生与此有关的人身伤亡、罚款、索赔、损失补偿、诉讼费用及其他一切责任应由承包人负责。</w:t>
      </w:r>
    </w:p>
    <w:p w14:paraId="6A74C35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9.5 事故处理</w:t>
      </w:r>
    </w:p>
    <w:p w14:paraId="09C5F15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养护作业过程中发生事故的，承包人应立即通知咨询人，咨询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9EB1CAF">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81" w:name="bookmark26"/>
      <w:bookmarkEnd w:id="81"/>
      <w:bookmarkStart w:id="82" w:name="bookmark25"/>
      <w:bookmarkEnd w:id="82"/>
      <w:r>
        <w:rPr>
          <w:rFonts w:hint="eastAsia" w:ascii="宋体" w:hAnsi="宋体" w:cs="宋体"/>
          <w:b/>
          <w:bCs/>
          <w:color w:val="auto"/>
          <w:sz w:val="24"/>
          <w:szCs w:val="24"/>
          <w:highlight w:val="none"/>
        </w:rPr>
        <w:t>10.进度计划</w:t>
      </w:r>
    </w:p>
    <w:p w14:paraId="44DB0E68">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10.1 合同进度计划</w:t>
      </w:r>
    </w:p>
    <w:p w14:paraId="3C8E50F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承包人应在签订合同协议书后 7 天内向咨询人报送详细的养护作业计划和养护作业方案说明，养护作业方案说明的内容见专用合同条款。咨询人应在 7 天内对承包人养护作业计划和养护作业方案说明予以批复或提出修改意见，否则该计划视为已得到批准。经咨询人批准的养护作业计划称合同进度计划，是控制项目养护进度的依据。</w:t>
      </w:r>
    </w:p>
    <w:p w14:paraId="353B7DD0">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10.2 合同进度计划的修订</w:t>
      </w:r>
    </w:p>
    <w:p w14:paraId="1E9E132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不论何种原因造成养护作业的实际进度与第 10.1 款的合同进度计划不符时，</w:t>
      </w:r>
    </w:p>
    <w:p w14:paraId="365D282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可以在专用合同条款约定的期限内向咨询人提交修订合同进度计划的申请报告，并附有关措施和相关资料，报咨询人审批；咨询人也可以直接向承包人作出修订合同进度计划的指示，承包人应按该指示修订合同进度计划，报咨询人审批。咨询人应在专用合同条款约定的期限内批复。咨询人在批复前应获得发包人同意。</w:t>
      </w:r>
    </w:p>
    <w:p w14:paraId="64444AC2">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10.3 年度作业计划</w:t>
      </w:r>
    </w:p>
    <w:p w14:paraId="4D36FC5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承包人应按专用合同条款约定的期限和内容，向咨询人提交下一年度的养护作业计划。</w:t>
      </w:r>
    </w:p>
    <w:p w14:paraId="28FBEFBE">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10.4 合同用款计划</w:t>
      </w:r>
    </w:p>
    <w:p w14:paraId="10CD748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承包人应在签订本合同协议书后 7 天内，向咨询人提交按合同约定承包人有权得到支付的详细的合同用款计划，以备咨询人查阅。如果咨询人提出要求，承包人还应提交修订的合同用款计划。</w:t>
      </w:r>
    </w:p>
    <w:p w14:paraId="3F650730">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83" w:name="bookmark27"/>
      <w:bookmarkEnd w:id="83"/>
      <w:bookmarkStart w:id="84" w:name="bookmark28"/>
      <w:bookmarkEnd w:id="84"/>
      <w:r>
        <w:rPr>
          <w:rFonts w:hint="eastAsia" w:ascii="宋体" w:hAnsi="宋体" w:cs="宋体"/>
          <w:b/>
          <w:bCs/>
          <w:color w:val="auto"/>
          <w:sz w:val="24"/>
          <w:szCs w:val="24"/>
          <w:highlight w:val="none"/>
        </w:rPr>
        <w:t>11.开工和交工</w:t>
      </w:r>
    </w:p>
    <w:p w14:paraId="209BC6F4">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11.1 开工</w:t>
      </w:r>
    </w:p>
    <w:p w14:paraId="03871DB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11.1.1 咨询人应在开工日期 7 天前向承包人发出开工通知。咨询人在发出开工通知前应获得发包人同意。工期自咨询人发出的开工通知中载明的开工日期起计算。承包人应在开工日期后尽快实施养护项目。</w:t>
      </w:r>
    </w:p>
    <w:p w14:paraId="7C196E6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11.1.2 承包人应按第 10.1 款约定的合同进度计划，向咨询人提交开工报审表，经咨询人审批后执行。开工报审表应详细说明按合同进度计划正常实施养护作业所需的施工道路、临时设施、材料设备、养护人员等施工组织措施的落实情况以及养护项目的进度安排。</w:t>
      </w:r>
    </w:p>
    <w:p w14:paraId="6F13FA42">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11.2 交工</w:t>
      </w:r>
    </w:p>
    <w:p w14:paraId="676EAAB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承包人应在第 1.1.4.3目约定的期限内完成养护项目工作。实际交工日期在交工验收证书中写明。</w:t>
      </w:r>
    </w:p>
    <w:p w14:paraId="2809D4A2">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11.3 发包人引起的工期延误</w:t>
      </w:r>
    </w:p>
    <w:p w14:paraId="4506F26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在履行合同过程中，由于发包人的下列原因造成工期延误的，承包人有权要求发包人延长工期和（或）增加费用，并支付合理利润。需要修订合同进度计划的，按照第 10.2 款的约定办理。</w:t>
      </w:r>
    </w:p>
    <w:p w14:paraId="4DDF428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（1）增加合同工作内容；</w:t>
      </w:r>
    </w:p>
    <w:p w14:paraId="0EED965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（2）改变合同中任何一项工作的质量要求或其他特性；</w:t>
      </w:r>
    </w:p>
    <w:p w14:paraId="45C90F6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（3）发包人迟延提供材料、工程设备或变更交货地点的；</w:t>
      </w:r>
    </w:p>
    <w:p w14:paraId="7BB7838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（4）因发包人原因导致的暂停实施养护作业；</w:t>
      </w:r>
    </w:p>
    <w:p w14:paraId="77F90C6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（5）提供图纸延误；</w:t>
      </w:r>
    </w:p>
    <w:p w14:paraId="54B08AB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（6）未按合同约定及时支付预付款、进度款；</w:t>
      </w:r>
    </w:p>
    <w:p w14:paraId="6DA316F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bookmarkStart w:id="85" w:name="bookmark171"/>
      <w:bookmarkEnd w:id="85"/>
      <w:r>
        <w:rPr>
          <w:rFonts w:hint="eastAsia" w:ascii="宋体" w:hAnsi="宋体" w:cs="宋体"/>
          <w:color w:val="auto"/>
          <w:sz w:val="24"/>
          <w:szCs w:val="24"/>
          <w:highlight w:val="none"/>
        </w:rPr>
        <w:t>（7）发包人造成工期延误的其他原因。</w:t>
      </w:r>
    </w:p>
    <w:p w14:paraId="335FAA6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即使由于上述原因造成工期延误，如果受影响的工作并非处在养护作业进度网络计划的关键线路上，则承包人无权要求延长总工期。</w:t>
      </w:r>
    </w:p>
    <w:p w14:paraId="1419A305">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11.4 异常恶劣的气候条件</w:t>
      </w:r>
    </w:p>
    <w:p w14:paraId="19A516D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由于出现专用合同条款约定的异常恶劣的气候条件导致工期延误的，承包人有权要求发包人延长工期。</w:t>
      </w:r>
    </w:p>
    <w:p w14:paraId="0BA3A4C1">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11.5 承包人引起的工期延误</w:t>
      </w:r>
    </w:p>
    <w:p w14:paraId="23923B6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由于承包人原因，未能按合同进度计划完成工作，或咨询人认为承包人养护作业进度不能满足合同工期要求的，承包人应采取措施加快进度，并承担加快进度所增加的费用。由于承包人原因造成工期延误，承包人应支付逾期交工违约金。逾期交工违约金的计算方法在专用合同条款中约定，时间自预定的交工日期起至交工验收证书中写明的实际交工日期止（扣除已批准的延长工期），按天计算。逾期交工违约金累计金额最高不超过专用合同条款中写明的限额。发包人可以从应付或到期应付给承包人的任何款项中或采用其他方法扣除此违约金。承包人支付逾期交工违约金，不免除承包人完成养护项目及修补缺陷的义务。</w:t>
      </w:r>
    </w:p>
    <w:p w14:paraId="5D65F667">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11.6 工作时间的限制</w:t>
      </w:r>
    </w:p>
    <w:p w14:paraId="614F6CE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在夜间或国家规定的节假日进行养护作业，应向咨询人报告，以便咨询人履行监督管理职责和义务。为抢救生命或保护财产，或为养护项目的安全、质量而不可避免地短暂作业，则不必事先向咨询人报告。但承包人应在事后立即向咨询人报告。</w:t>
      </w:r>
    </w:p>
    <w:p w14:paraId="3910DA2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本款约定不适用于习惯上或养护项目本身要求实行连续生产的作业。</w:t>
      </w:r>
    </w:p>
    <w:p w14:paraId="489CAE19">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86" w:name="bookmark30"/>
      <w:bookmarkEnd w:id="86"/>
      <w:bookmarkStart w:id="87" w:name="bookmark29"/>
      <w:bookmarkEnd w:id="87"/>
      <w:r>
        <w:rPr>
          <w:rFonts w:hint="eastAsia" w:ascii="宋体" w:hAnsi="宋体" w:cs="宋体"/>
          <w:b/>
          <w:bCs/>
          <w:color w:val="auto"/>
          <w:sz w:val="24"/>
          <w:szCs w:val="24"/>
          <w:highlight w:val="none"/>
        </w:rPr>
        <w:t>12.暂停养护作业</w:t>
      </w:r>
    </w:p>
    <w:p w14:paraId="6BDB25E4">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12.1 承包人暂停养护作业的责任</w:t>
      </w:r>
    </w:p>
    <w:p w14:paraId="716AED6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因下列暂停养护作业增加的费用和（或）工期延误由承包人承担：</w:t>
      </w:r>
    </w:p>
    <w:p w14:paraId="594FBA5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（1）承包人违约引起的暂停养护作业；</w:t>
      </w:r>
    </w:p>
    <w:p w14:paraId="65E5CAD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（2）由于承包人原因为合理作业和安全保障所必需的暂停养护作业；</w:t>
      </w:r>
    </w:p>
    <w:p w14:paraId="03B3A8C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（3）承包人擅自暂停的养护作业；</w:t>
      </w:r>
    </w:p>
    <w:p w14:paraId="15E2D7E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（4）承包人其他原因引起的暂停养护作业；</w:t>
      </w:r>
    </w:p>
    <w:p w14:paraId="5699B33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（5）现场气候条件导致的必要暂停（第 11.4 款约定的异常恶劣的气候条件除外）；</w:t>
      </w:r>
    </w:p>
    <w:p w14:paraId="790D2DD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（6）专用合同条款约定的由承包人承担的其他暂停养护作业。</w:t>
      </w:r>
    </w:p>
    <w:p w14:paraId="1C12CB60">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12.2 发包人暂停养护作业的责任</w:t>
      </w:r>
    </w:p>
    <w:p w14:paraId="745CB2B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由于发包人原因引起的暂停养护作业造成工期延误的，承包人有权要求发包人</w:t>
      </w:r>
    </w:p>
    <w:p w14:paraId="2BAC7D2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延长工期和（或）增加费用，并支付合理利润。</w:t>
      </w:r>
    </w:p>
    <w:p w14:paraId="3F130E69">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88" w:name="bookmark172"/>
      <w:bookmarkEnd w:id="88"/>
      <w:r>
        <w:rPr>
          <w:rFonts w:hint="eastAsia" w:ascii="宋体" w:hAnsi="宋体" w:cs="宋体"/>
          <w:b/>
          <w:bCs/>
          <w:color w:val="auto"/>
          <w:sz w:val="24"/>
          <w:szCs w:val="24"/>
          <w:highlight w:val="none"/>
        </w:rPr>
        <w:t>12.3 咨询人暂停养护作业指示</w:t>
      </w:r>
    </w:p>
    <w:p w14:paraId="7FF429A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12.3.1 咨询人认为有必要时，可向承包人作出暂停养护作业的指示，承包人应按咨询人指示暂停养护作业。不论由于何种原因引起的暂停养护作业，暂停养护作业期间承包人应负责妥善保护养护项目并提供安全保障。</w:t>
      </w:r>
    </w:p>
    <w:p w14:paraId="02D9F76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12.3.2 由于发包人的原因发生暂停养护作业的紧急情况，且咨询人未及时下达暂停养护作业指示的，承包人可先暂停养护作业，并及时向咨询人提出暂停养护作业的书面请求。咨询人应在接到书面请求后的 24 小时内予以答复，逾期未答复的，视为同意承包人的暂停养护作业请求。</w:t>
      </w:r>
    </w:p>
    <w:p w14:paraId="29DD4A4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12.4 暂停养护作业后的复工</w:t>
      </w:r>
    </w:p>
    <w:p w14:paraId="22A9048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12.4.1 暂停养护作业后，咨询人应与发包人和承包人协商，采取有效措施积极消除暂停养护作业的影响。当工程具备复工条件时，咨询人应立即向承包人发出复工通知。承包人收到复工通知后，应在咨询人指定的期限内复工。</w:t>
      </w:r>
    </w:p>
    <w:p w14:paraId="142678F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12.4.2 承包人无故拖延和拒绝复工的，由此增加的费用和工期延误由承包人承担；因发包人原因无法按时复工的，承包人有权要求发包人延长工期和（或）增加费用，并支付合理利润。</w:t>
      </w:r>
    </w:p>
    <w:p w14:paraId="1E59318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12.5 暂停养护作业持续14天以上</w:t>
      </w:r>
    </w:p>
    <w:p w14:paraId="3893070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由于承包人责任引起的暂停养护作业，如承包人在收到咨询人暂停养护作业指示后 14 天内不认真采取有效的复工措施，造成工期延误，可视为承包人违约，应按第 22.1 款的约定办理。</w:t>
      </w:r>
    </w:p>
    <w:p w14:paraId="62C076B0">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89" w:name="bookmark32"/>
      <w:bookmarkEnd w:id="89"/>
      <w:bookmarkStart w:id="90" w:name="bookmark31"/>
      <w:bookmarkEnd w:id="90"/>
      <w:r>
        <w:rPr>
          <w:rFonts w:hint="eastAsia" w:ascii="宋体" w:hAnsi="宋体" w:cs="宋体"/>
          <w:b/>
          <w:bCs/>
          <w:color w:val="auto"/>
          <w:sz w:val="24"/>
          <w:szCs w:val="24"/>
          <w:highlight w:val="none"/>
        </w:rPr>
        <w:t>13.养护质量</w:t>
      </w:r>
    </w:p>
    <w:p w14:paraId="53E6E465">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13.1 养护质量要求</w:t>
      </w:r>
    </w:p>
    <w:p w14:paraId="3FA6AAB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13.1.1 养护项目质量验收应合格并符合技术规范、国家和行业相关质量检验标准及设计文件的要求。</w:t>
      </w:r>
    </w:p>
    <w:p w14:paraId="51673DB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13.1.2 因承包人原因造成养护质量达不到合同约定验收标准的，咨询人有权要求承包人返工直至符合合同要求为止，由此造成的费用增加和（或）工期延误由承包人承担。</w:t>
      </w:r>
    </w:p>
    <w:p w14:paraId="76DB40B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13.1.3 因发包人原因造成养护质量达不到合同约定验收标准的，发包人应承担由于承包人返工造成的费用增加和（或）工期延误，并支付承包人合理利润。</w:t>
      </w:r>
    </w:p>
    <w:p w14:paraId="57F0AB41">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13.2 承包人的质量管理</w:t>
      </w:r>
    </w:p>
    <w:p w14:paraId="32C977E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13.2.1 承包人应当建立健全养护质量保证体系，制定质量管理制度，强化养护项目质量管理措施，完善养护质量目标保障机制；严格遵守国家有关法律、法规和规章，严格执行公路养护强制性技术标准、各类技术规范及规程，全面履行合同义务。</w:t>
      </w:r>
    </w:p>
    <w:p w14:paraId="4B4E10C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13.2.2 承包人应在养护作业场地设置专门的质量检查机构，配备专职质量检查人员，建立完善的质量检查制度。承包人应在签订合同协议书后7 天内，提交养护质量保证措施文件，包括质量检查机构的组织和岗位责任、质检人员的组成、质量检查程序和实施细则等，报送咨询人审批。</w:t>
      </w:r>
    </w:p>
    <w:p w14:paraId="4751955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13.2.3 承包人应加强对养护作业人员的质量教育和技术培训，定期考核养护作业人员的劳动技能，严格执行规范和操作规程。</w:t>
      </w:r>
    </w:p>
    <w:p w14:paraId="3A919C7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13.2.4 承包人应当严格按照工程设计图纸、技术规范和合同约定实施养护作业，对原材料、半成品、成品、构件、机电设施和设备等进行检验；对单位养护工程、养护单元进行质量自评。检验或者自评不合格的，不得进入下道工序。</w:t>
      </w:r>
    </w:p>
    <w:p w14:paraId="16887C2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13.2.5 承包人应当加强养护作业过程质量控制，并形成完整、可追溯的养护质量管理资料，隐蔽部位作业还应当保留影像资料。对作业中出现的质量问题或者验收不合格的养护项目，应当负责返工处理。</w:t>
      </w:r>
    </w:p>
    <w:p w14:paraId="7B33815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13.2.6 承包人应当设立工地临时试验室，或经咨询人批准后使用其母体试验室或委托第三方试验室作为工地临时试验室，配齐检测和试验仪器、仪表，及时校正确保其精度；严格按照养护技术标准、检测规范和规程，在核定的试验检测参数范围内开展试验检测活动，并确保规范规定的检验、抽检频率。承包人应当对其设立或委托的工地临时试验室所出具的试验检测数据和报告的真实性、客观性、准确性负责。</w:t>
      </w:r>
    </w:p>
    <w:p w14:paraId="1C846C9B">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13.3 承包人的质量检查</w:t>
      </w:r>
    </w:p>
    <w:p w14:paraId="05D336A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承包人应按合同约定对材料、工程设备以及养护工程的所有部位及其工艺进行全过程的质量检查和检验，并作详细记录，编制质量报表，报送咨询人审查。</w:t>
      </w:r>
    </w:p>
    <w:p w14:paraId="669581D0">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13.4 咨询人的质量检查</w:t>
      </w:r>
    </w:p>
    <w:p w14:paraId="09DC7A5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咨询人有权对养护工程的所有部位及其工艺、材料和工程设备进行检查和检验。承包人应为咨询人的检查和检验，包括咨询人到养护作业场地，或制造、加工地点，或合同约定的其他地方进行查看和查阅养护作业原始记录提供方便。承包人还应按咨询人指示，进行养护作业场地取样试验、工程复核测量和设备性能检测，提供试验样品、提交试验报告和测量成果以及咨询人要求进行的其他工作。咨询人的检查和检验，不免除承包人按合同约定应负的责任。</w:t>
      </w:r>
    </w:p>
    <w:p w14:paraId="340FBC5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咨询人可以将材料或工程设备的检查和检验委托给一家独立的具备相应检测资质资格的单位承担。该独立检验单位的检验结果应视为由咨询人完成。咨询人应至少提前 7 天将委托通知书交给承包人。</w:t>
      </w:r>
    </w:p>
    <w:p w14:paraId="4E925BF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13.5 隐蔽部位覆盖前的检查</w:t>
      </w:r>
    </w:p>
    <w:p w14:paraId="7BCC7EE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经承包人自检确认的隐蔽部位具备覆盖条件后，承包人应通知咨询人在约定的</w:t>
      </w:r>
    </w:p>
    <w:p w14:paraId="5190155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期限内检查。咨询人应按时到场检查。咨询人未到场检查的，除咨询人另有指示外，承包人可自行完成覆盖工作。无论咨询人是否到场检查，对已覆盖的隐蔽部位，咨询人可要求承包人对已覆盖的部位进行钻孔探测或重新检验，承包人应遵照执行，并在检验后重新覆盖恢复原状。</w:t>
      </w:r>
    </w:p>
    <w:p w14:paraId="30E1568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经检验证明养护质量符合合同要求的，由发包人承担由此增加的费用和（或）工期延误，并支付承包人合理利润；经检验证明养护质量不符合合同要求的，由此增加的费用和（或）工期延误，由承包人承担。</w:t>
      </w:r>
    </w:p>
    <w:p w14:paraId="4A9885D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承包人未通知咨询人到场检查，私自将隐蔽部位覆盖的，咨询人有权指示承包人钻孔探测或揭开检查，无论隐蔽部位质量是否合格，由此增加的费用和（或）工期延误由承包人承担。</w:t>
      </w:r>
    </w:p>
    <w:p w14:paraId="2E1EB319">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13.6 清除不合格养护工程</w:t>
      </w:r>
    </w:p>
    <w:p w14:paraId="7960392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13.6.1 承包人使用不合格材料、工程设备，或采用不适当的工艺，或养护作业不当，造成养护工程质量不合格的，咨询人可以随时发出指示，要求承包人立即采取措施进行补救，直至达到合同要求的质量标准，由此增加的费用和（或）工期延误由承包人承担。</w:t>
      </w:r>
    </w:p>
    <w:p w14:paraId="4994DC3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如果承包人未在约定时间内执行咨询人的指示，发包人有权雇用符合资格条件的第三方执行，由此增加的费用和（或）工期延误由承包人承担。</w:t>
      </w:r>
    </w:p>
    <w:p w14:paraId="2CB929B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13.6.2 由于发包人提供的材料或工程设备不合格造成的养护工程不合格，需要承包人采取措施补救的，发包人应承担由此增加的费用和（或）工期延误，并支付承包人合理利润。</w:t>
      </w:r>
    </w:p>
    <w:p w14:paraId="2FEB955F">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13.7 质量争议的检测</w:t>
      </w:r>
    </w:p>
    <w:p w14:paraId="5494CB57">
      <w:pPr>
        <w:widowControl/>
        <w:wordWrap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合同当事人对养护质量有争议的，由双方协商确定的具备相应资格的质量检测机构鉴定，由此产生的费用及因此造成的损失，由责任方承担。合同当事人均有责任的，由双方根据其责任分别承担。合同当事人无法达成一致的， 由咨询人按第3.5 款商定或确定。</w:t>
      </w:r>
    </w:p>
    <w:p w14:paraId="59744779">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91" w:name="bookmark34"/>
      <w:bookmarkEnd w:id="91"/>
      <w:bookmarkStart w:id="92" w:name="bookmark33"/>
      <w:bookmarkEnd w:id="92"/>
      <w:r>
        <w:rPr>
          <w:rFonts w:hint="eastAsia" w:ascii="宋体" w:hAnsi="宋体" w:cs="宋体"/>
          <w:b/>
          <w:bCs/>
          <w:color w:val="auto"/>
          <w:sz w:val="24"/>
          <w:szCs w:val="24"/>
          <w:highlight w:val="none"/>
        </w:rPr>
        <w:t>14.试验和检验</w:t>
      </w:r>
    </w:p>
    <w:p w14:paraId="246E4135">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14.1 材料、工程设备和养护工程的试验和检验</w:t>
      </w:r>
    </w:p>
    <w:p w14:paraId="1690367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14.1.1 承包人应按合同约定进行材料、工程设备和养护工程的试验和检验，并为咨询人对上述材料、工程设备和养护工程的质量检查提供必要的试验资料和原始记录。按合同约定应由咨询人与承包人共同进行试验和检验的，由承包人负责提供必要的试验资料和原始记录。</w:t>
      </w:r>
    </w:p>
    <w:p w14:paraId="1484108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14.1.2 咨询人未按合同约定派员参加试验和检验的，除咨询人另有指示外，承包人可自行试验和检验，并应立即将试验和检验结果报送咨询人，咨询人应签字确认。</w:t>
      </w:r>
    </w:p>
    <w:p w14:paraId="752C6E1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14.1.3 咨询人对承包人的试验和检验结果有疑问的，或为查清承包人试验和检验成果的可靠性要求承包人重新试验和检验的，可按合同约定由咨询人与承包人共同进行。重新试验和检验的结果证明该项材料、工程设备或养护工程的质量不符合合同要求的，由此增加的费用和（或）工期延误由承包人承担；重新试验和检验结果证明该项材料、工程设备和养护工程符合合同要求的，由发包人承担由此增加的费用和（或）工期延误，并支付承包人合理利润。</w:t>
      </w:r>
    </w:p>
    <w:p w14:paraId="4ADA9574">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14.2 现场材料试验</w:t>
      </w:r>
    </w:p>
    <w:p w14:paraId="7C03791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14.2.1 承包人根据合同约定或咨询人指示进行的现场材料试验，应由承包人提供试验场所、试验人员、试验设备器材以及其他必要的试验条件。</w:t>
      </w:r>
    </w:p>
    <w:p w14:paraId="50C6ABD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14.2.2 咨询人在必要时可以使用承包人的试验场所、试验设备器材以及其他试验条件，进行以养护质量检查为目的的复核性材料试验，承包人应予以协助。</w:t>
      </w:r>
    </w:p>
    <w:p w14:paraId="7C8FF52A">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14.3 试验和检验费用</w:t>
      </w:r>
    </w:p>
    <w:p w14:paraId="3037A17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14.3.1 承包人应负责提供合同约定的试验和检验所需的全部样品，并承担其费用。</w:t>
      </w:r>
    </w:p>
    <w:p w14:paraId="5803668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14.3.2 在合同中明确约定的试验和检验，包括无须在工程量清单中单独列项和已在工程量清单中单独列项的试验和检验，其试验和检验的费用由承包人承担。</w:t>
      </w:r>
    </w:p>
    <w:p w14:paraId="6400333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14.3.3 如果咨询人所要求做的试验和检验为合同未约定的或是在该材料或工程设备的制造、加工、制配场地以外的场所进行的，则检验结束后，如表明操作工艺或材料、工程设备未能符合合同约定，其费用应由承包人承担，否则，其费用应由发包人承担。</w:t>
      </w:r>
    </w:p>
    <w:p w14:paraId="5D145ECE">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93" w:name="bookmark35"/>
      <w:bookmarkEnd w:id="93"/>
      <w:bookmarkStart w:id="94" w:name="bookmark36"/>
      <w:bookmarkEnd w:id="94"/>
      <w:r>
        <w:rPr>
          <w:rFonts w:hint="eastAsia" w:ascii="宋体" w:hAnsi="宋体" w:cs="宋体"/>
          <w:b/>
          <w:bCs/>
          <w:color w:val="auto"/>
          <w:sz w:val="24"/>
          <w:szCs w:val="24"/>
          <w:highlight w:val="none"/>
        </w:rPr>
        <w:t>15.变更</w:t>
      </w:r>
    </w:p>
    <w:p w14:paraId="49851142">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15.1 变更的范围和内容</w:t>
      </w:r>
    </w:p>
    <w:p w14:paraId="5A50677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除专用合同条款另有约定外，在履行合同中发生以下情形之一，应按照本条约定进行变更：</w:t>
      </w:r>
    </w:p>
    <w:p w14:paraId="3D52E12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（1）取消合同中任何一项工作，但被取消的工作不能转由发包人或其他人实施，由于承包人违约造成的情况除外；</w:t>
      </w:r>
    </w:p>
    <w:p w14:paraId="7C9FC20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（2）改变合同中任何一项工作的质量或其他特性；</w:t>
      </w:r>
    </w:p>
    <w:p w14:paraId="43D4D1B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（3）改变合同工程的基线、标高、位置或尺寸；</w:t>
      </w:r>
    </w:p>
    <w:p w14:paraId="1F3BA97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（4）改变合同中任何一项工作的作业时间或改变已批准的工艺或顺序；</w:t>
      </w:r>
    </w:p>
    <w:p w14:paraId="2501AC8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（5）为完成合同需要追加的额外工作。</w:t>
      </w:r>
    </w:p>
    <w:p w14:paraId="44B8B489">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15.2 变更权</w:t>
      </w:r>
    </w:p>
    <w:p w14:paraId="465146C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在履行合同过程中，经发包人同意，咨询人可按第 15.3 款约定的变更程序向</w:t>
      </w:r>
    </w:p>
    <w:p w14:paraId="46243D3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承包人作出变更指示，承包人应遵照执行。没有咨询人的变更指示，承包人不得擅自变更。</w:t>
      </w:r>
    </w:p>
    <w:p w14:paraId="4827A82A">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15.3 变更程序</w:t>
      </w:r>
    </w:p>
    <w:p w14:paraId="001DE87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15.3.1 变更的提出</w:t>
      </w:r>
    </w:p>
    <w:p w14:paraId="0BFAEC3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（1）在合同履行过程中，可能发生第 15.1 款约定情形的，咨询人可向承包人发出变更意向书。变更意向书应说明变更的具体内容和发包人对变更的时间要求，并附必要的图纸和相关资料。变更意向书应要求承包人提交包括拟实施变更工作的计划、措施和完工时间等内容的实施方案。发包人同意承包人根据变更意向书要求提交的变更实施方案的，由咨询人按第 15.3.3 项约定发出变更指示。</w:t>
      </w:r>
    </w:p>
    <w:p w14:paraId="1DBF45E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（2）在合同履行过程中，发生第 15.1 款约定情形的，咨询人应按照第 15.3.3项约定向承包人发出变更指示。</w:t>
      </w:r>
    </w:p>
    <w:p w14:paraId="7CC4DF7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（3）承包人收到咨询人按合同约定发出的图纸和文件，经检查认为其中存在第 15.1 款约定情形的，可向咨询人提出书面变更建议。变更建议应阐明要求变更的依据，并附必要的图纸和说明。咨询人收到承包人书面建议后，应与发包人共同研究，确认存在变更的，应在收到承包人书面建议后的 3 天内作出变更指示。经研究后不同意作为变更的，应由咨询人书面答复承包人。</w:t>
      </w:r>
    </w:p>
    <w:p w14:paraId="6EC8EF0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（4）若承包人收到咨询人的变更意向书后认为难以实施此项变更，应立即通知咨询人，说明原因并附详细依据。咨询人与承包人和发包人协商后确定撤销、改变或不改变原变更意向书。</w:t>
      </w:r>
    </w:p>
    <w:p w14:paraId="1B3C2E1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15.3.2 变更估价</w:t>
      </w:r>
    </w:p>
    <w:p w14:paraId="377B793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（1）除专用合同条款对期限另有约定外，承包人应在收到变更指示或变更意向书后的 7 天内，向咨询人提交变更报价书，报价内容应根据第 15.4 款约定的估价原则，详细开列变更工作的价格组成及其依据，并附必要的养护作业方法说明和有关图纸。</w:t>
      </w:r>
    </w:p>
    <w:p w14:paraId="6D9ACCB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（2）变更工作影响工期的，承包人应提出调整工期的具体细节。咨询人认为有必要时，可要求承包人提交要求提前或延长工期的养护进度计划及相应养护措施等详细资料。</w:t>
      </w:r>
    </w:p>
    <w:p w14:paraId="30BECE7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（3）除专用合同条款对期限另有约定外，咨询人收到承包人变更报价书后的7 天内，根据第 15.4 款约定的估价原则，按照第 3.5 款商定或确定变更价格。</w:t>
      </w:r>
    </w:p>
    <w:p w14:paraId="3CFE3B4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15.3.3 变更指示</w:t>
      </w:r>
    </w:p>
    <w:p w14:paraId="74B0567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（1）变更指示只能由咨询人发出。</w:t>
      </w:r>
    </w:p>
    <w:p w14:paraId="336A275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（2）变更指示应说明变更的目的、范围、变更内容以及变更的工程量及其进度和技术要求，并附有关图纸和文件。承包人收到变更指示后，应按变更指示进行变更工作。</w:t>
      </w:r>
    </w:p>
    <w:p w14:paraId="356F4761">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95" w:name="bookmark173"/>
      <w:bookmarkEnd w:id="95"/>
      <w:r>
        <w:rPr>
          <w:rFonts w:hint="eastAsia" w:ascii="宋体" w:hAnsi="宋体" w:cs="宋体"/>
          <w:b/>
          <w:bCs/>
          <w:color w:val="auto"/>
          <w:sz w:val="24"/>
          <w:szCs w:val="24"/>
          <w:highlight w:val="none"/>
        </w:rPr>
        <w:t>15.4 变更的估价原则</w:t>
      </w:r>
    </w:p>
    <w:p w14:paraId="48C8F3D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除专用合同条款另有约定外，因变更引起的价格调整按照本款约定处理。</w:t>
      </w:r>
    </w:p>
    <w:p w14:paraId="4103E69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15.4.1 如果取消某项工作，则该项工作的总额价不予支付。</w:t>
      </w:r>
    </w:p>
    <w:p w14:paraId="08D1FFD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15.4.2 已标价工程量清单中有适用于变更工作的子目的，采用该子目的单价。</w:t>
      </w:r>
    </w:p>
    <w:p w14:paraId="207A729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15.4.3 已标价工程量清单中无适用于变更工作的子目，但有类似子目的，可在合理范围内参照类似子目的单价，由咨询人按第 3.5 款商定或确定变更工作的单价。</w:t>
      </w:r>
    </w:p>
    <w:p w14:paraId="4D35641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15.4.4 已标价工程量清单中无适用或类似子目的单价，按照专用合同条款约定的原则，由咨询人按第 3.5 款商定或确定变更工作的单价。</w:t>
      </w:r>
    </w:p>
    <w:p w14:paraId="16845A9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15.4.5 如果养护项目的变更指示是因承包人过错、承包人违反合同或承包人责任造成的，则这种违约引起的任何额外费用应由承包人承担。</w:t>
      </w:r>
    </w:p>
    <w:p w14:paraId="09A6B310">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15.5 承包人的合理化建议</w:t>
      </w:r>
    </w:p>
    <w:p w14:paraId="2BE01F6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15.5.1 在履行合同过程中，承包人对发包人提供的图纸、技术要求以及其他方面提出的合理化建议，均应以书面形式提交咨询人。合理化建议书的内容应包括建议工作的详细说明、进度计划和效益以及与其他工作的协调等，并附必要的设计文件 。咨询人应与发包人协商是否采纳建议。建议被采纳并构成变更的，应按第15.3.3 项约定向承包人发出变更指示。</w:t>
      </w:r>
    </w:p>
    <w:p w14:paraId="1C82A73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15.5.2 承包人提出的合理化建议降低了合同价格或者提高了工程经济效益的，发包人按专用合同条款约定的金额给予奖励。</w:t>
      </w:r>
    </w:p>
    <w:p w14:paraId="227EAA0B">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15.6 暂列金额</w:t>
      </w:r>
    </w:p>
    <w:p w14:paraId="384D748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15.6.1 暂列金额应由咨询人报发包人批准后指令全部或部分地使用，或者根本不予动用。</w:t>
      </w:r>
    </w:p>
    <w:p w14:paraId="0041E21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15.6.2 对于经发包人批准的每一笔暂列金额，咨询人有权向承包人发出实施工程或提供材料、工程设备或服务的指令。这些指令应由承包人完成，咨询人应根据第 15.4 款约定的变更估价原则和第 15.7 款的约定，对合同价格进行相应调整。</w:t>
      </w:r>
    </w:p>
    <w:p w14:paraId="7B46465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15.6.3 当咨询人提出要求时，承包人应提供有关暂列金额支出的所有价格清单、发票、凭证和账单或收据，除非该工作是根据已标价工程量清单列明的单价或总额价进行的估价。</w:t>
      </w:r>
    </w:p>
    <w:p w14:paraId="1932DF3E">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15.7 计日工</w:t>
      </w:r>
    </w:p>
    <w:p w14:paraId="560261E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15.7.1 发包人认为有必要时，由咨询人通知承包人以计日工方式实施变更的零星工作。其价款按列入已标价工程量清单中的计日工计价子目及其单价进行计算。</w:t>
      </w:r>
    </w:p>
    <w:p w14:paraId="59BA021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15.7.2 采用计日工计价的任何一项变更工作，应从暂列金额中支付，承包人应在该项变更的实施过程中，每天提交以下报表和有关凭证报送咨询人审批：</w:t>
      </w:r>
    </w:p>
    <w:p w14:paraId="5CBADB5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（1）工作名称、内容和数量；</w:t>
      </w:r>
    </w:p>
    <w:p w14:paraId="34A9AE2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（2）投入该工作所有人员的姓名、工种、级别和耗用工时；</w:t>
      </w:r>
    </w:p>
    <w:p w14:paraId="23515B8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（3）投入该工作的材料类别和数量；</w:t>
      </w:r>
    </w:p>
    <w:p w14:paraId="61D4A29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（4）投入该工作的养护作业设备型号、台数和耗用台时；</w:t>
      </w:r>
    </w:p>
    <w:p w14:paraId="5CAA25F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（5）咨询人要求提交的其他资料和凭证。</w:t>
      </w:r>
    </w:p>
    <w:p w14:paraId="66C7313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15.7.3 计日工由承包人汇总后，按第 17.3.2 项的约定列入进度付款申请单，由咨询人复核并经发包人同意后列入进度付款。</w:t>
      </w:r>
    </w:p>
    <w:p w14:paraId="51EEB1DC">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15.8 暂估价</w:t>
      </w:r>
    </w:p>
    <w:p w14:paraId="7F0747B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发包人在工程量清单中给定暂估价的工程、材料、工程设备、服务，应按照专用合同条款的约定确定实施主体，并由咨询人按照第 15.4 款进行估价。经估价的工程、材料、工程设备、服务的价格与工程量清单中所列的暂估价的金额差以及相应的税金等其他费用列入合同价格。</w:t>
      </w:r>
    </w:p>
    <w:p w14:paraId="11B68555">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96" w:name="bookmark37"/>
      <w:bookmarkEnd w:id="96"/>
      <w:bookmarkStart w:id="97" w:name="bookmark38"/>
      <w:bookmarkEnd w:id="97"/>
      <w:r>
        <w:rPr>
          <w:rFonts w:hint="eastAsia" w:ascii="宋体" w:hAnsi="宋体" w:cs="宋体"/>
          <w:b/>
          <w:bCs/>
          <w:color w:val="auto"/>
          <w:sz w:val="24"/>
          <w:szCs w:val="24"/>
          <w:highlight w:val="none"/>
        </w:rPr>
        <w:t>16.价格调整</w:t>
      </w:r>
    </w:p>
    <w:p w14:paraId="2F461B31">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16.1 物价波动引起的价格调整</w:t>
      </w:r>
    </w:p>
    <w:p w14:paraId="73DD311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因物价波动引起的价格调整按照专用合同条款约定的原则处理。</w:t>
      </w:r>
    </w:p>
    <w:p w14:paraId="65CD097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16.1.1 采用造价信息调整价格差额</w:t>
      </w:r>
    </w:p>
    <w:p w14:paraId="7EE7271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在合同履行过程中，因材料价格波动影响合同价格时，按照以下原则对合同价格进行调整。</w:t>
      </w:r>
    </w:p>
    <w:p w14:paraId="0E15D78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16.1.1.1 因材料价格波动超过一定幅度影响合同价格时，按以下公式计算差额并调整合同价格。需要进行价格调整的材料的种类在专用合同条款中约定，其单价和数量应由咨询人复核。经咨询人确认需调整的材料单价及数量，作为调整合同价格差额的依据。</w:t>
      </w:r>
    </w:p>
    <w:p w14:paraId="322815E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价差调整费用 ( ΔCt）： ΔCt=( ΔC-Co ×r%) × V，其中 ΔC＝Ci－Co。</w:t>
      </w:r>
    </w:p>
    <w:p w14:paraId="491DE21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基准价（Co）：指基准日期当期的由专用合同条款指定机构发布的养护项目所在地的材料信息价。</w:t>
      </w:r>
    </w:p>
    <w:p w14:paraId="3BBDFFA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信息价（Ci）：指计量时当期的由专用合同条款指定机构发布的养护项目所在地的材料信息价。</w:t>
      </w:r>
    </w:p>
    <w:p w14:paraId="4317809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数量（V）：按照专用合同条款约定，指承包人在本计量周期内已完成采购的数量，或指以承包人在本计量周期内已完成计量支付的实体工程量为基础，按照专用合同条款约定的单位用量的标准计算得出调价数量。</w:t>
      </w:r>
    </w:p>
    <w:p w14:paraId="4E61286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风险幅度系数（r％）：基准价（Co ）一定幅度内价差作为合同当事人共同承担的风险，不予调差且不列入结算。风险幅度系数在专用合同条款中约定。</w:t>
      </w:r>
    </w:p>
    <w:p w14:paraId="12A08DB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16.1.1.2 由于上述合同价格调整所产生的增值税和其他税费的增减额由发包人承担。</w:t>
      </w:r>
    </w:p>
    <w:p w14:paraId="641232E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16.1.2 采用其他方式调整价格差额</w:t>
      </w:r>
      <w:bookmarkStart w:id="98" w:name="bookmark174"/>
      <w:bookmarkEnd w:id="98"/>
      <w:r>
        <w:rPr>
          <w:rFonts w:hint="eastAsia" w:ascii="宋体" w:hAnsi="宋体" w:cs="宋体"/>
          <w:color w:val="auto"/>
          <w:sz w:val="24"/>
          <w:szCs w:val="24"/>
          <w:highlight w:val="none"/>
        </w:rPr>
        <w:t>采用其他方式进行价格调整的，按专用合同条款的约定执行。</w:t>
      </w:r>
    </w:p>
    <w:p w14:paraId="6E96E2E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16.1.3 不调整价格差额</w:t>
      </w:r>
    </w:p>
    <w:p w14:paraId="3725C6B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在合同履行期间（包括工期拖延期间），由于人工、材料和设备价格的上涨而引起养护成本增加的风险由承包人自行承担，合同价格不会因此而调整。</w:t>
      </w:r>
    </w:p>
    <w:p w14:paraId="7ED685BF">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16.2 法律、标准变化引起的价格调整</w:t>
      </w:r>
    </w:p>
    <w:p w14:paraId="52D7313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在基准日期后，因法律变化及 1.4 款所指标准变化导致承包人在合同履行中所需要的养护费用发生除第 16.1 款约定以外的增减时，咨询人应根据法律、国家或省、 自治区、直辖市有关部门的规定，按第 3.5 款商定或确定需调整的合同价款。</w:t>
      </w:r>
    </w:p>
    <w:p w14:paraId="433CB8A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因承包人原因造成工期延误，在工期延误期间出现法律、标准变化的，由此增加的费用和（或）工期延误由承包人承担。</w:t>
      </w:r>
    </w:p>
    <w:p w14:paraId="1D1C0626">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99" w:name="bookmark39"/>
      <w:bookmarkEnd w:id="99"/>
      <w:bookmarkStart w:id="100" w:name="bookmark40"/>
      <w:bookmarkEnd w:id="100"/>
      <w:r>
        <w:rPr>
          <w:rFonts w:hint="eastAsia" w:ascii="宋体" w:hAnsi="宋体" w:cs="宋体"/>
          <w:b/>
          <w:bCs/>
          <w:color w:val="auto"/>
          <w:sz w:val="24"/>
          <w:szCs w:val="24"/>
          <w:highlight w:val="none"/>
        </w:rPr>
        <w:t>17.计量与支付</w:t>
      </w:r>
    </w:p>
    <w:p w14:paraId="2A55368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17.1 计量</w:t>
      </w:r>
    </w:p>
    <w:p w14:paraId="7F62695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17.1.1 计量单位</w:t>
      </w:r>
    </w:p>
    <w:p w14:paraId="3DAB92A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计量采用国家法定的计量单位。</w:t>
      </w:r>
    </w:p>
    <w:p w14:paraId="2D8E137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17.1.2 计量方法</w:t>
      </w:r>
    </w:p>
    <w:p w14:paraId="389FB19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除专用合同条款另有约定外，工程量的计算应以合同文件工程量清单计量规则中约定的工程量计量方法为准。</w:t>
      </w:r>
    </w:p>
    <w:p w14:paraId="2A6802C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17.1.3 计量周期</w:t>
      </w:r>
    </w:p>
    <w:p w14:paraId="2B88F08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（1）除专用合同条款另有约定外，单价子目已完成工程量按月计量。</w:t>
      </w:r>
    </w:p>
    <w:p w14:paraId="7451ECF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（2）总价子目已完成工程量按月或按批准的支付分解表计量，由发包人在专用合同条款中约定。</w:t>
      </w:r>
    </w:p>
    <w:p w14:paraId="1E1E910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17.1.4 单价子目的计量</w:t>
      </w:r>
    </w:p>
    <w:p w14:paraId="329B9AC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除专用合同条款另有约定外，单价子目的计量按照下述约定进行：</w:t>
      </w:r>
    </w:p>
    <w:p w14:paraId="1404D4A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（1）已标价工程量清单中的单价子目工程量为估算工程量。结算工程量是承包人实际完成的，并按合同约定的计量方法进行计量的工程量。</w:t>
      </w:r>
    </w:p>
    <w:p w14:paraId="04037FF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（2）承包人对已完成的工程进行计量，向咨询人提交进度付款申请单、已完成工程量报表和有关计量资料。</w:t>
      </w:r>
    </w:p>
    <w:p w14:paraId="4D99B4C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（3）咨询人对承包人提交的工程量报表进行复核，以确定实际完成的工程量。对数量有异议的，可要求承包人按第 8.2 款约定进行共同复核和抽样复测。承包人应协助咨询人进行复核并按咨询人要求提供补充计量资料。承包人未按咨询人要求参加复核，咨询人复核或修正的工程量视为承包人实际完成的工程量。</w:t>
      </w:r>
    </w:p>
    <w:p w14:paraId="04F70D3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（4）咨询人认为有必要时，可通知承包人共同进行联合测量、计量，承包人应遵照执行。</w:t>
      </w:r>
    </w:p>
    <w:p w14:paraId="78B3ADD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bookmarkStart w:id="101" w:name="bookmark175"/>
      <w:bookmarkEnd w:id="101"/>
      <w:r>
        <w:rPr>
          <w:rFonts w:hint="eastAsia" w:ascii="宋体" w:hAnsi="宋体" w:cs="宋体"/>
          <w:color w:val="auto"/>
          <w:sz w:val="24"/>
          <w:szCs w:val="24"/>
          <w:highlight w:val="none"/>
        </w:rPr>
        <w:t>（5）承包人完成工程量清单中每个子目的工程量后，咨询人应要求承包人派员共同对每个子目的历次计量报表进行汇总，以核实最终结算工程量。咨询人可要求承包人提供补充计量资料，以确定最后一次进度付款的准确工程量。承包人未按咨询人要求派员参加的，咨询人最终核实的工程量视为承包人完成该子目的准确工程量。</w:t>
      </w:r>
    </w:p>
    <w:p w14:paraId="4B8C354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（6）咨询人应在收到承包人提交的工程量报表后的 7 天内进行复核，咨询人未在约定时间内复核的，承包人提交的工程量报表中的工程量视为承包人实际完成的工程量，据此计算工程价款。</w:t>
      </w:r>
    </w:p>
    <w:p w14:paraId="00554BA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（7）承包人未在已标价工程量清单中填入单价或总额价的工程子目，将被认为其已包含在本合同的其他子目的单价和总额价中，发包人将不另行支付。</w:t>
      </w:r>
    </w:p>
    <w:p w14:paraId="5F250E6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17.1.5 总价子目的计量</w:t>
      </w:r>
    </w:p>
    <w:p w14:paraId="544EAF3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除专用合同条款另有约定外，总价子目的分解和计量按照下述约定进行：</w:t>
      </w:r>
    </w:p>
    <w:p w14:paraId="0029302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（1）总价子目的计量和支付应以总价为基础，不因第 16.1 款中的因素而进行调整。承包人实际完成的工程量，是进行养护目标管理和控制进度支付的依据。</w:t>
      </w:r>
    </w:p>
    <w:p w14:paraId="5EFF995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承包人在合同约定的每个计量周期内，对已完成的工程进行计量，并向咨询人提交进度付款申请单、专用合同条款约定的合同总价支付分解表所表示的阶段性或分项计量的支持性资料，以及所达到工程形象目标或分阶段需完成的工程量和有关计量资料。</w:t>
      </w:r>
    </w:p>
    <w:p w14:paraId="6230770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（3）咨询人对承包人提交的上述资料进行复核，以确定分阶段实际完成的工程量和工程形象目标。对其有异议的，可要求承包人按第 8.2 款约定进行共同复核和抽样复测。</w:t>
      </w:r>
    </w:p>
    <w:p w14:paraId="652724C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（4）除按照第15条约定的变更外，总价子目的工程量是承包人用于结算的最终工程量。</w:t>
      </w:r>
    </w:p>
    <w:p w14:paraId="2929F65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（5）工程量清单中要求承包人以“总额 ”方式报价的子目，各子目的支付原则和支付进度按专用合同条款的约定执行。</w:t>
      </w:r>
    </w:p>
    <w:p w14:paraId="60BB2235">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17.2 预付款</w:t>
      </w:r>
    </w:p>
    <w:p w14:paraId="094811D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17.2.1 预付款</w:t>
      </w:r>
    </w:p>
    <w:p w14:paraId="3AE6EDF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预付款用于承包人为合同实施购置材料、设备、修建临时设施以及组织养护队伍进场等。</w:t>
      </w:r>
    </w:p>
    <w:p w14:paraId="4039C73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预付款包括开工预付款和材料、设备预付款。具体额度和预付办法如下：</w:t>
      </w:r>
    </w:p>
    <w:p w14:paraId="6414A8C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（1）开工预付款的金额在专用合同条款中约定。在承包人签订了合同协议书且承包人承诺的主要人员、设备进场后，咨询人应在当期进度付款证书中向承包人支付开工预付款。</w:t>
      </w:r>
    </w:p>
    <w:p w14:paraId="2F65420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承包人不得将该预付款用于与养护项目无关的支出，发包人、咨询人有权监督承包人对该项费用的使用，如经查实承包人滥用开工预付款，发包人有权立即索赔履约保证金，并解除合同。</w:t>
      </w:r>
    </w:p>
    <w:p w14:paraId="1466F37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（2）材料、设备预付款按专用合同条款中所列主要材料、设备单据费用（进口的材料、设备为到岸价，国内采购的为出厂价或销售价，地方材料为堆场价）的百分比支付。其预付条件为：</w:t>
      </w:r>
    </w:p>
    <w:p w14:paraId="3092692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a.材料、设备符合规范要求并经咨询人认可；</w:t>
      </w:r>
    </w:p>
    <w:p w14:paraId="79DAF2F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b.承包人已出具材料、设备费用凭证或支付单据；</w:t>
      </w:r>
    </w:p>
    <w:p w14:paraId="11E500E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c.材料、设备已在现场交货，且存储良好，咨询人认为材料、设备的存储方法符合要求。</w:t>
      </w:r>
    </w:p>
    <w:p w14:paraId="5BBAFFE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则咨询人应将此项金额作为材料、设备预付款计入下一次的进度付款证书中。在预计交工前 3 个月，将不再支付材料、设备预付款。</w:t>
      </w:r>
    </w:p>
    <w:p w14:paraId="34A9028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17.2.2 预付款的使用</w:t>
      </w:r>
    </w:p>
    <w:p w14:paraId="16A80AE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发包人向承包人支付的预付款，应按照本合同第 17.2.1 项约定使用，承包人提交的履约保证金对预付款的正常使用承担保证责任。</w:t>
      </w:r>
    </w:p>
    <w:p w14:paraId="0E08B57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17.2.3 预付款的扣回与还清</w:t>
      </w:r>
    </w:p>
    <w:p w14:paraId="1B6A87F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0B4AB4F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（2）当材料、设备已用于或安装在养护工程之中时，材料、设备预付款应从进度付款证书中扣回，扣回期不超过3个月。已经支付材料、设备预付款的材料、设备的所有权应属于发包人。</w:t>
      </w:r>
    </w:p>
    <w:p w14:paraId="2D35833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（3）在颁发交工验收证书前，由于不可抗力或其他原因解除合同时，预付款尚未扣清的，尚未扣清的预付款余额应作为承包人的到期应付款。</w:t>
      </w:r>
    </w:p>
    <w:p w14:paraId="1B11C805">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17.3 工程进度付款</w:t>
      </w:r>
    </w:p>
    <w:p w14:paraId="2ABAEB4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17.3.1 付款周期</w:t>
      </w:r>
    </w:p>
    <w:p w14:paraId="5B2BC5A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付款周期同计量周期。</w:t>
      </w:r>
    </w:p>
    <w:p w14:paraId="09EE626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17.3.2 进度付款申请单</w:t>
      </w:r>
    </w:p>
    <w:p w14:paraId="78C4581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承包人应在每个付款周期末，按咨询人批准的格式和专用合同条款约定的份数，向咨询人提交进度付款申请单，并附相应的支持性证明文件。除专用合同条款另有约定外，进度付款申请单应包括下列内容：</w:t>
      </w:r>
    </w:p>
    <w:p w14:paraId="1603A67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（1）截至本次付款周期末已实施养护作业的价款；</w:t>
      </w:r>
    </w:p>
    <w:p w14:paraId="1E18082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（2）根据第 15 条应增加和扣减的变更金额；</w:t>
      </w:r>
    </w:p>
    <w:p w14:paraId="01FE9CA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（3）根据第 23 条应增加和扣减的索赔金额；</w:t>
      </w:r>
    </w:p>
    <w:p w14:paraId="7062F17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bookmarkStart w:id="102" w:name="bookmark176"/>
      <w:bookmarkEnd w:id="102"/>
      <w:r>
        <w:rPr>
          <w:rFonts w:hint="eastAsia" w:ascii="宋体" w:hAnsi="宋体" w:cs="宋体"/>
          <w:color w:val="auto"/>
          <w:sz w:val="24"/>
          <w:szCs w:val="24"/>
          <w:highlight w:val="none"/>
        </w:rPr>
        <w:t>（4）根据第 17.2 款约定应支付的预付款和扣减的返还预付款；</w:t>
      </w:r>
    </w:p>
    <w:p w14:paraId="31F17FF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（5）根据合同应增加和扣减的其他金额。</w:t>
      </w:r>
    </w:p>
    <w:p w14:paraId="2390CB6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17.3.3 进度付款证书和支付时间</w:t>
      </w:r>
    </w:p>
    <w:p w14:paraId="3D5587A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（1）咨询人在收到承包人进度付款申请单以及相应的支持性证明文件后的 7天内完成核查，提出发包人到期应支付给承包人的金额以及相应的支持性材料，经发包人审查同意后，由咨询人向承包人出具经发包人签认的进度付款证书。咨询人有权扣除承包人未能按照合同要求履行任何工作或义务的相应金额。</w:t>
      </w:r>
    </w:p>
    <w:p w14:paraId="79971FE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（2）发包人应在咨询人收到进度付款申请单且承包人提交了合格的增值税发票后的 14 天内，将进度应付款支付给承包人。</w:t>
      </w:r>
    </w:p>
    <w:p w14:paraId="55972A4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发包人不按期支付的，按专用合同条款约定的利率向承包人支付逾期付款违约金。违约金计算基数为发包人的全部未付款额，时间从应付而未付该款额之日算起（不计复利）。</w:t>
      </w:r>
    </w:p>
    <w:p w14:paraId="4E15B7F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（3）咨询人出具进度付款证书，不应视为咨询人已同意、批准或接受了承包人完成的该部分工作。</w:t>
      </w:r>
    </w:p>
    <w:p w14:paraId="5A6AD16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17.3.4 工程进度付款的修正</w:t>
      </w:r>
    </w:p>
    <w:p w14:paraId="7918474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在对以往历次已签发的进度付款证书进行汇总和复核中发现错、漏或重复的，咨询人有权予以修正，承包人也有权提出修正申请。经双方复核同意的修正，应在本次进度付款中支付或扣除。</w:t>
      </w:r>
    </w:p>
    <w:p w14:paraId="03D1E60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17.3.5 农民工工资支付</w:t>
      </w:r>
    </w:p>
    <w:p w14:paraId="38C8394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承包人应按时足额支付农民工工资，不得拖欠。养护作业适用农民工工资管理相关法律法规以及地方政府规定的，承包人应按相关规定执行。</w:t>
      </w:r>
    </w:p>
    <w:p w14:paraId="0E63A2C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17.3.6 安全生产费的支付</w:t>
      </w:r>
    </w:p>
    <w:p w14:paraId="646B64A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发包人应按照专用合同条款约定的比例和条件支付安全生产费。在开工日期后30 天内，发包人向承包人支付的安全生产费不得少于安全生产费总额的 50%。</w:t>
      </w:r>
    </w:p>
    <w:p w14:paraId="38E44A88">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17.4 质量保证金</w:t>
      </w:r>
    </w:p>
    <w:p w14:paraId="5DF2FE9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17.4.1 交工验收证书签发后14天内，承包人应向发包人缴纳质量保证金。质量保证金可采用银行保函、现金、担保机构保函、保险公司保证保险以及专用合同条款约定的其他形式，金额应符合专用合同条款的约定。采用非现金形式时，出具担保的机构须具有相应担保能力，且按照发包人批准的格式出具，所需费用由承包人承担。</w:t>
      </w:r>
    </w:p>
    <w:p w14:paraId="47106AB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质量保证金采用现金形式提交的，发包人应在专用合同条款中明确利息的计算方式。</w:t>
      </w:r>
    </w:p>
    <w:p w14:paraId="3CE736E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17.4.2 在第 1.1.4.5目约定的缺陷责任期满时，承包人向发包人申请到期应返还承包人剩余的质量保证金金额，发包人应在14天内会同承包人按照合同约定的</w:t>
      </w:r>
      <w:bookmarkStart w:id="103" w:name="bookmark177"/>
      <w:bookmarkEnd w:id="103"/>
      <w:r>
        <w:rPr>
          <w:rFonts w:hint="eastAsia" w:ascii="宋体" w:hAnsi="宋体" w:cs="宋体"/>
          <w:color w:val="auto"/>
          <w:sz w:val="24"/>
          <w:szCs w:val="24"/>
          <w:highlight w:val="none"/>
        </w:rPr>
        <w:t>内容核实承包人是否完成缺陷责任。如无异议，发包人应当在核实后将剩余保证金返还承包人。</w:t>
      </w:r>
    </w:p>
    <w:p w14:paraId="7B72F62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17.4.3 在第 1.1.4.5目约定的缺陷责任期满时，承包人没有完成缺陷责任的，发包人有权扣留与未履行责任剩余工作所需金额相应的质量保证金余额，并有权根据第 19.3 款约定要求延长缺陷责任期，直至完成剩余工作为止。</w:t>
      </w:r>
    </w:p>
    <w:p w14:paraId="53D36DAF">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17.5 交工结算</w:t>
      </w:r>
    </w:p>
    <w:p w14:paraId="7D9CC82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17.5.1 交工付款申请单</w:t>
      </w:r>
    </w:p>
    <w:p w14:paraId="5A631C1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（1）承包人完成合同约定的全部养护项目并经咨询人验收合格 14 天内，应按专用合同条款约定的份数向咨询人提交交工付款申请单，并提供相关证明材料。除专用合同条款另有约定外，交工付款申请单应包括下列内容：交工结算合同总价、发包人已支付承包人的合同价款、应支付的交工付款金额。</w:t>
      </w:r>
    </w:p>
    <w:p w14:paraId="339ECC8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（2）咨询人对交工付款申请单有异议的，有权要求承包人进行修正和提供补充资料。经咨询人和承包人协商后，由承包人向咨询人提交修正后的交工付款申请单。</w:t>
      </w:r>
    </w:p>
    <w:p w14:paraId="4AF7D47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17.5.2 交工付款证书及支付时间</w:t>
      </w:r>
    </w:p>
    <w:p w14:paraId="7B813C1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（1）咨询人在收到承包人提交的交工付款申请单后的 14 天内完成核查，提出发包人到期应支付给承包人的价款送发包人审核并抄送承包人。发包人应在收到后14 天内审核完毕，由咨询人向承包人出具经发包人签认的交工付款证书。咨询人未在约定时间内核查，又未提出具体意见的，视为承包人提交的交工付款申请单已经咨询人核查同意；发包人未在约定时间内审核又未提出具体意见的，咨询人提出发包人到期应支付给承包人的价款视为已经发包人同意。</w:t>
      </w:r>
    </w:p>
    <w:p w14:paraId="00DFB6C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（2）发包人应在咨询人出具交工付款证书且承包人提交了合格的增值税发票后的 14 天内，将应支付款支付给承包人。发包人不按期支付的，按第 17.3.3（2）目的约定，将逾期付款违约金支付给承包人。</w:t>
      </w:r>
    </w:p>
    <w:p w14:paraId="6CD95A5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（3）承包人对发包人签认的交工付款证书有异议的，发包人可出具交工付款申请单中承包人已同意部分的临时付款证书。存在争议的部分，按第 24 条的约定办理。</w:t>
      </w:r>
    </w:p>
    <w:p w14:paraId="7DF0FE86">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17.6 最终结清</w:t>
      </w:r>
    </w:p>
    <w:p w14:paraId="254163B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17.6.1 最终结清申请单</w:t>
      </w:r>
    </w:p>
    <w:p w14:paraId="199EBA5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缺陷责任期终止证书签发后14天内，承包人应按专用合同条款约定的份数向咨询人提交最终结清申请单，并提供相关证明材料。最终结清申请单中的总金额应认为是代表了根据合同约定应付给承包人的全部款项的最后结算。</w:t>
      </w:r>
    </w:p>
    <w:p w14:paraId="1CBE1E0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（2）发包人对最终结清申请单内容有异议的，有权要求承包人进行修正和提供补充资料，由承包人向咨询人提交修正后的最终结清申请单。</w:t>
      </w:r>
    </w:p>
    <w:p w14:paraId="1126617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17.6.2 最终结清证书和支付时间</w:t>
      </w:r>
    </w:p>
    <w:p w14:paraId="5067ABF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咨询人收到承包人提交的最终结清申请单后的14天内，提出发包人应支付给承包人的价款送发包人审核并抄送承包人。发包人应在收到后14天内审核完毕，由咨询人向承包人出具经发包人签认的最终结清证书。咨询人未在约定时间内核查，又未提出具体意见的，视为承包人提交的最终结清申请单已经咨询人核查同意；发包人未在约定时间内审核又未提出具体意见的，咨询人提出应支付给承包人的价款视为已经发包人同意。</w:t>
      </w:r>
    </w:p>
    <w:p w14:paraId="276CF95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（2）发包人应在咨询人出具最终结清证书且承包人提交了合格的增值税发票后的 28 天内，将应支付款支付给承包人。发包人不按期支付的，按第17.3.3（2）目的约定，将逾期付款违约金支付给承包人。</w:t>
      </w:r>
    </w:p>
    <w:p w14:paraId="6905891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（3）承包人对发包人签认的最终结清证书有异议的，按第24条的约定办理。</w:t>
      </w:r>
    </w:p>
    <w:p w14:paraId="334CD10C">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17.7 财政资金申请与支付</w:t>
      </w:r>
    </w:p>
    <w:p w14:paraId="6F526F6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发包人应在专用合同条款中明确养护项目资金来源。第17.3款、第17.5款和第17.6款约定的支付资金来源于财政资金的，应按照国库集中支付等国家相关规定办理申请与支付。</w:t>
      </w:r>
    </w:p>
    <w:p w14:paraId="40E08C4C">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104" w:name="bookmark41"/>
      <w:bookmarkEnd w:id="104"/>
      <w:bookmarkStart w:id="105" w:name="bookmark42"/>
      <w:bookmarkEnd w:id="105"/>
      <w:r>
        <w:rPr>
          <w:rFonts w:hint="eastAsia" w:ascii="宋体" w:hAnsi="宋体" w:cs="宋体"/>
          <w:b/>
          <w:bCs/>
          <w:color w:val="auto"/>
          <w:sz w:val="24"/>
          <w:szCs w:val="24"/>
          <w:highlight w:val="none"/>
        </w:rPr>
        <w:t>18.工程验收</w:t>
      </w:r>
    </w:p>
    <w:p w14:paraId="4C8BD8D8">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18.1 工程验收的含义</w:t>
      </w:r>
    </w:p>
    <w:p w14:paraId="4BE2BEB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18.1.1 工程验收指养护工程全部工作完成后，由专用合同条款约定的验收单位按合同要求进行的验收，但不包括日常养护的验收。</w:t>
      </w:r>
    </w:p>
    <w:p w14:paraId="4F1BB0A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18.1.2 养护工程的验收可采用一阶段或两阶段验收。工程验收方式和组织验收时间在专用合同条款中约定。</w:t>
      </w:r>
    </w:p>
    <w:p w14:paraId="572C53EC">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18.2 验收条件</w:t>
      </w:r>
    </w:p>
    <w:p w14:paraId="4E4A894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当养护工程具备以下条件时，应当及时组织工程验收：</w:t>
      </w:r>
    </w:p>
    <w:p w14:paraId="6CCE661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（1）完成设计文件和合同约定的各项内容；</w:t>
      </w:r>
    </w:p>
    <w:p w14:paraId="1528E57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（2）完成全部技术档案和养护管理资料整理归档；</w:t>
      </w:r>
    </w:p>
    <w:p w14:paraId="7083031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（3）承包人按相关标准、规范和规定对养护质量自检合格；</w:t>
      </w:r>
    </w:p>
    <w:p w14:paraId="0E9EE84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（4）养护质量缺陷问题已整改完毕；</w:t>
      </w:r>
    </w:p>
    <w:p w14:paraId="038DE6C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（5）参与养护工程的相关单位完成工作总结报告；</w:t>
      </w:r>
    </w:p>
    <w:p w14:paraId="2CA2457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（6）开展了监理咨询的，咨询人对工程质量评定为合格；</w:t>
      </w:r>
    </w:p>
    <w:p w14:paraId="6F9BC5D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（7）按规定需进行专业检测的，检测机构对工程质量鉴定完毕并出具检测报告；</w:t>
      </w:r>
    </w:p>
    <w:p w14:paraId="299BB9B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（8）完成财务决算；</w:t>
      </w:r>
    </w:p>
    <w:p w14:paraId="5D87B12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（9）法律、法规、规章规定的其他条件。</w:t>
      </w:r>
    </w:p>
    <w:p w14:paraId="53D8178D">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18.3 验收程序</w:t>
      </w:r>
    </w:p>
    <w:p w14:paraId="55EF3D5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18.3.1 养护工程具备第18.2款所述验收条件后，承包人应按照专用合同条款约定的期限和份数提供完整的工程验收资料及验收申请报告。</w:t>
      </w:r>
    </w:p>
    <w:p w14:paraId="3A6A10B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18.3.2 咨询人审查后认为尚不具备工程验收条件的，应在收到工程验收申请报告后的14天内通知承包人，指出在颁发交工验收证书前承包人还需进行的工作内容。承包人完成咨询人通知的全部工作内容后，应再次提交工程验收申请报告，直至咨询人同意为止。咨询人收到工程验收申请报告后14天内不予答复的，视为同意承包人的工程验收申请，并应在收到工程验收申请报告后14天内提请验收单位进行工程验收。</w:t>
      </w:r>
    </w:p>
    <w:p w14:paraId="0786310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18.3.3 咨询人审查后认为已具备工程验收条件的，应在收到工程验收申请报告后的 14 天内提请验收单位组织验收。</w:t>
      </w:r>
    </w:p>
    <w:p w14:paraId="513D9CF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18.3.4 养护工程通过验收的，由咨询人向承包人出具经验收单位签认的交工验收证书。未通过验收的，由承包人承担养护责任，验收不合格的，由承包人在限期内返修，产生的返修费用由承包人承担。返修工作完成后，咨询人复查达到要求的，经验收单位同意后，再向承包人出具交工验收证书。</w:t>
      </w:r>
    </w:p>
    <w:p w14:paraId="09221EB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18.3.5 除专用合同条款另有约定外，经验收合格工程的实际交（竣）工日期，以最终提交验收申请报告的日期为准，并在验收证书中写明。</w:t>
      </w:r>
    </w:p>
    <w:p w14:paraId="63AA2F2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18.3.6 验收单位在收到承包人工程验收申请报告7天未进行验收的，或验收后7天内不提出修改意见，视为验收合格。实际交（竣）工日期以提交工程验收申请报告的日期为准，但验收单位由于不可抗力不能进行验收的除外。</w:t>
      </w:r>
    </w:p>
    <w:p w14:paraId="64FD8EA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18.3.7 组织办理工程验收和签发交工验收证书的费用由验收单位承担。但按照第 18.3.4 项约定达不到合格标准的工程验收费用由承包人承担。</w:t>
      </w:r>
    </w:p>
    <w:p w14:paraId="42FC6D12">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18.4 单位养护工程验收</w:t>
      </w:r>
    </w:p>
    <w:p w14:paraId="5764133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18.4.1 发包人根据合同进度计划安排，在全部工程交工前需要使用已经交工的单位养护工程时，或承包人提出经发包人同意时，可进行单位养护工程验收。验收的程序可参照第18.3款的约定进行。验收合格后，由咨询人向承包人出具经发包人签认的单位养护工程交工验收证书。已签发单位养护工程交工验收证书的养护工程由发包人负责照管。单位养护工程的验收成果和结论作为全部养护工程验收申请报告的附件。</w:t>
      </w:r>
    </w:p>
    <w:p w14:paraId="73C735C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18.4.2 发包人在全部工程交工前，使用已接收的单位养护工程导致承包人费用增加的，发包人应承担由此增加的费用和（或）工期延误，并支付承包人合理利润。</w:t>
      </w:r>
    </w:p>
    <w:p w14:paraId="6166B2E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18.5 交（竣）工清场</w:t>
      </w:r>
    </w:p>
    <w:p w14:paraId="655E024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18.5.1 除合同另有约定外，交工验收证书颁发后，承包人应按以下要求对养护作业场地进行清理，直至咨询人检验合格为止。交（竣）工清场费用由承包人承担。</w:t>
      </w:r>
    </w:p>
    <w:p w14:paraId="6C27D97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bookmarkStart w:id="106" w:name="bookmark178"/>
      <w:bookmarkEnd w:id="106"/>
      <w:r>
        <w:rPr>
          <w:rFonts w:hint="eastAsia" w:ascii="宋体" w:hAnsi="宋体" w:cs="宋体"/>
          <w:color w:val="auto"/>
          <w:sz w:val="24"/>
          <w:szCs w:val="24"/>
          <w:highlight w:val="none"/>
        </w:rPr>
        <w:t>（1）养护作业场地内残留的垃圾及附近道路、河道的施工堆积物已全部清除出场并妥善处置；</w:t>
      </w:r>
    </w:p>
    <w:p w14:paraId="5393AF4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（2）临时工程已拆除，场地已按合同要求进行清理、平整或复原；</w:t>
      </w:r>
    </w:p>
    <w:p w14:paraId="7BD9880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（3）按合同约定应撤离的承包人设备和剩余的材料，包括废弃的养护作业设备和材料，已按计划撤离养护作业场地；</w:t>
      </w:r>
    </w:p>
    <w:p w14:paraId="113B6DF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（4）咨询人指示的其他场地清理工作已全部完成。</w:t>
      </w:r>
    </w:p>
    <w:p w14:paraId="2DE5F34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18.5.2 承包人未按咨询人的要求恢复临时占地，或者场地清理未达到合同约定的，发包人有权委托其他人恢复或清理，所发生的金额从拟支付给承包人的款项中扣除。</w:t>
      </w:r>
    </w:p>
    <w:p w14:paraId="1DB76977">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18.6 养护队伍的撤离</w:t>
      </w:r>
    </w:p>
    <w:p w14:paraId="1DD404C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交工验收证书颁发后28天内，除经咨询人同意需在缺陷责任期内继续工作和使用的人员、养护作业设备和临时工程外，其余的人员、养护作业设备和临时工程均应撤离养护作业场地或拆除。除合同另有约定外，缺陷责任期满时，承包人的人员和养护作业设备应全部撤离养护作业场地。</w:t>
      </w:r>
    </w:p>
    <w:p w14:paraId="79661A00">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107" w:name="bookmark43"/>
      <w:bookmarkEnd w:id="107"/>
      <w:bookmarkStart w:id="108" w:name="bookmark44"/>
      <w:bookmarkEnd w:id="108"/>
      <w:r>
        <w:rPr>
          <w:rFonts w:hint="eastAsia" w:ascii="宋体" w:hAnsi="宋体" w:cs="宋体"/>
          <w:b/>
          <w:bCs/>
          <w:color w:val="auto"/>
          <w:sz w:val="24"/>
          <w:szCs w:val="24"/>
          <w:highlight w:val="none"/>
        </w:rPr>
        <w:t>19.缺陷责任</w:t>
      </w:r>
    </w:p>
    <w:p w14:paraId="09C610BC">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19.1 缺陷责任期</w:t>
      </w:r>
    </w:p>
    <w:p w14:paraId="77895BE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19.1.1 缺陷责任期内因承包人原因产生的质量缺陷，承包人应承担质量缺陷修复责任义务。</w:t>
      </w:r>
    </w:p>
    <w:p w14:paraId="6505E12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19.1.2 养护工程的缺陷责任期自全部养护工程实际交工日期起计算，具体期限在专用合同条款中约定，但最长不超过12个月。在全部工程交工验收前，已经发包人提前验收的单位养护工程，其缺陷责任期的起算日期相应提前。</w:t>
      </w:r>
    </w:p>
    <w:p w14:paraId="023EB9FF">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19.2 缺陷责任</w:t>
      </w:r>
    </w:p>
    <w:p w14:paraId="1B84FC5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19.2.1 承包人应在缺陷责任期内对已验收的养护项目承担缺陷责任。</w:t>
      </w:r>
    </w:p>
    <w:p w14:paraId="7A8C219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19.2.2 缺陷责任期内，发包人对已验收的养护项目负责日常维护工作。发包人在使用过程中，发现已验收的养护项目存在新的缺陷或已修复的缺陷部位或部件又遭损坏的，承包人应负责修复，直至检验合格为止。</w:t>
      </w:r>
    </w:p>
    <w:p w14:paraId="0E18825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在缺陷责任期内，承包人应尽快完成在交工验收证书中写明的未完成工作，并完成对养护项目缺陷的修复或咨询人指令的修补工作。</w:t>
      </w:r>
    </w:p>
    <w:p w14:paraId="47EA0EA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19.2.3 咨询人和承包人应共同查清缺陷和（或）损坏的原因。经查明属承包人原因造成的，应由承包人承担修复和查验的费用。经查验属发包人原因造成的，发包人应承担修复和查验的费用，并支付承包人合理利润。</w:t>
      </w:r>
    </w:p>
    <w:p w14:paraId="0DC6FBF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19.2.4 承包人不能在合理时间内修复缺陷的，发包人可自行修复或委托其他人修复，所需费用和利润的承担，按第19.2.3项约定办理。</w:t>
      </w:r>
    </w:p>
    <w:p w14:paraId="6F7A66B2">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09" w:name="bookmark179"/>
      <w:bookmarkEnd w:id="109"/>
      <w:r>
        <w:rPr>
          <w:rFonts w:hint="eastAsia" w:ascii="宋体" w:hAnsi="宋体" w:cs="宋体"/>
          <w:b/>
          <w:bCs/>
          <w:color w:val="auto"/>
          <w:sz w:val="24"/>
          <w:szCs w:val="24"/>
          <w:highlight w:val="none"/>
        </w:rPr>
        <w:t>19.3 缺陷责任期的延长</w:t>
      </w:r>
    </w:p>
    <w:p w14:paraId="5D7F0B5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由于承包人原因造成某项缺陷或损坏使某单位养护工程、养护单元或工程设备不能按原定目标使用而需要再次检查、检验和修复的，发包人有权要求承包人相应延长缺陷责任期，但缺陷责任期最长不超过12个月。</w:t>
      </w:r>
    </w:p>
    <w:p w14:paraId="6F41BAA0">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19.4 进一步试验</w:t>
      </w:r>
    </w:p>
    <w:p w14:paraId="5D4738D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任何一项缺陷或损坏修复后，经检查证明其影响了某单位养护工程、养护单元或工程设备的使用性能，承包人应重新进行合同约定的试验，试验的全部费用应由责任方承担。</w:t>
      </w:r>
    </w:p>
    <w:p w14:paraId="44E4A54A">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19.5 承包人的进入权</w:t>
      </w:r>
    </w:p>
    <w:p w14:paraId="479362A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缺陷责任期内承包人为缺陷修复工作需要，有权进入养护路段，但应遵守发包人的保安和保密规定。</w:t>
      </w:r>
    </w:p>
    <w:p w14:paraId="3C23CC6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承包人在缺陷修复施工过程中，应服从发包人的有关安全管理规定，由于承包人自身原因造成的人员伤亡、设备和材料的损毁及罚款等责任由承包人自负。</w:t>
      </w:r>
    </w:p>
    <w:p w14:paraId="5C3F963C">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19.6 缺陷责任期终止证书</w:t>
      </w:r>
    </w:p>
    <w:p w14:paraId="1CF4884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在第1.1.4.5目约定的缺陷责任期，包括根据第19.3款延长的期限终止后14天内，由咨询人向承包人出具经发包人签认的缺陷责任期终止证书，并退还剩余的质量保证金。</w:t>
      </w:r>
    </w:p>
    <w:p w14:paraId="2C3B2A0B">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110" w:name="bookmark45"/>
      <w:bookmarkEnd w:id="110"/>
      <w:bookmarkStart w:id="111" w:name="bookmark46"/>
      <w:bookmarkEnd w:id="111"/>
      <w:r>
        <w:rPr>
          <w:rFonts w:hint="eastAsia" w:ascii="宋体" w:hAnsi="宋体" w:cs="宋体"/>
          <w:b/>
          <w:bCs/>
          <w:color w:val="auto"/>
          <w:sz w:val="24"/>
          <w:szCs w:val="24"/>
          <w:highlight w:val="none"/>
        </w:rPr>
        <w:t>20.保险</w:t>
      </w:r>
    </w:p>
    <w:p w14:paraId="2000DEC5">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20.1 安全生产责任保险</w:t>
      </w:r>
    </w:p>
    <w:p w14:paraId="367E535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发包人应依照有关法律规定在专用合同条款中约定承包人是否需投保安全生产责任保险。承包人需投保安全生产责任保险的，具体的保险金额、保险期限等有关内容在专用合同条款中约定。</w:t>
      </w:r>
    </w:p>
    <w:p w14:paraId="2BD70AEB">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20.2 工程保险及第三者责任险</w:t>
      </w:r>
    </w:p>
    <w:p w14:paraId="5CD7CD7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20.2.1 工程保险</w:t>
      </w:r>
    </w:p>
    <w:p w14:paraId="3A33636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承包人应以发包人和承包人的共同名义向双方同意的保险人投保建筑工程一切险、安装工程一切险。具体的投保险种、保险范围、保险金额、保险费率、保险期限等有关内容在专用合同条款中约定。</w:t>
      </w:r>
    </w:p>
    <w:p w14:paraId="30B2426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20.2.2 第三者责任险</w:t>
      </w:r>
    </w:p>
    <w:p w14:paraId="4EE6B0B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第三者责任系指在保险期内，对因工程意外事故造成的、依法应由被保险人负责的养护作业场地内及毗邻地区的第三者人身伤亡、疾病或财产损失（本合同约定的养护项目除外），以及被保险人因此而支付的诉讼费用和事先经保险人书面同意支付的其他费用等赔偿责任。</w:t>
      </w:r>
    </w:p>
    <w:p w14:paraId="7AA07CB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（2）在缺陷责任期终止证书颁发前，承包人应以承包人和发包人的共同名义，</w:t>
      </w:r>
    </w:p>
    <w:p w14:paraId="530D1E5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投保第三者责任险，其保险费率、最低投保金额等有关内容在专用合同条款中约定。</w:t>
      </w:r>
    </w:p>
    <w:p w14:paraId="6D4244FD">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20.3 工伤保险</w:t>
      </w:r>
    </w:p>
    <w:p w14:paraId="17F5AA5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20.3.1 承包人应依照有关法律规定参加工伤保险，为其履行合同所雇用的全部人员缴纳工伤保险费，并要求其分包人也进行此项保险。</w:t>
      </w:r>
    </w:p>
    <w:p w14:paraId="62EC75E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20.3.2 发包人应依照有关法律规定参加工伤保险，为其现场机构雇用的全部人员缴纳工伤保险费，并要求其咨询人也进行此项保险。</w:t>
      </w:r>
    </w:p>
    <w:p w14:paraId="2A13F72B">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20.4 人身意外伤害险</w:t>
      </w:r>
    </w:p>
    <w:p w14:paraId="2531997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20.4.1 承包人应在整个养护作业期间为其现场机构雇用的全部人员投保人身意外伤害险，缴纳保险费，并要求其分包人也进行此项保险。</w:t>
      </w:r>
    </w:p>
    <w:p w14:paraId="48FA566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20.4.2 发包人应在整个养护作业期间为其现场机构雇用的全部人员投保人身意外伤害险，缴纳保险费，并要求其咨询人也进行此项保险。</w:t>
      </w:r>
    </w:p>
    <w:p w14:paraId="207A2DC6">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20.5 其他保险</w:t>
      </w:r>
    </w:p>
    <w:p w14:paraId="799FF18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除专用合同条款另有约定外，承包人应为其养护作业设备、进场的材料和工程设备等办理保险。</w:t>
      </w:r>
    </w:p>
    <w:p w14:paraId="5D1DFD47">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20.6 对各项保险的一般要求</w:t>
      </w:r>
    </w:p>
    <w:p w14:paraId="5967594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20.6.1 保险凭证</w:t>
      </w:r>
    </w:p>
    <w:p w14:paraId="554C15A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承包人应在专用合同条款约定的期限内向发包人提交各项保险生效的证据和保险单副本，保险单必须与专用合同条款约定的条件保持一致。</w:t>
      </w:r>
    </w:p>
    <w:p w14:paraId="09B3F93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20.6.2 保险合同条款的变动</w:t>
      </w:r>
    </w:p>
    <w:p w14:paraId="16E36B7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承包人需要变动保险合同条款时，应事先征得发包人同意，并通知咨询人。保险人作出变动的，承包人应在收到保险人通知后立即通知发包人和咨询人。</w:t>
      </w:r>
    </w:p>
    <w:p w14:paraId="44CCAFF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20.6.3 持续保险</w:t>
      </w:r>
    </w:p>
    <w:p w14:paraId="7AE46D8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承包人应与保险人保持联系，使保险人能够随时了解养护项目实施中的变动，并确保按保险合同条款要求持续保险。在整个合同期内，承包人应按合同条款约定保证足够的保险额。</w:t>
      </w:r>
    </w:p>
    <w:p w14:paraId="515E00D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20.6.4 保险金不足的补偿</w:t>
      </w:r>
    </w:p>
    <w:p w14:paraId="75BBE9C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保险金不足以补偿损失的（包括免赔额和超过赔偿限额的部分），应由承包人和（或）发包人按合同约定负责补偿。</w:t>
      </w:r>
    </w:p>
    <w:p w14:paraId="27B4904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20.6.5 未按约定投保的补救</w:t>
      </w:r>
    </w:p>
    <w:p w14:paraId="4B41348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（1）由于负有投保义务的一方当事人未按合同约定办理保险，或未能使保险持续有效的，另一方当事人可代为办理，所需费用由对方当事人承担。</w:t>
      </w:r>
    </w:p>
    <w:p w14:paraId="38347A1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（2）由于负有投保义务的一方当事人未按合同约定办理某项保险，导致受益人未能得到保险人的赔偿，原应从该项保险得到的保险金应由负有投保义务的一方当事人支付。</w:t>
      </w:r>
    </w:p>
    <w:p w14:paraId="23BE4BE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20.6.6 报告义务</w:t>
      </w:r>
    </w:p>
    <w:p w14:paraId="7D88775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当保险事故发生时，投保人应按照保险单规定的条件和期限及时向保险人报告。</w:t>
      </w:r>
    </w:p>
    <w:p w14:paraId="6A1C83A3">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112" w:name="bookmark48"/>
      <w:bookmarkEnd w:id="112"/>
      <w:bookmarkStart w:id="113" w:name="bookmark47"/>
      <w:bookmarkEnd w:id="113"/>
      <w:r>
        <w:rPr>
          <w:rFonts w:hint="eastAsia" w:ascii="宋体" w:hAnsi="宋体" w:cs="宋体"/>
          <w:b/>
          <w:bCs/>
          <w:color w:val="auto"/>
          <w:sz w:val="24"/>
          <w:szCs w:val="24"/>
          <w:highlight w:val="none"/>
        </w:rPr>
        <w:t>21.不可抗力</w:t>
      </w:r>
    </w:p>
    <w:p w14:paraId="1800CF53">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21.1 不可抗力的确认</w:t>
      </w:r>
    </w:p>
    <w:p w14:paraId="18B4C5C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21.1.1 不可抗力是指承包人和发包人在订立合同时不可预见，在项目养护过程中不可避免发生并不能克服的自然灾害和社会性突发事件，包括但不限于：</w:t>
      </w:r>
    </w:p>
    <w:p w14:paraId="1E6A433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（1）地震、海啸、火山爆发、泥石流、暴雨（雪）、台风、龙卷风、水灾等自然灾害；</w:t>
      </w:r>
    </w:p>
    <w:p w14:paraId="252E264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（2）战争、骚乱、暴动，但纯属承包人或其分包人派遣与雇用的人员由于实施养护项目原因引起者除外；</w:t>
      </w:r>
    </w:p>
    <w:p w14:paraId="6B54BF1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（3）核反应、辐射或放射性污染；</w:t>
      </w:r>
    </w:p>
    <w:p w14:paraId="52E46E1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（4）空中飞行物体坠落或非发包人或承包人责任造成的爆炸、火灾；</w:t>
      </w:r>
    </w:p>
    <w:p w14:paraId="0CBE266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（5）专用合同条款约定的其他情形。</w:t>
      </w:r>
    </w:p>
    <w:p w14:paraId="16ED204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21.1.2 不可抗力发生后，发包人和承包人应及时认真统计所造成的损失，收集不可抗力造成损失的证据。合同双方对是否属于不可抗力或其损失的意见不一致的，由咨询人按第3.5款商定或确定。发生争议时，按第24条的约定办理。</w:t>
      </w:r>
    </w:p>
    <w:p w14:paraId="4F63708D">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21.2 不可抗力的通知</w:t>
      </w:r>
    </w:p>
    <w:p w14:paraId="57F33F1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21.2.1 合同一方当事人遇到不可抗力事件，使其履行合同义务受到阻碍时，应立即通知合同另一方当事人和咨询人，书面说明不可抗力和受阻碍的详细情况，并提供必要的证明。</w:t>
      </w:r>
    </w:p>
    <w:p w14:paraId="747656D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21.2.2 如不可抗力持续发生，合同一方当事人应及时向合同另一方当事人和咨询人提交中间报告，说明不可抗力和履行合同受阻的情况，并于不可抗力事件结束后 28 天内提交最终报告及有关资料。</w:t>
      </w:r>
    </w:p>
    <w:p w14:paraId="31D3C9CA">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21.3 不可抗力后果及其处理</w:t>
      </w:r>
    </w:p>
    <w:p w14:paraId="3938993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21.3.1 不可抗力造成损害的责任</w:t>
      </w:r>
    </w:p>
    <w:p w14:paraId="5EB3E90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除专用合同条款另有约定外，不可抗力导致的人员伤亡、财产损失、费用增加和（或）工期延误等后果，由合同双方按以下原则承担：</w:t>
      </w:r>
    </w:p>
    <w:p w14:paraId="20D1E2D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（1）养护工程，包括已运至养护作业场地的材料和工程设备的损害，以及因工程损害造成的第三者人员伤亡和财产损失由发包人承担；</w:t>
      </w:r>
    </w:p>
    <w:p w14:paraId="483A6D9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（2）承包人设备的损坏由承包人承担；</w:t>
      </w:r>
    </w:p>
    <w:p w14:paraId="65DAD74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（3）发包人和承包人各自承担其人员伤亡和其他财产损失及其相关费用；</w:t>
      </w:r>
    </w:p>
    <w:p w14:paraId="5A0AA70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（4）承包人的停工损失由承包人承担，但停工期间应咨询人要求照管工程和清理、修复工程的金额由发包人承担；</w:t>
      </w:r>
    </w:p>
    <w:p w14:paraId="433402B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（5）不能按期交工的，应合理延长工期，承包人不需支付逾期交工违约金。发包人要求赶工的，承包人应采取赶工措施，赶工费用由发包人承担。</w:t>
      </w:r>
    </w:p>
    <w:p w14:paraId="678540E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21.3.2 延迟履行期间发生的不可抗力</w:t>
      </w:r>
    </w:p>
    <w:p w14:paraId="7748654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合同一方当事人延迟履行，在延迟履行期间发生不可抗力的，不免除其责任。</w:t>
      </w:r>
    </w:p>
    <w:p w14:paraId="6498195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21.3.3 避免和减少不可抗力损失</w:t>
      </w:r>
    </w:p>
    <w:p w14:paraId="6FC4882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不可抗力发生后，发包人和承包人均应采取措施尽量避免和减少损失的扩大，任何一方没有采取有效措施导致损失扩大的，应对扩大的损失承担责任。</w:t>
      </w:r>
    </w:p>
    <w:p w14:paraId="64D9772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21.3.4 因不可抗力解除合同</w:t>
      </w:r>
    </w:p>
    <w:p w14:paraId="2313034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合同一方当事人因不可抗力不能履行合同的，应当及时通知对方解除合同。合同解除后，承包人应按照第22.2.5项约定撤离养护作业场地。已经订货的材料、设备由订货方负责退货或解除订货合同，不能退还的货款和因退货、解除订货合同发生的费用，由发包人承担，因未及时退货造成的损失由责任方承担。合同解除后的付款，参照第22.2.4项约定，由咨询人按第3.5款商定或确定，但由于解除合同应赔偿的承包人损失不予考虑。</w:t>
      </w:r>
    </w:p>
    <w:p w14:paraId="090703F2">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114" w:name="bookmark49"/>
      <w:bookmarkEnd w:id="114"/>
      <w:bookmarkStart w:id="115" w:name="bookmark50"/>
      <w:bookmarkEnd w:id="115"/>
      <w:r>
        <w:rPr>
          <w:rFonts w:hint="eastAsia" w:ascii="宋体" w:hAnsi="宋体" w:cs="宋体"/>
          <w:b/>
          <w:bCs/>
          <w:color w:val="auto"/>
          <w:sz w:val="24"/>
          <w:szCs w:val="24"/>
          <w:highlight w:val="none"/>
        </w:rPr>
        <w:t>22.违约</w:t>
      </w:r>
    </w:p>
    <w:p w14:paraId="45F0318B">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22.1 承包人违约</w:t>
      </w:r>
    </w:p>
    <w:p w14:paraId="3A30CD9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22.1.1 承包人违约的情形</w:t>
      </w:r>
    </w:p>
    <w:p w14:paraId="54F2FA5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在履行合同过程中发生的下列情况属承包人违约：</w:t>
      </w:r>
    </w:p>
    <w:p w14:paraId="4912454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（1）承包人违反第1.7款或第4.3款的约定，私自将合同的全部或部分权利转让给其他人，或私自将合同的全部或部分义务转移给其他人；</w:t>
      </w:r>
    </w:p>
    <w:p w14:paraId="1019115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（2）承包人违反第5.3款或第6.4款的约定，未经咨询人批准，私自将已按合同约定进入养护作业场地的养护作业设备、临时设施、材料或工程设备撤离养护作业场地；</w:t>
      </w:r>
    </w:p>
    <w:p w14:paraId="1A47E9A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（3）承包人违反第5.4款的约定使用了不合格材料或工程设备，养护质量达不到标准要求，又拒绝清除不合格养护工程；</w:t>
      </w:r>
    </w:p>
    <w:p w14:paraId="1B70A50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（4）承包人未能按合同进度计划及时完成合同约定的工作，已造成或预期造成工期延误；</w:t>
      </w:r>
    </w:p>
    <w:p w14:paraId="6A1051F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（5）承包人在缺陷责任期内，未能对交工验收证书所列的缺陷清单的内容或缺陷责任期内发生的缺陷进行修复，而又拒绝按咨询人指示再进行修补；</w:t>
      </w:r>
    </w:p>
    <w:p w14:paraId="637857A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（6）承包人无法继续履行或明确表示不履行或实质上已停止履行合同；</w:t>
      </w:r>
    </w:p>
    <w:p w14:paraId="6A898B3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（7）承包人未能按期开工；</w:t>
      </w:r>
    </w:p>
    <w:p w14:paraId="3815A20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（8）承包人违反第4.6款或第6.3款的约定，未按承诺或未按咨询人的要求及时配备称职的主要管理人员、技术骨干、专职安全生产管理人员或关键养护作业设</w:t>
      </w:r>
      <w:bookmarkStart w:id="116" w:name="bookmark180"/>
      <w:bookmarkEnd w:id="116"/>
      <w:r>
        <w:rPr>
          <w:rFonts w:hint="eastAsia" w:ascii="宋体" w:hAnsi="宋体" w:cs="宋体"/>
          <w:color w:val="auto"/>
          <w:sz w:val="24"/>
          <w:szCs w:val="24"/>
          <w:highlight w:val="none"/>
        </w:rPr>
        <w:t>备；</w:t>
      </w:r>
    </w:p>
    <w:p w14:paraId="7892C8E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（9）经咨询人和发包人检查，发现承包人有安全问题或有违反安全管理规章制度的情况；</w:t>
      </w:r>
    </w:p>
    <w:p w14:paraId="7989FCF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（10）承包人不按合同约定履行义务的其他情况。</w:t>
      </w:r>
    </w:p>
    <w:p w14:paraId="198F978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22.1.2对承包人违约的处理</w:t>
      </w:r>
    </w:p>
    <w:p w14:paraId="30935D5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（1）承包人发生第22.1.1（6）目约定的违约情况时，发包人可通知承包人立即解除合同，并按有关法律处理。</w:t>
      </w:r>
    </w:p>
    <w:p w14:paraId="54D3D61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（2）承包人发生除第22.1.1（6）目约定以外的其他违约情况时，咨询人可向承包人发出整改通知，要求其在指定的期限内改正。承包人应承担其违约所引起的费用增加和（或）工期延误。</w:t>
      </w:r>
    </w:p>
    <w:p w14:paraId="26C4B15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（3）经检查证明承包人已采取了有效措施纠正违约行为，具备复工条件的，可由咨询人签发复工通知复工。</w:t>
      </w:r>
    </w:p>
    <w:p w14:paraId="16B5DBD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（4）承包人发生第22.1.1项约定的违约情况时，无论发包人是否解除合同，发包人均有权向承包人课以专用合同条款约定的违约金。</w:t>
      </w:r>
    </w:p>
    <w:p w14:paraId="649209D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22.1.3 承包人违约解除合同</w:t>
      </w:r>
    </w:p>
    <w:p w14:paraId="619FC95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咨询人发出整改通知后14天内，承包人仍不纠正违约行为的，发包人可向承包人发出解除合同通知。合同解除后，发包人可派员进驻养护作业场地，另行组织人员或委托其他承包人实施养护作业。发包人因继续完成该养护项目的需要，有权扣留使用承包人在现场的材料、设备和临时设施。但发包人的这一行动不免除承包人应承担的违约责任，也不影响发包人根据合同约定享有的索赔权利。</w:t>
      </w:r>
    </w:p>
    <w:p w14:paraId="54324CA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22.1.4 合同解除后的估价、付款和结清</w:t>
      </w:r>
    </w:p>
    <w:p w14:paraId="0C0549D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（1）合同解除后，咨询人按第3.5款商定或确定承包人实际完成工作的价值，以及承包人已提供的材料、养护作业设备和工程设备等的价值。</w:t>
      </w:r>
    </w:p>
    <w:p w14:paraId="5B44273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（2）合同解除后，发包人应暂停对承包人的一切付款，查清各项付款和已扣款金额，包括承包人应支付的违约金。</w:t>
      </w:r>
    </w:p>
    <w:p w14:paraId="383B8A2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（3）合同解除后，发包人应按第23.4款的约定向承包人索赔由于解除合同给发包人造成的损失。</w:t>
      </w:r>
    </w:p>
    <w:p w14:paraId="2E68237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（4）合同双方确认上述往来款项后，出具最终结清付款证书，结清全部合同款项。</w:t>
      </w:r>
    </w:p>
    <w:p w14:paraId="5263AA9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（5）发包人和承包人未能就解除合同后的结清达成一致而形成争议的，按第24条的约定办理。</w:t>
      </w:r>
    </w:p>
    <w:p w14:paraId="229A28A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22.1.5 协议利益的转让</w:t>
      </w:r>
    </w:p>
    <w:p w14:paraId="592A457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因承包人违约解除合同的，发包人有权要求承包人将其为实施合同而签订的材料和设备的订货协议或任何服务协议利益转让给发包人，并在解除合同后的7天内</w:t>
      </w:r>
    </w:p>
    <w:p w14:paraId="5D4D9E9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依法办理转让手续。</w:t>
      </w:r>
    </w:p>
    <w:p w14:paraId="344E401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22.1.6 紧急情况下无能力或不愿进行抢救</w:t>
      </w:r>
    </w:p>
    <w:p w14:paraId="7C3213F0">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养护项目实施期间或缺陷责任期内发生危及养护项目安全的事件，咨询人通知承包人进行抢救，承包人声明无能力或不愿立即执行的，发包人有权雇佣其他人员进行抢救。此类抢救按合同约定属于承包人义务的，由此发生的金额和（或）工期延误由承包人承担。</w:t>
      </w:r>
    </w:p>
    <w:p w14:paraId="76B4803C">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22.2 发包人违约</w:t>
      </w:r>
    </w:p>
    <w:p w14:paraId="5EE09C1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22.2.1 发包人违约的情形</w:t>
      </w:r>
    </w:p>
    <w:p w14:paraId="176AFD7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在履行合同过程中发生的下列情形，属发包人违约：</w:t>
      </w:r>
    </w:p>
    <w:p w14:paraId="4F918F1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（1）发包人未能按合同约定支付预付款或合同价款，或拖延、拒绝批准付款申请和支付凭证，导致付款延误；</w:t>
      </w:r>
    </w:p>
    <w:p w14:paraId="71C8B19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（2）发包人原因造成停工；</w:t>
      </w:r>
    </w:p>
    <w:p w14:paraId="71D1364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（3）发包人无法继续履行或明确表示不履行或实质上已停止履行合同；</w:t>
      </w:r>
    </w:p>
    <w:p w14:paraId="4D6A68B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（4）发包人无正当理由不按时返还履约保证金或质量保证金的；</w:t>
      </w:r>
    </w:p>
    <w:p w14:paraId="4F8FA57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（5）发包人不履行合同约定的其他义务。</w:t>
      </w:r>
    </w:p>
    <w:p w14:paraId="1223125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22.2.2 对发包人违约的处理</w:t>
      </w:r>
    </w:p>
    <w:p w14:paraId="1C49155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发生除第22.2.1（3）、（4）目以外的违约情况时，承包人可向发包人发出通知，要求发包人采取有效措施纠正违约行为。发包人收到承包人通知后的7天内仍不履行合同义务，承包人有权暂停养护作业，并通知咨询人，发包人应承担由此增加的费用和（或）工期延误，并支付承包人合理利润。</w:t>
      </w:r>
    </w:p>
    <w:p w14:paraId="7B6A1C1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发包人发生第 22.2.1（4）目的违约情况时，承包人可向发包人发出通知，要求发包人采取有效措施纠正违约行为。发包人收到承包人通知后的7 天内仍不返还履约保证金或质量保证金的，发包人应按专用合同条款的约定向承包人支付逾期返还保证金的违约金。</w:t>
      </w:r>
    </w:p>
    <w:p w14:paraId="6D7E853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22.2.3 发包人违约解除合同</w:t>
      </w:r>
    </w:p>
    <w:p w14:paraId="374B6C4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（1）发包人发生第22.2.1（3）目的违约情况时，承包人可书面通知发包人解除合同。</w:t>
      </w:r>
    </w:p>
    <w:p w14:paraId="5FE88CB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承包人按第22.2.2项暂停养护作业14天后，发包人仍不纠正违约行为的，承包人可向发包人发出解除合同通知。但承包人的这一行动不免除发包人承担的违约责任，也不影响承包人根据合同约定享有的索赔权利。</w:t>
      </w:r>
    </w:p>
    <w:p w14:paraId="11B092B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22.2.4 解除合同后的付款</w:t>
      </w:r>
    </w:p>
    <w:p w14:paraId="5DC7FE77">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因发包人违约解除合同的，发包人应在解除合同后14天内向承包人支付下列金额，承包人应在此期限内及时向发包人提交要求支付下列金额的有关资料和凭证：</w:t>
      </w:r>
    </w:p>
    <w:p w14:paraId="418EF1B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（1）合同解除日以前所完成工作的价款；</w:t>
      </w:r>
    </w:p>
    <w:p w14:paraId="2CD2AFFB">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（2）承包人为实施养护作业订购并已付款的材料、工程设备和其他物品的金额；发包人付款后，该材料、工程设备和其他物品归发包人所有；</w:t>
      </w:r>
    </w:p>
    <w:p w14:paraId="0E33F405">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（3）承包人为实施养护项目所发生的，而发包人未支付的金额；</w:t>
      </w:r>
    </w:p>
    <w:p w14:paraId="169E452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（4）承包人撤离养护作业场地以及遣散承包人人员的金额；</w:t>
      </w:r>
    </w:p>
    <w:p w14:paraId="35FA63A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（5）由于解除合同应赔偿的承包人损失；</w:t>
      </w:r>
    </w:p>
    <w:p w14:paraId="6E82CF5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（6）按合同约定在合同解除日前应支付给承包人的其他金额。</w:t>
      </w:r>
    </w:p>
    <w:p w14:paraId="30C259B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发包人应按本项约定支付上述金额并退还质量保证金和履约保证金，但有权要求承包人支付应偿还给发包人的各项金额。</w:t>
      </w:r>
    </w:p>
    <w:p w14:paraId="4F383B3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22.2.5 解除合同后的承包人撤离</w:t>
      </w:r>
    </w:p>
    <w:p w14:paraId="6298ED6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因发包人违约而解除合同后，承包人应妥善做好已养护项目和已购材料、设备的保护工作，按发包人要求将承包人设备和人员撤出养护作业场地。承包人撤出养护作业场地应遵守第18.6款的约定，发包人应为承包人撤出提供必要条件。</w:t>
      </w:r>
    </w:p>
    <w:p w14:paraId="5F113FB4">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22.3 第三人造成的违约</w:t>
      </w:r>
    </w:p>
    <w:p w14:paraId="4B09BCF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在履行合同过程中，一方当事人因第三人的原因造成违约的，应当向对方当事人承担违约责任。一方当事人和第三人之间的纠纷，依照法律规定或者按照约定解决。</w:t>
      </w:r>
    </w:p>
    <w:p w14:paraId="002A86B5">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117" w:name="bookmark52"/>
      <w:bookmarkEnd w:id="117"/>
      <w:bookmarkStart w:id="118" w:name="bookmark51"/>
      <w:bookmarkEnd w:id="118"/>
      <w:r>
        <w:rPr>
          <w:rFonts w:hint="eastAsia" w:ascii="宋体" w:hAnsi="宋体" w:cs="宋体"/>
          <w:b/>
          <w:bCs/>
          <w:color w:val="auto"/>
          <w:sz w:val="24"/>
          <w:szCs w:val="24"/>
          <w:highlight w:val="none"/>
        </w:rPr>
        <w:t>23.索赔</w:t>
      </w:r>
    </w:p>
    <w:p w14:paraId="2EC6AAA0">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23.1 承包人索赔的提出</w:t>
      </w:r>
    </w:p>
    <w:p w14:paraId="470B6CA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根据合同约定，承包人认为有权得到追加付款和（或）延长工期的，应按以下程序向发包人提出索赔：</w:t>
      </w:r>
    </w:p>
    <w:p w14:paraId="3EFFFA8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（1）承包人应在知道或应当知道索赔事件发生后14天内向咨询人递交索赔意向通知书，并说明发生索赔事件的事由。承包人未在前述14天内发出索赔意向通知书的，丧失要求追加付款和（或）延长工期的权利；</w:t>
      </w:r>
    </w:p>
    <w:p w14:paraId="4AB9E17D">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（2）承包人应在发出索赔意向通知书后14天内向咨询人正式递交索赔通知书。索赔通知书应详细说明索赔理由以及要求追加的付款金额和（或）延长的工期，并附必要的记录和证明材料；</w:t>
      </w:r>
    </w:p>
    <w:p w14:paraId="4004864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（3）索赔事件具有连续影响的，承包人应按合理时间间隔继续递交延续索赔通知，说明连续影响的实际情况和记录，列出累计的追加付款金额和（或）工期延长天数；</w:t>
      </w:r>
    </w:p>
    <w:p w14:paraId="51C9C78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（4）在索赔事件影响结束后14天内，承包人应向咨询人递交最终索赔通知书，说明最终要求索赔的追加付款金额和（或）延长的工期，并附必要的记录和证明材料。</w:t>
      </w:r>
    </w:p>
    <w:p w14:paraId="6F7C7E7D">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19" w:name="bookmark181"/>
      <w:bookmarkEnd w:id="119"/>
      <w:r>
        <w:rPr>
          <w:rFonts w:hint="eastAsia" w:ascii="宋体" w:hAnsi="宋体" w:cs="宋体"/>
          <w:b/>
          <w:bCs/>
          <w:color w:val="auto"/>
          <w:sz w:val="24"/>
          <w:szCs w:val="24"/>
          <w:highlight w:val="none"/>
        </w:rPr>
        <w:t>23.2 承包人索赔处理程序</w:t>
      </w:r>
    </w:p>
    <w:p w14:paraId="2CFFA5A2">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（1）咨询人收到承包人提交的索赔通知书后，应及时审查索赔通知书的内容、查验承包人的记录和证明材料，必要时咨询人可要求承包人提交全部原始记录副本。</w:t>
      </w:r>
    </w:p>
    <w:p w14:paraId="380D372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（2）咨询人应按第 3.5 款商定或确定追加的付款和（或）延长的工期，并在收到上述索赔通知书或有关索赔的进一步证明材料后，将索赔处理结果报发包人批准后答复承包人。如果承包人提出的索赔要求未能遵守第23.1（2）～（4）项的约定，则承包人只限于索赔由咨询人按当时记录予以核实的那部分款额和（或）工期延长天数。</w:t>
      </w:r>
    </w:p>
    <w:p w14:paraId="2679F1CE">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（3）承包人接受索赔处理结果的，发包人应在作出索赔处理结果答复后14天内完成赔付。承包人不接受索赔处理结果的，按第24条的约定办理。</w:t>
      </w:r>
    </w:p>
    <w:p w14:paraId="2E61A9E9">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23.3 承包人提出索赔的期限</w:t>
      </w:r>
    </w:p>
    <w:p w14:paraId="7741919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23.3.1 承包人按第17.5款的约定接受了交工付款证书后，应被认为已无权再提出在养护项目交工验收证书颁发前所发生的任何索赔。</w:t>
      </w:r>
    </w:p>
    <w:p w14:paraId="685DC4D3">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23.3.2 承包人按第17.6款的约定提交的最终结清申请单中，只限于提出交工验收证书颁发后发生的索赔。提出索赔的期限自接受最终结清证书时终止。</w:t>
      </w:r>
    </w:p>
    <w:p w14:paraId="1C6231AD">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23.4 发包人的索赔</w:t>
      </w:r>
    </w:p>
    <w:p w14:paraId="44CE09C9">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23.4.1 发生索赔事件后，咨询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2C215CF">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23.4.2 咨询人按第3.5款商定或确定发包人从承包人处得到赔付的金额和（或）缺陷责任期的延长期。承包人应付给发包人的金额可从拟支付给承包人的合同价款中扣除，或由承包人以其他方式支付给发包人。</w:t>
      </w:r>
    </w:p>
    <w:p w14:paraId="57AD856C">
      <w:pPr>
        <w:widowControl/>
        <w:wordWrap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120" w:name="bookmark54"/>
      <w:bookmarkEnd w:id="120"/>
      <w:bookmarkStart w:id="121" w:name="bookmark53"/>
      <w:bookmarkEnd w:id="121"/>
      <w:r>
        <w:rPr>
          <w:rFonts w:hint="eastAsia" w:ascii="宋体" w:hAnsi="宋体" w:cs="宋体"/>
          <w:b/>
          <w:bCs/>
          <w:color w:val="auto"/>
          <w:sz w:val="24"/>
          <w:szCs w:val="24"/>
          <w:highlight w:val="none"/>
        </w:rPr>
        <w:t>24.争议的解决</w:t>
      </w:r>
    </w:p>
    <w:p w14:paraId="64812BD5">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24.1 争议的解决方式</w:t>
      </w:r>
    </w:p>
    <w:p w14:paraId="2FEF51B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发包人和承包人在履行合同中发生争议的，可以友好协商解决或者通过第三方进行调解。合同当事人友好协商解决或者调解不成，可在专用合同条款中约定下列一种方式解决：</w:t>
      </w:r>
    </w:p>
    <w:p w14:paraId="5B2630F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（1）向约定的仲裁委员会申请仲裁；</w:t>
      </w:r>
    </w:p>
    <w:p w14:paraId="629DDAB6">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（2）向有管辖权的人民法院提起诉讼。</w:t>
      </w:r>
    </w:p>
    <w:p w14:paraId="5BE975ED">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24.2 友好解决</w:t>
      </w:r>
    </w:p>
    <w:p w14:paraId="38A384F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在仲裁或者诉讼前，以及在仲裁或诉讼过程中，发包人和承包人均可共同努力友好协商解决争议。</w:t>
      </w:r>
    </w:p>
    <w:p w14:paraId="57688916">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22" w:name="bookmark182"/>
      <w:bookmarkEnd w:id="122"/>
      <w:r>
        <w:rPr>
          <w:rFonts w:hint="eastAsia" w:ascii="宋体" w:hAnsi="宋体" w:cs="宋体"/>
          <w:b/>
          <w:bCs/>
          <w:color w:val="auto"/>
          <w:sz w:val="24"/>
          <w:szCs w:val="24"/>
          <w:highlight w:val="none"/>
        </w:rPr>
        <w:t>24.3 第三方调解</w:t>
      </w:r>
    </w:p>
    <w:p w14:paraId="1C2F0D0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发包人和承包人可以就争议通过第三方进行调解，调解达成协议的，经双方签字盖章后作为合同的补充文件，双方均应遵照执行。</w:t>
      </w:r>
    </w:p>
    <w:p w14:paraId="57A36BAC">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24.4 仲裁</w:t>
      </w:r>
    </w:p>
    <w:p w14:paraId="5CE47EBC">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（1）对于未能友好解决或未能通过调解解决的争议，发包人或承包人任一方均有权提交给第24.1款约定的仲裁委员会仲裁。</w:t>
      </w:r>
    </w:p>
    <w:p w14:paraId="35B8AFA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仲裁可在交工之前或之后进行，但发包人、咨询人和承包人各自的义务不得因在养护项目实施期间进行仲裁而有所改变。如果仲裁是在终止合同的情况下进行，则对养护项目应采取保护措施，措施费由败诉方承担。</w:t>
      </w:r>
    </w:p>
    <w:p w14:paraId="0EA56DEA">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（3）仲裁裁决是终局性的并对发包人和承包人双方具有约束力。</w:t>
      </w:r>
    </w:p>
    <w:p w14:paraId="073488C1">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（4）全部仲裁费用应由败诉方承担；或按仲裁委员会裁决的比例分担。</w:t>
      </w:r>
    </w:p>
    <w:p w14:paraId="1E2D170A">
      <w:pPr>
        <w:widowControl/>
        <w:wordWrap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24.5 争议解决条款效力</w:t>
      </w:r>
    </w:p>
    <w:p w14:paraId="1BA495E8">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合同有关争议解决的条款独立存在，合同的不生效、无效、被撤销或者终止的，不影响合同中有关争议解决条款的效力。</w:t>
      </w:r>
    </w:p>
    <w:p w14:paraId="2273B1AC">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41BAF684">
      <w:pPr>
        <w:pStyle w:val="2"/>
        <w:jc w:val="left"/>
        <w:rPr>
          <w:rFonts w:hint="eastAsia" w:eastAsia="宋体" w:cs="宋体"/>
          <w:color w:val="auto"/>
          <w:highlight w:val="none"/>
        </w:rPr>
      </w:pPr>
      <w:bookmarkStart w:id="123" w:name="bookmark56"/>
      <w:bookmarkEnd w:id="123"/>
      <w:bookmarkStart w:id="124" w:name="bookmark57"/>
      <w:bookmarkEnd w:id="124"/>
      <w:bookmarkStart w:id="125" w:name="bookmark58"/>
      <w:bookmarkEnd w:id="125"/>
      <w:bookmarkStart w:id="126" w:name="bookmark55"/>
      <w:bookmarkEnd w:id="126"/>
      <w:r>
        <w:rPr>
          <w:rFonts w:hint="eastAsia" w:eastAsia="宋体" w:cs="宋体"/>
          <w:color w:val="auto"/>
          <w:highlight w:val="none"/>
        </w:rPr>
        <w:t>第三章 合同附件格式</w:t>
      </w:r>
    </w:p>
    <w:p w14:paraId="7A3EC57E">
      <w:pPr>
        <w:widowControl/>
        <w:kinsoku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127" w:name="bookmark183"/>
      <w:bookmarkEnd w:id="127"/>
      <w:r>
        <w:rPr>
          <w:rFonts w:hint="eastAsia" w:ascii="宋体" w:hAnsi="宋体" w:cs="宋体"/>
          <w:b/>
          <w:bCs/>
          <w:color w:val="auto"/>
          <w:sz w:val="24"/>
          <w:szCs w:val="24"/>
          <w:highlight w:val="none"/>
        </w:rPr>
        <w:t>附件一廉政合同</w:t>
      </w:r>
    </w:p>
    <w:p w14:paraId="5080F2FA">
      <w:pPr>
        <w:widowControl/>
        <w:kinsoku w:val="0"/>
        <w:autoSpaceDE w:val="0"/>
        <w:autoSpaceDN w:val="0"/>
        <w:adjustRightInd w:val="0"/>
        <w:snapToGrid w:val="0"/>
        <w:spacing w:line="440" w:lineRule="exact"/>
        <w:ind w:firstLine="480" w:firstLineChars="20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廉政合同</w:t>
      </w:r>
    </w:p>
    <w:p w14:paraId="045A444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726746B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根据国家以及地方有关廉政建设的规定，为做好公路养护项目中的党风廉政建设，保证养护质量高效优质，保证养护资金的安全和有效使用，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（项目名称）的发包人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（发包人名称，以下简称“发包人 ”）与承包人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（承包人名称，以下简称“承包人”），特订立如下合同。</w:t>
      </w:r>
    </w:p>
    <w:p w14:paraId="5E050FB9">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1.发包人和承包人双方的权利和义务</w:t>
      </w:r>
    </w:p>
    <w:p w14:paraId="7D096B1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（1）严格遵守党的政策规定和国家有关法律法规及交通运输部的有关规定。</w:t>
      </w:r>
    </w:p>
    <w:p w14:paraId="6549794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（2）严格执行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（项目名称）养护合同文件，自觉按合同办事。</w:t>
      </w:r>
    </w:p>
    <w:p w14:paraId="0666860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（3）双方的业务活动坚持公开、公正、诚信、透明的原则（法律认定的商业秘密和合同文件另有规定除外），不得损害国家和集体利益，不得违反养护相关的管理规章制度。</w:t>
      </w:r>
    </w:p>
    <w:p w14:paraId="5619EFF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（4）建立健全廉政制度，开展廉政教育，设立廉政告示牌，公布举报电话，监督并认真查处违法违纪行为。</w:t>
      </w:r>
    </w:p>
    <w:p w14:paraId="71DB588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（5）发现对方在业务活动中有违反廉政规定的行为，有及时提醒对方纠正的权利和义务。</w:t>
      </w:r>
    </w:p>
    <w:p w14:paraId="6EE12EE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（6）发现对方严重违反本合同义务条款的行为，有向其上级有关部门举报、建议给予处理并要求告知处理结果的权利。</w:t>
      </w:r>
    </w:p>
    <w:p w14:paraId="75A6C84A">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2.发包人的义务</w:t>
      </w:r>
    </w:p>
    <w:p w14:paraId="2090381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（1）发包人及其工作人员不得索要或接受承包人的礼金、有价证券和贵重物品，不得让承包人报销任何应由发包人或发包人工作人员个人支付的费用等。</w:t>
      </w:r>
    </w:p>
    <w:p w14:paraId="548595C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（2）发包人工作人员不得参加承包人安排的超标准宴请和娱乐活动；不得接受承包人提供的通信工具、交通工具和高档办公用品等。</w:t>
      </w:r>
    </w:p>
    <w:p w14:paraId="13B1F8A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（3）发包人及其工作人员不得要求或者接受承包人为其住房装修、婚丧嫁娶活动、配偶子女的工作安排以及出国出境、旅游等提供方便等。</w:t>
      </w:r>
    </w:p>
    <w:p w14:paraId="7FEE0C7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（4）发包人工作人员及其配偶、子女不得从事与发包人养护项目有关的材料设备供应、分包、劳务等经济活动等。</w:t>
      </w:r>
    </w:p>
    <w:p w14:paraId="08092C1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（5）发包人及其工作人员不得以任何理由向承包人推荐分包单位或推销材料，不得要求承包人购买合同约定外的材料和设备。</w:t>
      </w:r>
    </w:p>
    <w:p w14:paraId="1B97E82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（6）发包人工作人员要秉公办事，不准营私舞弊，不准利用职权从事各种个人有偿中介活动和安排个人施工队伍。</w:t>
      </w:r>
    </w:p>
    <w:p w14:paraId="5003A055">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bookmarkStart w:id="128" w:name="bookmark184"/>
      <w:bookmarkEnd w:id="128"/>
      <w:r>
        <w:rPr>
          <w:rFonts w:hint="eastAsia" w:ascii="宋体" w:hAnsi="宋体" w:cs="宋体"/>
          <w:color w:val="auto"/>
          <w:sz w:val="24"/>
          <w:szCs w:val="24"/>
          <w:highlight w:val="none"/>
        </w:rPr>
        <w:t>3.承包人的义务</w:t>
      </w:r>
    </w:p>
    <w:p w14:paraId="1CA9F7E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（1）承包人不得以任何理由向发包人及其工作人员行贿或馈赠礼金、有价证券、贵重礼品。</w:t>
      </w:r>
    </w:p>
    <w:p w14:paraId="1A8AE1F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（2）承包人不得以任何名义为发包人及其工作人员报销应由发包人单位或个人支付的任何费用。</w:t>
      </w:r>
    </w:p>
    <w:p w14:paraId="44CC4A0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（3）承包人不得以任何理由安排发包人工作人员参加超标准宴请及娱乐活动。</w:t>
      </w:r>
    </w:p>
    <w:p w14:paraId="125084A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（4）承包人不得为发包人单位和个人购置或提供通信工具、交通工具和高档办公用品等。</w:t>
      </w:r>
    </w:p>
    <w:p w14:paraId="3C7CEDD4">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4.违约责任</w:t>
      </w:r>
    </w:p>
    <w:p w14:paraId="28DD967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（1）发包人及其工作人员违反本合同第 1 、2 条，按管理权限，依据有关规定给予党纪、政纪或组织处理；涉嫌犯罪的，移交司法机关追究刑事责任；给承包人单位造成经济损失的，应予以赔偿。</w:t>
      </w:r>
    </w:p>
    <w:p w14:paraId="5047E72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（2）承包人及其工作人员违反本合同第 1 、3 条，按管理权限，依据有关规定给予党纪、政纪或组织处理；给发包人单位造成经济损失的，应予以赔偿；情节严重的，发包人建议交通运输主管部门给予承包人一至三年内不得进入其主管的公路养护市场的处罚。</w:t>
      </w:r>
    </w:p>
    <w:p w14:paraId="45711ADA">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约定范围内的裁定意见。</w:t>
      </w:r>
    </w:p>
    <w:p w14:paraId="57F13D1B">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6.本合同自发包人和承包人签署之日起生效。</w:t>
      </w:r>
    </w:p>
    <w:p w14:paraId="1F281B13">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7.本合同作为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（项目名称）养护合同的附件，与养护合同具有同等的法律效力， 自合同双方法定代表人或其委托代理人签名并加盖单位章之日起生效。</w:t>
      </w:r>
    </w:p>
    <w:p w14:paraId="76CB41CB">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8.本合同一式四份，由发包人和承包人各执一份，送交发包人和承包人的监督单位各一份。</w:t>
      </w:r>
    </w:p>
    <w:tbl>
      <w:tblPr>
        <w:tblStyle w:val="19"/>
        <w:tblW w:w="8665" w:type="dxa"/>
        <w:tblInd w:w="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44"/>
        <w:gridCol w:w="1879"/>
        <w:gridCol w:w="2625"/>
        <w:gridCol w:w="1717"/>
      </w:tblGrid>
      <w:tr w14:paraId="303294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35" w:hRule="atLeast"/>
        </w:trPr>
        <w:tc>
          <w:tcPr>
            <w:tcW w:w="2444" w:type="dxa"/>
            <w:noWrap w:val="0"/>
            <w:vAlign w:val="top"/>
          </w:tcPr>
          <w:p w14:paraId="4E85D83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w:t>
            </w:r>
          </w:p>
          <w:p w14:paraId="4F55B5E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p w14:paraId="2F14DB4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或其委托代理人：</w:t>
            </w:r>
          </w:p>
        </w:tc>
        <w:tc>
          <w:tcPr>
            <w:tcW w:w="1879" w:type="dxa"/>
            <w:noWrap w:val="0"/>
            <w:vAlign w:val="top"/>
          </w:tcPr>
          <w:p w14:paraId="1364FC35">
            <w:pPr>
              <w:widowControl/>
              <w:kinsoku w:val="0"/>
              <w:autoSpaceDE w:val="0"/>
              <w:autoSpaceDN w:val="0"/>
              <w:adjustRightInd w:val="0"/>
              <w:snapToGrid w:val="0"/>
              <w:spacing w:line="440" w:lineRule="exac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（盖单位章）</w:t>
            </w:r>
          </w:p>
          <w:p w14:paraId="1F0B7DA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445EB99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（签名）</w:t>
            </w:r>
          </w:p>
        </w:tc>
        <w:tc>
          <w:tcPr>
            <w:tcW w:w="2625" w:type="dxa"/>
            <w:noWrap w:val="0"/>
            <w:vAlign w:val="top"/>
          </w:tcPr>
          <w:p w14:paraId="4EE109C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w:t>
            </w:r>
          </w:p>
          <w:p w14:paraId="2D2EF04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p w14:paraId="69CC275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或其委托代理人：</w:t>
            </w:r>
          </w:p>
        </w:tc>
        <w:tc>
          <w:tcPr>
            <w:tcW w:w="1717" w:type="dxa"/>
            <w:noWrap w:val="0"/>
            <w:vAlign w:val="top"/>
          </w:tcPr>
          <w:p w14:paraId="3BBA5879">
            <w:pPr>
              <w:widowControl/>
              <w:kinsoku w:val="0"/>
              <w:autoSpaceDE w:val="0"/>
              <w:autoSpaceDN w:val="0"/>
              <w:adjustRightInd w:val="0"/>
              <w:snapToGrid w:val="0"/>
              <w:spacing w:line="440" w:lineRule="exac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（盖单位章）</w:t>
            </w:r>
          </w:p>
          <w:p w14:paraId="409A10D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6782F56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（签名）</w:t>
            </w:r>
          </w:p>
        </w:tc>
      </w:tr>
      <w:tr w14:paraId="3380D0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2" w:hRule="atLeast"/>
        </w:trPr>
        <w:tc>
          <w:tcPr>
            <w:tcW w:w="2444" w:type="dxa"/>
            <w:noWrap w:val="0"/>
            <w:vAlign w:val="top"/>
          </w:tcPr>
          <w:p w14:paraId="2098D219">
            <w:pPr>
              <w:widowControl/>
              <w:kinsoku w:val="0"/>
              <w:autoSpaceDE w:val="0"/>
              <w:autoSpaceDN w:val="0"/>
              <w:adjustRightInd w:val="0"/>
              <w:snapToGrid w:val="0"/>
              <w:spacing w:line="440" w:lineRule="exact"/>
              <w:ind w:firstLine="2160" w:firstLineChars="9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年</w:t>
            </w:r>
          </w:p>
        </w:tc>
        <w:tc>
          <w:tcPr>
            <w:tcW w:w="1879" w:type="dxa"/>
            <w:noWrap w:val="0"/>
            <w:vAlign w:val="top"/>
          </w:tcPr>
          <w:p w14:paraId="54ADF54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月    日</w:t>
            </w:r>
          </w:p>
        </w:tc>
        <w:tc>
          <w:tcPr>
            <w:tcW w:w="2625" w:type="dxa"/>
            <w:noWrap w:val="0"/>
            <w:vAlign w:val="top"/>
          </w:tcPr>
          <w:p w14:paraId="5B020809">
            <w:pPr>
              <w:widowControl/>
              <w:kinsoku w:val="0"/>
              <w:autoSpaceDE w:val="0"/>
              <w:autoSpaceDN w:val="0"/>
              <w:adjustRightInd w:val="0"/>
              <w:snapToGrid w:val="0"/>
              <w:spacing w:line="440" w:lineRule="exact"/>
              <w:ind w:firstLine="2400" w:firstLineChars="10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年</w:t>
            </w:r>
          </w:p>
        </w:tc>
        <w:tc>
          <w:tcPr>
            <w:tcW w:w="1717" w:type="dxa"/>
            <w:noWrap w:val="0"/>
            <w:vAlign w:val="top"/>
          </w:tcPr>
          <w:p w14:paraId="6E1D1BE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月    日</w:t>
            </w:r>
          </w:p>
        </w:tc>
      </w:tr>
      <w:tr w14:paraId="5DE1CE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7" w:hRule="atLeast"/>
        </w:trPr>
        <w:tc>
          <w:tcPr>
            <w:tcW w:w="2444" w:type="dxa"/>
            <w:noWrap w:val="0"/>
            <w:vAlign w:val="top"/>
          </w:tcPr>
          <w:p w14:paraId="776B917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发包人监督单位：</w:t>
            </w:r>
          </w:p>
        </w:tc>
        <w:tc>
          <w:tcPr>
            <w:tcW w:w="1879" w:type="dxa"/>
            <w:noWrap w:val="0"/>
            <w:vAlign w:val="top"/>
          </w:tcPr>
          <w:p w14:paraId="409B26E8">
            <w:pPr>
              <w:widowControl/>
              <w:kinsoku w:val="0"/>
              <w:autoSpaceDE w:val="0"/>
              <w:autoSpaceDN w:val="0"/>
              <w:adjustRightInd w:val="0"/>
              <w:snapToGrid w:val="0"/>
              <w:spacing w:line="440" w:lineRule="exact"/>
              <w:ind w:firstLine="720" w:firstLineChars="3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（全称）</w:t>
            </w:r>
          </w:p>
        </w:tc>
        <w:tc>
          <w:tcPr>
            <w:tcW w:w="2625" w:type="dxa"/>
            <w:noWrap w:val="0"/>
            <w:vAlign w:val="top"/>
          </w:tcPr>
          <w:p w14:paraId="61D10B5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承包人监督单位：</w:t>
            </w:r>
          </w:p>
        </w:tc>
        <w:tc>
          <w:tcPr>
            <w:tcW w:w="1717" w:type="dxa"/>
            <w:noWrap w:val="0"/>
            <w:vAlign w:val="top"/>
          </w:tcPr>
          <w:p w14:paraId="26D25595">
            <w:pPr>
              <w:widowControl/>
              <w:kinsoku w:val="0"/>
              <w:autoSpaceDE w:val="0"/>
              <w:autoSpaceDN w:val="0"/>
              <w:adjustRightInd w:val="0"/>
              <w:snapToGrid w:val="0"/>
              <w:spacing w:line="440" w:lineRule="exact"/>
              <w:ind w:firstLine="720" w:firstLineChars="3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（全称）</w:t>
            </w:r>
          </w:p>
        </w:tc>
      </w:tr>
      <w:tr w14:paraId="59F72E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4" w:hRule="atLeast"/>
        </w:trPr>
        <w:tc>
          <w:tcPr>
            <w:tcW w:w="2444" w:type="dxa"/>
            <w:noWrap w:val="0"/>
            <w:vAlign w:val="top"/>
          </w:tcPr>
          <w:p w14:paraId="6CF282C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（盖单位章）</w:t>
            </w:r>
          </w:p>
        </w:tc>
        <w:tc>
          <w:tcPr>
            <w:tcW w:w="1879" w:type="dxa"/>
            <w:noWrap w:val="0"/>
            <w:vAlign w:val="top"/>
          </w:tcPr>
          <w:p w14:paraId="121C906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2625" w:type="dxa"/>
            <w:noWrap w:val="0"/>
            <w:vAlign w:val="top"/>
          </w:tcPr>
          <w:p w14:paraId="12BF1FE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（盖单位章）</w:t>
            </w:r>
          </w:p>
        </w:tc>
        <w:tc>
          <w:tcPr>
            <w:tcW w:w="1717" w:type="dxa"/>
            <w:noWrap w:val="0"/>
            <w:vAlign w:val="top"/>
          </w:tcPr>
          <w:p w14:paraId="401DB3C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bl>
    <w:p w14:paraId="22F51B7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04FB1CD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5AAFBD2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0E8B2AD6">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6BCA5E78">
      <w:pPr>
        <w:widowControl/>
        <w:kinsoku w:val="0"/>
        <w:autoSpaceDE w:val="0"/>
        <w:autoSpaceDN w:val="0"/>
        <w:adjustRightInd w:val="0"/>
        <w:snapToGrid w:val="0"/>
        <w:spacing w:line="440" w:lineRule="exact"/>
        <w:ind w:firstLine="482" w:firstLineChars="200"/>
        <w:textAlignment w:val="baseline"/>
        <w:outlineLvl w:val="2"/>
        <w:rPr>
          <w:rFonts w:hint="eastAsia" w:ascii="宋体" w:hAnsi="宋体" w:cs="宋体"/>
          <w:color w:val="auto"/>
          <w:sz w:val="24"/>
          <w:szCs w:val="24"/>
          <w:highlight w:val="none"/>
        </w:rPr>
      </w:pPr>
      <w:bookmarkStart w:id="129" w:name="bookmark59"/>
      <w:bookmarkEnd w:id="129"/>
      <w:bookmarkStart w:id="130" w:name="bookmark60"/>
      <w:bookmarkEnd w:id="130"/>
      <w:r>
        <w:rPr>
          <w:rFonts w:hint="eastAsia" w:ascii="宋体" w:hAnsi="宋体" w:cs="宋体"/>
          <w:b/>
          <w:bCs/>
          <w:color w:val="auto"/>
          <w:sz w:val="24"/>
          <w:szCs w:val="24"/>
          <w:highlight w:val="none"/>
        </w:rPr>
        <w:t>附件二安全生产合同</w:t>
      </w:r>
    </w:p>
    <w:p w14:paraId="6F5F3985">
      <w:pPr>
        <w:widowControl/>
        <w:kinsoku w:val="0"/>
        <w:autoSpaceDE w:val="0"/>
        <w:autoSpaceDN w:val="0"/>
        <w:adjustRightInd w:val="0"/>
        <w:snapToGrid w:val="0"/>
        <w:spacing w:line="440" w:lineRule="exact"/>
        <w:ind w:firstLine="480" w:firstLineChars="20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安全生产合同</w:t>
      </w:r>
    </w:p>
    <w:p w14:paraId="5DE30F5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110C7F2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为在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（项目名称）养护合同的实施过程中创造安全、高效的养护作业环境，切实做好本项目的安全管理工作，本项目发包人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（发包人名称，以下简称“发包人）与承包人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（承包人名称，以下简称“承包人）特此签订安全生产合同。</w:t>
      </w:r>
    </w:p>
    <w:p w14:paraId="673A349B">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1.发包人职责</w:t>
      </w:r>
    </w:p>
    <w:p w14:paraId="10157BB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（1）严格遵守国家有关安全生产的法律法规，认真执行养护项目合同中的有关安全要求。</w:t>
      </w:r>
    </w:p>
    <w:p w14:paraId="5DC4E34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（2）按照“安全第一、预防为主、综合治理 ”和坚持“管生产必须管安全 ”的原则进行安全生产管理，做到生产与安全工作同时计划、布置、检查、总结和评比。</w:t>
      </w:r>
    </w:p>
    <w:p w14:paraId="21DBDEC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（3）重要的安全设施必须坚持与养护作业设备同时投入使用。</w:t>
      </w:r>
    </w:p>
    <w:p w14:paraId="62AB688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（4）定期召开安全生产调度会，及时传达中央及地方有关安全生产的精神。</w:t>
      </w:r>
    </w:p>
    <w:p w14:paraId="1756054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（5）组织对承包人养护作业场地进行安全生产检查，监督承包人及时处理发现的各种安全隐患。</w:t>
      </w:r>
    </w:p>
    <w:p w14:paraId="7C033E13">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2.承包人职责</w:t>
      </w:r>
    </w:p>
    <w:p w14:paraId="589D4E7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中华人民共和国安全生产法》等国家有关安全生产的法律法规、《公路水运工程安全生产监督管理办法》、《公路养护安全作业规程》和《公路工程施工安全技术规范》等有关安全生产的规定。认真执行养护合同中的有关安全要求。</w:t>
      </w:r>
    </w:p>
    <w:p w14:paraId="06F5A09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（2）坚持“安全第一、预防为主、综合治理 ”和“管生产必须管安全 ”的原则，加强安全生产宣传教育，增强全员安全生产意识，建立健全各项安全生产的管理机构和安全生产管理制度，配备专职及兼职安全生产检查人员，有组织有领导地开展安全生产活动。各级领导、养护技术人员、生产管理人员和具体操作人员，必须熟悉和遵守本合同的各项约定，做到生产与安全工作同时计划、布置、检查、总结和评比。</w:t>
      </w:r>
    </w:p>
    <w:p w14:paraId="6FE2DA6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建立健全安全生产责任制。从派往项目实施的项目经理到生产工人（包括临时雇请的农民工）的安全生产管理系统必须做到纵向到底，一环不漏；各职能部门、人员的安全生产责任制做到横向到边，人人有责。项目经理是安全生产的第一责任人。现场设置的安全机构，应按养护合同约定配备专职安全生产管理人员，专职负责所有员工的安全和治安保卫工作及预防事故的发生。安全机构人员有权按有关规定发布指令，并采取保护性措施防止事故发生。</w:t>
      </w:r>
    </w:p>
    <w:p w14:paraId="021AA20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bookmarkStart w:id="131" w:name="bookmark185"/>
      <w:bookmarkEnd w:id="131"/>
      <w:r>
        <w:rPr>
          <w:rFonts w:hint="eastAsia" w:ascii="宋体" w:hAnsi="宋体" w:cs="宋体"/>
          <w:color w:val="auto"/>
          <w:sz w:val="24"/>
          <w:szCs w:val="24"/>
          <w:highlight w:val="none"/>
        </w:rPr>
        <w:t>（4）承包人在任何时候都应采取各种合理的预防措施，防止其员工发生任何违法、违禁、暴力或妨碍治安的行为。</w:t>
      </w:r>
    </w:p>
    <w:p w14:paraId="46ED93D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承包人参加养护作业实施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养护作业场地如出现特种作业无证操作现象时，项目经理必须承担管理责任。</w:t>
      </w:r>
    </w:p>
    <w:p w14:paraId="0FBD10D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对于易燃易爆的材料除应专门妥善保管之外，还应配备有足够的消防设施，所有养护人员都应熟悉消防设备的性能和使用方法；承包人不得将任何种类的爆炸物给予、易货或以其他方式转让给任何其他人，或允许、容忍上述同样行为。</w:t>
      </w:r>
    </w:p>
    <w:p w14:paraId="77B82C7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（7）操作人员上岗，必须按规定穿戴防护用品。养护项目负责人和安全检查员应随时检查劳动防护用品的穿戴情况，不按规定穿戴防护用品的人员不得上岗。</w:t>
      </w:r>
    </w:p>
    <w:p w14:paraId="2076987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（8）所有养护作业机具设备和高空作业的设备均应定期检查，并有安全员的签字记录，保证其经常处于完好状态；不合格的机具、设备和劳动保护用品严禁使用。</w:t>
      </w:r>
    </w:p>
    <w:p w14:paraId="05A4857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（9）养护作业实施过程中采用新技术、新工艺、新设备、新材料时，必须制定相应的安全技术措施，养护作业场地必须具有相关的安全标志牌。</w:t>
      </w:r>
    </w:p>
    <w:p w14:paraId="4309AC2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10）承包人必须按照养护项目特点，组织制定养护项目实施中的生产安全事故应急救援预案；如果发生安全事故，应按照《国务院关于特大安全事故行政责任追究的规定》以及其他有关规定，及时上报有关部门，并坚持“ 四不放过 ”的原则，严肃处理相关责任人。</w:t>
      </w:r>
    </w:p>
    <w:p w14:paraId="2319AED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承包人应办理通车路段作业的有关许可手续，并服从和配合路政与交管部门的统一监管。承包人应按发包人及有关行政主管部门批准的交通组织方案设置交通安全标志、标牌、护栏、隔离等交通安全防护设施，在执行过程中，应按照执行效果实时作出调整，安排应急处理设备或设施，确保其他影响道路的信息准确、安全畅通。</w:t>
      </w:r>
    </w:p>
    <w:p w14:paraId="57DA857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（12）安全生产费用参照《公路水运工程安全生产监督管理办法》的相关规定使用和管理。</w:t>
      </w:r>
    </w:p>
    <w:p w14:paraId="6B6D1430">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3.违约责任</w:t>
      </w:r>
    </w:p>
    <w:p w14:paraId="5F45B77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如因发包人或承包人违约造成安全事故，应赔偿对方受到的全部损失并依法追究责任。</w:t>
      </w:r>
    </w:p>
    <w:p w14:paraId="638A5D6E">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4.本合同由双方法定代表人或其授权的代理人签名并加盖单位章后生效。</w:t>
      </w:r>
    </w:p>
    <w:p w14:paraId="2B0F3A78">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5.本合同正本两份、副本____份，合同双方各执正本一份，副本____份，当正本与副本的内容不一致时，以正本为准。</w:t>
      </w:r>
    </w:p>
    <w:p w14:paraId="69BC368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2860BE0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       承包人：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2ED7D8A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0785820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（签名）   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（签名）</w:t>
      </w:r>
    </w:p>
    <w:p w14:paraId="5306F49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10FEFCA9">
      <w:pPr>
        <w:widowControl/>
        <w:kinsoku w:val="0"/>
        <w:autoSpaceDE w:val="0"/>
        <w:autoSpaceDN w:val="0"/>
        <w:adjustRightInd w:val="0"/>
        <w:snapToGrid w:val="0"/>
        <w:spacing w:line="440" w:lineRule="exact"/>
        <w:ind w:firstLine="1680" w:firstLineChars="7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7723552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DDD165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7347F8B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6263B83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1DDBFC6A">
      <w:pPr>
        <w:widowControl/>
        <w:kinsoku w:val="0"/>
        <w:autoSpaceDE w:val="0"/>
        <w:autoSpaceDN w:val="0"/>
        <w:adjustRightInd w:val="0"/>
        <w:snapToGrid w:val="0"/>
        <w:spacing w:line="440" w:lineRule="exact"/>
        <w:ind w:firstLine="480" w:firstLineChars="200"/>
        <w:textAlignment w:val="baseline"/>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32" w:name="bookmark61"/>
      <w:bookmarkEnd w:id="132"/>
      <w:bookmarkStart w:id="133" w:name="bookmark62"/>
      <w:bookmarkEnd w:id="133"/>
      <w:r>
        <w:rPr>
          <w:rFonts w:hint="eastAsia" w:ascii="宋体" w:hAnsi="宋体" w:cs="宋体"/>
          <w:b/>
          <w:bCs/>
          <w:color w:val="auto"/>
          <w:sz w:val="24"/>
          <w:szCs w:val="24"/>
          <w:highlight w:val="none"/>
        </w:rPr>
        <w:t>附件三</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其他管理和技术人员</w:t>
      </w:r>
    </w:p>
    <w:tbl>
      <w:tblPr>
        <w:tblStyle w:val="19"/>
        <w:tblW w:w="462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64"/>
        <w:gridCol w:w="2845"/>
        <w:gridCol w:w="2981"/>
      </w:tblGrid>
      <w:tr w14:paraId="2F5AAA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02" w:hRule="atLeast"/>
          <w:jc w:val="center"/>
        </w:trPr>
        <w:tc>
          <w:tcPr>
            <w:tcW w:w="1528" w:type="pct"/>
            <w:noWrap w:val="0"/>
            <w:vAlign w:val="center"/>
          </w:tcPr>
          <w:p w14:paraId="4E5859FC">
            <w:pPr>
              <w:adjustRightInd w:val="0"/>
              <w:snapToGrid w:val="0"/>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人  员</w:t>
            </w:r>
          </w:p>
        </w:tc>
        <w:tc>
          <w:tcPr>
            <w:tcW w:w="1695" w:type="pct"/>
            <w:noWrap w:val="0"/>
            <w:vAlign w:val="center"/>
          </w:tcPr>
          <w:p w14:paraId="7C444244">
            <w:pPr>
              <w:wordWrap w:val="0"/>
              <w:adjustRightInd w:val="0"/>
              <w:snapToGrid w:val="0"/>
              <w:spacing w:line="400" w:lineRule="exact"/>
              <w:jc w:val="center"/>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val="en-US" w:eastAsia="zh-CN"/>
              </w:rPr>
              <w:t>数量</w:t>
            </w:r>
          </w:p>
        </w:tc>
        <w:tc>
          <w:tcPr>
            <w:tcW w:w="1776" w:type="pct"/>
            <w:noWrap w:val="0"/>
            <w:vAlign w:val="center"/>
          </w:tcPr>
          <w:p w14:paraId="40E96CDD">
            <w:pPr>
              <w:wordWrap w:val="0"/>
              <w:adjustRightInd w:val="0"/>
              <w:snapToGrid w:val="0"/>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资 格 要 求</w:t>
            </w:r>
          </w:p>
        </w:tc>
      </w:tr>
      <w:tr w14:paraId="7D151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528" w:type="pct"/>
            <w:noWrap w:val="0"/>
            <w:vAlign w:val="center"/>
          </w:tcPr>
          <w:p w14:paraId="14395071">
            <w:pPr>
              <w:adjustRightInd w:val="0"/>
              <w:snapToGrid w:val="0"/>
              <w:spacing w:line="400" w:lineRule="exact"/>
              <w:jc w:val="center"/>
              <w:rPr>
                <w:rFonts w:hint="default" w:ascii="Times New Roman" w:hAnsi="Times New Roman" w:eastAsia="宋体"/>
                <w:color w:val="auto"/>
                <w:szCs w:val="21"/>
                <w:highlight w:val="none"/>
                <w:lang w:val="en-US" w:eastAsia="zh-CN"/>
              </w:rPr>
            </w:pPr>
            <w:bookmarkStart w:id="134" w:name="_Hlk200564412"/>
            <w:r>
              <w:rPr>
                <w:rFonts w:ascii="Times New Roman" w:hAnsi="Times New Roman"/>
                <w:color w:val="auto"/>
                <w:szCs w:val="21"/>
                <w:highlight w:val="none"/>
              </w:rPr>
              <w:t>合同、计划负责人</w:t>
            </w:r>
            <w:r>
              <w:rPr>
                <w:rFonts w:hint="eastAsia" w:ascii="Times New Roman" w:hAnsi="Times New Roman"/>
                <w:color w:val="auto"/>
                <w:szCs w:val="21"/>
                <w:highlight w:val="none"/>
                <w:lang w:val="en-US" w:eastAsia="zh-CN"/>
              </w:rPr>
              <w:t xml:space="preserve">     (兼计量）</w:t>
            </w:r>
          </w:p>
        </w:tc>
        <w:tc>
          <w:tcPr>
            <w:tcW w:w="1695" w:type="pct"/>
            <w:noWrap w:val="0"/>
            <w:vAlign w:val="center"/>
          </w:tcPr>
          <w:p w14:paraId="64B1C548">
            <w:pPr>
              <w:adjustRightInd w:val="0"/>
              <w:snapToGrid w:val="0"/>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1</w:t>
            </w:r>
          </w:p>
        </w:tc>
        <w:tc>
          <w:tcPr>
            <w:tcW w:w="1776" w:type="pct"/>
            <w:noWrap w:val="0"/>
            <w:vAlign w:val="center"/>
          </w:tcPr>
          <w:p w14:paraId="071DD1CC">
            <w:pPr>
              <w:adjustRightInd w:val="0"/>
              <w:snapToGrid w:val="0"/>
              <w:spacing w:line="400" w:lineRule="exact"/>
              <w:rPr>
                <w:rFonts w:ascii="Times New Roman" w:hAnsi="Times New Roman"/>
                <w:color w:val="auto"/>
                <w:szCs w:val="21"/>
                <w:highlight w:val="none"/>
              </w:rPr>
            </w:pPr>
            <w:r>
              <w:rPr>
                <w:rFonts w:ascii="Times New Roman" w:hAnsi="Times New Roman"/>
                <w:color w:val="auto"/>
                <w:szCs w:val="24"/>
                <w:highlight w:val="none"/>
              </w:rPr>
              <w:t>工程师或经济师及以上职称。</w:t>
            </w:r>
          </w:p>
        </w:tc>
      </w:tr>
      <w:tr w14:paraId="250A0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528" w:type="pct"/>
            <w:noWrap w:val="0"/>
            <w:vAlign w:val="center"/>
          </w:tcPr>
          <w:p w14:paraId="13AE4786">
            <w:pPr>
              <w:spacing w:line="400" w:lineRule="exact"/>
              <w:ind w:left="-117" w:leftChars="-53" w:right="-119" w:rightChars="-54"/>
              <w:jc w:val="center"/>
              <w:rPr>
                <w:rFonts w:ascii="Times New Roman" w:hAnsi="Times New Roman"/>
                <w:color w:val="auto"/>
                <w:szCs w:val="21"/>
                <w:highlight w:val="none"/>
              </w:rPr>
            </w:pPr>
            <w:r>
              <w:rPr>
                <w:rFonts w:ascii="Times New Roman" w:hAnsi="Times New Roman"/>
                <w:color w:val="auto"/>
                <w:szCs w:val="21"/>
                <w:highlight w:val="none"/>
              </w:rPr>
              <w:t>试验工程师</w:t>
            </w:r>
          </w:p>
        </w:tc>
        <w:tc>
          <w:tcPr>
            <w:tcW w:w="1695" w:type="pct"/>
            <w:noWrap w:val="0"/>
            <w:vAlign w:val="center"/>
          </w:tcPr>
          <w:p w14:paraId="31BC6C08">
            <w:pPr>
              <w:adjustRightInd w:val="0"/>
              <w:snapToGrid w:val="0"/>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1</w:t>
            </w:r>
          </w:p>
        </w:tc>
        <w:tc>
          <w:tcPr>
            <w:tcW w:w="1776" w:type="pct"/>
            <w:noWrap w:val="0"/>
            <w:vAlign w:val="center"/>
          </w:tcPr>
          <w:p w14:paraId="32675567">
            <w:pPr>
              <w:adjustRightInd w:val="0"/>
              <w:snapToGrid w:val="0"/>
              <w:spacing w:line="400" w:lineRule="exact"/>
              <w:rPr>
                <w:rFonts w:ascii="Times New Roman" w:hAnsi="Times New Roman"/>
                <w:color w:val="auto"/>
                <w:szCs w:val="21"/>
                <w:highlight w:val="none"/>
              </w:rPr>
            </w:pPr>
            <w:r>
              <w:rPr>
                <w:rFonts w:ascii="Times New Roman" w:hAnsi="Times New Roman"/>
                <w:color w:val="auto"/>
                <w:szCs w:val="24"/>
                <w:highlight w:val="none"/>
              </w:rPr>
              <w:t>公路工程相关专业工程师及以上职称，持有试验检测工程师证书。</w:t>
            </w:r>
          </w:p>
        </w:tc>
      </w:tr>
      <w:tr w14:paraId="02C91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63" w:hRule="atLeast"/>
          <w:jc w:val="center"/>
        </w:trPr>
        <w:tc>
          <w:tcPr>
            <w:tcW w:w="1528" w:type="pct"/>
            <w:noWrap w:val="0"/>
            <w:vAlign w:val="center"/>
          </w:tcPr>
          <w:p w14:paraId="223B63A2">
            <w:pPr>
              <w:adjustRightInd w:val="0"/>
              <w:snapToGrid w:val="0"/>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lang w:val="en-US" w:eastAsia="zh-CN"/>
              </w:rPr>
              <w:t>桥梁</w:t>
            </w:r>
            <w:r>
              <w:rPr>
                <w:rFonts w:hint="eastAsia" w:ascii="Times New Roman" w:hAnsi="Times New Roman"/>
                <w:color w:val="auto"/>
                <w:szCs w:val="21"/>
                <w:highlight w:val="none"/>
              </w:rPr>
              <w:t>工程师兼</w:t>
            </w:r>
          </w:p>
          <w:p w14:paraId="384B717A">
            <w:pPr>
              <w:adjustRightInd w:val="0"/>
              <w:snapToGrid w:val="0"/>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（安全环保工程师）</w:t>
            </w:r>
          </w:p>
        </w:tc>
        <w:tc>
          <w:tcPr>
            <w:tcW w:w="1695" w:type="pct"/>
            <w:noWrap w:val="0"/>
            <w:vAlign w:val="center"/>
          </w:tcPr>
          <w:p w14:paraId="5E36DB65">
            <w:pPr>
              <w:spacing w:line="400" w:lineRule="exact"/>
              <w:jc w:val="center"/>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val="en-US" w:eastAsia="zh-CN"/>
              </w:rPr>
              <w:t>1</w:t>
            </w:r>
          </w:p>
        </w:tc>
        <w:tc>
          <w:tcPr>
            <w:tcW w:w="1776" w:type="pct"/>
            <w:noWrap w:val="0"/>
            <w:vAlign w:val="center"/>
          </w:tcPr>
          <w:p w14:paraId="7EDC7FD5">
            <w:pPr>
              <w:adjustRightInd w:val="0"/>
              <w:snapToGrid w:val="0"/>
              <w:spacing w:line="400" w:lineRule="exact"/>
              <w:rPr>
                <w:rFonts w:ascii="Times New Roman" w:hAnsi="Times New Roman"/>
                <w:color w:val="auto"/>
                <w:szCs w:val="21"/>
                <w:highlight w:val="none"/>
              </w:rPr>
            </w:pPr>
            <w:r>
              <w:rPr>
                <w:rFonts w:ascii="Times New Roman" w:hAnsi="Times New Roman"/>
                <w:color w:val="auto"/>
                <w:szCs w:val="24"/>
                <w:highlight w:val="none"/>
              </w:rPr>
              <w:t>公路工程相关专业工程师及以上职称。</w:t>
            </w:r>
          </w:p>
        </w:tc>
      </w:tr>
      <w:tr w14:paraId="684717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63" w:hRule="atLeast"/>
          <w:jc w:val="center"/>
        </w:trPr>
        <w:tc>
          <w:tcPr>
            <w:tcW w:w="1528" w:type="pct"/>
            <w:noWrap w:val="0"/>
            <w:vAlign w:val="center"/>
          </w:tcPr>
          <w:p w14:paraId="5F733879">
            <w:pPr>
              <w:adjustRightInd w:val="0"/>
              <w:snapToGrid w:val="0"/>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道路工程师兼</w:t>
            </w:r>
          </w:p>
          <w:p w14:paraId="1248F762">
            <w:pPr>
              <w:adjustRightInd w:val="0"/>
              <w:snapToGrid w:val="0"/>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（安全环保工程师）</w:t>
            </w:r>
          </w:p>
        </w:tc>
        <w:tc>
          <w:tcPr>
            <w:tcW w:w="1695" w:type="pct"/>
            <w:noWrap w:val="0"/>
            <w:vAlign w:val="center"/>
          </w:tcPr>
          <w:p w14:paraId="15E75552">
            <w:pPr>
              <w:spacing w:line="40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p>
        </w:tc>
        <w:tc>
          <w:tcPr>
            <w:tcW w:w="1776" w:type="pct"/>
            <w:noWrap w:val="0"/>
            <w:vAlign w:val="center"/>
          </w:tcPr>
          <w:p w14:paraId="3F76814D">
            <w:pPr>
              <w:adjustRightInd w:val="0"/>
              <w:snapToGrid w:val="0"/>
              <w:spacing w:line="400" w:lineRule="exact"/>
              <w:rPr>
                <w:rFonts w:ascii="Times New Roman" w:hAnsi="Times New Roman"/>
                <w:color w:val="auto"/>
                <w:szCs w:val="21"/>
                <w:highlight w:val="none"/>
              </w:rPr>
            </w:pPr>
            <w:r>
              <w:rPr>
                <w:rFonts w:ascii="Times New Roman" w:hAnsi="Times New Roman"/>
                <w:color w:val="auto"/>
                <w:szCs w:val="24"/>
                <w:highlight w:val="none"/>
              </w:rPr>
              <w:t>公路工程相关专业工程师及以上职称。</w:t>
            </w:r>
          </w:p>
        </w:tc>
      </w:tr>
      <w:tr w14:paraId="48C3F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528" w:type="pct"/>
            <w:noWrap w:val="0"/>
            <w:vAlign w:val="center"/>
          </w:tcPr>
          <w:p w14:paraId="2F0DDF85">
            <w:pPr>
              <w:spacing w:line="400" w:lineRule="exact"/>
              <w:ind w:left="-117" w:leftChars="-53" w:right="-119" w:rightChars="-54"/>
              <w:jc w:val="center"/>
              <w:rPr>
                <w:rFonts w:ascii="Times New Roman" w:hAnsi="Times New Roman"/>
                <w:color w:val="auto"/>
                <w:szCs w:val="21"/>
                <w:highlight w:val="none"/>
              </w:rPr>
            </w:pPr>
            <w:r>
              <w:rPr>
                <w:rFonts w:ascii="Times New Roman" w:hAnsi="Times New Roman"/>
                <w:color w:val="auto"/>
                <w:szCs w:val="21"/>
                <w:highlight w:val="none"/>
              </w:rPr>
              <w:t>质检工程师</w:t>
            </w:r>
          </w:p>
        </w:tc>
        <w:tc>
          <w:tcPr>
            <w:tcW w:w="1695" w:type="pct"/>
            <w:noWrap w:val="0"/>
            <w:vAlign w:val="center"/>
          </w:tcPr>
          <w:p w14:paraId="635CD0AD">
            <w:pPr>
              <w:adjustRightInd w:val="0"/>
              <w:snapToGrid w:val="0"/>
              <w:spacing w:line="40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p>
        </w:tc>
        <w:tc>
          <w:tcPr>
            <w:tcW w:w="1776" w:type="pct"/>
            <w:noWrap w:val="0"/>
            <w:vAlign w:val="center"/>
          </w:tcPr>
          <w:p w14:paraId="4966AC7F">
            <w:pPr>
              <w:adjustRightInd w:val="0"/>
              <w:snapToGrid w:val="0"/>
              <w:spacing w:line="400" w:lineRule="exact"/>
              <w:rPr>
                <w:rFonts w:ascii="Times New Roman" w:hAnsi="Times New Roman"/>
                <w:color w:val="auto"/>
                <w:szCs w:val="24"/>
                <w:highlight w:val="none"/>
              </w:rPr>
            </w:pPr>
            <w:r>
              <w:rPr>
                <w:rFonts w:ascii="Times New Roman" w:hAnsi="Times New Roman"/>
                <w:color w:val="auto"/>
                <w:szCs w:val="24"/>
                <w:highlight w:val="none"/>
              </w:rPr>
              <w:t>公路工程相关专业工程师及以上职称。</w:t>
            </w:r>
          </w:p>
        </w:tc>
      </w:tr>
      <w:tr w14:paraId="1C942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528" w:type="pct"/>
            <w:noWrap w:val="0"/>
            <w:vAlign w:val="center"/>
          </w:tcPr>
          <w:p w14:paraId="38C151C5">
            <w:pPr>
              <w:spacing w:line="400" w:lineRule="exact"/>
              <w:ind w:left="-117" w:leftChars="-53" w:right="-119" w:rightChars="-54"/>
              <w:jc w:val="center"/>
              <w:rPr>
                <w:rFonts w:ascii="Times New Roman" w:hAnsi="Times New Roman"/>
                <w:color w:val="auto"/>
                <w:szCs w:val="21"/>
                <w:highlight w:val="none"/>
              </w:rPr>
            </w:pPr>
            <w:r>
              <w:rPr>
                <w:rFonts w:ascii="Times New Roman" w:hAnsi="Times New Roman"/>
                <w:color w:val="auto"/>
                <w:szCs w:val="21"/>
                <w:highlight w:val="none"/>
              </w:rPr>
              <w:t>专职安全员</w:t>
            </w:r>
          </w:p>
        </w:tc>
        <w:tc>
          <w:tcPr>
            <w:tcW w:w="1695" w:type="pct"/>
            <w:noWrap w:val="0"/>
            <w:vAlign w:val="center"/>
          </w:tcPr>
          <w:p w14:paraId="467EC37B">
            <w:pPr>
              <w:spacing w:line="400" w:lineRule="exact"/>
              <w:jc w:val="center"/>
              <w:rPr>
                <w:rFonts w:hint="eastAsia" w:ascii="Times New Roman" w:hAnsi="Times New Roman"/>
                <w:bCs/>
                <w:color w:val="auto"/>
                <w:szCs w:val="21"/>
                <w:highlight w:val="none"/>
              </w:rPr>
            </w:pPr>
            <w:r>
              <w:rPr>
                <w:rFonts w:hint="eastAsia" w:ascii="Times New Roman" w:hAnsi="Times New Roman"/>
                <w:bCs/>
                <w:color w:val="auto"/>
                <w:szCs w:val="21"/>
                <w:highlight w:val="none"/>
              </w:rPr>
              <w:t>1</w:t>
            </w:r>
          </w:p>
        </w:tc>
        <w:tc>
          <w:tcPr>
            <w:tcW w:w="1776" w:type="pct"/>
            <w:noWrap w:val="0"/>
            <w:vAlign w:val="center"/>
          </w:tcPr>
          <w:p w14:paraId="750CDD96">
            <w:pPr>
              <w:adjustRightInd w:val="0"/>
              <w:snapToGrid w:val="0"/>
              <w:spacing w:line="400" w:lineRule="exact"/>
              <w:rPr>
                <w:rFonts w:ascii="Times New Roman" w:hAnsi="Times New Roman"/>
                <w:color w:val="auto"/>
                <w:szCs w:val="21"/>
                <w:highlight w:val="none"/>
              </w:rPr>
            </w:pPr>
            <w:r>
              <w:rPr>
                <w:rFonts w:ascii="Times New Roman" w:hAnsi="Times New Roman"/>
                <w:color w:val="auto"/>
                <w:szCs w:val="24"/>
                <w:highlight w:val="none"/>
              </w:rPr>
              <w:t>持有安全生产考核合格证书(C类)。</w:t>
            </w:r>
          </w:p>
        </w:tc>
      </w:tr>
      <w:bookmarkEnd w:id="134"/>
    </w:tbl>
    <w:p w14:paraId="011C387B">
      <w:pPr>
        <w:pStyle w:val="48"/>
        <w:wordWrap w:val="0"/>
        <w:adjustRightInd w:val="0"/>
        <w:snapToGrid w:val="0"/>
        <w:spacing w:line="400" w:lineRule="atLeast"/>
        <w:ind w:firstLine="360"/>
        <w:rPr>
          <w:rFonts w:ascii="Times New Roman" w:hAnsi="Times New Roman"/>
          <w:b/>
          <w:color w:val="auto"/>
          <w:kern w:val="0"/>
          <w:sz w:val="18"/>
          <w:szCs w:val="18"/>
          <w:highlight w:val="none"/>
        </w:rPr>
      </w:pPr>
      <w:r>
        <w:rPr>
          <w:rFonts w:ascii="Times New Roman" w:hAnsi="Times New Roman"/>
          <w:color w:val="auto"/>
          <w:sz w:val="18"/>
          <w:szCs w:val="18"/>
          <w:highlight w:val="none"/>
        </w:rPr>
        <w:t>注：1.</w:t>
      </w:r>
      <w:r>
        <w:rPr>
          <w:rFonts w:ascii="Times New Roman" w:hAnsi="Times New Roman"/>
          <w:b/>
          <w:color w:val="auto"/>
          <w:kern w:val="0"/>
          <w:sz w:val="18"/>
          <w:szCs w:val="18"/>
          <w:highlight w:val="none"/>
        </w:rPr>
        <w:t>以上所列主要管理人员和技术人员为招标人将在发出</w:t>
      </w:r>
      <w:r>
        <w:rPr>
          <w:rFonts w:ascii="Times New Roman" w:hAnsi="Times New Roman"/>
          <w:b/>
          <w:color w:val="auto"/>
          <w:sz w:val="18"/>
          <w:szCs w:val="18"/>
          <w:highlight w:val="none"/>
        </w:rPr>
        <w:t>中标通知书之后，合同谈判之前，</w:t>
      </w:r>
      <w:r>
        <w:rPr>
          <w:rFonts w:ascii="Times New Roman" w:hAnsi="Times New Roman"/>
          <w:b/>
          <w:color w:val="auto"/>
          <w:kern w:val="0"/>
          <w:sz w:val="18"/>
          <w:szCs w:val="18"/>
          <w:highlight w:val="none"/>
        </w:rPr>
        <w:t xml:space="preserve">所要求填报的最低标准。如人员不能满足实际工程施工需要，承包人应无条件的增加相关人员，并自行承担相关费用。 </w:t>
      </w:r>
    </w:p>
    <w:p w14:paraId="1FC35DBD">
      <w:pPr>
        <w:pStyle w:val="48"/>
        <w:wordWrap w:val="0"/>
        <w:adjustRightInd w:val="0"/>
        <w:snapToGrid w:val="0"/>
        <w:spacing w:line="400" w:lineRule="atLeast"/>
        <w:ind w:firstLine="360" w:firstLineChars="200"/>
        <w:rPr>
          <w:rFonts w:ascii="Times New Roman" w:hAnsi="Times New Roman"/>
          <w:b/>
          <w:color w:val="auto"/>
          <w:sz w:val="18"/>
          <w:szCs w:val="18"/>
          <w:highlight w:val="none"/>
        </w:rPr>
      </w:pPr>
      <w:r>
        <w:rPr>
          <w:rFonts w:ascii="Times New Roman" w:hAnsi="Times New Roman"/>
          <w:color w:val="auto"/>
          <w:sz w:val="18"/>
          <w:szCs w:val="18"/>
          <w:highlight w:val="none"/>
        </w:rPr>
        <w:t>2.</w:t>
      </w:r>
      <w:r>
        <w:rPr>
          <w:rFonts w:ascii="Times New Roman" w:hAnsi="Times New Roman"/>
          <w:b/>
          <w:color w:val="auto"/>
          <w:sz w:val="18"/>
          <w:szCs w:val="18"/>
          <w:highlight w:val="none"/>
        </w:rPr>
        <w:t>项目经理和项目总工及以上所列主要管理人员和技术人员在签订合同之前，须记录在“新疆维吾尔自治区公路建设市场信用信息管理新系统”（</w:t>
      </w:r>
      <w:r>
        <w:rPr>
          <w:color w:val="auto"/>
          <w:highlight w:val="none"/>
        </w:rPr>
        <w:t xml:space="preserve"> </w:t>
      </w:r>
      <w:r>
        <w:rPr>
          <w:rFonts w:ascii="Times New Roman" w:hAnsi="Times New Roman"/>
          <w:b/>
          <w:color w:val="auto"/>
          <w:sz w:val="18"/>
          <w:szCs w:val="18"/>
          <w:highlight w:val="none"/>
        </w:rPr>
        <w:t>https://credit.xjjt.gov.cn:9399/）中。</w:t>
      </w:r>
    </w:p>
    <w:p w14:paraId="774A34DB">
      <w:pPr>
        <w:widowControl/>
        <w:kinsoku w:val="0"/>
        <w:autoSpaceDE w:val="0"/>
        <w:autoSpaceDN w:val="0"/>
        <w:adjustRightInd w:val="0"/>
        <w:snapToGrid w:val="0"/>
        <w:spacing w:line="440" w:lineRule="exact"/>
        <w:ind w:firstLine="360" w:firstLineChars="200"/>
        <w:textAlignment w:val="baseline"/>
        <w:rPr>
          <w:rFonts w:hint="eastAsia" w:ascii="宋体" w:hAnsi="宋体" w:cs="宋体"/>
          <w:color w:val="auto"/>
          <w:sz w:val="24"/>
          <w:szCs w:val="24"/>
          <w:highlight w:val="none"/>
        </w:rPr>
      </w:pPr>
      <w:r>
        <w:rPr>
          <w:rFonts w:ascii="Times New Roman" w:hAnsi="Times New Roman"/>
          <w:color w:val="auto"/>
          <w:sz w:val="18"/>
          <w:szCs w:val="18"/>
          <w:highlight w:val="none"/>
        </w:rPr>
        <w:t>3.按《安全生产法》规定配备安全生产管理人员。</w:t>
      </w:r>
    </w:p>
    <w:p w14:paraId="2E9E2FF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0FEE459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53911FDC">
      <w:pPr>
        <w:widowControl/>
        <w:kinsoku w:val="0"/>
        <w:autoSpaceDE w:val="0"/>
        <w:autoSpaceDN w:val="0"/>
        <w:adjustRightInd w:val="0"/>
        <w:snapToGrid w:val="0"/>
        <w:spacing w:line="440" w:lineRule="exact"/>
        <w:ind w:firstLine="482" w:firstLineChars="200"/>
        <w:textAlignment w:val="baseline"/>
        <w:outlineLvl w:val="2"/>
        <w:rPr>
          <w:rFonts w:hint="eastAsia" w:ascii="宋体" w:hAnsi="宋体" w:cs="宋体"/>
          <w:color w:val="auto"/>
          <w:sz w:val="24"/>
          <w:szCs w:val="24"/>
          <w:highlight w:val="none"/>
        </w:rPr>
      </w:pPr>
      <w:bookmarkStart w:id="135" w:name="bookmark63"/>
      <w:bookmarkEnd w:id="135"/>
      <w:bookmarkStart w:id="136" w:name="bookmark64"/>
      <w:bookmarkEnd w:id="136"/>
      <w:r>
        <w:rPr>
          <w:rFonts w:hint="eastAsia" w:ascii="宋体" w:hAnsi="宋体" w:cs="宋体"/>
          <w:b/>
          <w:bCs/>
          <w:color w:val="auto"/>
          <w:sz w:val="24"/>
          <w:szCs w:val="24"/>
          <w:highlight w:val="none"/>
        </w:rPr>
        <w:t>附件四主要机械设备和试验检测设备</w:t>
      </w:r>
    </w:p>
    <w:tbl>
      <w:tblPr>
        <w:tblStyle w:val="19"/>
        <w:tblW w:w="7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17"/>
        <w:gridCol w:w="2088"/>
        <w:gridCol w:w="640"/>
        <w:gridCol w:w="1451"/>
      </w:tblGrid>
      <w:tr w14:paraId="0213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34" w:type="dxa"/>
            <w:noWrap w:val="0"/>
            <w:vAlign w:val="center"/>
          </w:tcPr>
          <w:p w14:paraId="4F42390F">
            <w:pPr>
              <w:spacing w:line="240" w:lineRule="exact"/>
              <w:jc w:val="center"/>
              <w:rPr>
                <w:rFonts w:ascii="Times New Roman" w:hAnsi="Times New Roman"/>
                <w:color w:val="auto"/>
                <w:szCs w:val="21"/>
                <w:highlight w:val="none"/>
              </w:rPr>
            </w:pPr>
            <w:bookmarkStart w:id="137" w:name="_Hlk196346218"/>
            <w:r>
              <w:rPr>
                <w:rFonts w:ascii="Times New Roman" w:hAnsi="Times New Roman"/>
                <w:color w:val="auto"/>
                <w:szCs w:val="21"/>
                <w:highlight w:val="none"/>
              </w:rPr>
              <w:t>序号</w:t>
            </w:r>
          </w:p>
        </w:tc>
        <w:tc>
          <w:tcPr>
            <w:tcW w:w="2917" w:type="dxa"/>
            <w:noWrap w:val="0"/>
            <w:vAlign w:val="center"/>
          </w:tcPr>
          <w:p w14:paraId="233EB91B">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设备名称</w:t>
            </w:r>
          </w:p>
        </w:tc>
        <w:tc>
          <w:tcPr>
            <w:tcW w:w="2088" w:type="dxa"/>
            <w:noWrap w:val="0"/>
            <w:vAlign w:val="center"/>
          </w:tcPr>
          <w:p w14:paraId="24C9C8F9">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规格、功率及容量</w:t>
            </w:r>
          </w:p>
        </w:tc>
        <w:tc>
          <w:tcPr>
            <w:tcW w:w="640" w:type="dxa"/>
            <w:noWrap w:val="0"/>
            <w:vAlign w:val="center"/>
          </w:tcPr>
          <w:p w14:paraId="2E1A7124">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单位</w:t>
            </w:r>
          </w:p>
        </w:tc>
        <w:tc>
          <w:tcPr>
            <w:tcW w:w="1451" w:type="dxa"/>
            <w:noWrap w:val="0"/>
            <w:vAlign w:val="center"/>
          </w:tcPr>
          <w:p w14:paraId="7253A095">
            <w:pPr>
              <w:wordWrap w:val="0"/>
              <w:adjustRightInd w:val="0"/>
              <w:snapToGrid w:val="0"/>
              <w:spacing w:line="40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数量</w:t>
            </w:r>
          </w:p>
        </w:tc>
      </w:tr>
      <w:tr w14:paraId="6DD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676A2F7F">
            <w:pPr>
              <w:adjustRightInd w:val="0"/>
              <w:snapToGrid w:val="0"/>
              <w:spacing w:line="24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p>
        </w:tc>
        <w:tc>
          <w:tcPr>
            <w:tcW w:w="2917" w:type="dxa"/>
            <w:noWrap w:val="0"/>
            <w:vAlign w:val="center"/>
          </w:tcPr>
          <w:p w14:paraId="7DFB53B9">
            <w:pPr>
              <w:pStyle w:val="48"/>
              <w:wordWrap w:val="0"/>
              <w:jc w:val="left"/>
              <w:rPr>
                <w:rFonts w:hint="eastAsia" w:ascii="Times New Roman" w:hAnsi="Times New Roman"/>
                <w:color w:val="auto"/>
                <w:szCs w:val="21"/>
                <w:highlight w:val="none"/>
              </w:rPr>
            </w:pPr>
            <w:r>
              <w:rPr>
                <w:rStyle w:val="21"/>
                <w:rFonts w:hint="eastAsia" w:ascii="宋体" w:hAnsi="宋体" w:eastAsia="宋体" w:cs="Times New Roman"/>
                <w:color w:val="auto"/>
                <w:highlight w:val="none"/>
              </w:rPr>
              <w:t>汽车式起重机</w:t>
            </w:r>
          </w:p>
        </w:tc>
        <w:tc>
          <w:tcPr>
            <w:tcW w:w="2088" w:type="dxa"/>
            <w:noWrap w:val="0"/>
            <w:vAlign w:val="center"/>
          </w:tcPr>
          <w:p w14:paraId="1574776A">
            <w:pPr>
              <w:pStyle w:val="48"/>
              <w:wordWrap w:val="0"/>
              <w:jc w:val="center"/>
              <w:rPr>
                <w:rFonts w:ascii="Times New Roman" w:hAnsi="Times New Roman"/>
                <w:color w:val="auto"/>
                <w:szCs w:val="21"/>
                <w:highlight w:val="none"/>
              </w:rPr>
            </w:pPr>
            <w:r>
              <w:rPr>
                <w:rStyle w:val="21"/>
                <w:rFonts w:ascii="宋体" w:hAnsi="宋体" w:eastAsia="宋体" w:cs="Times New Roman"/>
                <w:color w:val="auto"/>
                <w:highlight w:val="none"/>
              </w:rPr>
              <w:t>8</w:t>
            </w:r>
            <w:r>
              <w:rPr>
                <w:rStyle w:val="21"/>
                <w:rFonts w:hint="eastAsia" w:ascii="宋体" w:hAnsi="宋体" w:eastAsia="宋体" w:cs="Times New Roman"/>
                <w:color w:val="auto"/>
                <w:highlight w:val="none"/>
              </w:rPr>
              <w:t>t以内</w:t>
            </w:r>
          </w:p>
        </w:tc>
        <w:tc>
          <w:tcPr>
            <w:tcW w:w="640" w:type="dxa"/>
            <w:noWrap w:val="0"/>
            <w:vAlign w:val="center"/>
          </w:tcPr>
          <w:p w14:paraId="372359B8">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台</w:t>
            </w:r>
          </w:p>
        </w:tc>
        <w:tc>
          <w:tcPr>
            <w:tcW w:w="1451" w:type="dxa"/>
            <w:noWrap w:val="0"/>
            <w:vAlign w:val="center"/>
          </w:tcPr>
          <w:p w14:paraId="15680582">
            <w:pPr>
              <w:adjustRightInd w:val="0"/>
              <w:snapToGrid w:val="0"/>
              <w:spacing w:line="24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p>
        </w:tc>
      </w:tr>
      <w:tr w14:paraId="7BCC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6B8E0EA3">
            <w:pPr>
              <w:adjustRightInd w:val="0"/>
              <w:snapToGrid w:val="0"/>
              <w:spacing w:line="24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2</w:t>
            </w:r>
          </w:p>
        </w:tc>
        <w:tc>
          <w:tcPr>
            <w:tcW w:w="2917" w:type="dxa"/>
            <w:noWrap w:val="0"/>
            <w:vAlign w:val="center"/>
          </w:tcPr>
          <w:p w14:paraId="171657C9">
            <w:pPr>
              <w:pStyle w:val="48"/>
              <w:wordWrap w:val="0"/>
              <w:jc w:val="left"/>
              <w:rPr>
                <w:rFonts w:ascii="Times New Roman" w:hAnsi="Times New Roman"/>
                <w:color w:val="auto"/>
                <w:szCs w:val="21"/>
                <w:highlight w:val="none"/>
              </w:rPr>
            </w:pPr>
            <w:r>
              <w:rPr>
                <w:rStyle w:val="21"/>
                <w:rFonts w:hint="eastAsia" w:ascii="宋体" w:hAnsi="宋体" w:eastAsia="宋体" w:cs="Times New Roman"/>
                <w:color w:val="auto"/>
                <w:highlight w:val="none"/>
              </w:rPr>
              <w:t>载货汽车</w:t>
            </w:r>
          </w:p>
        </w:tc>
        <w:tc>
          <w:tcPr>
            <w:tcW w:w="2088" w:type="dxa"/>
            <w:noWrap w:val="0"/>
            <w:vAlign w:val="center"/>
          </w:tcPr>
          <w:p w14:paraId="30FAE3B3">
            <w:pPr>
              <w:pStyle w:val="48"/>
              <w:wordWrap w:val="0"/>
              <w:jc w:val="center"/>
              <w:rPr>
                <w:rFonts w:ascii="Times New Roman" w:hAnsi="Times New Roman"/>
                <w:color w:val="auto"/>
                <w:szCs w:val="21"/>
                <w:highlight w:val="none"/>
              </w:rPr>
            </w:pPr>
            <w:r>
              <w:rPr>
                <w:rStyle w:val="21"/>
                <w:rFonts w:ascii="宋体" w:hAnsi="宋体" w:eastAsia="宋体" w:cs="Times New Roman"/>
                <w:color w:val="auto"/>
                <w:highlight w:val="none"/>
              </w:rPr>
              <w:t>10</w:t>
            </w:r>
            <w:r>
              <w:rPr>
                <w:rStyle w:val="21"/>
                <w:rFonts w:hint="eastAsia" w:ascii="宋体" w:hAnsi="宋体" w:eastAsia="宋体" w:cs="Times New Roman"/>
                <w:color w:val="auto"/>
                <w:highlight w:val="none"/>
              </w:rPr>
              <w:t>t以内</w:t>
            </w:r>
          </w:p>
        </w:tc>
        <w:tc>
          <w:tcPr>
            <w:tcW w:w="640" w:type="dxa"/>
            <w:noWrap w:val="0"/>
            <w:vAlign w:val="center"/>
          </w:tcPr>
          <w:p w14:paraId="4C67E17E">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台</w:t>
            </w:r>
          </w:p>
        </w:tc>
        <w:tc>
          <w:tcPr>
            <w:tcW w:w="1451" w:type="dxa"/>
            <w:noWrap w:val="0"/>
            <w:vAlign w:val="center"/>
          </w:tcPr>
          <w:p w14:paraId="2ADCBE94">
            <w:pPr>
              <w:adjustRightInd w:val="0"/>
              <w:snapToGrid w:val="0"/>
              <w:spacing w:line="240" w:lineRule="exact"/>
              <w:jc w:val="center"/>
              <w:rPr>
                <w:rFonts w:ascii="Times New Roman" w:hAnsi="Times New Roman"/>
                <w:color w:val="auto"/>
                <w:szCs w:val="21"/>
                <w:highlight w:val="none"/>
              </w:rPr>
            </w:pPr>
            <w:r>
              <w:rPr>
                <w:rFonts w:hint="eastAsia" w:ascii="Times New Roman" w:hAnsi="Times New Roman"/>
                <w:color w:val="auto"/>
                <w:szCs w:val="21"/>
                <w:highlight w:val="none"/>
              </w:rPr>
              <w:t>1</w:t>
            </w:r>
          </w:p>
        </w:tc>
      </w:tr>
      <w:tr w14:paraId="4C56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1DCF0FDA">
            <w:pPr>
              <w:adjustRightInd w:val="0"/>
              <w:snapToGrid w:val="0"/>
              <w:spacing w:line="240" w:lineRule="exact"/>
              <w:jc w:val="center"/>
              <w:rPr>
                <w:rFonts w:ascii="Times New Roman" w:hAnsi="Times New Roman"/>
                <w:color w:val="auto"/>
                <w:szCs w:val="21"/>
                <w:highlight w:val="none"/>
              </w:rPr>
            </w:pPr>
            <w:r>
              <w:rPr>
                <w:rFonts w:hint="eastAsia" w:ascii="Times New Roman" w:hAnsi="Times New Roman"/>
                <w:color w:val="auto"/>
                <w:szCs w:val="21"/>
                <w:highlight w:val="none"/>
              </w:rPr>
              <w:t>3</w:t>
            </w:r>
          </w:p>
        </w:tc>
        <w:tc>
          <w:tcPr>
            <w:tcW w:w="2917" w:type="dxa"/>
            <w:noWrap w:val="0"/>
            <w:vAlign w:val="center"/>
          </w:tcPr>
          <w:p w14:paraId="743FAAF0">
            <w:pPr>
              <w:pStyle w:val="48"/>
              <w:wordWrap w:val="0"/>
              <w:jc w:val="left"/>
              <w:rPr>
                <w:rFonts w:ascii="Times New Roman" w:hAnsi="Times New Roman"/>
                <w:color w:val="auto"/>
                <w:szCs w:val="21"/>
                <w:highlight w:val="none"/>
              </w:rPr>
            </w:pPr>
            <w:r>
              <w:rPr>
                <w:rStyle w:val="21"/>
                <w:rFonts w:hint="eastAsia" w:ascii="Calibri" w:hAnsi="Calibri" w:eastAsia="宋体" w:cs="Times New Roman"/>
                <w:color w:val="auto"/>
                <w:highlight w:val="none"/>
              </w:rPr>
              <w:t>交流电弧焊机</w:t>
            </w:r>
          </w:p>
        </w:tc>
        <w:tc>
          <w:tcPr>
            <w:tcW w:w="2088" w:type="dxa"/>
            <w:noWrap w:val="0"/>
            <w:vAlign w:val="center"/>
          </w:tcPr>
          <w:p w14:paraId="731E57B4">
            <w:pPr>
              <w:pStyle w:val="48"/>
              <w:wordWrap w:val="0"/>
              <w:jc w:val="center"/>
              <w:rPr>
                <w:rFonts w:hint="eastAsia" w:ascii="Times New Roman" w:hAnsi="Times New Roman"/>
                <w:color w:val="auto"/>
                <w:szCs w:val="21"/>
                <w:highlight w:val="none"/>
              </w:rPr>
            </w:pPr>
            <w:r>
              <w:rPr>
                <w:rStyle w:val="21"/>
                <w:rFonts w:hint="eastAsia" w:ascii="宋体" w:hAnsi="宋体" w:eastAsia="宋体" w:cs="Times New Roman"/>
                <w:color w:val="auto"/>
                <w:highlight w:val="none"/>
              </w:rPr>
              <w:t>32kV·A以内</w:t>
            </w:r>
          </w:p>
        </w:tc>
        <w:tc>
          <w:tcPr>
            <w:tcW w:w="640" w:type="dxa"/>
            <w:noWrap w:val="0"/>
            <w:vAlign w:val="center"/>
          </w:tcPr>
          <w:p w14:paraId="3A707B9D">
            <w:pPr>
              <w:adjustRightInd w:val="0"/>
              <w:snapToGrid w:val="0"/>
              <w:spacing w:line="24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台</w:t>
            </w:r>
          </w:p>
        </w:tc>
        <w:tc>
          <w:tcPr>
            <w:tcW w:w="1451" w:type="dxa"/>
            <w:noWrap w:val="0"/>
            <w:vAlign w:val="center"/>
          </w:tcPr>
          <w:p w14:paraId="31C3F815">
            <w:pPr>
              <w:adjustRightInd w:val="0"/>
              <w:snapToGrid w:val="0"/>
              <w:spacing w:line="240" w:lineRule="exact"/>
              <w:jc w:val="center"/>
              <w:rPr>
                <w:rFonts w:ascii="Times New Roman" w:hAnsi="Times New Roman"/>
                <w:color w:val="auto"/>
                <w:szCs w:val="21"/>
                <w:highlight w:val="none"/>
              </w:rPr>
            </w:pPr>
            <w:r>
              <w:rPr>
                <w:rFonts w:hint="eastAsia" w:ascii="Times New Roman" w:hAnsi="Times New Roman"/>
                <w:color w:val="auto"/>
                <w:szCs w:val="21"/>
                <w:highlight w:val="none"/>
              </w:rPr>
              <w:t>1</w:t>
            </w:r>
          </w:p>
        </w:tc>
      </w:tr>
      <w:tr w14:paraId="118A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5DC66492">
            <w:pPr>
              <w:adjustRightInd w:val="0"/>
              <w:snapToGrid w:val="0"/>
              <w:spacing w:line="24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4</w:t>
            </w:r>
          </w:p>
        </w:tc>
        <w:tc>
          <w:tcPr>
            <w:tcW w:w="2917" w:type="dxa"/>
            <w:noWrap w:val="0"/>
            <w:vAlign w:val="center"/>
          </w:tcPr>
          <w:p w14:paraId="5FA13F4B">
            <w:pPr>
              <w:pStyle w:val="48"/>
              <w:wordWrap w:val="0"/>
              <w:jc w:val="left"/>
              <w:rPr>
                <w:rFonts w:ascii="Times New Roman" w:hAnsi="Times New Roman"/>
                <w:color w:val="auto"/>
                <w:szCs w:val="21"/>
                <w:highlight w:val="none"/>
              </w:rPr>
            </w:pPr>
            <w:r>
              <w:rPr>
                <w:rStyle w:val="21"/>
                <w:rFonts w:hint="eastAsia" w:ascii="Calibri" w:hAnsi="Calibri" w:eastAsia="宋体" w:cs="Times New Roman"/>
                <w:color w:val="auto"/>
                <w:highlight w:val="none"/>
              </w:rPr>
              <w:t>机动空压机</w:t>
            </w:r>
          </w:p>
        </w:tc>
        <w:tc>
          <w:tcPr>
            <w:tcW w:w="2088" w:type="dxa"/>
            <w:noWrap w:val="0"/>
            <w:vAlign w:val="center"/>
          </w:tcPr>
          <w:p w14:paraId="5FD967B1">
            <w:pPr>
              <w:pStyle w:val="48"/>
              <w:wordWrap w:val="0"/>
              <w:jc w:val="center"/>
              <w:rPr>
                <w:rFonts w:ascii="Times New Roman" w:hAnsi="Times New Roman"/>
                <w:color w:val="auto"/>
                <w:szCs w:val="21"/>
                <w:highlight w:val="none"/>
              </w:rPr>
            </w:pPr>
            <w:r>
              <w:rPr>
                <w:rStyle w:val="21"/>
                <w:rFonts w:hint="eastAsia" w:ascii="宋体" w:hAnsi="宋体" w:eastAsia="宋体" w:cs="Times New Roman"/>
                <w:color w:val="auto"/>
                <w:highlight w:val="none"/>
              </w:rPr>
              <w:t>3m</w:t>
            </w:r>
            <w:r>
              <w:rPr>
                <w:rStyle w:val="21"/>
                <w:rFonts w:hint="eastAsia" w:ascii="宋体" w:hAnsi="宋体" w:eastAsia="宋体" w:cs="Times New Roman"/>
                <w:color w:val="auto"/>
                <w:highlight w:val="none"/>
                <w:vertAlign w:val="superscript"/>
              </w:rPr>
              <w:t>3</w:t>
            </w:r>
            <w:r>
              <w:rPr>
                <w:rStyle w:val="21"/>
                <w:rFonts w:hint="eastAsia" w:ascii="宋体" w:hAnsi="宋体" w:eastAsia="宋体" w:cs="Times New Roman"/>
                <w:color w:val="auto"/>
                <w:highlight w:val="none"/>
              </w:rPr>
              <w:t>/min内</w:t>
            </w:r>
          </w:p>
        </w:tc>
        <w:tc>
          <w:tcPr>
            <w:tcW w:w="640" w:type="dxa"/>
            <w:noWrap w:val="0"/>
            <w:vAlign w:val="center"/>
          </w:tcPr>
          <w:p w14:paraId="62073C4A">
            <w:pPr>
              <w:adjustRightInd w:val="0"/>
              <w:snapToGrid w:val="0"/>
              <w:spacing w:line="240" w:lineRule="exact"/>
              <w:jc w:val="center"/>
              <w:rPr>
                <w:rFonts w:hint="eastAsia" w:ascii="Times New Roman" w:hAnsi="Times New Roman"/>
                <w:color w:val="auto"/>
                <w:kern w:val="2"/>
                <w:sz w:val="21"/>
                <w:szCs w:val="21"/>
                <w:highlight w:val="none"/>
                <w:lang w:val="en-US" w:eastAsia="zh-CN" w:bidi="ar-SA"/>
              </w:rPr>
            </w:pPr>
            <w:r>
              <w:rPr>
                <w:rFonts w:hint="eastAsia" w:ascii="Times New Roman" w:hAnsi="Times New Roman"/>
                <w:color w:val="auto"/>
                <w:szCs w:val="21"/>
                <w:highlight w:val="none"/>
              </w:rPr>
              <w:t>台</w:t>
            </w:r>
          </w:p>
        </w:tc>
        <w:tc>
          <w:tcPr>
            <w:tcW w:w="1451" w:type="dxa"/>
            <w:noWrap w:val="0"/>
            <w:vAlign w:val="center"/>
          </w:tcPr>
          <w:p w14:paraId="2514392C">
            <w:pPr>
              <w:adjustRightInd w:val="0"/>
              <w:snapToGrid w:val="0"/>
              <w:spacing w:line="240" w:lineRule="exact"/>
              <w:jc w:val="center"/>
              <w:rPr>
                <w:rFonts w:ascii="Times New Roman" w:hAnsi="Times New Roman"/>
                <w:color w:val="auto"/>
                <w:kern w:val="2"/>
                <w:sz w:val="21"/>
                <w:szCs w:val="21"/>
                <w:highlight w:val="none"/>
                <w:lang w:val="en-US" w:eastAsia="zh-CN" w:bidi="ar-SA"/>
              </w:rPr>
            </w:pPr>
            <w:r>
              <w:rPr>
                <w:rFonts w:hint="eastAsia" w:ascii="Times New Roman" w:hAnsi="Times New Roman"/>
                <w:color w:val="auto"/>
                <w:szCs w:val="21"/>
                <w:highlight w:val="none"/>
              </w:rPr>
              <w:t>1</w:t>
            </w:r>
          </w:p>
        </w:tc>
      </w:tr>
      <w:tr w14:paraId="4C76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6478E90F">
            <w:pPr>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试验检测设备</w:t>
            </w:r>
          </w:p>
        </w:tc>
        <w:tc>
          <w:tcPr>
            <w:tcW w:w="5005" w:type="dxa"/>
            <w:gridSpan w:val="2"/>
            <w:tcBorders>
              <w:top w:val="single" w:color="auto" w:sz="4" w:space="0"/>
              <w:left w:val="single" w:color="auto" w:sz="4" w:space="0"/>
              <w:bottom w:val="single" w:color="auto" w:sz="4" w:space="0"/>
              <w:right w:val="single" w:color="auto" w:sz="4" w:space="0"/>
            </w:tcBorders>
            <w:noWrap w:val="0"/>
            <w:vAlign w:val="center"/>
          </w:tcPr>
          <w:p w14:paraId="0F0C1EDA">
            <w:pPr>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应配备完善的试验、检测设备，以满足现场施工试验检测工作的需求。如所做的试验检测项目不能独立完成需进行外委试验，外委的检测机构应具有独立法人资格，公路工程相应试验室资质，持有营业执照或事业单位法人证书，并取得国家（省）技术监督局颁发的检测计量认证证书（即有CMA证章），计量认证证书内容和条目应包括相应或类似试验检测资格。试验检测费用由承包人承担；外委试验检测费用包含在投标报价中，招标人不</w:t>
            </w:r>
            <w:r>
              <w:rPr>
                <w:rFonts w:ascii="Times New Roman" w:hAnsi="Times New Roman"/>
                <w:bCs/>
                <w:color w:val="auto"/>
                <w:szCs w:val="21"/>
                <w:highlight w:val="none"/>
              </w:rPr>
              <w:t>另行支付。</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5AF385E1">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套</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44DDEC9A">
            <w:pPr>
              <w:adjustRightInd w:val="0"/>
              <w:snapToGrid w:val="0"/>
              <w:spacing w:line="240" w:lineRule="exact"/>
              <w:jc w:val="center"/>
              <w:rPr>
                <w:rFonts w:ascii="Times New Roman" w:hAnsi="Times New Roman"/>
                <w:color w:val="auto"/>
                <w:szCs w:val="21"/>
                <w:highlight w:val="none"/>
              </w:rPr>
            </w:pPr>
            <w:r>
              <w:rPr>
                <w:rFonts w:hint="eastAsia" w:ascii="Times New Roman" w:hAnsi="Times New Roman"/>
                <w:color w:val="auto"/>
                <w:szCs w:val="21"/>
                <w:highlight w:val="none"/>
              </w:rPr>
              <w:t>1</w:t>
            </w:r>
          </w:p>
        </w:tc>
      </w:tr>
      <w:bookmarkEnd w:id="137"/>
    </w:tbl>
    <w:p w14:paraId="4D8D107D">
      <w:pPr>
        <w:pStyle w:val="48"/>
        <w:adjustRightInd w:val="0"/>
        <w:snapToGrid w:val="0"/>
        <w:spacing w:line="360" w:lineRule="exact"/>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注：1.以上所列设备为招标人将在发出中标通知书之后，合同谈判之前，所要求填报的最低标准。如设备不能满足实际工程施工需要，承包人应无条件的增加相关设备，并自行承担相关费用。</w:t>
      </w:r>
    </w:p>
    <w:p w14:paraId="5DD98589">
      <w:pPr>
        <w:widowControl/>
        <w:kinsoku w:val="0"/>
        <w:autoSpaceDE w:val="0"/>
        <w:autoSpaceDN w:val="0"/>
        <w:adjustRightInd w:val="0"/>
        <w:snapToGrid w:val="0"/>
        <w:spacing w:line="440" w:lineRule="exact"/>
        <w:ind w:firstLine="360" w:firstLineChars="200"/>
        <w:textAlignment w:val="baseline"/>
        <w:rPr>
          <w:rFonts w:hint="eastAsia" w:ascii="宋体" w:hAnsi="宋体" w:cs="宋体"/>
          <w:color w:val="auto"/>
          <w:sz w:val="24"/>
          <w:szCs w:val="24"/>
          <w:highlight w:val="none"/>
        </w:rPr>
      </w:pPr>
      <w:r>
        <w:rPr>
          <w:rFonts w:hint="eastAsia" w:ascii="Times New Roman" w:hAnsi="Times New Roman"/>
          <w:color w:val="auto"/>
          <w:sz w:val="18"/>
          <w:szCs w:val="18"/>
          <w:highlight w:val="none"/>
        </w:rPr>
        <w:t>2</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上表中</w:t>
      </w:r>
      <w:r>
        <w:rPr>
          <w:rFonts w:ascii="Times New Roman" w:hAnsi="Times New Roman"/>
          <w:color w:val="auto"/>
          <w:sz w:val="18"/>
          <w:szCs w:val="18"/>
          <w:highlight w:val="none"/>
        </w:rPr>
        <w:t>所有设备应保证正常使用且技术状况良好。</w:t>
      </w:r>
    </w:p>
    <w:p w14:paraId="03BCF767">
      <w:pPr>
        <w:rPr>
          <w:rFonts w:hint="eastAsia" w:ascii="宋体" w:hAnsi="宋体" w:cs="宋体"/>
          <w:b/>
          <w:bCs/>
          <w:color w:val="auto"/>
          <w:sz w:val="24"/>
          <w:szCs w:val="24"/>
          <w:highlight w:val="none"/>
        </w:rPr>
      </w:pPr>
      <w:bookmarkStart w:id="138" w:name="bookmark65"/>
      <w:bookmarkEnd w:id="138"/>
      <w:bookmarkStart w:id="139" w:name="bookmark66"/>
      <w:bookmarkEnd w:id="139"/>
      <w:r>
        <w:rPr>
          <w:rFonts w:hint="eastAsia" w:ascii="宋体" w:hAnsi="宋体" w:cs="宋体"/>
          <w:b/>
          <w:bCs/>
          <w:color w:val="auto"/>
          <w:sz w:val="24"/>
          <w:szCs w:val="24"/>
          <w:highlight w:val="none"/>
        </w:rPr>
        <w:br w:type="page"/>
      </w:r>
    </w:p>
    <w:p w14:paraId="04187BD0">
      <w:pPr>
        <w:widowControl/>
        <w:kinsoku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附件五养护站点设施、设备清单（本项目不适用）</w:t>
      </w:r>
    </w:p>
    <w:tbl>
      <w:tblPr>
        <w:tblStyle w:val="19"/>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430"/>
        <w:gridCol w:w="1430"/>
        <w:gridCol w:w="1430"/>
        <w:gridCol w:w="1430"/>
        <w:gridCol w:w="1431"/>
        <w:gridCol w:w="878"/>
      </w:tblGrid>
      <w:tr w14:paraId="6AD0F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895" w:type="dxa"/>
            <w:gridSpan w:val="7"/>
            <w:noWrap w:val="0"/>
            <w:vAlign w:val="top"/>
          </w:tcPr>
          <w:p w14:paraId="501B8D0B">
            <w:pPr>
              <w:widowControl/>
              <w:kinsoku w:val="0"/>
              <w:autoSpaceDE w:val="0"/>
              <w:autoSpaceDN w:val="0"/>
              <w:adjustRightInd w:val="0"/>
              <w:snapToGrid w:val="0"/>
              <w:spacing w:line="440" w:lineRule="exact"/>
              <w:ind w:firstLine="480" w:firstLineChars="20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养护站点设施、设备清单（绩效部分）</w:t>
            </w:r>
          </w:p>
        </w:tc>
      </w:tr>
      <w:tr w14:paraId="51AAE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noWrap w:val="0"/>
            <w:vAlign w:val="top"/>
          </w:tcPr>
          <w:p w14:paraId="1D9F5CA8">
            <w:pPr>
              <w:widowControl/>
              <w:kinsoku w:val="0"/>
              <w:autoSpaceDE w:val="0"/>
              <w:autoSpaceDN w:val="0"/>
              <w:adjustRightInd w:val="0"/>
              <w:snapToGrid w:val="0"/>
              <w:spacing w:line="44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430" w:type="dxa"/>
            <w:noWrap w:val="0"/>
            <w:vAlign w:val="top"/>
          </w:tcPr>
          <w:p w14:paraId="51930E4D">
            <w:pPr>
              <w:widowControl/>
              <w:kinsoku w:val="0"/>
              <w:autoSpaceDE w:val="0"/>
              <w:autoSpaceDN w:val="0"/>
              <w:adjustRightInd w:val="0"/>
              <w:snapToGrid w:val="0"/>
              <w:spacing w:line="44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资产名称</w:t>
            </w:r>
          </w:p>
        </w:tc>
        <w:tc>
          <w:tcPr>
            <w:tcW w:w="1430" w:type="dxa"/>
            <w:noWrap w:val="0"/>
            <w:vAlign w:val="top"/>
          </w:tcPr>
          <w:p w14:paraId="0C3A61F9">
            <w:pPr>
              <w:widowControl/>
              <w:kinsoku w:val="0"/>
              <w:autoSpaceDE w:val="0"/>
              <w:autoSpaceDN w:val="0"/>
              <w:adjustRightInd w:val="0"/>
              <w:snapToGrid w:val="0"/>
              <w:spacing w:line="44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资产编码</w:t>
            </w:r>
          </w:p>
        </w:tc>
        <w:tc>
          <w:tcPr>
            <w:tcW w:w="1430" w:type="dxa"/>
            <w:noWrap w:val="0"/>
            <w:vAlign w:val="top"/>
          </w:tcPr>
          <w:p w14:paraId="6B7A7A60">
            <w:pPr>
              <w:widowControl/>
              <w:kinsoku w:val="0"/>
              <w:autoSpaceDE w:val="0"/>
              <w:autoSpaceDN w:val="0"/>
              <w:adjustRightInd w:val="0"/>
              <w:snapToGrid w:val="0"/>
              <w:spacing w:line="44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资产类型</w:t>
            </w:r>
          </w:p>
        </w:tc>
        <w:tc>
          <w:tcPr>
            <w:tcW w:w="1430" w:type="dxa"/>
            <w:noWrap w:val="0"/>
            <w:vAlign w:val="top"/>
          </w:tcPr>
          <w:p w14:paraId="6898B07A">
            <w:pPr>
              <w:widowControl/>
              <w:kinsoku w:val="0"/>
              <w:autoSpaceDE w:val="0"/>
              <w:autoSpaceDN w:val="0"/>
              <w:adjustRightInd w:val="0"/>
              <w:snapToGrid w:val="0"/>
              <w:spacing w:line="44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品牌型号</w:t>
            </w:r>
          </w:p>
        </w:tc>
        <w:tc>
          <w:tcPr>
            <w:tcW w:w="1431" w:type="dxa"/>
            <w:noWrap w:val="0"/>
            <w:vAlign w:val="top"/>
          </w:tcPr>
          <w:p w14:paraId="085D29F0">
            <w:pPr>
              <w:widowControl/>
              <w:kinsoku w:val="0"/>
              <w:autoSpaceDE w:val="0"/>
              <w:autoSpaceDN w:val="0"/>
              <w:adjustRightInd w:val="0"/>
              <w:snapToGrid w:val="0"/>
              <w:spacing w:line="44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使用单位</w:t>
            </w:r>
          </w:p>
        </w:tc>
        <w:tc>
          <w:tcPr>
            <w:tcW w:w="878" w:type="dxa"/>
            <w:noWrap w:val="0"/>
            <w:vAlign w:val="top"/>
          </w:tcPr>
          <w:p w14:paraId="392B28D4">
            <w:pPr>
              <w:widowControl/>
              <w:kinsoku w:val="0"/>
              <w:autoSpaceDE w:val="0"/>
              <w:autoSpaceDN w:val="0"/>
              <w:adjustRightInd w:val="0"/>
              <w:snapToGrid w:val="0"/>
              <w:spacing w:line="44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4E248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noWrap w:val="0"/>
            <w:vAlign w:val="top"/>
          </w:tcPr>
          <w:p w14:paraId="0F31DD8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554E5A5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62D761F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6DA3D30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0940689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36D3636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1FD9C02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581AC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06853EA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0ADA531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14A91F9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68C9A13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73C4FE9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29FD3C8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1B0FD85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13296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noWrap w:val="0"/>
            <w:vAlign w:val="top"/>
          </w:tcPr>
          <w:p w14:paraId="20B2018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01959C0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0B2DE0D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42043DD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510DBBC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466AB3A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23BDC39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7714C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0C54BA5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19A6B6C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32476E4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0BA9AE9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0CBA82E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6617FC8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189CD1A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3DC3F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noWrap w:val="0"/>
            <w:vAlign w:val="top"/>
          </w:tcPr>
          <w:p w14:paraId="065A0D9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44BA168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3D3E45C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6FEEFA6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6DD22B1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1C030E1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5736CF2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7D5C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75670B8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403A97C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1EA22C7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3C2D264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53DA108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3DC8B0F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3F404E6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53AD5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0F047C6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2C7F726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5C54E99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5928BC6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13C7CCA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70F4815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7F66253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54E34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718ACC4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6A3A87E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28A865C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7F35451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7CE4C62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17A66D9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5F965B3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641F2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7C81F87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4695098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29C8E68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36C601A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37B4DA6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1E63055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0923727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41F29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591ECB7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25265B1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5D13DC4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2151FCB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4E66EA7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0969677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43EC253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4B159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6CF8880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4CE4425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7D6AC4C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496899B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41415BD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6E7E7D4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41C0A50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2AF5A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459F517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5096599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15DE02B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32EB345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40A868E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30D74E3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6519891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67E08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5C6FAE6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2FF36D4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7D6A458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4667A45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3184F3B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0A94934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69F1F10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5A9FF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29AB7FA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24A235C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566BD6D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3D489BB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50F17BE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6C20099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7EDD778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55EF3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260A96E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53E72C0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71F44A3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5873C38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638A380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5A50354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2004F29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3C0FF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54AA3EE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79C72E9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35CB2C5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7070B91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2B4AFC9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71FB316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4D6E45C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7A4A6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val="0"/>
            <w:vAlign w:val="top"/>
          </w:tcPr>
          <w:p w14:paraId="57A42D2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16EE95B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32E45B5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6BAE7D2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1545FF7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659F513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3977912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r w14:paraId="65A11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66" w:type="dxa"/>
            <w:noWrap w:val="0"/>
            <w:vAlign w:val="top"/>
          </w:tcPr>
          <w:p w14:paraId="07A363A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572E7A5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合计</w:t>
            </w:r>
          </w:p>
        </w:tc>
        <w:tc>
          <w:tcPr>
            <w:tcW w:w="1430" w:type="dxa"/>
            <w:noWrap w:val="0"/>
            <w:vAlign w:val="top"/>
          </w:tcPr>
          <w:p w14:paraId="00AC88D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4B4D742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0" w:type="dxa"/>
            <w:noWrap w:val="0"/>
            <w:vAlign w:val="top"/>
          </w:tcPr>
          <w:p w14:paraId="5D24EF9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1431" w:type="dxa"/>
            <w:noWrap w:val="0"/>
            <w:vAlign w:val="top"/>
          </w:tcPr>
          <w:p w14:paraId="0D6D9DF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c>
          <w:tcPr>
            <w:tcW w:w="878" w:type="dxa"/>
            <w:noWrap w:val="0"/>
            <w:vAlign w:val="top"/>
          </w:tcPr>
          <w:p w14:paraId="024F46A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tc>
      </w:tr>
    </w:tbl>
    <w:p w14:paraId="2095581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3489270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4E743D4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2E311BB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2DF0224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4413FDA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44DBC9B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4FFD70EF">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277D345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02400F6D">
      <w:pPr>
        <w:widowControl/>
        <w:kinsoku w:val="0"/>
        <w:autoSpaceDE w:val="0"/>
        <w:autoSpaceDN w:val="0"/>
        <w:adjustRightInd w:val="0"/>
        <w:snapToGrid w:val="0"/>
        <w:spacing w:line="440" w:lineRule="exact"/>
        <w:ind w:firstLine="482" w:firstLineChars="200"/>
        <w:textAlignment w:val="baseline"/>
        <w:outlineLvl w:val="2"/>
        <w:rPr>
          <w:rFonts w:hint="eastAsia" w:ascii="宋体" w:hAnsi="宋体" w:cs="宋体"/>
          <w:color w:val="auto"/>
          <w:sz w:val="24"/>
          <w:szCs w:val="24"/>
          <w:highlight w:val="none"/>
        </w:rPr>
      </w:pPr>
      <w:bookmarkStart w:id="140" w:name="bookmark68"/>
      <w:bookmarkEnd w:id="140"/>
      <w:bookmarkStart w:id="141" w:name="bookmark67"/>
      <w:bookmarkEnd w:id="141"/>
      <w:r>
        <w:rPr>
          <w:rFonts w:hint="eastAsia" w:ascii="宋体" w:hAnsi="宋体" w:cs="宋体"/>
          <w:b/>
          <w:bCs/>
          <w:color w:val="auto"/>
          <w:sz w:val="24"/>
          <w:szCs w:val="24"/>
          <w:highlight w:val="none"/>
        </w:rPr>
        <w:t>附件六</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项目经理委任书</w:t>
      </w:r>
    </w:p>
    <w:p w14:paraId="0944BBB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（承包人全称）</w:t>
      </w:r>
      <w:r>
        <w:rPr>
          <w:rFonts w:hint="eastAsia" w:ascii="宋体" w:hAnsi="宋体" w:cs="宋体"/>
          <w:color w:val="auto"/>
          <w:sz w:val="24"/>
          <w:szCs w:val="24"/>
          <w:highlight w:val="none"/>
          <w:u w:val="single"/>
        </w:rPr>
        <w:t xml:space="preserve">                </w:t>
      </w:r>
    </w:p>
    <w:p w14:paraId="1EDE340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（养护项目名称）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项目经理委任书</w:t>
      </w:r>
    </w:p>
    <w:p w14:paraId="22926D2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55284C7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317D5FB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655248A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（发包人全称）</w:t>
      </w:r>
    </w:p>
    <w:p w14:paraId="445C04B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（承包人全称）法定代表人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（职务、姓名）代表本单位委任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（职务、姓名）为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（养护项目名称）的项目经理。凡本合同执行中的有关技术、养护作业进度、现场管理、质量检验、结算与支付等方面工作，由        </w:t>
      </w:r>
      <w:r>
        <w:rPr>
          <w:rFonts w:hint="eastAsia" w:ascii="宋体" w:hAnsi="宋体" w:cs="宋体"/>
          <w:color w:val="auto"/>
          <w:sz w:val="24"/>
          <w:szCs w:val="24"/>
          <w:highlight w:val="none"/>
          <w:u w:val="single"/>
        </w:rPr>
        <w:t xml:space="preserve">（姓名）      </w:t>
      </w:r>
      <w:r>
        <w:rPr>
          <w:rFonts w:hint="eastAsia" w:ascii="宋体" w:hAnsi="宋体" w:cs="宋体"/>
          <w:color w:val="auto"/>
          <w:sz w:val="24"/>
          <w:szCs w:val="24"/>
          <w:highlight w:val="none"/>
        </w:rPr>
        <w:t>代表本单位全面负责。</w:t>
      </w:r>
    </w:p>
    <w:p w14:paraId="7F4EFDE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0A5C1FC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（盖单位章）</w:t>
      </w:r>
    </w:p>
    <w:p w14:paraId="010D535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p>
    <w:p w14:paraId="1FF15A7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w:t>
      </w:r>
      <w:r>
        <w:rPr>
          <w:rFonts w:hint="eastAsia" w:ascii="宋体" w:hAnsi="宋体" w:cs="宋体"/>
          <w:color w:val="auto"/>
          <w:sz w:val="24"/>
          <w:szCs w:val="24"/>
          <w:highlight w:val="none"/>
        </w:rPr>
        <w:tab/>
      </w:r>
    </w:p>
    <w:p w14:paraId="5E51C9EF">
      <w:pPr>
        <w:widowControl/>
        <w:kinsoku w:val="0"/>
        <w:autoSpaceDE w:val="0"/>
        <w:autoSpaceDN w:val="0"/>
        <w:adjustRightInd w:val="0"/>
        <w:snapToGrid w:val="0"/>
        <w:spacing w:line="440" w:lineRule="exact"/>
        <w:ind w:firstLine="1920" w:firstLineChars="8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（签名）</w:t>
      </w:r>
    </w:p>
    <w:p w14:paraId="0BCF85E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05A877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59C73A6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193885A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27189BD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57EB871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57AED58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抄送：</w:t>
      </w:r>
      <w:r>
        <w:rPr>
          <w:rFonts w:hint="eastAsia" w:ascii="宋体" w:hAnsi="宋体" w:cs="宋体"/>
          <w:color w:val="auto"/>
          <w:sz w:val="24"/>
          <w:szCs w:val="24"/>
          <w:highlight w:val="none"/>
          <w:u w:val="single"/>
        </w:rPr>
        <w:t xml:space="preserve"> （咨询人（监理人））</w:t>
      </w:r>
      <w:r>
        <w:rPr>
          <w:rFonts w:hint="eastAsia" w:ascii="宋体" w:hAnsi="宋体" w:cs="宋体"/>
          <w:color w:val="auto"/>
          <w:sz w:val="24"/>
          <w:szCs w:val="24"/>
          <w:highlight w:val="none"/>
        </w:rPr>
        <w:t xml:space="preserve"> </w:t>
      </w:r>
    </w:p>
    <w:p w14:paraId="4FB93DE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16C00D6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2047F77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0677DEC9">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1EF88F7">
      <w:pPr>
        <w:widowControl/>
        <w:kinsoku w:val="0"/>
        <w:autoSpaceDE w:val="0"/>
        <w:autoSpaceDN w:val="0"/>
        <w:adjustRightInd w:val="0"/>
        <w:snapToGrid w:val="0"/>
        <w:spacing w:line="440" w:lineRule="exact"/>
        <w:ind w:firstLine="482" w:firstLineChars="200"/>
        <w:textAlignment w:val="baseline"/>
        <w:outlineLvl w:val="2"/>
        <w:rPr>
          <w:rFonts w:hint="eastAsia" w:ascii="宋体" w:hAnsi="宋体" w:cs="宋体"/>
          <w:b/>
          <w:bCs/>
          <w:color w:val="auto"/>
          <w:sz w:val="24"/>
          <w:szCs w:val="24"/>
          <w:highlight w:val="none"/>
        </w:rPr>
      </w:pPr>
      <w:bookmarkStart w:id="142" w:name="bookmark69"/>
      <w:bookmarkEnd w:id="142"/>
      <w:bookmarkStart w:id="143" w:name="bookmark70"/>
      <w:bookmarkEnd w:id="143"/>
      <w:r>
        <w:rPr>
          <w:rFonts w:hint="eastAsia" w:ascii="宋体" w:hAnsi="宋体" w:cs="宋体"/>
          <w:b/>
          <w:bCs/>
          <w:color w:val="auto"/>
          <w:sz w:val="24"/>
          <w:szCs w:val="24"/>
          <w:highlight w:val="none"/>
        </w:rPr>
        <w:t>附件七履约保证金格式</w:t>
      </w:r>
    </w:p>
    <w:p w14:paraId="31E9E86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如采用非现金担保，格式如下。</w:t>
      </w:r>
    </w:p>
    <w:p w14:paraId="7CC94DE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w:t>
      </w:r>
    </w:p>
    <w:p w14:paraId="126921D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w:t>
      </w:r>
    </w:p>
    <w:p w14:paraId="5BA7A41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5169723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鉴于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（发包人名称，以下简称“发包人 ”）接受</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（承包人名称，以下简称“承包人 ”）于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（项目名称）养护项目的实施。我方愿意无条件地、不可撤销地就承包人履行与你方订立的合同，向你方提供担保。</w:t>
      </w:r>
    </w:p>
    <w:p w14:paraId="73F76A0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1.担保金额人民币（大写）</w:t>
      </w:r>
      <w:r>
        <w:rPr>
          <w:rFonts w:hint="eastAsia" w:ascii="宋体" w:hAnsi="宋体" w:cs="宋体"/>
          <w:color w:val="auto"/>
          <w:sz w:val="24"/>
          <w:szCs w:val="24"/>
          <w:highlight w:val="none"/>
          <w:u w:val="single"/>
        </w:rPr>
        <w:t xml:space="preserve">                 元 (¥                )</w:t>
      </w:r>
      <w:r>
        <w:rPr>
          <w:rFonts w:hint="eastAsia" w:ascii="宋体" w:hAnsi="宋体" w:cs="宋体"/>
          <w:color w:val="auto"/>
          <w:sz w:val="24"/>
          <w:szCs w:val="24"/>
          <w:highlight w:val="none"/>
        </w:rPr>
        <w:t>。</w:t>
      </w:r>
    </w:p>
    <w:p w14:paraId="1CAE500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2.担保有效期自发包人与承包人签订的合同生效之日起至发包人签发交工验收证书且承包人按照合同约定缴纳质量保证金之日止。</w:t>
      </w:r>
    </w:p>
    <w:p w14:paraId="394CF9E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3.在本担保有效期内，如果承包人不履行合同约定的义务或其履行不符合合同的约定时，我方在收到你方以书面形式提出的在担保金额内的赔偿要求后，在 7日内无条件支付，无须你方出具证明或陈述理由。</w:t>
      </w:r>
    </w:p>
    <w:p w14:paraId="6A11309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4.发包人和承包人按合同条款第 15 条变更合同时，无论我方是否收到该变更，我方承担本担保约定的义务不变。</w:t>
      </w:r>
    </w:p>
    <w:p w14:paraId="69B5C76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45EBF9E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担保人名称：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1D2C5B7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（签名）</w:t>
      </w:r>
    </w:p>
    <w:p w14:paraId="1C82F40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 ：</w:t>
      </w:r>
      <w:r>
        <w:rPr>
          <w:rFonts w:hint="eastAsia" w:ascii="宋体" w:hAnsi="宋体" w:cs="宋体"/>
          <w:color w:val="auto"/>
          <w:sz w:val="24"/>
          <w:szCs w:val="24"/>
          <w:highlight w:val="none"/>
          <w:u w:val="single"/>
        </w:rPr>
        <w:t xml:space="preserve">                                         </w:t>
      </w:r>
    </w:p>
    <w:p w14:paraId="0AFBA06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p>
    <w:p w14:paraId="01A5625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电话 ：</w:t>
      </w:r>
      <w:r>
        <w:rPr>
          <w:rFonts w:hint="eastAsia" w:ascii="宋体" w:hAnsi="宋体" w:cs="宋体"/>
          <w:color w:val="auto"/>
          <w:sz w:val="24"/>
          <w:szCs w:val="24"/>
          <w:highlight w:val="none"/>
          <w:u w:val="single"/>
        </w:rPr>
        <w:t xml:space="preserve">                                         </w:t>
      </w:r>
    </w:p>
    <w:p w14:paraId="5EA5F64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传真 ：</w:t>
      </w:r>
      <w:r>
        <w:rPr>
          <w:rFonts w:hint="eastAsia" w:ascii="宋体" w:hAnsi="宋体" w:cs="宋体"/>
          <w:color w:val="auto"/>
          <w:sz w:val="24"/>
          <w:szCs w:val="24"/>
          <w:highlight w:val="none"/>
          <w:u w:val="single"/>
        </w:rPr>
        <w:t xml:space="preserve">                                         </w:t>
      </w:r>
    </w:p>
    <w:p w14:paraId="674F5398">
      <w:pPr>
        <w:widowControl/>
        <w:kinsoku w:val="0"/>
        <w:autoSpaceDE w:val="0"/>
        <w:autoSpaceDN w:val="0"/>
        <w:adjustRightInd w:val="0"/>
        <w:snapToGrid w:val="0"/>
        <w:spacing w:line="440" w:lineRule="exact"/>
        <w:ind w:firstLine="3600" w:firstLineChars="15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C332DA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6897ACB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7422824A">
      <w:pPr>
        <w:widowControl/>
        <w:kinsoku w:val="0"/>
        <w:autoSpaceDE w:val="0"/>
        <w:autoSpaceDN w:val="0"/>
        <w:adjustRightInd w:val="0"/>
        <w:snapToGrid w:val="0"/>
        <w:spacing w:line="440" w:lineRule="exact"/>
        <w:textAlignment w:val="baseline"/>
        <w:rPr>
          <w:rFonts w:hint="eastAsia" w:ascii="宋体" w:hAnsi="宋体" w:cs="宋体"/>
          <w:color w:val="auto"/>
          <w:sz w:val="24"/>
          <w:szCs w:val="24"/>
          <w:highlight w:val="none"/>
        </w:rPr>
      </w:pPr>
    </w:p>
    <w:p w14:paraId="65AC3072">
      <w:pPr>
        <w:rPr>
          <w:rFonts w:hint="eastAsia" w:ascii="宋体" w:hAnsi="宋体" w:cs="宋体"/>
          <w:color w:val="auto"/>
          <w:sz w:val="24"/>
          <w:szCs w:val="24"/>
          <w:highlight w:val="none"/>
        </w:rPr>
      </w:pPr>
      <w:bookmarkStart w:id="144" w:name="bookmark71"/>
      <w:bookmarkEnd w:id="144"/>
      <w:bookmarkStart w:id="145" w:name="bookmark72"/>
      <w:bookmarkEnd w:id="145"/>
      <w:r>
        <w:rPr>
          <w:rFonts w:hint="eastAsia" w:ascii="宋体" w:hAnsi="宋体" w:cs="宋体"/>
          <w:color w:val="auto"/>
          <w:sz w:val="24"/>
          <w:szCs w:val="24"/>
          <w:highlight w:val="none"/>
        </w:rPr>
        <w:br w:type="page"/>
      </w:r>
    </w:p>
    <w:p w14:paraId="2A786533">
      <w:pPr>
        <w:widowControl/>
        <w:kinsoku w:val="0"/>
        <w:autoSpaceDE w:val="0"/>
        <w:autoSpaceDN w:val="0"/>
        <w:adjustRightInd w:val="0"/>
        <w:snapToGrid w:val="0"/>
        <w:spacing w:line="440" w:lineRule="exact"/>
        <w:ind w:firstLine="640" w:firstLineChars="200"/>
        <w:jc w:val="center"/>
        <w:textAlignment w:val="baseline"/>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第二篇 基于计量模式的专用合同条款和工程量</w:t>
      </w:r>
      <w:bookmarkStart w:id="146" w:name="bookmark74"/>
      <w:bookmarkEnd w:id="146"/>
      <w:bookmarkStart w:id="147" w:name="bookmark73"/>
      <w:bookmarkEnd w:id="147"/>
      <w:r>
        <w:rPr>
          <w:rFonts w:hint="eastAsia" w:ascii="宋体" w:hAnsi="宋体" w:cs="宋体"/>
          <w:color w:val="auto"/>
          <w:sz w:val="32"/>
          <w:szCs w:val="32"/>
          <w:highlight w:val="none"/>
        </w:rPr>
        <w:t>清单</w:t>
      </w:r>
    </w:p>
    <w:p w14:paraId="1937311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282806BC">
      <w:pPr>
        <w:widowControl/>
        <w:kinsoku w:val="0"/>
        <w:autoSpaceDE w:val="0"/>
        <w:autoSpaceDN w:val="0"/>
        <w:adjustRightInd w:val="0"/>
        <w:snapToGrid w:val="0"/>
        <w:spacing w:line="440" w:lineRule="exact"/>
        <w:ind w:firstLine="640" w:firstLineChars="200"/>
        <w:jc w:val="center"/>
        <w:textAlignment w:val="baseline"/>
        <w:outlineLvl w:val="1"/>
        <w:rPr>
          <w:rFonts w:hint="eastAsia" w:ascii="宋体" w:hAnsi="宋体" w:cs="宋体"/>
          <w:color w:val="auto"/>
          <w:sz w:val="32"/>
          <w:szCs w:val="32"/>
          <w:highlight w:val="none"/>
        </w:rPr>
      </w:pPr>
      <w:bookmarkStart w:id="148" w:name="bookmark191"/>
      <w:bookmarkEnd w:id="148"/>
      <w:r>
        <w:rPr>
          <w:rFonts w:hint="eastAsia" w:ascii="宋体" w:hAnsi="宋体" w:cs="宋体"/>
          <w:color w:val="auto"/>
          <w:sz w:val="32"/>
          <w:szCs w:val="32"/>
          <w:highlight w:val="none"/>
        </w:rPr>
        <w:t>第一章 专用合同条款</w:t>
      </w:r>
    </w:p>
    <w:p w14:paraId="010E2FD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4613EAE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p>
    <w:p w14:paraId="39B7EFA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1.发包人在编制“专用合同条款”时，“通用合同条款”的内容宜不加修改地直接引用，“专用合同条款”可以根据项目的具体特点和实际需要，对“通用合同条款 ”进行补充、修改或约定。发包人补充、修改或约定的内容，不得违反法律、行政法规的强制性规定和平等、自愿、公平、诚实信用原则。</w:t>
      </w:r>
    </w:p>
    <w:p w14:paraId="5B35876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2.专用合同条款的编号应与通用合同条款编号一致。</w:t>
      </w:r>
    </w:p>
    <w:p w14:paraId="2D1FCB8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3.专用合同条款可对下列内容进行补充和细化：</w:t>
      </w:r>
    </w:p>
    <w:p w14:paraId="6E821B3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（1）“通用合同条款 ”中明确指出“专用合同条款 ”可对“通用合同条款 ”进行修改的内容（在“通用合同条款 ”中用“应按合同约定 ”“应按专用合同条款约定 ”“除合同另有约定外 ”“除专用合同条款另有约定外 ”“在专用合同条款中约定 ”等多种文字形式表达）；</w:t>
      </w:r>
    </w:p>
    <w:p w14:paraId="03CC42A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（2）其他需要补充、细化的内容。</w:t>
      </w:r>
    </w:p>
    <w:p w14:paraId="5663E2C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45CCFC7B">
      <w:pPr>
        <w:widowControl/>
        <w:kinsoku w:val="0"/>
        <w:autoSpaceDE w:val="0"/>
        <w:autoSpaceDN w:val="0"/>
        <w:adjustRightInd w:val="0"/>
        <w:snapToGrid w:val="0"/>
        <w:spacing w:line="440" w:lineRule="exact"/>
        <w:ind w:firstLine="482" w:firstLineChars="200"/>
        <w:jc w:val="left"/>
        <w:textAlignment w:val="baseline"/>
        <w:outlineLvl w:val="2"/>
        <w:rPr>
          <w:rFonts w:hint="eastAsia" w:ascii="宋体" w:hAnsi="宋体" w:cs="宋体"/>
          <w:b/>
          <w:bCs/>
          <w:color w:val="auto"/>
          <w:sz w:val="24"/>
          <w:szCs w:val="24"/>
          <w:highlight w:val="none"/>
        </w:rPr>
      </w:pPr>
      <w:bookmarkStart w:id="149" w:name="bookmark75"/>
      <w:bookmarkEnd w:id="149"/>
      <w:bookmarkStart w:id="150" w:name="bookmark76"/>
      <w:bookmarkEnd w:id="150"/>
      <w:r>
        <w:rPr>
          <w:rFonts w:hint="eastAsia" w:ascii="宋体" w:hAnsi="宋体" w:cs="宋体"/>
          <w:b/>
          <w:bCs/>
          <w:color w:val="auto"/>
          <w:sz w:val="24"/>
          <w:szCs w:val="24"/>
          <w:highlight w:val="none"/>
        </w:rPr>
        <w:t>一、专用合同条款数据表</w:t>
      </w:r>
    </w:p>
    <w:p w14:paraId="1D2E7DF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说明：本数据表是专用合同条款中适用于本项目的信息和数据的归纳与提示，是专用合同条款的组成部分。编写者应仔细校核，避免数据出现差错或不一致。</w:t>
      </w:r>
    </w:p>
    <w:tbl>
      <w:tblPr>
        <w:tblStyle w:val="19"/>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386"/>
        <w:gridCol w:w="6888"/>
      </w:tblGrid>
      <w:tr w14:paraId="4D700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blHeader/>
        </w:trPr>
        <w:tc>
          <w:tcPr>
            <w:tcW w:w="774" w:type="dxa"/>
            <w:noWrap w:val="0"/>
            <w:vAlign w:val="center"/>
          </w:tcPr>
          <w:p w14:paraId="487B87C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86" w:type="dxa"/>
            <w:noWrap w:val="0"/>
            <w:vAlign w:val="center"/>
          </w:tcPr>
          <w:p w14:paraId="7AE75E2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条目号</w:t>
            </w:r>
          </w:p>
        </w:tc>
        <w:tc>
          <w:tcPr>
            <w:tcW w:w="6888" w:type="dxa"/>
            <w:noWrap w:val="0"/>
            <w:vAlign w:val="center"/>
          </w:tcPr>
          <w:p w14:paraId="6003BB18">
            <w:pPr>
              <w:widowControl/>
              <w:kinsoku w:val="0"/>
              <w:autoSpaceDE w:val="0"/>
              <w:autoSpaceDN w:val="0"/>
              <w:adjustRightInd w:val="0"/>
              <w:snapToGrid w:val="0"/>
              <w:spacing w:line="380" w:lineRule="exact"/>
              <w:ind w:firstLine="440" w:firstLineChars="20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信息或数据</w:t>
            </w:r>
          </w:p>
        </w:tc>
      </w:tr>
      <w:tr w14:paraId="7C525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10EC6102">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86" w:type="dxa"/>
            <w:noWrap w:val="0"/>
            <w:vAlign w:val="center"/>
          </w:tcPr>
          <w:p w14:paraId="07EFD2FB">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1.1.2.2</w:t>
            </w:r>
          </w:p>
        </w:tc>
        <w:tc>
          <w:tcPr>
            <w:tcW w:w="6888" w:type="dxa"/>
            <w:noWrap w:val="0"/>
            <w:vAlign w:val="center"/>
          </w:tcPr>
          <w:p w14:paraId="2C788495">
            <w:pPr>
              <w:widowControl/>
              <w:kinsoku w:val="0"/>
              <w:autoSpaceDE w:val="0"/>
              <w:autoSpaceDN w:val="0"/>
              <w:adjustRightInd w:val="0"/>
              <w:snapToGrid w:val="0"/>
              <w:spacing w:line="380" w:lineRule="exact"/>
              <w:jc w:val="left"/>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lang w:val="en-US" w:eastAsia="zh-CN"/>
                <w14:textFill>
                  <w14:solidFill>
                    <w14:schemeClr w14:val="tx1"/>
                  </w14:solidFill>
                </w14:textFill>
              </w:rPr>
              <w:t>托克逊县郭勒布依乡人民政府</w:t>
            </w:r>
          </w:p>
          <w:p w14:paraId="7E8EF586">
            <w:pPr>
              <w:widowControl/>
              <w:kinsoku w:val="0"/>
              <w:autoSpaceDE w:val="0"/>
              <w:autoSpaceDN w:val="0"/>
              <w:adjustRightInd w:val="0"/>
              <w:snapToGrid w:val="0"/>
              <w:spacing w:line="380" w:lineRule="exact"/>
              <w:jc w:val="left"/>
              <w:textAlignment w:val="baseline"/>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住所：</w:t>
            </w:r>
            <w:r>
              <w:rPr>
                <w:rFonts w:hint="eastAsia" w:ascii="宋体" w:hAnsi="宋体" w:cs="宋体"/>
                <w:color w:val="000000" w:themeColor="text1"/>
                <w:szCs w:val="21"/>
                <w:highlight w:val="none"/>
                <w:lang w:val="en-US" w:eastAsia="zh-CN"/>
                <w14:textFill>
                  <w14:solidFill>
                    <w14:schemeClr w14:val="tx1"/>
                  </w14:solidFill>
                </w14:textFill>
              </w:rPr>
              <w:t>托克逊县郭勒布依乡大十字东北侧</w:t>
            </w:r>
            <w:r>
              <w:rPr>
                <w:rFonts w:hint="eastAsia" w:ascii="宋体" w:hAnsi="宋体" w:cs="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lang w:val="en-US" w:eastAsia="zh-CN"/>
                <w14:textFill>
                  <w14:solidFill>
                    <w14:schemeClr w14:val="tx1"/>
                  </w14:solidFill>
                </w14:textFill>
              </w:rPr>
              <w:t>838100</w:t>
            </w:r>
          </w:p>
        </w:tc>
      </w:tr>
      <w:tr w14:paraId="6190A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68D162F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86" w:type="dxa"/>
            <w:noWrap w:val="0"/>
            <w:vAlign w:val="center"/>
          </w:tcPr>
          <w:p w14:paraId="0DE86C34">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1.1.2.7</w:t>
            </w:r>
          </w:p>
        </w:tc>
        <w:tc>
          <w:tcPr>
            <w:tcW w:w="6888" w:type="dxa"/>
            <w:noWrap w:val="0"/>
            <w:vAlign w:val="center"/>
          </w:tcPr>
          <w:p w14:paraId="45695F4F">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咨询人（监理人）：</w:t>
            </w:r>
            <w:r>
              <w:rPr>
                <w:rFonts w:hint="eastAsia" w:ascii="Times New Roman" w:hAnsi="Times New Roman"/>
                <w:color w:val="auto"/>
                <w:szCs w:val="21"/>
                <w:highlight w:val="none"/>
              </w:rPr>
              <w:t>将在签订合同协议书后，由发包人书面通知承包人</w:t>
            </w:r>
          </w:p>
        </w:tc>
      </w:tr>
      <w:tr w14:paraId="68838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20A52F7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386" w:type="dxa"/>
            <w:noWrap w:val="0"/>
            <w:vAlign w:val="center"/>
          </w:tcPr>
          <w:p w14:paraId="6EABFCF8">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1.1.4.5</w:t>
            </w:r>
          </w:p>
        </w:tc>
        <w:tc>
          <w:tcPr>
            <w:tcW w:w="6888" w:type="dxa"/>
            <w:noWrap w:val="0"/>
            <w:vAlign w:val="center"/>
          </w:tcPr>
          <w:p w14:paraId="5EFED87F">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缺陷责任期：自实际交工日期起计算1年</w:t>
            </w:r>
          </w:p>
        </w:tc>
      </w:tr>
      <w:tr w14:paraId="4A490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5047A53B">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386" w:type="dxa"/>
            <w:noWrap w:val="0"/>
            <w:vAlign w:val="center"/>
          </w:tcPr>
          <w:p w14:paraId="57DA070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6888" w:type="dxa"/>
            <w:noWrap w:val="0"/>
            <w:vAlign w:val="center"/>
          </w:tcPr>
          <w:p w14:paraId="07E75353">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提供图纸的期限：</w:t>
            </w:r>
            <w:r>
              <w:rPr>
                <w:rFonts w:hint="eastAsia" w:ascii="宋体" w:hAnsi="宋体" w:cs="宋体"/>
                <w:color w:val="auto"/>
                <w:szCs w:val="21"/>
                <w:highlight w:val="none"/>
                <w:u w:val="single"/>
              </w:rPr>
              <w:t>7</w:t>
            </w:r>
            <w:r>
              <w:rPr>
                <w:rFonts w:hint="eastAsia" w:ascii="宋体" w:hAnsi="宋体" w:cs="宋体"/>
                <w:color w:val="auto"/>
                <w:szCs w:val="21"/>
                <w:highlight w:val="none"/>
              </w:rPr>
              <w:t>天</w:t>
            </w:r>
          </w:p>
        </w:tc>
      </w:tr>
      <w:tr w14:paraId="12DB6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7D7DCDD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386" w:type="dxa"/>
            <w:noWrap w:val="0"/>
            <w:vAlign w:val="center"/>
          </w:tcPr>
          <w:p w14:paraId="514684D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6888" w:type="dxa"/>
            <w:noWrap w:val="0"/>
            <w:vAlign w:val="center"/>
          </w:tcPr>
          <w:p w14:paraId="4DAAD3C7">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图纸需要修改和补充的，应由咨询人取得发包人同意后，在该养护工程或养护工程相应部位施工前的天内签发图纸修改</w:t>
            </w:r>
            <w:bookmarkStart w:id="151" w:name="bookmark192"/>
            <w:bookmarkEnd w:id="151"/>
            <w:r>
              <w:rPr>
                <w:rFonts w:hint="eastAsia" w:ascii="宋体" w:hAnsi="宋体" w:cs="宋体"/>
                <w:color w:val="auto"/>
                <w:szCs w:val="21"/>
                <w:highlight w:val="none"/>
              </w:rPr>
              <w:t>图给承包人</w:t>
            </w:r>
          </w:p>
        </w:tc>
      </w:tr>
      <w:tr w14:paraId="1BCD8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299145E6">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386" w:type="dxa"/>
            <w:noWrap w:val="0"/>
            <w:vAlign w:val="center"/>
          </w:tcPr>
          <w:p w14:paraId="128DEC7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4.6.3</w:t>
            </w:r>
          </w:p>
        </w:tc>
        <w:tc>
          <w:tcPr>
            <w:tcW w:w="6888" w:type="dxa"/>
            <w:noWrap w:val="0"/>
            <w:vAlign w:val="center"/>
          </w:tcPr>
          <w:p w14:paraId="1D6169DE">
            <w:pPr>
              <w:widowControl/>
              <w:kinsoku w:val="0"/>
              <w:autoSpaceDE w:val="0"/>
              <w:autoSpaceDN w:val="0"/>
              <w:adjustRightInd w:val="0"/>
              <w:snapToGrid w:val="0"/>
              <w:spacing w:line="38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承包人安排在养护作业场地的主要管理人员、技术骨干每月在养护作业场地时间不得少于</w:t>
            </w:r>
            <w:r>
              <w:rPr>
                <w:rFonts w:hint="eastAsia" w:ascii="宋体" w:hAnsi="宋体" w:cs="宋体"/>
                <w:color w:val="auto"/>
                <w:szCs w:val="21"/>
                <w:highlight w:val="none"/>
                <w:u w:val="single"/>
              </w:rPr>
              <w:t>25</w:t>
            </w:r>
            <w:r>
              <w:rPr>
                <w:rFonts w:hint="eastAsia" w:ascii="宋体" w:hAnsi="宋体" w:cs="宋体"/>
                <w:color w:val="auto"/>
                <w:szCs w:val="21"/>
                <w:highlight w:val="none"/>
              </w:rPr>
              <w:t>天；相关人员现场管理的其他要求：详见其他管理和技术人员要求</w:t>
            </w:r>
          </w:p>
        </w:tc>
      </w:tr>
      <w:tr w14:paraId="22A84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1F040BB0">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386" w:type="dxa"/>
            <w:noWrap w:val="0"/>
            <w:vAlign w:val="center"/>
          </w:tcPr>
          <w:p w14:paraId="664951A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6888" w:type="dxa"/>
            <w:noWrap w:val="0"/>
            <w:vAlign w:val="center"/>
          </w:tcPr>
          <w:p w14:paraId="45DE796F">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u w:val="single"/>
              </w:rPr>
            </w:pPr>
            <w:r>
              <w:rPr>
                <w:rFonts w:hint="eastAsia" w:ascii="宋体" w:hAnsi="宋体" w:cs="宋体"/>
                <w:color w:val="auto"/>
                <w:szCs w:val="21"/>
                <w:highlight w:val="none"/>
              </w:rPr>
              <w:t>发包人是否提供材料或工程设备：</w:t>
            </w:r>
            <w:r>
              <w:rPr>
                <w:rFonts w:hint="eastAsia" w:ascii="宋体" w:hAnsi="宋体" w:cs="宋体"/>
                <w:color w:val="auto"/>
                <w:szCs w:val="21"/>
                <w:highlight w:val="none"/>
                <w:u w:val="single"/>
              </w:rPr>
              <w:t>否</w:t>
            </w:r>
          </w:p>
          <w:p w14:paraId="1DDD4A35">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如发包人负责提供部分材料或工程设备，相关约定如下：/</w:t>
            </w:r>
          </w:p>
        </w:tc>
      </w:tr>
      <w:tr w14:paraId="4050A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0885E15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386" w:type="dxa"/>
            <w:noWrap w:val="0"/>
            <w:vAlign w:val="center"/>
          </w:tcPr>
          <w:p w14:paraId="3040C07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6888" w:type="dxa"/>
            <w:noWrap w:val="0"/>
            <w:vAlign w:val="center"/>
          </w:tcPr>
          <w:p w14:paraId="25A9AECA">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发包人是否提供养护作业设备和临时设施：</w:t>
            </w:r>
            <w:r>
              <w:rPr>
                <w:rFonts w:hint="eastAsia" w:ascii="宋体" w:hAnsi="宋体" w:cs="宋体"/>
                <w:color w:val="auto"/>
                <w:szCs w:val="21"/>
                <w:highlight w:val="none"/>
                <w:u w:val="single"/>
              </w:rPr>
              <w:t>否</w:t>
            </w:r>
          </w:p>
          <w:p w14:paraId="10DC9337">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如发包人负责提供部分养护作业设备和临时设施，相关约定如下：/</w:t>
            </w:r>
          </w:p>
        </w:tc>
      </w:tr>
      <w:tr w14:paraId="33FBF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7E4F9A1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386" w:type="dxa"/>
            <w:noWrap w:val="0"/>
            <w:vAlign w:val="center"/>
          </w:tcPr>
          <w:p w14:paraId="3380AD5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8.1.1</w:t>
            </w:r>
          </w:p>
        </w:tc>
        <w:tc>
          <w:tcPr>
            <w:tcW w:w="6888" w:type="dxa"/>
            <w:noWrap w:val="0"/>
            <w:vAlign w:val="center"/>
          </w:tcPr>
          <w:p w14:paraId="327407B6">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发包人提供测量基准点、基准线和水准点及其书面资料的期限：</w:t>
            </w:r>
            <w:r>
              <w:rPr>
                <w:rFonts w:hint="eastAsia" w:ascii="Times New Roman" w:hAnsi="Times New Roman"/>
                <w:color w:val="auto"/>
                <w:szCs w:val="21"/>
                <w:highlight w:val="none"/>
                <w:u w:val="single"/>
              </w:rPr>
              <w:t>在发出开工通知书</w:t>
            </w:r>
            <w:r>
              <w:rPr>
                <w:rFonts w:ascii="Times New Roman" w:hAnsi="Times New Roman"/>
                <w:color w:val="auto"/>
                <w:szCs w:val="21"/>
                <w:highlight w:val="none"/>
                <w:u w:val="single"/>
              </w:rPr>
              <w:t>14</w:t>
            </w:r>
            <w:r>
              <w:rPr>
                <w:rFonts w:hint="eastAsia" w:ascii="Times New Roman" w:hAnsi="Times New Roman"/>
                <w:color w:val="auto"/>
                <w:szCs w:val="21"/>
                <w:highlight w:val="none"/>
                <w:u w:val="single"/>
              </w:rPr>
              <w:t>天之前</w:t>
            </w:r>
            <w:r>
              <w:rPr>
                <w:rFonts w:hint="eastAsia" w:ascii="宋体" w:hAnsi="宋体" w:cs="宋体"/>
                <w:color w:val="auto"/>
                <w:szCs w:val="21"/>
                <w:highlight w:val="none"/>
                <w:u w:val="single"/>
              </w:rPr>
              <w:t>，</w:t>
            </w:r>
            <w:r>
              <w:rPr>
                <w:rFonts w:hint="eastAsia" w:ascii="宋体" w:hAnsi="宋体" w:cs="宋体"/>
                <w:color w:val="auto"/>
                <w:szCs w:val="21"/>
                <w:highlight w:val="none"/>
              </w:rPr>
              <w:t>承包人将施工控制网资料报送咨询人审批的期限：</w:t>
            </w:r>
          </w:p>
        </w:tc>
      </w:tr>
      <w:tr w14:paraId="1B5A6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7DBEE8C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386" w:type="dxa"/>
            <w:noWrap w:val="0"/>
            <w:vAlign w:val="center"/>
          </w:tcPr>
          <w:p w14:paraId="4CCECA76">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9.2.5</w:t>
            </w:r>
          </w:p>
        </w:tc>
        <w:tc>
          <w:tcPr>
            <w:tcW w:w="6888" w:type="dxa"/>
            <w:noWrap w:val="0"/>
            <w:vAlign w:val="center"/>
          </w:tcPr>
          <w:p w14:paraId="17119084">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安全生产费用按最高投标限价的</w:t>
            </w:r>
            <w:r>
              <w:rPr>
                <w:rFonts w:hint="eastAsia" w:ascii="宋体" w:hAnsi="宋体" w:cs="宋体"/>
                <w:color w:val="auto"/>
                <w:szCs w:val="21"/>
                <w:highlight w:val="none"/>
                <w:u w:val="single"/>
              </w:rPr>
              <w:t>1.5</w:t>
            </w:r>
            <w:r>
              <w:rPr>
                <w:rFonts w:hint="eastAsia" w:ascii="宋体" w:hAnsi="宋体" w:cs="宋体"/>
                <w:color w:val="auto"/>
                <w:szCs w:val="21"/>
                <w:highlight w:val="none"/>
              </w:rPr>
              <w:t>%计取</w:t>
            </w:r>
          </w:p>
        </w:tc>
      </w:tr>
      <w:tr w14:paraId="4A204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1E3E6CE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386" w:type="dxa"/>
            <w:noWrap w:val="0"/>
            <w:vAlign w:val="center"/>
          </w:tcPr>
          <w:p w14:paraId="7B3D93C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6888" w:type="dxa"/>
            <w:noWrap w:val="0"/>
            <w:vAlign w:val="center"/>
          </w:tcPr>
          <w:p w14:paraId="639375A2">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逾期交工违约金：</w:t>
            </w:r>
            <w:r>
              <w:rPr>
                <w:rFonts w:hint="eastAsia" w:ascii="宋体" w:hAnsi="宋体" w:cs="宋体"/>
                <w:color w:val="auto"/>
                <w:szCs w:val="21"/>
                <w:highlight w:val="none"/>
                <w:u w:val="single"/>
              </w:rPr>
              <w:t>0.05 %签约合同价</w:t>
            </w:r>
            <w:r>
              <w:rPr>
                <w:rFonts w:hint="eastAsia" w:ascii="宋体" w:hAnsi="宋体" w:cs="宋体"/>
                <w:color w:val="auto"/>
                <w:szCs w:val="21"/>
                <w:highlight w:val="none"/>
              </w:rPr>
              <w:t>/天</w:t>
            </w:r>
          </w:p>
        </w:tc>
      </w:tr>
      <w:tr w14:paraId="28292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0C3551C3">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386" w:type="dxa"/>
            <w:noWrap w:val="0"/>
            <w:vAlign w:val="center"/>
          </w:tcPr>
          <w:p w14:paraId="1DE34925">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6888" w:type="dxa"/>
            <w:noWrap w:val="0"/>
            <w:vAlign w:val="center"/>
          </w:tcPr>
          <w:p w14:paraId="23DACEE1">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逾期交工违约金限额：</w:t>
            </w:r>
            <w:r>
              <w:rPr>
                <w:rFonts w:hint="eastAsia" w:ascii="宋体" w:hAnsi="宋体" w:cs="宋体"/>
                <w:color w:val="auto"/>
                <w:szCs w:val="21"/>
                <w:highlight w:val="none"/>
                <w:u w:val="single"/>
              </w:rPr>
              <w:t>10</w:t>
            </w:r>
            <w:r>
              <w:rPr>
                <w:rFonts w:hint="eastAsia" w:ascii="宋体" w:hAnsi="宋体" w:cs="宋体"/>
                <w:color w:val="auto"/>
                <w:szCs w:val="21"/>
                <w:highlight w:val="none"/>
              </w:rPr>
              <w:t>%签约合同价</w:t>
            </w:r>
          </w:p>
        </w:tc>
      </w:tr>
      <w:tr w14:paraId="41658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4E8DEDC5">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386" w:type="dxa"/>
            <w:noWrap w:val="0"/>
            <w:vAlign w:val="center"/>
          </w:tcPr>
          <w:p w14:paraId="5C5D3E38">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15.5.2</w:t>
            </w:r>
          </w:p>
        </w:tc>
        <w:tc>
          <w:tcPr>
            <w:tcW w:w="6888" w:type="dxa"/>
            <w:noWrap w:val="0"/>
            <w:vAlign w:val="center"/>
          </w:tcPr>
          <w:p w14:paraId="332E2B34">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承包人提出的合理化建议降低了合同价格或者提高了工程经济效益的，发包人按所节约成本的%或增加收益的</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%给予奖励</w:t>
            </w:r>
          </w:p>
        </w:tc>
      </w:tr>
      <w:tr w14:paraId="3051C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4055C75B">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386" w:type="dxa"/>
            <w:noWrap w:val="0"/>
            <w:vAlign w:val="center"/>
          </w:tcPr>
          <w:p w14:paraId="1176F0B4">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16.1</w:t>
            </w:r>
          </w:p>
        </w:tc>
        <w:tc>
          <w:tcPr>
            <w:tcW w:w="6888" w:type="dxa"/>
            <w:noWrap w:val="0"/>
            <w:vAlign w:val="center"/>
          </w:tcPr>
          <w:p w14:paraId="1BAEF2EE">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因物价波动引起的价格调整按照以下原则处理：</w:t>
            </w:r>
          </w:p>
          <w:p w14:paraId="71336910">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□按第 16.1.1 项调价</w:t>
            </w:r>
          </w:p>
          <w:p w14:paraId="2D0807A8">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□按第 16.1.2 项调价</w:t>
            </w:r>
          </w:p>
          <w:p w14:paraId="11F069F5">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☑按第 16.1.3 项约定不调价</w:t>
            </w:r>
          </w:p>
        </w:tc>
      </w:tr>
      <w:tr w14:paraId="7517D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633737A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386" w:type="dxa"/>
            <w:noWrap w:val="0"/>
            <w:vAlign w:val="center"/>
          </w:tcPr>
          <w:p w14:paraId="37DC5DB3">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17.2.1</w:t>
            </w:r>
          </w:p>
          <w:p w14:paraId="5D84C380">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888" w:type="dxa"/>
            <w:noWrap w:val="0"/>
            <w:vAlign w:val="center"/>
          </w:tcPr>
          <w:p w14:paraId="5EBDAEEB">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开工预付款金额：</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%签约合同价</w:t>
            </w:r>
          </w:p>
        </w:tc>
      </w:tr>
      <w:tr w14:paraId="33A42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248ACCE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386" w:type="dxa"/>
            <w:noWrap w:val="0"/>
            <w:vAlign w:val="center"/>
          </w:tcPr>
          <w:p w14:paraId="6D84BEB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17.2.1</w:t>
            </w:r>
          </w:p>
          <w:p w14:paraId="6E6EFF38">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888" w:type="dxa"/>
            <w:noWrap w:val="0"/>
            <w:vAlign w:val="center"/>
          </w:tcPr>
          <w:p w14:paraId="18ECF425">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材料、设备预付款比例：/等主要材料、设备单据所列费用的</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tc>
      </w:tr>
      <w:tr w14:paraId="5C181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464A516B">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386" w:type="dxa"/>
            <w:noWrap w:val="0"/>
            <w:vAlign w:val="center"/>
          </w:tcPr>
          <w:p w14:paraId="0169429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17.3.2</w:t>
            </w:r>
          </w:p>
        </w:tc>
        <w:tc>
          <w:tcPr>
            <w:tcW w:w="6888" w:type="dxa"/>
            <w:noWrap w:val="0"/>
            <w:vAlign w:val="center"/>
          </w:tcPr>
          <w:p w14:paraId="0917D453">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承包人在每个付款周期末向咨询人提交进度付款申请单的份数：</w:t>
            </w:r>
            <w:r>
              <w:rPr>
                <w:rFonts w:hint="eastAsia" w:ascii="宋体" w:hAnsi="宋体" w:cs="宋体"/>
                <w:color w:val="auto"/>
                <w:szCs w:val="21"/>
                <w:highlight w:val="none"/>
                <w:u w:val="single"/>
              </w:rPr>
              <w:t xml:space="preserve"> 6 </w:t>
            </w:r>
            <w:r>
              <w:rPr>
                <w:rFonts w:hint="eastAsia" w:ascii="宋体" w:hAnsi="宋体" w:cs="宋体"/>
                <w:color w:val="auto"/>
                <w:szCs w:val="21"/>
                <w:highlight w:val="none"/>
              </w:rPr>
              <w:t>份</w:t>
            </w:r>
          </w:p>
        </w:tc>
      </w:tr>
      <w:tr w14:paraId="492A4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454DCEE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386" w:type="dxa"/>
            <w:noWrap w:val="0"/>
            <w:vAlign w:val="center"/>
          </w:tcPr>
          <w:p w14:paraId="57A84880">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17.3.3</w:t>
            </w:r>
          </w:p>
          <w:p w14:paraId="521AC765">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888" w:type="dxa"/>
            <w:noWrap w:val="0"/>
            <w:vAlign w:val="center"/>
          </w:tcPr>
          <w:p w14:paraId="1845C127">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逾期付款违约金的利率：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‰/天，</w:t>
            </w:r>
            <w:r>
              <w:rPr>
                <w:rFonts w:hint="eastAsia" w:ascii="Times New Roman" w:hAnsi="Times New Roman"/>
                <w:color w:val="auto"/>
                <w:spacing w:val="-2"/>
                <w:szCs w:val="21"/>
                <w:highlight w:val="none"/>
              </w:rPr>
              <w:t>（发生时，则按全国银行间同业拆借中心计算并公布的</w:t>
            </w:r>
            <w:r>
              <w:rPr>
                <w:rFonts w:ascii="Times New Roman" w:hAnsi="Times New Roman"/>
                <w:color w:val="auto"/>
                <w:spacing w:val="-2"/>
                <w:szCs w:val="21"/>
                <w:highlight w:val="none"/>
              </w:rPr>
              <w:t>1</w:t>
            </w:r>
            <w:r>
              <w:rPr>
                <w:rFonts w:hint="eastAsia" w:ascii="Times New Roman" w:hAnsi="Times New Roman"/>
                <w:color w:val="auto"/>
                <w:spacing w:val="-2"/>
                <w:szCs w:val="21"/>
                <w:highlight w:val="none"/>
              </w:rPr>
              <w:t>年期</w:t>
            </w:r>
            <w:r>
              <w:rPr>
                <w:rFonts w:ascii="Times New Roman" w:hAnsi="Times New Roman"/>
                <w:color w:val="auto"/>
                <w:spacing w:val="-2"/>
                <w:szCs w:val="21"/>
                <w:highlight w:val="none"/>
              </w:rPr>
              <w:t>LPR</w:t>
            </w:r>
            <w:r>
              <w:rPr>
                <w:rFonts w:hint="eastAsia" w:ascii="Times New Roman" w:hAnsi="Times New Roman"/>
                <w:color w:val="auto"/>
                <w:spacing w:val="-2"/>
                <w:szCs w:val="21"/>
                <w:highlight w:val="none"/>
              </w:rPr>
              <w:t>贷款市场报价利率计算）。本项目发包人为财政预算单位，该项目费用支付实行财政直接拨付，由于经费拨付程序造成的逾期支付，不属于上述逾期付款违约情况，产生的违约金不予支付。</w:t>
            </w:r>
          </w:p>
        </w:tc>
      </w:tr>
      <w:tr w14:paraId="0FDC8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05B75A24">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386" w:type="dxa"/>
            <w:noWrap w:val="0"/>
            <w:vAlign w:val="center"/>
          </w:tcPr>
          <w:p w14:paraId="1D3302D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17.4.1</w:t>
            </w:r>
          </w:p>
        </w:tc>
        <w:tc>
          <w:tcPr>
            <w:tcW w:w="6888" w:type="dxa"/>
            <w:noWrap w:val="0"/>
            <w:vAlign w:val="center"/>
          </w:tcPr>
          <w:p w14:paraId="6F6BAABA">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质量保证金金额：</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%合同价格,若交工验收时承包人具备被养护项目所在地省级交通运输主管部门评定的最高信用等级，发包人给予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%合同价格质量保证金的优惠。</w:t>
            </w:r>
          </w:p>
          <w:p w14:paraId="5B8BCB67">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质量保证金可采用的其他形式：保函</w:t>
            </w:r>
          </w:p>
          <w:p w14:paraId="045AA6F2">
            <w:pPr>
              <w:widowControl/>
              <w:kinsoku w:val="0"/>
              <w:autoSpaceDE w:val="0"/>
              <w:autoSpaceDN w:val="0"/>
              <w:adjustRightInd w:val="0"/>
              <w:snapToGrid w:val="0"/>
              <w:spacing w:line="38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质量保证金利息的计算方式：不计利息</w:t>
            </w:r>
          </w:p>
        </w:tc>
      </w:tr>
      <w:tr w14:paraId="2962F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2B15207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386" w:type="dxa"/>
            <w:noWrap w:val="0"/>
            <w:vAlign w:val="center"/>
          </w:tcPr>
          <w:p w14:paraId="5438CAE8">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17.5.1</w:t>
            </w:r>
          </w:p>
          <w:p w14:paraId="1B22AC5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888" w:type="dxa"/>
            <w:noWrap w:val="0"/>
            <w:vAlign w:val="center"/>
          </w:tcPr>
          <w:p w14:paraId="2A197856">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承包人向咨询人提交交工付款申请单（包括相关证明材料）的份数：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 xml:space="preserve"> 份</w:t>
            </w:r>
          </w:p>
        </w:tc>
      </w:tr>
      <w:tr w14:paraId="29947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04A327D8">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386" w:type="dxa"/>
            <w:noWrap w:val="0"/>
            <w:vAlign w:val="center"/>
          </w:tcPr>
          <w:p w14:paraId="782ADE66">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17.6.1</w:t>
            </w:r>
          </w:p>
          <w:p w14:paraId="7EB29AB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888" w:type="dxa"/>
            <w:noWrap w:val="0"/>
            <w:vAlign w:val="center"/>
          </w:tcPr>
          <w:p w14:paraId="46E61126">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承包人向咨询人提交最终结清申请单（包括相关证明材料）的份数：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 xml:space="preserve"> 份</w:t>
            </w:r>
          </w:p>
        </w:tc>
      </w:tr>
      <w:tr w14:paraId="4A91D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3E754E28">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386" w:type="dxa"/>
            <w:noWrap w:val="0"/>
            <w:vAlign w:val="center"/>
          </w:tcPr>
          <w:p w14:paraId="2C918C94">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18.3.1</w:t>
            </w:r>
          </w:p>
        </w:tc>
        <w:tc>
          <w:tcPr>
            <w:tcW w:w="6888" w:type="dxa"/>
            <w:noWrap w:val="0"/>
            <w:vAlign w:val="center"/>
          </w:tcPr>
          <w:p w14:paraId="046CA72D">
            <w:pPr>
              <w:widowControl/>
              <w:kinsoku w:val="0"/>
              <w:autoSpaceDE w:val="0"/>
              <w:autoSpaceDN w:val="0"/>
              <w:adjustRightInd w:val="0"/>
              <w:snapToGrid w:val="0"/>
              <w:spacing w:line="38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承包人提供工程验收资料和验收申请报告的期限：自咨询人评定合格后15日内</w:t>
            </w:r>
          </w:p>
          <w:p w14:paraId="5EE05C0E">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承包人提供工程验收资料和验收申请报告的份数：</w:t>
            </w:r>
            <w:r>
              <w:rPr>
                <w:rFonts w:hint="eastAsia" w:ascii="宋体" w:hAnsi="宋体" w:cs="宋体"/>
                <w:color w:val="auto"/>
                <w:szCs w:val="21"/>
                <w:highlight w:val="none"/>
                <w:u w:val="single"/>
              </w:rPr>
              <w:t>竣工图表及相关施工总结3份、其它原始资料1份，电子文件2份</w:t>
            </w:r>
          </w:p>
        </w:tc>
      </w:tr>
      <w:tr w14:paraId="14B92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5B32A47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386" w:type="dxa"/>
            <w:noWrap w:val="0"/>
            <w:vAlign w:val="center"/>
          </w:tcPr>
          <w:p w14:paraId="6F47C13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6888" w:type="dxa"/>
            <w:noWrap w:val="0"/>
            <w:vAlign w:val="center"/>
          </w:tcPr>
          <w:p w14:paraId="601CB78F">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承包人投保安全生产责任保险：</w:t>
            </w:r>
            <w:r>
              <w:rPr>
                <w:rFonts w:hint="eastAsia" w:ascii="宋体" w:hAnsi="宋体" w:cs="宋体"/>
                <w:color w:val="auto"/>
                <w:szCs w:val="21"/>
                <w:highlight w:val="none"/>
                <w:u w:val="single"/>
              </w:rPr>
              <w:t>是</w:t>
            </w:r>
          </w:p>
          <w:p w14:paraId="4E7B3D70">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安全生产责任保险保险金额：承包人应依照《安全生产责任保险实施办法》等规定依法办理安全生产责任保险</w:t>
            </w:r>
          </w:p>
          <w:p w14:paraId="01FBF451">
            <w:pPr>
              <w:widowControl/>
              <w:kinsoku w:val="0"/>
              <w:autoSpaceDE w:val="0"/>
              <w:autoSpaceDN w:val="0"/>
              <w:adjustRightInd w:val="0"/>
              <w:snapToGrid w:val="0"/>
              <w:spacing w:line="38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保险期限：开工日起直至本合同工程签发缺陷责任期终止证书止（即合同工期＋缺陷责任期）</w:t>
            </w:r>
          </w:p>
        </w:tc>
      </w:tr>
      <w:tr w14:paraId="64FD7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795A8B0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1386" w:type="dxa"/>
            <w:noWrap w:val="0"/>
            <w:vAlign w:val="center"/>
          </w:tcPr>
          <w:p w14:paraId="0E168C65">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20.2.1</w:t>
            </w:r>
          </w:p>
        </w:tc>
        <w:tc>
          <w:tcPr>
            <w:tcW w:w="6888" w:type="dxa"/>
            <w:noWrap w:val="0"/>
            <w:vAlign w:val="center"/>
          </w:tcPr>
          <w:p w14:paraId="1AF3BF3A">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保险险种：建筑工程一切险；保险范围：为本合同工程的永久工程、临时工程和设备及已运至施工工地用于永久工程的材料和设备所投的保险；</w:t>
            </w:r>
          </w:p>
          <w:p w14:paraId="5BCD9DBA">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保险金额：</w:t>
            </w:r>
            <w:r>
              <w:rPr>
                <w:rFonts w:hint="eastAsia" w:ascii="宋体" w:hAnsi="宋体" w:cs="宋体"/>
                <w:color w:val="auto"/>
                <w:szCs w:val="21"/>
                <w:highlight w:val="none"/>
                <w:u w:val="single"/>
              </w:rPr>
              <w:t>工程量清单第100章（不含建筑工程一切险及第三者责任险的保险费）至700章的合计金额</w:t>
            </w:r>
            <w:r>
              <w:rPr>
                <w:rFonts w:hint="eastAsia" w:ascii="宋体" w:hAnsi="宋体" w:cs="宋体"/>
                <w:color w:val="auto"/>
                <w:szCs w:val="21"/>
                <w:highlight w:val="none"/>
              </w:rPr>
              <w:t>；保险费率：</w:t>
            </w:r>
            <w:r>
              <w:rPr>
                <w:rFonts w:hint="eastAsia" w:ascii="宋体" w:hAnsi="宋体" w:cs="宋体"/>
                <w:color w:val="auto"/>
                <w:szCs w:val="21"/>
                <w:highlight w:val="none"/>
                <w:u w:val="single"/>
              </w:rPr>
              <w:t>3</w:t>
            </w:r>
            <w:r>
              <w:rPr>
                <w:rFonts w:hint="eastAsia" w:ascii="宋体" w:hAnsi="宋体" w:cs="宋体"/>
                <w:color w:val="auto"/>
                <w:szCs w:val="21"/>
                <w:highlight w:val="none"/>
              </w:rPr>
              <w:t>‰；保险期限：开工日起直至本合同工程签发缺陷责任期终止证书止（即合同工期＋缺陷责任期）</w:t>
            </w:r>
          </w:p>
        </w:tc>
      </w:tr>
      <w:tr w14:paraId="2BF93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74993D9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1386" w:type="dxa"/>
            <w:noWrap w:val="0"/>
            <w:vAlign w:val="center"/>
          </w:tcPr>
          <w:p w14:paraId="2896ABC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20.2.2</w:t>
            </w:r>
          </w:p>
          <w:p w14:paraId="0AB88C26">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888" w:type="dxa"/>
            <w:noWrap w:val="0"/>
            <w:vAlign w:val="center"/>
          </w:tcPr>
          <w:p w14:paraId="4DF96086">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第三者责任险的最低投保金额：</w:t>
            </w:r>
            <w:r>
              <w:rPr>
                <w:rFonts w:hint="eastAsia" w:ascii="宋体" w:hAnsi="宋体" w:cs="宋体"/>
                <w:color w:val="auto"/>
                <w:szCs w:val="21"/>
                <w:highlight w:val="none"/>
                <w:u w:val="single"/>
              </w:rPr>
              <w:t>100</w:t>
            </w:r>
            <w:r>
              <w:rPr>
                <w:rFonts w:hint="eastAsia" w:ascii="宋体" w:hAnsi="宋体" w:cs="宋体"/>
                <w:color w:val="auto"/>
                <w:szCs w:val="21"/>
                <w:highlight w:val="none"/>
              </w:rPr>
              <w:t>万元，事故次数不限（不计免赔额）</w:t>
            </w:r>
          </w:p>
          <w:p w14:paraId="21CC6F54">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保险费率：</w:t>
            </w:r>
            <w:r>
              <w:rPr>
                <w:rFonts w:hint="eastAsia" w:ascii="宋体" w:hAnsi="宋体" w:cs="宋体"/>
                <w:color w:val="auto"/>
                <w:szCs w:val="21"/>
                <w:highlight w:val="none"/>
                <w:u w:val="single"/>
              </w:rPr>
              <w:t>3</w:t>
            </w:r>
            <w:r>
              <w:rPr>
                <w:rFonts w:hint="eastAsia" w:ascii="宋体" w:hAnsi="宋体" w:cs="宋体"/>
                <w:color w:val="auto"/>
                <w:szCs w:val="21"/>
                <w:highlight w:val="none"/>
              </w:rPr>
              <w:t>‰</w:t>
            </w:r>
          </w:p>
        </w:tc>
      </w:tr>
      <w:tr w14:paraId="355DB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74" w:type="dxa"/>
            <w:noWrap w:val="0"/>
            <w:vAlign w:val="center"/>
          </w:tcPr>
          <w:p w14:paraId="07C62100">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386" w:type="dxa"/>
            <w:noWrap w:val="0"/>
            <w:vAlign w:val="center"/>
          </w:tcPr>
          <w:p w14:paraId="5744300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6888" w:type="dxa"/>
            <w:noWrap w:val="0"/>
            <w:vAlign w:val="center"/>
          </w:tcPr>
          <w:p w14:paraId="604E9104">
            <w:pPr>
              <w:widowControl/>
              <w:kinsoku w:val="0"/>
              <w:autoSpaceDE w:val="0"/>
              <w:autoSpaceDN w:val="0"/>
              <w:adjustRightInd w:val="0"/>
              <w:snapToGrid w:val="0"/>
              <w:spacing w:line="38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争议的最终解决方式：向发包人所在地有管辖权的人民法院提起诉讼</w:t>
            </w:r>
          </w:p>
          <w:p w14:paraId="2E99343E">
            <w:pPr>
              <w:widowControl/>
              <w:kinsoku w:val="0"/>
              <w:autoSpaceDE w:val="0"/>
              <w:autoSpaceDN w:val="0"/>
              <w:adjustRightInd w:val="0"/>
              <w:snapToGrid w:val="0"/>
              <w:spacing w:line="38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如采用仲裁，仲裁委员会名称：/</w:t>
            </w:r>
          </w:p>
        </w:tc>
      </w:tr>
    </w:tbl>
    <w:p w14:paraId="4547B26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67A0692C">
      <w:pPr>
        <w:rPr>
          <w:rFonts w:hint="eastAsia" w:ascii="宋体" w:hAnsi="宋体" w:cs="宋体"/>
          <w:color w:val="auto"/>
          <w:sz w:val="24"/>
          <w:szCs w:val="24"/>
          <w:highlight w:val="none"/>
        </w:rPr>
      </w:pPr>
      <w:bookmarkStart w:id="152" w:name="bookmark77"/>
      <w:bookmarkEnd w:id="152"/>
      <w:bookmarkStart w:id="153" w:name="bookmark78"/>
      <w:bookmarkEnd w:id="153"/>
      <w:r>
        <w:rPr>
          <w:rFonts w:hint="eastAsia" w:ascii="宋体" w:hAnsi="宋体" w:cs="宋体"/>
          <w:color w:val="auto"/>
          <w:sz w:val="24"/>
          <w:szCs w:val="24"/>
          <w:highlight w:val="none"/>
        </w:rPr>
        <w:br w:type="page"/>
      </w:r>
    </w:p>
    <w:p w14:paraId="54A9165F">
      <w:pPr>
        <w:widowControl/>
        <w:kinsoku w:val="0"/>
        <w:autoSpaceDE w:val="0"/>
        <w:autoSpaceDN w:val="0"/>
        <w:adjustRightInd w:val="0"/>
        <w:snapToGrid w:val="0"/>
        <w:spacing w:line="440" w:lineRule="exact"/>
        <w:ind w:firstLine="482" w:firstLineChars="200"/>
        <w:jc w:val="left"/>
        <w:textAlignment w:val="baseline"/>
        <w:outlineLvl w:val="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二、专用合同条款</w:t>
      </w:r>
    </w:p>
    <w:p w14:paraId="3E50204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说明：本部分所列的专用合同条款是对“通用合同条款 ”中约定必须在专用合同条款中明确的内容的集中，发包人编制的“专用合同条款 ”不限于本部分所列内容。</w:t>
      </w:r>
    </w:p>
    <w:p w14:paraId="5AA036AD">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54" w:name="bookmark80"/>
      <w:bookmarkEnd w:id="154"/>
      <w:bookmarkStart w:id="155" w:name="bookmark79"/>
      <w:bookmarkEnd w:id="155"/>
      <w:r>
        <w:rPr>
          <w:rFonts w:hint="eastAsia" w:ascii="宋体" w:hAnsi="宋体" w:cs="宋体"/>
          <w:b/>
          <w:bCs/>
          <w:color w:val="auto"/>
          <w:sz w:val="24"/>
          <w:szCs w:val="24"/>
          <w:highlight w:val="none"/>
        </w:rPr>
        <w:t>1.一般约定</w:t>
      </w:r>
    </w:p>
    <w:p w14:paraId="14699FA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1.1词语定义</w:t>
      </w:r>
    </w:p>
    <w:p w14:paraId="54E7154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1.1.3养护项目、养护工程和</w:t>
      </w:r>
      <w:r>
        <w:rPr>
          <w:rFonts w:hint="eastAsia" w:ascii="宋体" w:hAnsi="宋体" w:cs="宋体"/>
          <w:color w:val="000000" w:themeColor="text1"/>
          <w:sz w:val="24"/>
          <w:szCs w:val="24"/>
          <w:highlight w:val="none"/>
          <w14:textFill>
            <w14:solidFill>
              <w14:schemeClr w14:val="tx1"/>
            </w14:solidFill>
          </w14:textFill>
        </w:rPr>
        <w:t>设备</w:t>
      </w:r>
    </w:p>
    <w:p w14:paraId="7B66BF9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1.1.3.1养护项目：</w:t>
      </w:r>
      <w:r>
        <w:rPr>
          <w:rFonts w:hint="eastAsia" w:cs="宋体"/>
          <w:color w:val="000000" w:themeColor="text1"/>
          <w:sz w:val="24"/>
          <w:szCs w:val="24"/>
          <w:highlight w:val="none"/>
          <w:u w:val="single"/>
          <w:lang w:val="en-US" w:eastAsia="zh-CN"/>
          <w14:textFill>
            <w14:solidFill>
              <w14:schemeClr w14:val="tx1"/>
            </w14:solidFill>
          </w14:textFill>
        </w:rPr>
        <w:t>吐鲁番市托克逊县郭勒布依乡开斯克尔村道路硬化项目</w:t>
      </w:r>
      <w:r>
        <w:rPr>
          <w:rFonts w:hint="eastAsia" w:ascii="宋体" w:hAnsi="宋体" w:cs="宋体"/>
          <w:color w:val="000000" w:themeColor="text1"/>
          <w:sz w:val="24"/>
          <w:szCs w:val="24"/>
          <w:highlight w:val="none"/>
          <w14:textFill>
            <w14:solidFill>
              <w14:schemeClr w14:val="tx1"/>
            </w14:solidFill>
          </w14:textFill>
        </w:rPr>
        <w:t>。</w:t>
      </w:r>
    </w:p>
    <w:p w14:paraId="7479DC9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1.1.3.2养护工程：</w:t>
      </w:r>
      <w:r>
        <w:rPr>
          <w:rFonts w:hint="eastAsia" w:cs="宋体"/>
          <w:color w:val="000000" w:themeColor="text1"/>
          <w:sz w:val="24"/>
          <w:szCs w:val="24"/>
          <w:highlight w:val="none"/>
          <w:u w:val="single"/>
          <w:lang w:val="en-US" w:eastAsia="zh-CN"/>
          <w14:textFill>
            <w14:solidFill>
              <w14:schemeClr w14:val="tx1"/>
            </w14:solidFill>
          </w14:textFill>
        </w:rPr>
        <w:t>吐鲁番市托克逊县郭勒布依乡开斯克尔村道路硬化项目</w:t>
      </w:r>
      <w:r>
        <w:rPr>
          <w:rFonts w:hint="eastAsia" w:ascii="宋体" w:hAnsi="宋体" w:cs="宋体"/>
          <w:color w:val="000000" w:themeColor="text1"/>
          <w:sz w:val="24"/>
          <w:szCs w:val="24"/>
          <w:highlight w:val="none"/>
          <w14:textFill>
            <w14:solidFill>
              <w14:schemeClr w14:val="tx1"/>
            </w14:solidFill>
          </w14:textFill>
        </w:rPr>
        <w:t>。</w:t>
      </w:r>
    </w:p>
    <w:p w14:paraId="34A3873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1.1.4 日期</w:t>
      </w:r>
    </w:p>
    <w:p w14:paraId="47AC4F9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1.1.4.3工期：</w:t>
      </w:r>
      <w:r>
        <w:rPr>
          <w:rFonts w:hint="eastAsia" w:ascii="宋体" w:hAnsi="宋体" w:cs="宋体"/>
          <w:color w:val="000000" w:themeColor="text1"/>
          <w:sz w:val="24"/>
          <w:szCs w:val="24"/>
          <w:highlight w:val="none"/>
          <w:u w:val="single"/>
          <w:lang w:val="en-US" w:eastAsia="zh-CN"/>
          <w14:textFill>
            <w14:solidFill>
              <w14:schemeClr w14:val="tx1"/>
            </w14:solidFill>
          </w14:textFill>
        </w:rPr>
        <w:t>合同签订后8个月内</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1D9EE4D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 养护管理信息系统</w:t>
      </w:r>
    </w:p>
    <w:p w14:paraId="6BFC891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养护相关技术文件和养护数据的收集、加工、录入、存储、归档、费用列支等要求：</w:t>
      </w:r>
      <w:r>
        <w:rPr>
          <w:rFonts w:hint="eastAsia" w:ascii="宋体" w:hAnsi="宋体" w:cs="宋体"/>
          <w:color w:val="auto"/>
          <w:sz w:val="24"/>
          <w:szCs w:val="24"/>
          <w:highlight w:val="none"/>
          <w:u w:val="single"/>
        </w:rPr>
        <w:t>已包含在合同总价中，发包人不单独计量支付</w:t>
      </w:r>
      <w:r>
        <w:rPr>
          <w:rFonts w:hint="eastAsia" w:ascii="宋体" w:hAnsi="宋体" w:cs="宋体"/>
          <w:color w:val="auto"/>
          <w:sz w:val="24"/>
          <w:szCs w:val="24"/>
          <w:highlight w:val="none"/>
        </w:rPr>
        <w:t>。</w:t>
      </w:r>
    </w:p>
    <w:p w14:paraId="311F211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1.12施工产生资源的归属</w:t>
      </w:r>
    </w:p>
    <w:p w14:paraId="5F5C49C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本项目施工产生的可循环再生利用资源包括：</w:t>
      </w:r>
      <w:r>
        <w:rPr>
          <w:rFonts w:hint="eastAsia" w:ascii="宋体" w:hAnsi="宋体" w:cs="宋体"/>
          <w:color w:val="auto"/>
          <w:sz w:val="24"/>
          <w:szCs w:val="24"/>
          <w:highlight w:val="none"/>
          <w:u w:val="single"/>
        </w:rPr>
        <w:t xml:space="preserve">   沥青（如有）、交安设施   </w:t>
      </w:r>
      <w:r>
        <w:rPr>
          <w:rFonts w:hint="eastAsia" w:ascii="宋体" w:hAnsi="宋体" w:cs="宋体"/>
          <w:color w:val="auto"/>
          <w:sz w:val="24"/>
          <w:szCs w:val="24"/>
          <w:highlight w:val="none"/>
        </w:rPr>
        <w:t xml:space="preserve"> ；</w:t>
      </w:r>
    </w:p>
    <w:p w14:paraId="1336201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处置方式：</w:t>
      </w:r>
      <w:r>
        <w:rPr>
          <w:rFonts w:hint="eastAsia" w:ascii="宋体" w:hAnsi="宋体" w:cs="宋体"/>
          <w:color w:val="auto"/>
          <w:sz w:val="24"/>
          <w:szCs w:val="24"/>
          <w:highlight w:val="none"/>
          <w:u w:val="single"/>
        </w:rPr>
        <w:t>分类收集，及时回收运至所属管养路段养护管理所指定地点进行分类储存与再生利用</w:t>
      </w:r>
      <w:r>
        <w:rPr>
          <w:rFonts w:hint="eastAsia" w:ascii="宋体" w:hAnsi="宋体" w:cs="宋体"/>
          <w:color w:val="auto"/>
          <w:sz w:val="24"/>
          <w:szCs w:val="24"/>
          <w:highlight w:val="none"/>
        </w:rPr>
        <w:t>；</w:t>
      </w:r>
    </w:p>
    <w:p w14:paraId="2654875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费用承担：</w:t>
      </w:r>
      <w:r>
        <w:rPr>
          <w:rFonts w:hint="eastAsia" w:ascii="宋体" w:hAnsi="宋体" w:cs="宋体"/>
          <w:color w:val="auto"/>
          <w:sz w:val="24"/>
          <w:szCs w:val="24"/>
          <w:highlight w:val="none"/>
          <w:u w:val="single"/>
        </w:rPr>
        <w:t xml:space="preserve"> 承包人承担拆除、收集、运输、卸货等于此有关的一切费用</w:t>
      </w:r>
      <w:r>
        <w:rPr>
          <w:rFonts w:hint="eastAsia" w:ascii="宋体" w:hAnsi="宋体" w:cs="宋体"/>
          <w:color w:val="auto"/>
          <w:sz w:val="24"/>
          <w:szCs w:val="24"/>
          <w:highlight w:val="none"/>
        </w:rPr>
        <w:t>；</w:t>
      </w:r>
    </w:p>
    <w:p w14:paraId="027C8B4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利益分享：</w:t>
      </w:r>
      <w:r>
        <w:rPr>
          <w:rFonts w:hint="eastAsia" w:ascii="宋体" w:hAnsi="宋体" w:cs="宋体"/>
          <w:color w:val="auto"/>
          <w:sz w:val="24"/>
          <w:szCs w:val="24"/>
          <w:highlight w:val="none"/>
          <w:u w:val="single"/>
        </w:rPr>
        <w:t xml:space="preserve">  全部归发包人所有  </w:t>
      </w:r>
      <w:r>
        <w:rPr>
          <w:rFonts w:hint="eastAsia" w:ascii="宋体" w:hAnsi="宋体" w:cs="宋体"/>
          <w:color w:val="auto"/>
          <w:sz w:val="24"/>
          <w:szCs w:val="24"/>
          <w:highlight w:val="none"/>
        </w:rPr>
        <w:t xml:space="preserve"> 。</w:t>
      </w:r>
    </w:p>
    <w:p w14:paraId="49E86F80">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56" w:name="bookmark82"/>
      <w:bookmarkEnd w:id="156"/>
      <w:bookmarkStart w:id="157" w:name="bookmark81"/>
      <w:bookmarkEnd w:id="157"/>
      <w:r>
        <w:rPr>
          <w:rFonts w:hint="eastAsia" w:ascii="宋体" w:hAnsi="宋体" w:cs="宋体"/>
          <w:b/>
          <w:bCs/>
          <w:color w:val="auto"/>
          <w:sz w:val="24"/>
          <w:szCs w:val="24"/>
          <w:highlight w:val="none"/>
        </w:rPr>
        <w:t>4.承包人</w:t>
      </w:r>
    </w:p>
    <w:p w14:paraId="71BDC12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4.1承包人的一般义务</w:t>
      </w:r>
    </w:p>
    <w:p w14:paraId="25CE921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4.1.11 其他义务</w:t>
      </w:r>
    </w:p>
    <w:p w14:paraId="42A67C0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本项补充：（1）承包人应履行的其他义务：在本项目与现有公路相交汇的路段，承包人应做好社会交通便道的规划安排，严禁在戈壁、荒漠、草地上乱开便道。施工过程中严格按便道施工要求执行，对土质为粉质土路段，施工时要注意洒水，以避免环境污染。</w:t>
      </w:r>
    </w:p>
    <w:p w14:paraId="19C5B83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本项目根据现场情况而定，对于边施工、边通车的路段，为保证社会运输畅通，承包人应在可修建便道的地方修建便道。施工期间必须维持社会交通运输畅通，并设置符合规定的反光安全警示标志牌（合同段的起始点处设置醒目的告知牌，告知牌内容包括工程概况、施工单位、监理单位等应告知的内容）。若因设计要求改移原有道路或施工对未作改移的公路干扰时，必须有详实可行的施工组织设计，并经监理工程师批准后，才能对设计工程破土动工。承包人应在相关单价中考虑施工干扰、保通、养护产生的费用。如果承包人未能对其负责的上述事项采取各种必要的措施而导致发生与此有关的人身伤亡、罚款、索赔、损失补偿、诉讼等费用及其它一切责任由承包人负责。同时承包人应按新疆维吾尔自治区交通厅新交监察[2001]5号“关于在公路改建工程中加强便道管理保障通行的通知”、《公路工程建设项目便道管理办法》和设计文件的要求建设、管理和养护便道，保证社会和区间交通的需要。上述工作内容和要求所涉及的相关费用均视为已包括在或已计入本合同工程的总额价之中，发包人均不再另行支付。</w:t>
      </w:r>
    </w:p>
    <w:p w14:paraId="3017E3A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承包人应根据设计文件中或合同文件的要求，在路基施工前完成社会便道的修筑，并加强对便道的日常养护与维护，确保安全畅通。若未能按设计文件或合同文件中的要求完成便道的修筑及日常维护，不能保证社会车辆的安全通行，造成不良社会影响的，则发包人有权在其工程结算价款中予以扣除便道费用并直接委托第三方进行便道的维护。</w:t>
      </w:r>
    </w:p>
    <w:p w14:paraId="1A8D6D0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修建的社会交通便道，应自费养护维修并恢复原貌。承包人应在冬季组织人员、除雪设备做好防雪保通措施，冬季防雪保通的费用由承包人负责，并应保证发包人免于承担因上述道路的使用所引起的补偿费、诉讼费、损害费、指控费及其他开支，上述工作内容和要求所涉及的相关费用均视为已包括在或已计入本合同工程的总额价之中，发包人均不再另行支付。如果承包人拒不承担，发包人将另雇人员完成上述工作内容，所发生的费用由发包人从应付承包人的任何款项内扣除。在工程竣工时，对于约定予以保留的，需由发包人验收合格。</w:t>
      </w:r>
    </w:p>
    <w:p w14:paraId="708975B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（2）在合同实施过程中，为保证工程质量和进度，预防施工过程中出现突发状况，项目经理部人员因事外出时，至少保证项目经理或项目总工其中1人在岗，以保证及时处理、解决突发情况。</w:t>
      </w:r>
    </w:p>
    <w:p w14:paraId="050B188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（3）承包人应按发包人要求或监理人指示对施工过程质量资料进行电子化归档、存储、保存、移交，应考虑计入在本合同工程已标价的工程量清单中，发包人不另行支付。</w:t>
      </w:r>
    </w:p>
    <w:p w14:paraId="368277A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（4）承包人应采用公路工程计量支付软件进行计量工作，其数据接口应满足发包人数据的接口标准，应考虑计入在本合同工程已标价工程量清单中，发包人不另行支付。</w:t>
      </w:r>
    </w:p>
    <w:p w14:paraId="388862C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（5）未经发包人同意，不得将本合同段的任何部分，分包或转让给本合同段以外的第三方。</w:t>
      </w:r>
    </w:p>
    <w:p w14:paraId="0B8968A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（6）本工程实行工程质量终身责任制和追究制，任何违反施工操作而导致工程质量存在严重缺陷和不足，将追究其领导责任和主要人员责任。</w:t>
      </w:r>
    </w:p>
    <w:p w14:paraId="59F680C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（7）承包人在本施工合同段应加强环境保护，不得乱砍滥挖，否则发包人将按合同条款予以处罚。</w:t>
      </w:r>
    </w:p>
    <w:p w14:paraId="72429DC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8）承包人应承担并支付为获得本合同工程所需的石料、砂、砾石、黏土或其他当地材料等所发生的料场使用费及其他开支或补偿费。承包人及时依法依规办理临时用地使用相关手续（包括恢复环水保、环水保变更手续、复耕手续等），并承担相关费用。发包人应尽可能协助承包人办理料场及临时用地手续及解决使用过程中的有关问题。</w:t>
      </w:r>
    </w:p>
    <w:p w14:paraId="093AD42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除不可抗力因素外，发包人提供的本合同工程的水文、地质、气象和料场分布、取土场、弃土场、拌合站位置等参考资料，仅供参考，并不构成合同文件的组成部分，承包人应自行考虑，工程施工过程中如料场分布、取土场、弃土场、拌合站等的位置发生变化时，承包人必须向发包人进行报备。如因料场分布、取土场、弃土场、拌合站的位置或运距变化产生的相关费用，均视为已含在相关报价中，发包人不再支付由此产生的一切费用，均由承包人承担此部分费用。</w:t>
      </w:r>
    </w:p>
    <w:p w14:paraId="1D8D9CA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承包人应严格遵守国家有关解决拖欠工程款和农民工工资的法律、法规，及时支付工程中的材料、设备货款及农民工工资等费用。承包人不得以任何借口拖欠材料、设备货款及农民工工资等费用，如果出现此种现象，发包人有权代为支付其拖欠的材料、设备货款及农民工工资，并从应付给承包人的工程款中扣除相应款项。对恶意拖欠和拒不按计划支付的，作为不良记录纳入公路建设市场信用信息管理系统。</w:t>
      </w:r>
    </w:p>
    <w:p w14:paraId="02805A0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严格按照《新疆维吾尔自治区工程建设领域农民工工资支付与监管工作指引（第一版）》（新人社规〔2023〕41号）的相关规定执行。承包人必须依法与农民工本人或具有劳务资质的劳务公司签订合同，并依合同约定要求劳务公司与每一名农民工签订劳动合同，约定工资标准(工日单价或计量单价)和支付方式等。承包人临时或短期聘用的农民工应签订短期临时合同，坚持先签合同后进场。劳动合同应明确工作期限、工作地点（或工程建设项目地点）、工作内容、工资标准(计时工资、计件工资、定额工资等）、支付方式、支付时间等内容，盖章（用人单位公章）、签字、签订日期应齐全。按计量周期核算农民工工资并连同当期计量一起向发保人申请支付，发包人按照承包人申请的农民工工资金额向承包人农民工专用账户进行支付，并在当期工程款中扣除。承包人以实名制管理信息为基础，按月考核农民工工作量，编制农民工工作量表(班组劳务工作量清单），并依据劳动合同约定的工资标准、考勤天数、津补贴标准等，计算各班组农民工应发工资数额，编制工资支付表，当月考勤表、工作量表、工资支付表应当经农民工本人签字确认后进行支付。实行周、日、小时工资制的，按照周、日、小时为周期支付工资；实行计件工资制的，按劳动合同约定的周期支付工资，但工资支付周期最长不得超过一个月。</w:t>
      </w:r>
    </w:p>
    <w:p w14:paraId="0D6C486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对于以农民工工资拖欠名义讹诈工程款、胁迫解决合同纠纷的恶劣行为，发包人将报送公安部门依法依规从严处理。 。</w:t>
      </w:r>
    </w:p>
    <w:p w14:paraId="43FA474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4.2履约保证金</w:t>
      </w:r>
    </w:p>
    <w:p w14:paraId="3A14F4B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4.2.1 承包人提交履约保证金的形式为</w:t>
      </w:r>
      <w:r>
        <w:rPr>
          <w:rFonts w:hint="eastAsia" w:ascii="宋体" w:hAnsi="宋体" w:cs="宋体"/>
          <w:color w:val="auto"/>
          <w:sz w:val="24"/>
          <w:szCs w:val="24"/>
          <w:highlight w:val="none"/>
          <w:u w:val="single"/>
        </w:rPr>
        <w:t>保函或现金、支票形式</w:t>
      </w:r>
      <w:r>
        <w:rPr>
          <w:rFonts w:hint="eastAsia" w:ascii="宋体" w:hAnsi="宋体" w:cs="宋体"/>
          <w:color w:val="auto"/>
          <w:sz w:val="24"/>
          <w:szCs w:val="24"/>
          <w:highlight w:val="none"/>
        </w:rPr>
        <w:t>，金额为</w:t>
      </w:r>
      <w:r>
        <w:rPr>
          <w:rFonts w:hint="eastAsia" w:ascii="宋体" w:hAnsi="宋体" w:cs="宋体"/>
          <w:color w:val="auto"/>
          <w:sz w:val="24"/>
          <w:szCs w:val="24"/>
          <w:highlight w:val="none"/>
          <w:u w:val="single"/>
        </w:rPr>
        <w:t>10％签约合同价</w:t>
      </w:r>
      <w:r>
        <w:rPr>
          <w:rFonts w:hint="eastAsia" w:ascii="宋体" w:hAnsi="宋体" w:cs="宋体"/>
          <w:color w:val="auto"/>
          <w:sz w:val="24"/>
          <w:szCs w:val="24"/>
          <w:highlight w:val="none"/>
        </w:rPr>
        <w:t>，期限为</w:t>
      </w:r>
      <w:r>
        <w:rPr>
          <w:rFonts w:hint="eastAsia" w:ascii="宋体" w:hAnsi="宋体" w:cs="宋体"/>
          <w:color w:val="auto"/>
          <w:sz w:val="24"/>
          <w:szCs w:val="24"/>
          <w:highlight w:val="none"/>
          <w:u w:val="single"/>
        </w:rPr>
        <w:t>自发包人与承包人签订的合同生效之日起至发包人签发交工验收证书且承包人按照合同约定缴纳质量保证金之日止</w:t>
      </w:r>
      <w:r>
        <w:rPr>
          <w:rFonts w:hint="eastAsia" w:ascii="宋体" w:hAnsi="宋体" w:cs="宋体"/>
          <w:color w:val="auto"/>
          <w:sz w:val="24"/>
          <w:szCs w:val="24"/>
          <w:highlight w:val="none"/>
        </w:rPr>
        <w:t>。</w:t>
      </w:r>
    </w:p>
    <w:p w14:paraId="03F295A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4.3 转包、分包</w:t>
      </w:r>
    </w:p>
    <w:p w14:paraId="1295956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4.3.2 本项目允许分包的范围：</w:t>
      </w:r>
      <w:r>
        <w:rPr>
          <w:rFonts w:hint="eastAsia" w:ascii="宋体" w:hAnsi="宋体" w:cs="宋体"/>
          <w:color w:val="auto"/>
          <w:sz w:val="24"/>
          <w:szCs w:val="24"/>
          <w:highlight w:val="none"/>
          <w:u w:val="single"/>
        </w:rPr>
        <w:t xml:space="preserve">  不允许 </w:t>
      </w:r>
      <w:r>
        <w:rPr>
          <w:rFonts w:hint="eastAsia" w:ascii="宋体" w:hAnsi="宋体" w:cs="宋体"/>
          <w:color w:val="auto"/>
          <w:sz w:val="24"/>
          <w:szCs w:val="24"/>
          <w:highlight w:val="none"/>
        </w:rPr>
        <w:t xml:space="preserve"> 。</w:t>
      </w:r>
    </w:p>
    <w:p w14:paraId="5523D31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4.3.3分包人应满足的资格能力条件</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w:t>
      </w:r>
    </w:p>
    <w:p w14:paraId="6406FEC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bookmarkStart w:id="158" w:name="bookmark201"/>
      <w:bookmarkEnd w:id="158"/>
      <w:r>
        <w:rPr>
          <w:rFonts w:hint="eastAsia" w:ascii="宋体" w:hAnsi="宋体" w:cs="宋体"/>
          <w:color w:val="auto"/>
          <w:sz w:val="24"/>
          <w:szCs w:val="24"/>
          <w:highlight w:val="none"/>
        </w:rPr>
        <w:t>4.5承包人项目经理和项目总工</w:t>
      </w:r>
    </w:p>
    <w:p w14:paraId="3505A62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4.5.1承包人项目经理和项目总工的到职期限：</w:t>
      </w:r>
      <w:r>
        <w:rPr>
          <w:rFonts w:hint="eastAsia" w:ascii="宋体" w:hAnsi="宋体" w:cs="宋体"/>
          <w:color w:val="auto"/>
          <w:sz w:val="24"/>
          <w:szCs w:val="24"/>
          <w:highlight w:val="none"/>
          <w:u w:val="single"/>
        </w:rPr>
        <w:t>合同约定开工之日5天前</w:t>
      </w:r>
      <w:r>
        <w:rPr>
          <w:rFonts w:hint="eastAsia" w:ascii="宋体" w:hAnsi="宋体" w:cs="宋体"/>
          <w:color w:val="auto"/>
          <w:sz w:val="24"/>
          <w:szCs w:val="24"/>
          <w:highlight w:val="none"/>
        </w:rPr>
        <w:t xml:space="preserve"> ，驻场要求：</w:t>
      </w:r>
      <w:r>
        <w:rPr>
          <w:rFonts w:hint="eastAsia" w:ascii="宋体" w:hAnsi="宋体" w:cs="宋体"/>
          <w:color w:val="auto"/>
          <w:sz w:val="24"/>
          <w:szCs w:val="24"/>
          <w:highlight w:val="none"/>
          <w:u w:val="single"/>
        </w:rPr>
        <w:t>每月在养护作业场地时间不得少于25天</w:t>
      </w:r>
      <w:r>
        <w:rPr>
          <w:rFonts w:hint="eastAsia" w:ascii="宋体" w:hAnsi="宋体" w:cs="宋体"/>
          <w:color w:val="auto"/>
          <w:sz w:val="24"/>
          <w:szCs w:val="24"/>
          <w:highlight w:val="none"/>
        </w:rPr>
        <w:t>。</w:t>
      </w:r>
    </w:p>
    <w:p w14:paraId="50E11A7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4.12承包人现场查勘</w:t>
      </w:r>
    </w:p>
    <w:p w14:paraId="24CFFC0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4.12.2发包人向承包人提供养护项目的相关图纸和资料包括：</w:t>
      </w:r>
      <w:r>
        <w:rPr>
          <w:rFonts w:hint="eastAsia" w:ascii="宋体" w:hAnsi="宋体" w:cs="宋体"/>
          <w:color w:val="auto"/>
          <w:sz w:val="24"/>
          <w:szCs w:val="24"/>
          <w:highlight w:val="none"/>
          <w:u w:val="single"/>
        </w:rPr>
        <w:t>施工图</w:t>
      </w:r>
      <w:r>
        <w:rPr>
          <w:rFonts w:hint="eastAsia" w:ascii="宋体" w:hAnsi="宋体" w:cs="宋体"/>
          <w:color w:val="auto"/>
          <w:sz w:val="24"/>
          <w:szCs w:val="24"/>
          <w:highlight w:val="none"/>
        </w:rPr>
        <w:t>： 。</w:t>
      </w:r>
    </w:p>
    <w:p w14:paraId="2C0B403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4.13不利物质条件</w:t>
      </w:r>
    </w:p>
    <w:p w14:paraId="5FA0E09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4.13.1 不利物质条件特殊约定：</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14:paraId="6B0167F6">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59" w:name="bookmark83"/>
      <w:bookmarkEnd w:id="159"/>
      <w:bookmarkStart w:id="160" w:name="bookmark84"/>
      <w:bookmarkEnd w:id="160"/>
      <w:r>
        <w:rPr>
          <w:rFonts w:hint="eastAsia" w:ascii="宋体" w:hAnsi="宋体" w:cs="宋体"/>
          <w:b/>
          <w:bCs/>
          <w:color w:val="auto"/>
          <w:sz w:val="24"/>
          <w:szCs w:val="24"/>
          <w:highlight w:val="none"/>
        </w:rPr>
        <w:t>5.材料和工程设备</w:t>
      </w:r>
    </w:p>
    <w:p w14:paraId="73B7CCA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5.1承包人提供的材料和工程设备</w:t>
      </w:r>
    </w:p>
    <w:p w14:paraId="4CE9B31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5.1.2 本项约定为：</w:t>
      </w:r>
      <w:r>
        <w:rPr>
          <w:rFonts w:hint="eastAsia" w:ascii="宋体" w:hAnsi="宋体" w:cs="宋体"/>
          <w:color w:val="auto"/>
          <w:sz w:val="24"/>
          <w:szCs w:val="24"/>
          <w:highlight w:val="none"/>
          <w:u w:val="single"/>
        </w:rPr>
        <w:t xml:space="preserve">  工程所需全部材料   </w:t>
      </w:r>
      <w:r>
        <w:rPr>
          <w:rFonts w:hint="eastAsia" w:ascii="宋体" w:hAnsi="宋体" w:cs="宋体"/>
          <w:color w:val="auto"/>
          <w:sz w:val="24"/>
          <w:szCs w:val="24"/>
          <w:highlight w:val="none"/>
        </w:rPr>
        <w:t xml:space="preserve"> 。</w:t>
      </w:r>
    </w:p>
    <w:p w14:paraId="3503B633">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61" w:name="bookmark86"/>
      <w:bookmarkEnd w:id="161"/>
      <w:bookmarkStart w:id="162" w:name="bookmark85"/>
      <w:bookmarkEnd w:id="162"/>
      <w:r>
        <w:rPr>
          <w:rFonts w:hint="eastAsia" w:ascii="宋体" w:hAnsi="宋体" w:cs="宋体"/>
          <w:b/>
          <w:bCs/>
          <w:color w:val="auto"/>
          <w:sz w:val="24"/>
          <w:szCs w:val="24"/>
          <w:highlight w:val="none"/>
        </w:rPr>
        <w:t>7.交通运输</w:t>
      </w:r>
    </w:p>
    <w:p w14:paraId="04F4170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7.2养护路段内交通</w:t>
      </w:r>
    </w:p>
    <w:p w14:paraId="7698001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承包人使用养护路段产生的通行费的特殊约定：</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14:paraId="08ECBB2D">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63" w:name="bookmark87"/>
      <w:bookmarkEnd w:id="163"/>
      <w:bookmarkStart w:id="164" w:name="bookmark88"/>
      <w:bookmarkEnd w:id="164"/>
      <w:r>
        <w:rPr>
          <w:rFonts w:hint="eastAsia" w:ascii="宋体" w:hAnsi="宋体" w:cs="宋体"/>
          <w:b/>
          <w:bCs/>
          <w:color w:val="auto"/>
          <w:sz w:val="24"/>
          <w:szCs w:val="24"/>
          <w:highlight w:val="none"/>
        </w:rPr>
        <w:t>9.养护作业安全、治安保卫和环境保护</w:t>
      </w:r>
    </w:p>
    <w:p w14:paraId="047A06C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9.2承包人的养护安全责任</w:t>
      </w:r>
    </w:p>
    <w:p w14:paraId="74BF477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9.2.8承包人在养护作业场地配置专职安全生产管理人员的数量：</w:t>
      </w:r>
      <w:r>
        <w:rPr>
          <w:rFonts w:hint="eastAsia" w:ascii="宋体" w:hAnsi="宋体" w:cs="宋体"/>
          <w:color w:val="auto"/>
          <w:sz w:val="24"/>
          <w:szCs w:val="24"/>
          <w:highlight w:val="none"/>
          <w:u w:val="single"/>
        </w:rPr>
        <w:t xml:space="preserve"> 3</w:t>
      </w:r>
      <w:r>
        <w:rPr>
          <w:rFonts w:hint="eastAsia" w:ascii="宋体" w:hAnsi="宋体" w:cs="宋体"/>
          <w:color w:val="auto"/>
          <w:sz w:val="24"/>
          <w:szCs w:val="24"/>
          <w:highlight w:val="none"/>
        </w:rPr>
        <w:t xml:space="preserve"> 人；专职安全生产管理人员应满足的条件：</w:t>
      </w:r>
      <w:r>
        <w:rPr>
          <w:rFonts w:hint="eastAsia" w:ascii="宋体" w:hAnsi="宋体" w:cs="宋体"/>
          <w:color w:val="auto"/>
          <w:sz w:val="24"/>
          <w:szCs w:val="24"/>
          <w:highlight w:val="none"/>
          <w:u w:val="single"/>
        </w:rPr>
        <w:t xml:space="preserve">持有安全生产考核合格证书(C类)  </w:t>
      </w:r>
      <w:r>
        <w:rPr>
          <w:rFonts w:hint="eastAsia" w:ascii="宋体" w:hAnsi="宋体" w:cs="宋体"/>
          <w:color w:val="auto"/>
          <w:sz w:val="24"/>
          <w:szCs w:val="24"/>
          <w:highlight w:val="none"/>
        </w:rPr>
        <w:t>。</w:t>
      </w:r>
    </w:p>
    <w:p w14:paraId="2E4CFF39">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65" w:name="bookmark89"/>
      <w:bookmarkEnd w:id="165"/>
      <w:bookmarkStart w:id="166" w:name="bookmark90"/>
      <w:bookmarkEnd w:id="166"/>
      <w:r>
        <w:rPr>
          <w:rFonts w:hint="eastAsia" w:ascii="宋体" w:hAnsi="宋体" w:cs="宋体"/>
          <w:b/>
          <w:bCs/>
          <w:color w:val="auto"/>
          <w:sz w:val="24"/>
          <w:szCs w:val="24"/>
          <w:highlight w:val="none"/>
        </w:rPr>
        <w:t>10.进度计划</w:t>
      </w:r>
    </w:p>
    <w:p w14:paraId="41E0111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10.1合同进度计划</w:t>
      </w:r>
    </w:p>
    <w:p w14:paraId="2CE20D9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承包人向咨询人报送的养护作业方案说明的内容：</w:t>
      </w:r>
      <w:r>
        <w:rPr>
          <w:rFonts w:hint="eastAsia" w:ascii="宋体" w:hAnsi="宋体" w:cs="宋体"/>
          <w:color w:val="auto"/>
          <w:sz w:val="24"/>
          <w:szCs w:val="24"/>
          <w:highlight w:val="none"/>
          <w:u w:val="single"/>
        </w:rPr>
        <w:t>施工组织、交通导改等与工程有关的一切施工计划</w:t>
      </w:r>
      <w:r>
        <w:rPr>
          <w:rFonts w:hint="eastAsia" w:ascii="宋体" w:hAnsi="宋体" w:cs="宋体"/>
          <w:color w:val="auto"/>
          <w:sz w:val="24"/>
          <w:szCs w:val="24"/>
          <w:highlight w:val="none"/>
        </w:rPr>
        <w:t xml:space="preserve"> 。</w:t>
      </w:r>
    </w:p>
    <w:p w14:paraId="048B3E4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10.2合同进度计划的修订</w:t>
      </w:r>
    </w:p>
    <w:p w14:paraId="5323251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承包人向咨询人提交修订合同进度计划的申请报告的期限为：</w:t>
      </w:r>
      <w:r>
        <w:rPr>
          <w:rFonts w:hint="eastAsia" w:ascii="宋体" w:hAnsi="宋体" w:cs="宋体"/>
          <w:color w:val="auto"/>
          <w:sz w:val="24"/>
          <w:szCs w:val="24"/>
          <w:highlight w:val="none"/>
          <w:u w:val="single"/>
        </w:rPr>
        <w:t xml:space="preserve"> 7</w:t>
      </w:r>
      <w:r>
        <w:rPr>
          <w:rFonts w:hint="eastAsia" w:ascii="宋体" w:hAnsi="宋体" w:cs="宋体"/>
          <w:color w:val="auto"/>
          <w:sz w:val="24"/>
          <w:szCs w:val="24"/>
          <w:highlight w:val="none"/>
        </w:rPr>
        <w:t xml:space="preserve"> 天。</w:t>
      </w:r>
    </w:p>
    <w:p w14:paraId="62F91B5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咨询人批复承包人修订的合同进度计划的期限为：</w:t>
      </w:r>
      <w:r>
        <w:rPr>
          <w:rFonts w:hint="eastAsia" w:ascii="宋体" w:hAnsi="宋体" w:cs="宋体"/>
          <w:color w:val="auto"/>
          <w:sz w:val="24"/>
          <w:szCs w:val="24"/>
          <w:highlight w:val="none"/>
          <w:u w:val="single"/>
        </w:rPr>
        <w:t xml:space="preserve"> 7 </w:t>
      </w:r>
      <w:r>
        <w:rPr>
          <w:rFonts w:hint="eastAsia" w:ascii="宋体" w:hAnsi="宋体" w:cs="宋体"/>
          <w:color w:val="auto"/>
          <w:sz w:val="24"/>
          <w:szCs w:val="24"/>
          <w:highlight w:val="none"/>
        </w:rPr>
        <w:t xml:space="preserve">  天。</w:t>
      </w:r>
    </w:p>
    <w:p w14:paraId="7CDBCC0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bookmarkStart w:id="167" w:name="bookmark202"/>
      <w:bookmarkEnd w:id="167"/>
      <w:r>
        <w:rPr>
          <w:rFonts w:hint="eastAsia" w:ascii="宋体" w:hAnsi="宋体" w:cs="宋体"/>
          <w:color w:val="auto"/>
          <w:sz w:val="24"/>
          <w:szCs w:val="24"/>
          <w:highlight w:val="none"/>
        </w:rPr>
        <w:t>10.3年度作业计划</w:t>
      </w:r>
    </w:p>
    <w:p w14:paraId="4ED4C02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承包人向咨询人提交下一年度的养护作业计划的期限为：</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天。</w:t>
      </w:r>
    </w:p>
    <w:p w14:paraId="4CA7125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承包人向咨询人提交下一年度的养护作业计划的内容：</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5C8B7BA3">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68" w:name="bookmark92"/>
      <w:bookmarkEnd w:id="168"/>
      <w:bookmarkStart w:id="169" w:name="bookmark91"/>
      <w:bookmarkEnd w:id="169"/>
      <w:r>
        <w:rPr>
          <w:rFonts w:hint="eastAsia" w:ascii="宋体" w:hAnsi="宋体" w:cs="宋体"/>
          <w:b/>
          <w:bCs/>
          <w:color w:val="auto"/>
          <w:sz w:val="24"/>
          <w:szCs w:val="24"/>
          <w:highlight w:val="none"/>
        </w:rPr>
        <w:t>11.开工和交工</w:t>
      </w:r>
    </w:p>
    <w:p w14:paraId="26E6F1E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11.4 异常恶劣的气候条件</w:t>
      </w:r>
    </w:p>
    <w:p w14:paraId="1F71400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异常恶劣的气候条件的范围：</w:t>
      </w:r>
      <w:r>
        <w:rPr>
          <w:rFonts w:hint="eastAsia" w:ascii="宋体" w:hAnsi="宋体" w:cs="宋体"/>
          <w:color w:val="auto"/>
          <w:sz w:val="24"/>
          <w:szCs w:val="24"/>
          <w:highlight w:val="none"/>
          <w:u w:val="single"/>
        </w:rPr>
        <w:t>项目所在地30年以上一遇的罕见气候现象（包括温度、降水、降雪、风等）</w:t>
      </w:r>
      <w:r>
        <w:rPr>
          <w:rFonts w:hint="eastAsia" w:ascii="宋体" w:hAnsi="宋体" w:cs="宋体"/>
          <w:color w:val="auto"/>
          <w:sz w:val="24"/>
          <w:szCs w:val="24"/>
          <w:highlight w:val="none"/>
        </w:rPr>
        <w:t>。</w:t>
      </w:r>
    </w:p>
    <w:p w14:paraId="564F95F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0378242B">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70" w:name="bookmark94"/>
      <w:bookmarkEnd w:id="170"/>
      <w:bookmarkStart w:id="171" w:name="bookmark93"/>
      <w:bookmarkEnd w:id="171"/>
      <w:r>
        <w:rPr>
          <w:rFonts w:hint="eastAsia" w:ascii="宋体" w:hAnsi="宋体" w:cs="宋体"/>
          <w:b/>
          <w:bCs/>
          <w:color w:val="auto"/>
          <w:sz w:val="24"/>
          <w:szCs w:val="24"/>
          <w:highlight w:val="none"/>
        </w:rPr>
        <w:t>12.暂停养护作业</w:t>
      </w:r>
    </w:p>
    <w:p w14:paraId="5D46D58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12.1承包人暂停养护作业的责任</w:t>
      </w:r>
    </w:p>
    <w:p w14:paraId="5E7B46B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12.1（6）由承包人承担的其他暂停养护作业情形：</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14:paraId="37347A1D">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72" w:name="bookmark95"/>
      <w:bookmarkEnd w:id="172"/>
      <w:bookmarkStart w:id="173" w:name="bookmark96"/>
      <w:bookmarkEnd w:id="173"/>
      <w:r>
        <w:rPr>
          <w:rFonts w:hint="eastAsia" w:ascii="宋体" w:hAnsi="宋体" w:cs="宋体"/>
          <w:b/>
          <w:bCs/>
          <w:color w:val="auto"/>
          <w:sz w:val="24"/>
          <w:szCs w:val="24"/>
          <w:highlight w:val="none"/>
        </w:rPr>
        <w:t>15.变更</w:t>
      </w:r>
    </w:p>
    <w:p w14:paraId="2D57D81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15.4变更的估价原则</w:t>
      </w:r>
    </w:p>
    <w:p w14:paraId="371F0D8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15.4.4变更工作在已标价工程量清单中无适用或类似子目的单价时，确定其单价遵循的原则为：</w:t>
      </w:r>
      <w:r>
        <w:rPr>
          <w:rFonts w:hint="eastAsia" w:ascii="宋体" w:hAnsi="宋体" w:cs="宋体"/>
          <w:color w:val="auto"/>
          <w:sz w:val="24"/>
          <w:szCs w:val="24"/>
          <w:highlight w:val="none"/>
          <w:u w:val="single"/>
        </w:rPr>
        <w:t>按《新疆维吾尔自治区交通建设工程设计变更管理办法》及《新疆维吾尔自治区公路管理局交通建设工程设计变更管理实施细则》规定的顺序，选用及确定新增工程单价</w:t>
      </w:r>
      <w:r>
        <w:rPr>
          <w:rFonts w:hint="eastAsia" w:ascii="宋体" w:hAnsi="宋体" w:cs="宋体"/>
          <w:color w:val="auto"/>
          <w:sz w:val="24"/>
          <w:szCs w:val="24"/>
          <w:highlight w:val="none"/>
        </w:rPr>
        <w:t>。</w:t>
      </w:r>
    </w:p>
    <w:p w14:paraId="657463D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15.8 暂估价</w:t>
      </w:r>
    </w:p>
    <w:p w14:paraId="1E892AD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按暂估价确定的工程、材料、工程设备、服务的实施主体为：/。</w:t>
      </w:r>
    </w:p>
    <w:p w14:paraId="5D3D6CF9">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74" w:name="bookmark98"/>
      <w:bookmarkEnd w:id="174"/>
      <w:bookmarkStart w:id="175" w:name="bookmark97"/>
      <w:bookmarkEnd w:id="175"/>
      <w:r>
        <w:rPr>
          <w:rFonts w:hint="eastAsia" w:ascii="宋体" w:hAnsi="宋体" w:cs="宋体"/>
          <w:b/>
          <w:bCs/>
          <w:color w:val="auto"/>
          <w:sz w:val="24"/>
          <w:szCs w:val="24"/>
          <w:highlight w:val="none"/>
        </w:rPr>
        <w:t>16.价格调整</w:t>
      </w:r>
    </w:p>
    <w:p w14:paraId="190AB7D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本项目不调价</w:t>
      </w:r>
    </w:p>
    <w:p w14:paraId="78B36CD5">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76" w:name="bookmark100"/>
      <w:bookmarkEnd w:id="176"/>
      <w:bookmarkStart w:id="177" w:name="bookmark99"/>
      <w:bookmarkEnd w:id="177"/>
      <w:r>
        <w:rPr>
          <w:rFonts w:hint="eastAsia" w:ascii="宋体" w:hAnsi="宋体" w:cs="宋体"/>
          <w:b/>
          <w:bCs/>
          <w:color w:val="auto"/>
          <w:sz w:val="24"/>
          <w:szCs w:val="24"/>
          <w:highlight w:val="none"/>
        </w:rPr>
        <w:t>17.计量与支付</w:t>
      </w:r>
    </w:p>
    <w:p w14:paraId="1F21227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17.1计量</w:t>
      </w:r>
    </w:p>
    <w:p w14:paraId="030F77E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17.1.3计量周期</w:t>
      </w:r>
    </w:p>
    <w:p w14:paraId="3C7C6CA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（2）总价子目的计量周期：</w:t>
      </w:r>
      <w:r>
        <w:rPr>
          <w:rFonts w:hint="eastAsia" w:ascii="宋体" w:hAnsi="宋体" w:cs="宋体"/>
          <w:color w:val="auto"/>
          <w:sz w:val="24"/>
          <w:szCs w:val="24"/>
          <w:highlight w:val="none"/>
          <w:u w:val="single"/>
        </w:rPr>
        <w:t xml:space="preserve">  按实际完成工作量及时限计量支付 </w:t>
      </w:r>
      <w:r>
        <w:rPr>
          <w:rFonts w:hint="eastAsia" w:ascii="宋体" w:hAnsi="宋体" w:cs="宋体"/>
          <w:color w:val="auto"/>
          <w:sz w:val="24"/>
          <w:szCs w:val="24"/>
          <w:highlight w:val="none"/>
        </w:rPr>
        <w:t xml:space="preserve"> 。</w:t>
      </w:r>
    </w:p>
    <w:p w14:paraId="66DC007A">
      <w:pPr>
        <w:widowControl/>
        <w:kinsoku w:val="0"/>
        <w:autoSpaceDE w:val="0"/>
        <w:autoSpaceDN w:val="0"/>
        <w:adjustRightInd w:val="0"/>
        <w:snapToGrid w:val="0"/>
        <w:spacing w:line="44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补充（3）结合项目资金到位情况，按实际完成合格工作量及时计量支付。</w:t>
      </w:r>
    </w:p>
    <w:p w14:paraId="193FEDC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17.1.5总价子目的计量</w:t>
      </w:r>
    </w:p>
    <w:p w14:paraId="21A3C54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（2）合同总价支付分解表为：</w:t>
      </w:r>
      <w:r>
        <w:rPr>
          <w:rFonts w:hint="eastAsia" w:ascii="宋体" w:hAnsi="宋体" w:cs="宋体"/>
          <w:color w:val="auto"/>
          <w:sz w:val="24"/>
          <w:szCs w:val="24"/>
          <w:highlight w:val="none"/>
          <w:u w:val="single"/>
        </w:rPr>
        <w:t xml:space="preserve">  已标价工程量清单  </w:t>
      </w:r>
      <w:r>
        <w:rPr>
          <w:rFonts w:hint="eastAsia" w:ascii="宋体" w:hAnsi="宋体" w:cs="宋体"/>
          <w:color w:val="auto"/>
          <w:sz w:val="24"/>
          <w:szCs w:val="24"/>
          <w:highlight w:val="none"/>
        </w:rPr>
        <w:t>。</w:t>
      </w:r>
    </w:p>
    <w:p w14:paraId="3260792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（5）总额价子目的支付原则和支付进度为：</w:t>
      </w:r>
      <w:r>
        <w:rPr>
          <w:rFonts w:hint="eastAsia" w:ascii="宋体" w:hAnsi="宋体" w:cs="宋体"/>
          <w:color w:val="auto"/>
          <w:sz w:val="24"/>
          <w:szCs w:val="24"/>
          <w:highlight w:val="none"/>
          <w:u w:val="single"/>
        </w:rPr>
        <w:t>101节保险费，根据保险公司的保单经咨询人（监理）签证后支付，支付额度不能超过本子目的报价总额。</w:t>
      </w:r>
    </w:p>
    <w:p w14:paraId="210F082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102节 竣工文件费在咨询人（监理）验收合格后一次支付。</w:t>
      </w:r>
    </w:p>
    <w:p w14:paraId="535E4B1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施工环保费在第一次进度付款时支付总额的90%。交工验收证书签发后，支付总额的10%。</w:t>
      </w:r>
    </w:p>
    <w:p w14:paraId="25982BE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安全生产费根据新疆交通运输厅《安全生产费用管理暂行规定（试行）》（新交工程〔2010〕23号）和财政部、应急管理部《关于印发〈企业安全生产费用提取和使用管理办法〉的通知》（财资〔2022〕136号）等规定，工程开工日一个月内向承包人支付年度预算安全生产费用总额的50%，后续根据工程进度和实际发生的安全生产费进行计量与支付，但累计支付额度不能超过本子目的报价总额。</w:t>
      </w:r>
    </w:p>
    <w:p w14:paraId="7DC3A1D1">
      <w:pPr>
        <w:widowControl/>
        <w:kinsoku w:val="0"/>
        <w:autoSpaceDE w:val="0"/>
        <w:autoSpaceDN w:val="0"/>
        <w:adjustRightInd w:val="0"/>
        <w:snapToGrid w:val="0"/>
        <w:spacing w:line="440" w:lineRule="exact"/>
        <w:ind w:firstLine="480" w:firstLineChars="200"/>
        <w:textAlignment w:val="baseline"/>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交通安全管理与保通在第一次进度付款时支付总额的90%。交工验收证书签发后，支付总额的10%。</w:t>
      </w:r>
    </w:p>
    <w:p w14:paraId="54C5CA6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103节临时工程完工后，由监理人验收合格后，在第一次进度付款时支付总额的80%；所报总价中余下的20%，待交工验收证书颁发后支付。</w:t>
      </w:r>
    </w:p>
    <w:p w14:paraId="46FCC71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104节承包人驻地建设所报总价的90%，应在第一次进度付款证书中支付；余下的10%，应在承包人驻地建设已经移走和清除，并经咨询人（监理）验收合格时予以支付</w:t>
      </w:r>
      <w:r>
        <w:rPr>
          <w:rFonts w:hint="eastAsia" w:ascii="宋体" w:hAnsi="宋体" w:cs="宋体"/>
          <w:color w:val="auto"/>
          <w:sz w:val="24"/>
          <w:szCs w:val="24"/>
          <w:highlight w:val="none"/>
        </w:rPr>
        <w:t>。</w:t>
      </w:r>
    </w:p>
    <w:p w14:paraId="7BEBCAE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17.3 工程进度付款</w:t>
      </w:r>
    </w:p>
    <w:p w14:paraId="01200A7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17.3.5农民工工资保证金的缴存时间：开工之前；</w:t>
      </w:r>
    </w:p>
    <w:p w14:paraId="4BF52DF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农民工工资保证金的缴存金额：3%签约合同价。</w:t>
      </w:r>
    </w:p>
    <w:p w14:paraId="4DE8746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pacing w:val="-20"/>
          <w:sz w:val="24"/>
          <w:szCs w:val="24"/>
          <w:highlight w:val="none"/>
        </w:rPr>
      </w:pPr>
      <w:r>
        <w:rPr>
          <w:rFonts w:hint="eastAsia" w:ascii="宋体" w:hAnsi="宋体" w:cs="宋体"/>
          <w:color w:val="auto"/>
          <w:sz w:val="24"/>
          <w:szCs w:val="24"/>
          <w:highlight w:val="none"/>
        </w:rPr>
        <w:t>农民工工资保证金的扣留条件：</w:t>
      </w:r>
      <w:r>
        <w:rPr>
          <w:rFonts w:hint="eastAsia" w:ascii="宋体" w:hAnsi="宋体" w:cs="宋体"/>
          <w:color w:val="auto"/>
          <w:spacing w:val="-20"/>
          <w:sz w:val="24"/>
          <w:szCs w:val="24"/>
          <w:highlight w:val="none"/>
        </w:rPr>
        <w:t>承包人拖欠工资被责令限期支付逾期未支付时；</w:t>
      </w:r>
    </w:p>
    <w:p w14:paraId="4E9552F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农民工工资保证金的返还时间：工程完工，施工单位做出不存在未解决的拖欠农民工工资问题的书面承诺，并在施工现场维权信息告示牌及属地人力资源社会保障行政部门门户网站公示30日后，可以申请返还工资保证金或银行保函正本。</w:t>
      </w:r>
    </w:p>
    <w:p w14:paraId="3794767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承包人应严格按照《新疆维吾尔自治区工程建设领域农民工工资支付与监管工作指引（第一版）》（新人社规〔2023〕41号）、中华人民共和国国务院令第724号《保障农民工工资支付条例》、《交通运输部关于公路水运工程建设领域保障农民工工资支付的意见》交公路规〔2020〕5号、《自治区人力资源和社会保障厅等七部门关于印发&lt;新疆维吾尔自治区工程建设领域农民工工资保证金管理实施细则&gt;的通知》（新人社规〔2022〕3号）、《关于在公路基础设施建设中使用农民工有关意见的通知》（新交综〔2003〕42号文）、《新疆维吾尔自治区交通厅关于交通建设项目防止拖欠工程款和农民工工资管理暂行办法（试行）》、《新疆维吾尔自治区公路工程建设农民工用工管理办法（试行）》（新交工程〔2017〕16号）等相关规定执行。</w:t>
      </w:r>
    </w:p>
    <w:p w14:paraId="2C6FA8D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农民工工资的发放，应严格按照中华人民共和国国务院令第724号《保障农民工工资支付条例》、《自治区人力资源和社会保障厅等七部门关于印发&lt;新疆维吾尔自治区工程建设领域农民工工资保证金管理实施细则&gt;的通知》（新人社规〔2022〕3号）、新疆维吾尔自治区人社、住建、交通、水利四部门联合印发的《关于在工程建设领域实行农民工工资专用账户管理和银行代发工资制度的通知》新人社发〔2018〕4号和新疆维吾尔自治区交通运输厅文件《关于印发&lt;新疆维吾尔自治区交通厅关于交通建设项目防止拖欠工程款和农民工工资管理暂行办法（试行）&gt;的通知》（新交综〔2005〕42号）的规定执行。若发生拖欠农民工工资的情况，发包人有权动用此保证金支付被拖欠的农民工工资。此保证金不足以支付拖欠的农民工工资，不足金额在履约保证金及质量保证金中支付。</w:t>
      </w:r>
    </w:p>
    <w:p w14:paraId="09386AF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为认真贯彻落实自治区党委、人民政府关于使用农民工解决新疆维吾尔自治区农村劳动力了过剩、增加农民收入有关问题的指示精神，承包人应严格按《关于在公路基础设施建设中使用农民工有关意见的通知》（新交综〔2003〕42号文）、《新疆维吾尔自治区公路工程建设农民工用工管理办法（试行）》（新交工程〔2017〕16号）及《关于印发自治区固定资产投资项目促进农村劳动力培训就业工作实施方案的通知》（新政办发〔2017〕62号）等相关规定做好使用农民工的工作，承诺在施工中总体用工的70%以上、一般普工的90%要使用项目沿线或附近的农民工，并制定相应的计划和措施。</w:t>
      </w:r>
    </w:p>
    <w:p w14:paraId="44DB5D6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17.3.6安全生产费支付比例：</w:t>
      </w:r>
      <w:r>
        <w:rPr>
          <w:rFonts w:hint="eastAsia" w:ascii="宋体" w:hAnsi="宋体" w:cs="宋体"/>
          <w:color w:val="auto"/>
          <w:sz w:val="24"/>
          <w:szCs w:val="24"/>
          <w:highlight w:val="none"/>
          <w:u w:val="single"/>
        </w:rPr>
        <w:t>安全生产费根据新疆交通运输厅《安全生产费用管理暂行规定（试行）》（新交工程〔2010〕23号）和财政部、应急管理部《关于印发〈企业安全生产费用提取和使用管理办法〉的通知》（财资〔2022〕136号）等规定，工程开工日一个月内向承包人支付年度预算安全生产费用总额的50%，后续根据工程进度和实际发生的安全生产费进行计量与支付，但累计支付额度不能超过本子目的报价总额</w:t>
      </w:r>
      <w:r>
        <w:rPr>
          <w:rFonts w:hint="eastAsia" w:ascii="宋体" w:hAnsi="宋体" w:cs="宋体"/>
          <w:color w:val="auto"/>
          <w:sz w:val="24"/>
          <w:szCs w:val="24"/>
          <w:highlight w:val="none"/>
        </w:rPr>
        <w:t>。</w:t>
      </w:r>
    </w:p>
    <w:p w14:paraId="743D57D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安全生产费支付条件：</w:t>
      </w:r>
      <w:r>
        <w:rPr>
          <w:rFonts w:hint="eastAsia" w:ascii="宋体" w:hAnsi="宋体" w:cs="宋体"/>
          <w:color w:val="auto"/>
          <w:sz w:val="24"/>
          <w:szCs w:val="24"/>
          <w:highlight w:val="none"/>
          <w:u w:val="single"/>
        </w:rPr>
        <w:t>提供安全生产费发票，发票备注项目名称，不得重复使用</w:t>
      </w:r>
      <w:r>
        <w:rPr>
          <w:rFonts w:hint="eastAsia" w:ascii="宋体" w:hAnsi="宋体" w:cs="宋体"/>
          <w:color w:val="auto"/>
          <w:sz w:val="24"/>
          <w:szCs w:val="24"/>
          <w:highlight w:val="none"/>
        </w:rPr>
        <w:t>。</w:t>
      </w:r>
    </w:p>
    <w:p w14:paraId="55A7F3D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17.7财政资金申请与支付</w:t>
      </w:r>
    </w:p>
    <w:p w14:paraId="2AC4A06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养护项目资金来源为：</w:t>
      </w:r>
      <w:r>
        <w:rPr>
          <w:rFonts w:hint="eastAsia" w:ascii="宋体" w:hAnsi="宋体" w:cs="宋体"/>
          <w:color w:val="auto"/>
          <w:sz w:val="24"/>
          <w:szCs w:val="24"/>
          <w:highlight w:val="none"/>
          <w:u w:val="single"/>
          <w:lang w:val="en-US" w:eastAsia="zh-CN"/>
        </w:rPr>
        <w:t xml:space="preserve">自治区财政衔接推进乡村振兴补助资金 </w:t>
      </w:r>
      <w:r>
        <w:rPr>
          <w:rFonts w:hint="eastAsia" w:ascii="宋体" w:hAnsi="宋体" w:cs="宋体"/>
          <w:color w:val="auto"/>
          <w:sz w:val="24"/>
          <w:szCs w:val="24"/>
          <w:highlight w:val="none"/>
        </w:rPr>
        <w:t>。</w:t>
      </w:r>
    </w:p>
    <w:p w14:paraId="70980B36">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78" w:name="bookmark101"/>
      <w:bookmarkEnd w:id="178"/>
      <w:bookmarkStart w:id="179" w:name="bookmark102"/>
      <w:bookmarkEnd w:id="179"/>
      <w:r>
        <w:rPr>
          <w:rFonts w:hint="eastAsia" w:ascii="宋体" w:hAnsi="宋体" w:cs="宋体"/>
          <w:b/>
          <w:bCs/>
          <w:color w:val="auto"/>
          <w:sz w:val="24"/>
          <w:szCs w:val="24"/>
          <w:highlight w:val="none"/>
        </w:rPr>
        <w:t>18.工程验收</w:t>
      </w:r>
    </w:p>
    <w:p w14:paraId="64B8602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18.1工程验收的含义</w:t>
      </w:r>
    </w:p>
    <w:p w14:paraId="206212A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18.1.1验收单位：</w:t>
      </w:r>
      <w:r>
        <w:rPr>
          <w:rFonts w:hint="eastAsia" w:ascii="宋体" w:hAnsi="宋体" w:cs="宋体"/>
          <w:color w:val="auto"/>
          <w:sz w:val="24"/>
          <w:szCs w:val="24"/>
          <w:highlight w:val="none"/>
          <w:u w:val="single"/>
          <w:lang w:val="en-US" w:eastAsia="zh-CN"/>
        </w:rPr>
        <w:t>托克逊县交通运输局</w:t>
      </w:r>
      <w:r>
        <w:rPr>
          <w:rFonts w:hint="eastAsia" w:ascii="宋体" w:hAnsi="宋体" w:cs="宋体"/>
          <w:color w:val="auto"/>
          <w:sz w:val="24"/>
          <w:szCs w:val="24"/>
          <w:highlight w:val="none"/>
        </w:rPr>
        <w:t>。</w:t>
      </w:r>
    </w:p>
    <w:p w14:paraId="1EF96D6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18.1.2本项目工程验收方式：</w:t>
      </w:r>
      <w:r>
        <w:rPr>
          <w:rFonts w:hint="eastAsia" w:ascii="宋体" w:hAnsi="宋体" w:cs="宋体"/>
          <w:color w:val="auto"/>
          <w:sz w:val="24"/>
          <w:szCs w:val="24"/>
          <w:highlight w:val="none"/>
          <w:u w:val="single"/>
        </w:rPr>
        <w:t>一阶段验收</w:t>
      </w:r>
      <w:r>
        <w:rPr>
          <w:rFonts w:hint="eastAsia" w:ascii="宋体" w:hAnsi="宋体" w:cs="宋体"/>
          <w:color w:val="auto"/>
          <w:sz w:val="24"/>
          <w:szCs w:val="24"/>
          <w:highlight w:val="none"/>
        </w:rPr>
        <w:t xml:space="preserve"> 。</w:t>
      </w:r>
    </w:p>
    <w:p w14:paraId="44164BE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本项目工程验收时间：</w:t>
      </w:r>
      <w:r>
        <w:rPr>
          <w:rFonts w:hint="eastAsia" w:ascii="宋体" w:hAnsi="宋体" w:cs="宋体"/>
          <w:color w:val="auto"/>
          <w:sz w:val="24"/>
          <w:szCs w:val="24"/>
          <w:highlight w:val="none"/>
          <w:u w:val="single"/>
        </w:rPr>
        <w:t xml:space="preserve"> 项目完工且咨询人评定合格后</w:t>
      </w:r>
      <w:r>
        <w:rPr>
          <w:rFonts w:hint="eastAsia" w:ascii="宋体" w:hAnsi="宋体" w:cs="宋体"/>
          <w:color w:val="auto"/>
          <w:sz w:val="24"/>
          <w:szCs w:val="24"/>
          <w:highlight w:val="none"/>
        </w:rPr>
        <w:t>。</w:t>
      </w:r>
    </w:p>
    <w:p w14:paraId="2FFB541D">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80" w:name="bookmark104"/>
      <w:bookmarkEnd w:id="180"/>
      <w:bookmarkStart w:id="181" w:name="bookmark103"/>
      <w:bookmarkEnd w:id="181"/>
      <w:r>
        <w:rPr>
          <w:rFonts w:hint="eastAsia" w:ascii="宋体" w:hAnsi="宋体" w:cs="宋体"/>
          <w:b/>
          <w:bCs/>
          <w:color w:val="auto"/>
          <w:sz w:val="24"/>
          <w:szCs w:val="24"/>
          <w:highlight w:val="none"/>
        </w:rPr>
        <w:t>20.保险</w:t>
      </w:r>
    </w:p>
    <w:p w14:paraId="06A3A16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20.6 对各项保险的一般要求</w:t>
      </w:r>
    </w:p>
    <w:p w14:paraId="636D0774">
      <w:pPr>
        <w:widowControl/>
        <w:wordWrap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20.6.1承包人向发包人提交各项保险生效的证据和保险单副本的期限：</w:t>
      </w:r>
      <w:r>
        <w:rPr>
          <w:rFonts w:hint="eastAsia" w:ascii="宋体" w:hAnsi="宋体" w:cs="宋体"/>
          <w:color w:val="auto"/>
          <w:sz w:val="24"/>
          <w:szCs w:val="24"/>
          <w:highlight w:val="none"/>
          <w:u w:val="single"/>
        </w:rPr>
        <w:t xml:space="preserve"> 承包人必须在第一期计量支付时向业主出具投保的原始保单，否则业主有权不予支付计量款</w:t>
      </w:r>
      <w:r>
        <w:rPr>
          <w:rFonts w:hint="eastAsia" w:ascii="宋体" w:hAnsi="宋体" w:cs="宋体"/>
          <w:color w:val="auto"/>
          <w:sz w:val="24"/>
          <w:szCs w:val="24"/>
          <w:highlight w:val="none"/>
        </w:rPr>
        <w:t>。</w:t>
      </w:r>
    </w:p>
    <w:p w14:paraId="4F3FF3B1">
      <w:pPr>
        <w:widowControl/>
        <w:kinsoku w:val="0"/>
        <w:autoSpaceDE w:val="0"/>
        <w:autoSpaceDN w:val="0"/>
        <w:adjustRightInd w:val="0"/>
        <w:snapToGrid w:val="0"/>
        <w:spacing w:line="440" w:lineRule="exact"/>
        <w:ind w:firstLine="480" w:firstLineChars="200"/>
        <w:textAlignment w:val="baseline"/>
        <w:outlineLvl w:val="3"/>
        <w:rPr>
          <w:rFonts w:hint="eastAsia" w:ascii="宋体" w:hAnsi="宋体" w:cs="宋体"/>
          <w:color w:val="auto"/>
          <w:sz w:val="24"/>
          <w:szCs w:val="24"/>
          <w:highlight w:val="none"/>
        </w:rPr>
      </w:pPr>
      <w:bookmarkStart w:id="182" w:name="bookmark105"/>
      <w:bookmarkEnd w:id="182"/>
      <w:bookmarkStart w:id="183" w:name="bookmark106"/>
      <w:bookmarkEnd w:id="183"/>
      <w:r>
        <w:rPr>
          <w:rFonts w:hint="eastAsia" w:ascii="宋体" w:hAnsi="宋体" w:cs="宋体"/>
          <w:color w:val="auto"/>
          <w:sz w:val="24"/>
          <w:szCs w:val="24"/>
          <w:highlight w:val="none"/>
        </w:rPr>
        <w:t>21.不可抗力</w:t>
      </w:r>
    </w:p>
    <w:p w14:paraId="02EF25D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21.1不可抗力的确认</w:t>
      </w:r>
    </w:p>
    <w:p w14:paraId="421CECC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21.1.1（5）不可抗力的其他情形：</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14:paraId="0C94198D">
      <w:pPr>
        <w:widowControl/>
        <w:kinsoku w:val="0"/>
        <w:autoSpaceDE w:val="0"/>
        <w:autoSpaceDN w:val="0"/>
        <w:adjustRightInd w:val="0"/>
        <w:snapToGrid w:val="0"/>
        <w:spacing w:line="440" w:lineRule="exact"/>
        <w:ind w:firstLine="482" w:firstLineChars="200"/>
        <w:textAlignment w:val="baseline"/>
        <w:outlineLvl w:val="3"/>
        <w:rPr>
          <w:rFonts w:hint="eastAsia" w:ascii="宋体" w:hAnsi="宋体" w:cs="宋体"/>
          <w:b/>
          <w:bCs/>
          <w:color w:val="auto"/>
          <w:sz w:val="24"/>
          <w:szCs w:val="24"/>
          <w:highlight w:val="none"/>
        </w:rPr>
      </w:pPr>
      <w:bookmarkStart w:id="184" w:name="bookmark108"/>
      <w:bookmarkEnd w:id="184"/>
      <w:bookmarkStart w:id="185" w:name="bookmark107"/>
      <w:bookmarkEnd w:id="185"/>
      <w:r>
        <w:rPr>
          <w:rFonts w:hint="eastAsia" w:ascii="宋体" w:hAnsi="宋体" w:cs="宋体"/>
          <w:b/>
          <w:bCs/>
          <w:color w:val="auto"/>
          <w:sz w:val="24"/>
          <w:szCs w:val="24"/>
          <w:highlight w:val="none"/>
        </w:rPr>
        <w:t>22.违约</w:t>
      </w:r>
    </w:p>
    <w:p w14:paraId="213DC21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22.1承包人违约</w:t>
      </w:r>
    </w:p>
    <w:p w14:paraId="46996AD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22.1.2对承包人违约的处理</w:t>
      </w:r>
    </w:p>
    <w:p w14:paraId="5AACA9F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（4）当承包人发生第 22.1.1 项约定的违约情况时，发包人有权向承包人课以违约金，具体约定如下：</w:t>
      </w:r>
    </w:p>
    <w:p w14:paraId="3B0C325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①承包人在收到监理工程师签发的开工令前，《主要管理人员和技术人员进场表》中所列的主要人员必须按表中及招标文件要求进场的时间到位，以保证项目管理机构的有效运转，对未经监理工程师批准、发包人同意，没有按时进场的主要人员，发包人将按项目经理和项目总工3000元/人•天，其他主要人员1000元/人•天，从合同价中收取违约金，直至缺员进场为止。 承包人确需对其合同中承诺的专业人员进行更换的，更换的人员必须满足合同要求并报发包人批准，人数不得超过合同人数的30%，同时发包人有权按下列标准对承包人更换人员的行为处以违约金：a.更换项目经理，20万元/人次；b.更换项目总工10万元/人次；c.更换其他人员，5万元/人次；d.更换人员数量超过合同人数30%（含30%）的，视为严重违约，发包人有权终止合同，其履约保证金不予返还。</w:t>
      </w:r>
    </w:p>
    <w:p w14:paraId="762725F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②承包人在收到监理工程师签发的开工令前，必须将《主要施工机械、试验设备进场表》中所列的主要施工机械、试验设备按表中及招标文件要求的时间进场，以保证工程按时开工，若表中所列设备不能按时进场，每迟到一天，发包人将按该设备台班费的两倍收取违约金，直到该设备进场为止。为保证机械完好率，设备如出现故障，必须在三日内修复，否则，从第四日起，按未进场处理。</w:t>
      </w:r>
    </w:p>
    <w:p w14:paraId="1848691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③违反安全管理制度的违约行为，按下列标准要求承包人支付违约金：</w:t>
      </w:r>
    </w:p>
    <w:p w14:paraId="28860D7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a.全员安全教育培训不到位，支付违约金2000元/人·次；安全管理资料不全支付违约金1000元/处·次；</w:t>
      </w:r>
    </w:p>
    <w:p w14:paraId="66D2B154">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b.未建立值班、带班制度以及未贯彻落实带班制度，支付违约金2000元/处·次；</w:t>
      </w:r>
    </w:p>
    <w:p w14:paraId="7A1424B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c.未按照相关规范、发包人文件要求进行安全生产管理，以及安全措施不到位的，支付违约金5000元/处·次；再次出现，加倍处理；</w:t>
      </w:r>
    </w:p>
    <w:p w14:paraId="2D728C8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d.对现场发现的安全隐患未能按期整改到位的支付违约金5000元/次。</w:t>
      </w:r>
    </w:p>
    <w:p w14:paraId="0A7F8A9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e.对造成安全事故迟报、漏报、瞒报的，支付违约金2万元／次，构成违法的，由司法机关依法追究法律责任；</w:t>
      </w:r>
    </w:p>
    <w:p w14:paraId="045A24C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f.专职安全管理人员，电工、特种车辆司机、焊工、砼工等特种作业人员，无证上岗的，支付违约金5000元/人，并责令更换无证人员。</w:t>
      </w:r>
    </w:p>
    <w:p w14:paraId="2B6FD1B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g.施工现场、交叉路口、便桥、便道、干扰路段、危险路段安全标志缺、损的，支付违约金1000元/次·处；</w:t>
      </w:r>
    </w:p>
    <w:p w14:paraId="7D005BD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h. 若承包人发生安全生产事故或安全目标未达到招标文件规定要求的，承包人应自行负责妥善处理并解决由此发生的一切直接损失，同时支付50万元/次的违约金。构成违法的，将移交司法机关追究其刑事责任。</w:t>
      </w:r>
    </w:p>
    <w:p w14:paraId="2FBDBFE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i. 未对施工段落提前一星期报备交通执法部门的，支付违约金2000元/次；</w:t>
      </w:r>
    </w:p>
    <w:p w14:paraId="68CAA96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j. 施工段落未经监理办、交通执法部门、行业主管等部门检查保通措施落实情况并批复，私自施工的，支付违约金10万元/次；未按照保通施工方案严格落实现场保通措施的，每缺一项支付违约金1万元/处。</w:t>
      </w:r>
    </w:p>
    <w:p w14:paraId="502E0E4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k. 对施工现场保通设施损坏未及时进行修复或更换，检查提出当日未整改的，支付违约金1000元/处；</w:t>
      </w:r>
    </w:p>
    <w:p w14:paraId="62AD195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L. 对影响社会车辆通行的施工段落，无保通人员在现场进行交通疏导的；或保通人员不足、措施不到位造成交通拥堵的，支付违约金5000元/处；</w:t>
      </w:r>
    </w:p>
    <w:p w14:paraId="086B499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④工程进度的违约行为，按下列标准要求承包人支付违约金：</w:t>
      </w:r>
    </w:p>
    <w:p w14:paraId="591F55F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a.承包人未能按期开工的，要求承包人支付0.1%签约合同价/天的违约金。自发出开工通知后7天仍未开工，则发包人有权解除合同，如工程开工后承包人主要机械、设备（专用设备）在7日内未进场，发包人将没收承包人的履约保证金，并对承包人清除出场，将本合同按投标价另行安排。</w:t>
      </w:r>
    </w:p>
    <w:p w14:paraId="353F832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b.由于承包人原因造成工期延误，逾期交工的，承包人支付逾期交工违约金：0.05 %签约合同价/天（如由于承包人的原因造成逾期交工，其相应增加监理服务费和业主管理费由承包人承担。），逾期交工违约金限额：10%签约合同价。</w:t>
      </w:r>
    </w:p>
    <w:p w14:paraId="237AC80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⑤工程材料不合格等违约行为，按下列标准承包人支付违约金：</w:t>
      </w:r>
    </w:p>
    <w:p w14:paraId="13596BF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a.进场的所有原材料必须合格，原材料抽查不合格的，承包人支付50万元/次违约金，已将不合格材料用于工程实体的作返工处理；出现两次原材料不合格的，更换项目经理，并按相应合同条款进行违约处理。</w:t>
      </w:r>
    </w:p>
    <w:p w14:paraId="16F1799D">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b. 使用不合格的构配件和设备的，未经监理工程师签认将建筑材料、建筑构配件和设备在工程上使用或安装的，承包人支付50万元/次/处的违约金。</w:t>
      </w:r>
    </w:p>
    <w:p w14:paraId="5F94575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⑥在工程实施期间未经发包人及监理工程师批准，承包人已进场的施工机械不得撤离施工现场。否则，发包人将按该设备的重置价值从合同款中收取违约金。</w:t>
      </w:r>
    </w:p>
    <w:p w14:paraId="1F86D317">
      <w:pPr>
        <w:widowControl/>
        <w:kinsoku w:val="0"/>
        <w:autoSpaceDE w:val="0"/>
        <w:autoSpaceDN w:val="0"/>
        <w:adjustRightInd w:val="0"/>
        <w:snapToGrid w:val="0"/>
        <w:spacing w:line="44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承包人发生第22.1项约定的违约情况时，无论发包人是否解除合同，发包人均有权要求承包人支付违约金，并有权要求承包人仍应按合同规定继续实施和完成本合同工程及其缺陷修复；若支付违约金后仍不足以赔偿发包人损失的，发包人仍有权要求赔偿损失。违约金与损失通知履约保函开具银行支付或在期中支付证书中扣除。发包人有权要求其公司法人到场解决有关问题，如仍不能彻底解决的，发包人有权对其进行处罚，处罚方式包括撤换有关主要管理人员等。同时发包人将其违约行为上报省级交通运输行政主管部门，作为不良记录纳入公路建设市场信用信息管理系统，并按相关规定进行信用评价扣分处理，项目后续在养护业绩录入时将审核不通过。</w:t>
      </w:r>
    </w:p>
    <w:p w14:paraId="2D6C961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bookmarkStart w:id="186" w:name="bookmark203"/>
      <w:bookmarkEnd w:id="186"/>
      <w:r>
        <w:rPr>
          <w:rFonts w:hint="eastAsia" w:ascii="宋体" w:hAnsi="宋体" w:cs="宋体"/>
          <w:color w:val="auto"/>
          <w:sz w:val="24"/>
          <w:szCs w:val="24"/>
          <w:highlight w:val="none"/>
        </w:rPr>
        <w:t>22.2发包人违约</w:t>
      </w:r>
    </w:p>
    <w:p w14:paraId="6CD5F27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22.2.2对发包人违约的处理</w:t>
      </w:r>
    </w:p>
    <w:p w14:paraId="310BA7E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发包人无正当理由不按时返还履约保证金或质量保证金的，发包人应向承包人支付的违约金如下：/。</w:t>
      </w:r>
    </w:p>
    <w:p w14:paraId="0B498FE3">
      <w:pPr>
        <w:widowControl/>
        <w:kinsoku w:val="0"/>
        <w:autoSpaceDE w:val="0"/>
        <w:autoSpaceDN w:val="0"/>
        <w:adjustRightInd w:val="0"/>
        <w:snapToGrid w:val="0"/>
        <w:spacing w:line="440" w:lineRule="exact"/>
        <w:ind w:firstLine="482" w:firstLineChars="200"/>
        <w:textAlignment w:val="baseline"/>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增加第25条</w:t>
      </w:r>
    </w:p>
    <w:p w14:paraId="32A8E7D2">
      <w:pPr>
        <w:widowControl/>
        <w:kinsoku w:val="0"/>
        <w:autoSpaceDE w:val="0"/>
        <w:autoSpaceDN w:val="0"/>
        <w:adjustRightInd w:val="0"/>
        <w:snapToGrid w:val="0"/>
        <w:spacing w:line="440" w:lineRule="exact"/>
        <w:ind w:firstLine="482" w:firstLineChars="200"/>
        <w:textAlignment w:val="baseline"/>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25．对于合同条款（含通用合同条款和专用合同条款）中出现的有关标准、法规、办法及规范性文件等，若有国家、自治区、有关部委或交通运输厅最新颁布的标准、法规、办法及规范性文件，则承包人在施工中应严格按最新颁布的标准、法规、办法及规范性文件执行和办理。</w:t>
      </w:r>
    </w:p>
    <w:p w14:paraId="55B88020">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34E75019">
      <w:pPr>
        <w:widowControl/>
        <w:kinsoku w:val="0"/>
        <w:autoSpaceDE w:val="0"/>
        <w:autoSpaceDN w:val="0"/>
        <w:adjustRightInd w:val="0"/>
        <w:snapToGrid w:val="0"/>
        <w:spacing w:line="440" w:lineRule="exact"/>
        <w:ind w:firstLine="640" w:firstLineChars="200"/>
        <w:jc w:val="center"/>
        <w:textAlignment w:val="baseline"/>
        <w:outlineLvl w:val="1"/>
        <w:rPr>
          <w:rFonts w:hint="eastAsia" w:ascii="宋体" w:hAnsi="宋体" w:cs="宋体"/>
          <w:color w:val="auto"/>
          <w:sz w:val="32"/>
          <w:szCs w:val="32"/>
          <w:highlight w:val="none"/>
        </w:rPr>
      </w:pPr>
      <w:r>
        <w:rPr>
          <w:rFonts w:hint="eastAsia" w:ascii="宋体" w:hAnsi="宋体" w:cs="宋体"/>
          <w:color w:val="auto"/>
          <w:sz w:val="32"/>
          <w:szCs w:val="32"/>
          <w:highlight w:val="none"/>
        </w:rPr>
        <w:t>第二章 合同协议书</w:t>
      </w:r>
    </w:p>
    <w:p w14:paraId="4240611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7A0AEA2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为实施</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（养护项目名称），发包人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（发包人名称，以下简称“发包人”）与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（承包人名称，以下简称“承包人”）共同达成如下协议。</w:t>
      </w:r>
    </w:p>
    <w:p w14:paraId="612DFC2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1.项目概况与承包范围</w:t>
      </w:r>
    </w:p>
    <w:p w14:paraId="7293353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（1）项目概况</w:t>
      </w:r>
    </w:p>
    <w:p w14:paraId="5F0EEE4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标段由K</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至K</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，长约</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km ，公路等级为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，设计速度为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路面，有立交</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处；特大桥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座，计长</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m；大中小桥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座，计长</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m；隧道</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座，计长</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m；涵洞</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座，计长</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m；地质灾害治理点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处，计长</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m；处治隐患里程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m以及其他构造物工程等。</w:t>
      </w:r>
    </w:p>
    <w:p w14:paraId="53BAE4F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（2）养护承包范围：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DFEE35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2.下列文件应视为构成合同文件的组成部分：</w:t>
      </w:r>
    </w:p>
    <w:p w14:paraId="5BD6F3F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（1）本协议书及各种合同附件（含评标期间和合同谈判过程中的澄清文件和补充资料）；</w:t>
      </w:r>
    </w:p>
    <w:p w14:paraId="7D13F48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（2）中标通知书（如有）；</w:t>
      </w:r>
    </w:p>
    <w:p w14:paraId="64413AF9">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（3）投标函及投标函附录（如有）；</w:t>
      </w:r>
    </w:p>
    <w:p w14:paraId="50C22EC1">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（4）专用合同条款；</w:t>
      </w:r>
    </w:p>
    <w:p w14:paraId="1BB3B870">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（5）通用合同条款；</w:t>
      </w:r>
    </w:p>
    <w:p w14:paraId="6ADAAF6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（6）工程量清单计量规则（或养护绩效管理规则）；</w:t>
      </w:r>
    </w:p>
    <w:p w14:paraId="18ADC1A3">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（7）技术规范；</w:t>
      </w:r>
    </w:p>
    <w:p w14:paraId="2436A6CC">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（8）图纸；</w:t>
      </w:r>
    </w:p>
    <w:p w14:paraId="0CEA546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（9）已标价工程量清单（或绩效清单）；</w:t>
      </w:r>
    </w:p>
    <w:p w14:paraId="2AA5A65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（10）承包人有关人员、设备投入的承诺；</w:t>
      </w:r>
    </w:p>
    <w:p w14:paraId="17E5F4C6">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（11）其他合同文件。</w:t>
      </w:r>
    </w:p>
    <w:p w14:paraId="3D026CD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上述合同文件互相补充和解释。如果合同文件之间存在矛盾或不一致之处，以上述文件的排列次序在先者为准。</w:t>
      </w:r>
    </w:p>
    <w:p w14:paraId="28FFA8E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3.根据工程量清单所列的预计数量和单价或总额价计算的签约合同价：人民币（大写）</w:t>
      </w:r>
      <w:r>
        <w:rPr>
          <w:rFonts w:hint="eastAsia" w:ascii="宋体" w:hAnsi="宋体" w:cs="宋体"/>
          <w:color w:val="auto"/>
          <w:sz w:val="24"/>
          <w:szCs w:val="24"/>
          <w:highlight w:val="none"/>
          <w:u w:val="single"/>
        </w:rPr>
        <w:t xml:space="preserve">  </w:t>
      </w:r>
      <w:r>
        <w:rPr>
          <w:rFonts w:hint="eastAsia" w:ascii="宋体" w:hAnsi="宋体" w:cs="宋体"/>
          <w:b/>
          <w:bCs/>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796D6A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4.承包人项目经理：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。承包人项目总工：</w:t>
      </w:r>
      <w:r>
        <w:rPr>
          <w:rFonts w:hint="eastAsia" w:ascii="宋体" w:hAnsi="宋体" w:cs="宋体"/>
          <w:color w:val="auto"/>
          <w:sz w:val="24"/>
          <w:szCs w:val="24"/>
          <w:highlight w:val="none"/>
          <w:u w:val="single"/>
        </w:rPr>
        <w:t xml:space="preserve">  </w:t>
      </w:r>
      <w:r>
        <w:rPr>
          <w:rFonts w:hint="eastAsia" w:ascii="宋体" w:hAnsi="宋体" w:cs="宋体"/>
          <w:b/>
          <w:bCs/>
          <w:color w:val="auto"/>
          <w:sz w:val="24"/>
          <w:szCs w:val="24"/>
          <w:highlight w:val="none"/>
          <w:u w:val="single"/>
        </w:rPr>
        <w:t xml:space="preserve">            </w:t>
      </w:r>
      <w:r>
        <w:rPr>
          <w:rFonts w:hint="eastAsia" w:ascii="宋体" w:hAnsi="宋体" w:cs="宋体"/>
          <w:color w:val="auto"/>
          <w:sz w:val="24"/>
          <w:szCs w:val="24"/>
          <w:highlight w:val="none"/>
        </w:rPr>
        <w:t>。</w:t>
      </w:r>
    </w:p>
    <w:p w14:paraId="2EF0BCF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5.养护质量符合标准：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；养护安全目标：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；养护环保目标：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9F13D2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bookmarkStart w:id="187" w:name="bookmark160"/>
      <w:bookmarkEnd w:id="187"/>
      <w:r>
        <w:rPr>
          <w:rFonts w:hint="eastAsia" w:ascii="宋体" w:hAnsi="宋体" w:cs="宋体"/>
          <w:color w:val="auto"/>
          <w:sz w:val="24"/>
          <w:szCs w:val="24"/>
          <w:highlight w:val="none"/>
        </w:rPr>
        <w:t>6.承包人承诺按合同约定承担养护项目的实施、完成及缺陷修复。</w:t>
      </w:r>
    </w:p>
    <w:p w14:paraId="56FD6B4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7.发包人承诺按合同约定的条件、时间和方式向承包人支付合同价款。</w:t>
      </w:r>
    </w:p>
    <w:p w14:paraId="6F6CF48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8.承包人应按照咨询人（监理人）指示开工，工期为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w:t>
      </w:r>
    </w:p>
    <w:p w14:paraId="6BFAA758">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9.本协议书在承包人提供履约保证金后，由双方法定代表人或其委托代理人签署并加盖单位章之日起生效。</w:t>
      </w:r>
    </w:p>
    <w:p w14:paraId="6D2DDFCE">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10.本协议书正本两份、副本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份，合同双方各执正本一份，副本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份，当正本与副本的内容不一致时，以正本为准。</w:t>
      </w:r>
    </w:p>
    <w:p w14:paraId="02BB4EE7">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11.合同未尽事宜，双方另行签订补充协议。补充协议是合同的组成部分。</w:t>
      </w:r>
    </w:p>
    <w:p w14:paraId="4865D642">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22BF38DB">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        承包人：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2C7F099A">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0DE880AF">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（签名）      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（签名）</w:t>
      </w:r>
    </w:p>
    <w:p w14:paraId="72B229DF">
      <w:pPr>
        <w:widowControl/>
        <w:kinsoku w:val="0"/>
        <w:autoSpaceDE w:val="0"/>
        <w:autoSpaceDN w:val="0"/>
        <w:adjustRightInd w:val="0"/>
        <w:snapToGrid w:val="0"/>
        <w:spacing w:line="440" w:lineRule="exact"/>
        <w:ind w:firstLine="1680" w:firstLineChars="7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年    月    日                      年    月    日</w:t>
      </w:r>
    </w:p>
    <w:p w14:paraId="361BEA85">
      <w:pPr>
        <w:widowControl/>
        <w:kinsoku w:val="0"/>
        <w:autoSpaceDE w:val="0"/>
        <w:autoSpaceDN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p>
    <w:p w14:paraId="66064AD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p>
    <w:p w14:paraId="52090C63">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p>
    <w:p w14:paraId="3523BA29">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p>
    <w:p w14:paraId="1430CDD0">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p>
    <w:p w14:paraId="317C8DDB">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p>
    <w:p w14:paraId="4E12AA6E">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p>
    <w:p w14:paraId="6B35E1A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p>
    <w:p w14:paraId="247A5409">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p>
    <w:p w14:paraId="27F80A0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p>
    <w:p w14:paraId="6E97E67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第五部分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响应文件格式</w:t>
      </w:r>
      <w:bookmarkEnd w:id="53"/>
    </w:p>
    <w:p w14:paraId="27A00190">
      <w:pPr>
        <w:keepNext w:val="0"/>
        <w:keepLines w:val="0"/>
        <w:pageBreakBefore w:val="0"/>
        <w:widowControl w:val="0"/>
        <w:kinsoku/>
        <w:wordWrap/>
        <w:overflowPunct/>
        <w:topLinePunct w:val="0"/>
        <w:autoSpaceDE w:val="0"/>
        <w:autoSpaceDN w:val="0"/>
        <w:bidi w:val="0"/>
        <w:adjustRightInd/>
        <w:snapToGrid/>
        <w:spacing w:line="440" w:lineRule="exact"/>
        <w:ind w:firstLine="3092" w:firstLineChars="1100"/>
        <w:jc w:val="both"/>
        <w:textAlignment w:val="auto"/>
        <w:rPr>
          <w:rFonts w:hint="eastAsia" w:ascii="宋体" w:hAnsi="宋体" w:eastAsia="宋体" w:cs="宋体"/>
          <w:b/>
          <w:bCs/>
          <w:color w:val="auto"/>
          <w:sz w:val="28"/>
          <w:szCs w:val="28"/>
          <w:highlight w:val="none"/>
          <w:lang w:eastAsia="zh-CN"/>
        </w:rPr>
      </w:pPr>
      <w:bookmarkStart w:id="188" w:name="_Toc8063_WPSOffice_Level1"/>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响应文件封面</w:t>
      </w:r>
      <w:r>
        <w:rPr>
          <w:rFonts w:hint="eastAsia" w:ascii="宋体" w:hAnsi="宋体" w:eastAsia="宋体" w:cs="宋体"/>
          <w:b/>
          <w:bCs/>
          <w:color w:val="auto"/>
          <w:sz w:val="28"/>
          <w:szCs w:val="28"/>
          <w:highlight w:val="none"/>
          <w:lang w:val="en-US" w:eastAsia="zh-CN"/>
        </w:rPr>
        <w:t>格式</w:t>
      </w:r>
      <w:bookmarkEnd w:id="188"/>
    </w:p>
    <w:p w14:paraId="7D7B00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59264" behindDoc="1" locked="0" layoutInCell="1" allowOverlap="1">
                <wp:simplePos x="0" y="0"/>
                <wp:positionH relativeFrom="page">
                  <wp:posOffset>781050</wp:posOffset>
                </wp:positionH>
                <wp:positionV relativeFrom="page">
                  <wp:posOffset>1869440</wp:posOffset>
                </wp:positionV>
                <wp:extent cx="6102985" cy="5979160"/>
                <wp:effectExtent l="1905" t="2540" r="10160" b="19050"/>
                <wp:wrapNone/>
                <wp:docPr id="7" name="组合 7"/>
                <wp:cNvGraphicFramePr/>
                <a:graphic xmlns:a="http://schemas.openxmlformats.org/drawingml/2006/main">
                  <a:graphicData uri="http://schemas.microsoft.com/office/word/2010/wordprocessingGroup">
                    <wpg:wgp>
                      <wpg:cNvGrpSpPr/>
                      <wpg:grpSpPr>
                        <a:xfrm>
                          <a:off x="0" y="0"/>
                          <a:ext cx="6102985" cy="5979160"/>
                          <a:chOff x="1020" y="2302"/>
                          <a:chExt cx="9866" cy="12278"/>
                        </a:xfrm>
                      </wpg:grpSpPr>
                      <wps:wsp>
                        <wps:cNvPr id="1" name="矩形 1"/>
                        <wps:cNvSpPr/>
                        <wps:spPr>
                          <a:xfrm>
                            <a:off x="1020" y="2302"/>
                            <a:ext cx="10" cy="10"/>
                          </a:xfrm>
                          <a:prstGeom prst="rect">
                            <a:avLst/>
                          </a:prstGeom>
                          <a:solidFill>
                            <a:srgbClr val="000000"/>
                          </a:solidFill>
                          <a:ln>
                            <a:noFill/>
                          </a:ln>
                        </wps:spPr>
                        <wps:bodyPr upright="1"/>
                      </wps:wsp>
                      <wps:wsp>
                        <wps:cNvPr id="2" name="直接连接符 2"/>
                        <wps:cNvCnPr/>
                        <wps:spPr>
                          <a:xfrm>
                            <a:off x="1030" y="2307"/>
                            <a:ext cx="9846" cy="0"/>
                          </a:xfrm>
                          <a:prstGeom prst="line">
                            <a:avLst/>
                          </a:prstGeom>
                          <a:ln w="6096" cap="flat" cmpd="sng">
                            <a:solidFill>
                              <a:srgbClr val="000000"/>
                            </a:solidFill>
                            <a:prstDash val="solid"/>
                            <a:headEnd type="none" w="med" len="med"/>
                            <a:tailEnd type="none" w="med" len="med"/>
                          </a:ln>
                        </wps:spPr>
                        <wps:bodyPr upright="1"/>
                      </wps:wsp>
                      <wps:wsp>
                        <wps:cNvPr id="3" name="矩形 3"/>
                        <wps:cNvSpPr/>
                        <wps:spPr>
                          <a:xfrm>
                            <a:off x="10876" y="2302"/>
                            <a:ext cx="10" cy="10"/>
                          </a:xfrm>
                          <a:prstGeom prst="rect">
                            <a:avLst/>
                          </a:prstGeom>
                          <a:solidFill>
                            <a:srgbClr val="000000"/>
                          </a:solidFill>
                          <a:ln>
                            <a:noFill/>
                          </a:ln>
                        </wps:spPr>
                        <wps:bodyPr upright="1"/>
                      </wps:wsp>
                      <wps:wsp>
                        <wps:cNvPr id="4" name="直接连接符 4"/>
                        <wps:cNvCnPr/>
                        <wps:spPr>
                          <a:xfrm>
                            <a:off x="1025" y="2312"/>
                            <a:ext cx="0" cy="12268"/>
                          </a:xfrm>
                          <a:prstGeom prst="line">
                            <a:avLst/>
                          </a:prstGeom>
                          <a:ln w="6096" cap="flat" cmpd="sng">
                            <a:solidFill>
                              <a:srgbClr val="000000"/>
                            </a:solidFill>
                            <a:prstDash val="solid"/>
                            <a:headEnd type="none" w="med" len="med"/>
                            <a:tailEnd type="none" w="med" len="med"/>
                          </a:ln>
                        </wps:spPr>
                        <wps:bodyPr upright="1"/>
                      </wps:wsp>
                      <wps:wsp>
                        <wps:cNvPr id="5" name="直接连接符 5"/>
                        <wps:cNvCnPr/>
                        <wps:spPr>
                          <a:xfrm>
                            <a:off x="1030" y="14575"/>
                            <a:ext cx="9846" cy="0"/>
                          </a:xfrm>
                          <a:prstGeom prst="line">
                            <a:avLst/>
                          </a:prstGeom>
                          <a:ln w="6096" cap="flat" cmpd="sng">
                            <a:solidFill>
                              <a:srgbClr val="000000"/>
                            </a:solidFill>
                            <a:prstDash val="solid"/>
                            <a:headEnd type="none" w="med" len="med"/>
                            <a:tailEnd type="none" w="med" len="med"/>
                          </a:ln>
                        </wps:spPr>
                        <wps:bodyPr upright="1"/>
                      </wps:wsp>
                      <wps:wsp>
                        <wps:cNvPr id="6" name="直接连接符 6"/>
                        <wps:cNvCnPr/>
                        <wps:spPr>
                          <a:xfrm>
                            <a:off x="10881" y="2312"/>
                            <a:ext cx="0" cy="1226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5pt;margin-top:147.2pt;height:470.8pt;width:480.55pt;mso-position-horizontal-relative:page;mso-position-vertical-relative:page;z-index:-251657216;mso-width-relative:page;mso-height-relative:page;" coordorigin="1020,2302" coordsize="9866,12278" o:gfxdata="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eTlS12wAAAA0BAAAPAAAA&#10;AAAAAAEAIAAAACIAAABkcnMvZG93bnJldi54bWxQSwECFAAUAAAACACHTuJAp0Zkei8DAAA1DgAA&#10;DgAAAAAAAAABACAAAAAqAQAAZHJzL2Uyb0RvYy54bWxQSwUGAAAAAAYABgBZAQAAywYAAAAA&#10;">
                <o:lock v:ext="edit" aspectratio="f"/>
                <v:rect id="_x0000_s1026" o:spid="_x0000_s1026" o:spt="1" style="position:absolute;left:1020;top:2302;height:10;width:10;"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1030;top:2307;height:0;width:9846;"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_x0000_s1026" o:spid="_x0000_s1026" o:spt="1" style="position:absolute;left:10876;top:2302;height:10;width:10;"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025;top:2312;height:12268;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30;top:14575;height:0;width:9846;"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881;top:2312;height:12268;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14:paraId="168E56E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44"/>
          <w:szCs w:val="44"/>
          <w:highlight w:val="none"/>
        </w:rPr>
      </w:pPr>
    </w:p>
    <w:p w14:paraId="73C66EE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6"/>
          <w:szCs w:val="36"/>
          <w:highlight w:val="none"/>
        </w:rPr>
      </w:pPr>
      <w:bookmarkStart w:id="189" w:name="_Toc28255_WPSOffice_Level1"/>
      <w:r>
        <w:rPr>
          <w:rFonts w:hint="eastAsia" w:ascii="宋体" w:hAnsi="宋体" w:eastAsia="宋体" w:cs="宋体"/>
          <w:b/>
          <w:bCs/>
          <w:color w:val="auto"/>
          <w:sz w:val="36"/>
          <w:szCs w:val="36"/>
          <w:highlight w:val="none"/>
        </w:rPr>
        <w:t>项目名称：</w:t>
      </w:r>
      <w:bookmarkEnd w:id="189"/>
    </w:p>
    <w:p w14:paraId="2F2CA3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36"/>
          <w:szCs w:val="36"/>
          <w:highlight w:val="none"/>
        </w:rPr>
      </w:pPr>
      <w:bookmarkStart w:id="190" w:name="_Toc11066_WPSOffice_Level1"/>
      <w:r>
        <w:rPr>
          <w:rFonts w:hint="eastAsia" w:ascii="宋体" w:hAnsi="宋体" w:eastAsia="宋体" w:cs="宋体"/>
          <w:b/>
          <w:bCs/>
          <w:color w:val="auto"/>
          <w:sz w:val="36"/>
          <w:szCs w:val="36"/>
          <w:highlight w:val="none"/>
        </w:rPr>
        <w:t>项目编号：</w:t>
      </w:r>
      <w:bookmarkEnd w:id="190"/>
    </w:p>
    <w:p w14:paraId="41CAD66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B503475">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7D24BA88">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131E7FE7">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72"/>
          <w:szCs w:val="72"/>
          <w:highlight w:val="none"/>
        </w:rPr>
      </w:pPr>
      <w:bookmarkStart w:id="191" w:name="_Toc27361_WPSOffice_Level1"/>
      <w:r>
        <w:rPr>
          <w:rFonts w:hint="eastAsia" w:ascii="宋体" w:hAnsi="宋体" w:eastAsia="宋体" w:cs="宋体"/>
          <w:b/>
          <w:bCs/>
          <w:color w:val="auto"/>
          <w:sz w:val="48"/>
          <w:szCs w:val="48"/>
          <w:highlight w:val="none"/>
          <w:lang w:val="en-US" w:eastAsia="zh-CN"/>
        </w:rPr>
        <w:t>磋商</w:t>
      </w:r>
      <w:r>
        <w:rPr>
          <w:rFonts w:hint="eastAsia" w:ascii="宋体" w:hAnsi="宋体" w:eastAsia="宋体" w:cs="宋体"/>
          <w:b/>
          <w:bCs/>
          <w:color w:val="auto"/>
          <w:sz w:val="48"/>
          <w:szCs w:val="48"/>
          <w:highlight w:val="none"/>
        </w:rPr>
        <w:t>响应文件</w:t>
      </w:r>
      <w:bookmarkEnd w:id="191"/>
      <w:r>
        <w:rPr>
          <w:rFonts w:hint="eastAsia" w:ascii="宋体" w:hAnsi="宋体" w:eastAsia="宋体" w:cs="宋体"/>
          <w:b/>
          <w:bCs/>
          <w:color w:val="auto"/>
          <w:sz w:val="72"/>
          <w:szCs w:val="72"/>
          <w:highlight w:val="none"/>
        </w:rPr>
        <w:t xml:space="preserve"> </w:t>
      </w:r>
    </w:p>
    <w:p w14:paraId="2CD44237">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39B62DFF">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bookmarkStart w:id="192" w:name="_Toc12593_WPSOffice_Level1"/>
      <w:r>
        <w:rPr>
          <w:rFonts w:hint="eastAsia" w:ascii="宋体" w:hAnsi="宋体" w:eastAsia="宋体" w:cs="宋体"/>
          <w:b/>
          <w:bCs/>
          <w:color w:val="auto"/>
          <w:sz w:val="44"/>
          <w:szCs w:val="44"/>
          <w:highlight w:val="none"/>
        </w:rPr>
        <w:t>正 本</w:t>
      </w:r>
      <w:bookmarkEnd w:id="192"/>
    </w:p>
    <w:p w14:paraId="4D7C4D00">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24"/>
          <w:szCs w:val="24"/>
          <w:highlight w:val="none"/>
        </w:rPr>
      </w:pPr>
      <w:bookmarkStart w:id="193" w:name="_Toc22182_WPSOffice_Level1"/>
      <w:r>
        <w:rPr>
          <w:rFonts w:hint="eastAsia" w:ascii="宋体" w:hAnsi="宋体" w:eastAsia="宋体" w:cs="宋体"/>
          <w:b/>
          <w:bCs/>
          <w:color w:val="auto"/>
          <w:sz w:val="44"/>
          <w:szCs w:val="44"/>
          <w:highlight w:val="none"/>
        </w:rPr>
        <w:t>副 本</w:t>
      </w:r>
      <w:bookmarkEnd w:id="193"/>
    </w:p>
    <w:p w14:paraId="7B4D7CA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73DAF68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5E9709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0BEF4CA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7E4B3F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供应商名称（加盖公章）：</w:t>
      </w:r>
      <w:r>
        <w:rPr>
          <w:rFonts w:hint="eastAsia" w:ascii="宋体" w:hAnsi="宋体" w:eastAsia="宋体" w:cs="宋体"/>
          <w:b/>
          <w:bCs/>
          <w:color w:val="auto"/>
          <w:sz w:val="24"/>
          <w:szCs w:val="24"/>
          <w:highlight w:val="none"/>
          <w:u w:val="single"/>
          <w:lang w:val="en-US" w:eastAsia="zh-CN"/>
        </w:rPr>
        <w:t xml:space="preserve">                                </w:t>
      </w:r>
    </w:p>
    <w:p w14:paraId="47A0B9E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2EE5F6D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在</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日</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时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分  之 前 不 得 启 封 </w:t>
      </w:r>
    </w:p>
    <w:p w14:paraId="5585ADCB">
      <w:pPr>
        <w:rPr>
          <w:rFonts w:hint="eastAsia"/>
          <w:color w:val="auto"/>
          <w:highlight w:val="none"/>
        </w:rPr>
      </w:pPr>
    </w:p>
    <w:p w14:paraId="1D60C982">
      <w:pPr>
        <w:bidi w:val="0"/>
        <w:rPr>
          <w:rFonts w:hint="eastAsia" w:ascii="宋体" w:hAnsi="宋体" w:eastAsia="宋体" w:cs="宋体"/>
          <w:color w:val="auto"/>
          <w:sz w:val="22"/>
          <w:szCs w:val="22"/>
          <w:highlight w:val="none"/>
          <w:lang w:val="zh-CN" w:eastAsia="zh-CN" w:bidi="zh-CN"/>
        </w:rPr>
      </w:pPr>
    </w:p>
    <w:p w14:paraId="56A3444E">
      <w:pPr>
        <w:bidi w:val="0"/>
        <w:rPr>
          <w:rFonts w:hint="eastAsia"/>
          <w:color w:val="auto"/>
          <w:highlight w:val="none"/>
          <w:lang w:val="zh-CN" w:eastAsia="zh-CN"/>
        </w:rPr>
      </w:pPr>
    </w:p>
    <w:p w14:paraId="638E6D30">
      <w:pPr>
        <w:spacing w:line="440" w:lineRule="exact"/>
        <w:ind w:firstLine="3213" w:firstLineChars="1000"/>
        <w:jc w:val="both"/>
        <w:rPr>
          <w:rFonts w:hint="eastAsia" w:ascii="宋体" w:hAnsi="宋体"/>
          <w:b/>
          <w:bCs/>
          <w:color w:val="auto"/>
          <w:sz w:val="32"/>
          <w:szCs w:val="32"/>
          <w:highlight w:val="none"/>
        </w:rPr>
      </w:pPr>
      <w:bookmarkStart w:id="194" w:name="_Toc9356_WPSOffice_Level1"/>
    </w:p>
    <w:p w14:paraId="0BD8C0B0">
      <w:pPr>
        <w:spacing w:line="440" w:lineRule="exact"/>
        <w:ind w:firstLine="3213" w:firstLineChars="1000"/>
        <w:jc w:val="both"/>
        <w:rPr>
          <w:rFonts w:hint="eastAsia" w:ascii="宋体" w:hAnsi="宋体"/>
          <w:b/>
          <w:bCs/>
          <w:color w:val="auto"/>
          <w:sz w:val="32"/>
          <w:szCs w:val="32"/>
          <w:highlight w:val="none"/>
        </w:rPr>
      </w:pPr>
    </w:p>
    <w:p w14:paraId="528EA309">
      <w:pPr>
        <w:spacing w:line="440" w:lineRule="exact"/>
        <w:ind w:firstLine="3213" w:firstLineChars="1000"/>
        <w:jc w:val="both"/>
        <w:rPr>
          <w:rFonts w:hint="eastAsia" w:ascii="宋体" w:hAnsi="宋体"/>
          <w:b/>
          <w:bCs/>
          <w:color w:val="auto"/>
          <w:sz w:val="32"/>
          <w:szCs w:val="32"/>
          <w:highlight w:val="none"/>
        </w:rPr>
      </w:pPr>
    </w:p>
    <w:p w14:paraId="4D2677C9">
      <w:pPr>
        <w:spacing w:line="440" w:lineRule="exact"/>
        <w:ind w:firstLine="3213" w:firstLineChars="1000"/>
        <w:jc w:val="both"/>
        <w:rPr>
          <w:rFonts w:hint="eastAsia" w:ascii="宋体" w:hAnsi="宋体"/>
          <w:b/>
          <w:bCs/>
          <w:color w:val="auto"/>
          <w:sz w:val="32"/>
          <w:szCs w:val="32"/>
          <w:highlight w:val="none"/>
        </w:rPr>
      </w:pPr>
    </w:p>
    <w:p w14:paraId="6C685953">
      <w:pPr>
        <w:spacing w:line="440" w:lineRule="exact"/>
        <w:ind w:firstLine="3213" w:firstLineChars="1000"/>
        <w:jc w:val="both"/>
        <w:rPr>
          <w:rFonts w:hint="eastAsia" w:ascii="宋体" w:hAnsi="宋体"/>
          <w:b/>
          <w:bCs/>
          <w:color w:val="auto"/>
          <w:sz w:val="32"/>
          <w:szCs w:val="32"/>
          <w:highlight w:val="none"/>
        </w:rPr>
      </w:pPr>
      <w:r>
        <w:rPr>
          <w:rFonts w:hint="eastAsia" w:ascii="宋体" w:hAnsi="宋体"/>
          <w:b/>
          <w:bCs/>
          <w:color w:val="auto"/>
          <w:sz w:val="32"/>
          <w:szCs w:val="32"/>
          <w:highlight w:val="none"/>
        </w:rPr>
        <w:t>响应文件主要目录</w:t>
      </w:r>
      <w:bookmarkEnd w:id="194"/>
    </w:p>
    <w:p w14:paraId="2BB63079">
      <w:pPr>
        <w:spacing w:line="440" w:lineRule="exact"/>
        <w:ind w:firstLine="643"/>
        <w:jc w:val="center"/>
        <w:rPr>
          <w:rFonts w:hint="eastAsia" w:ascii="宋体" w:hAnsi="宋体"/>
          <w:b/>
          <w:bCs/>
          <w:color w:val="auto"/>
          <w:sz w:val="32"/>
          <w:szCs w:val="32"/>
          <w:highlight w:val="none"/>
        </w:rPr>
      </w:pPr>
    </w:p>
    <w:p w14:paraId="556540A1">
      <w:pPr>
        <w:rPr>
          <w:b/>
          <w:bCs/>
          <w:color w:val="auto"/>
          <w:sz w:val="24"/>
          <w:szCs w:val="24"/>
          <w:highlight w:val="none"/>
        </w:rPr>
      </w:pPr>
      <w:r>
        <w:rPr>
          <w:rFonts w:hint="eastAsia"/>
          <w:b/>
          <w:bCs/>
          <w:color w:val="auto"/>
          <w:sz w:val="24"/>
          <w:szCs w:val="24"/>
          <w:highlight w:val="none"/>
          <w:lang w:val="en-US" w:eastAsia="zh-CN"/>
        </w:rPr>
        <w:t xml:space="preserve">一、自查表 </w:t>
      </w:r>
    </w:p>
    <w:p w14:paraId="73F121A8">
      <w:pPr>
        <w:rPr>
          <w:rFonts w:hint="eastAsia"/>
          <w:color w:val="auto"/>
          <w:sz w:val="24"/>
          <w:szCs w:val="24"/>
          <w:highlight w:val="none"/>
          <w:lang w:val="en-US" w:eastAsia="zh-CN"/>
        </w:rPr>
      </w:pPr>
      <w:r>
        <w:rPr>
          <w:rFonts w:hint="eastAsia"/>
          <w:color w:val="auto"/>
          <w:sz w:val="24"/>
          <w:szCs w:val="24"/>
          <w:highlight w:val="none"/>
          <w:lang w:val="en-US" w:eastAsia="zh-CN"/>
        </w:rPr>
        <w:t xml:space="preserve">1.1 资格审查自查表 </w:t>
      </w:r>
    </w:p>
    <w:p w14:paraId="2EC90884">
      <w:pPr>
        <w:pStyle w:val="6"/>
        <w:ind w:left="0" w:leftChars="0" w:firstLine="0" w:firstLineChars="0"/>
        <w:rPr>
          <w:color w:val="auto"/>
          <w:highlight w:val="none"/>
        </w:rPr>
      </w:pPr>
      <w:r>
        <w:rPr>
          <w:rFonts w:hint="eastAsia"/>
          <w:color w:val="auto"/>
          <w:sz w:val="24"/>
          <w:szCs w:val="24"/>
          <w:highlight w:val="none"/>
          <w:lang w:val="en-US" w:eastAsia="zh-CN"/>
        </w:rPr>
        <w:t>1.2 符合性审查自查表</w:t>
      </w:r>
    </w:p>
    <w:p w14:paraId="1AC2AB94">
      <w:pPr>
        <w:rPr>
          <w:color w:val="auto"/>
          <w:sz w:val="24"/>
          <w:szCs w:val="24"/>
          <w:highlight w:val="none"/>
        </w:rPr>
      </w:pPr>
      <w:r>
        <w:rPr>
          <w:rFonts w:hint="eastAsia"/>
          <w:color w:val="auto"/>
          <w:sz w:val="24"/>
          <w:szCs w:val="24"/>
          <w:highlight w:val="none"/>
          <w:lang w:val="en-US" w:eastAsia="zh-CN"/>
        </w:rPr>
        <w:t xml:space="preserve">1.3 评分索引表 </w:t>
      </w:r>
    </w:p>
    <w:p w14:paraId="149115E7">
      <w:pPr>
        <w:rPr>
          <w:rFonts w:hint="eastAsia"/>
          <w:b/>
          <w:bCs/>
          <w:color w:val="auto"/>
          <w:sz w:val="24"/>
          <w:szCs w:val="24"/>
          <w:highlight w:val="none"/>
          <w:lang w:val="en-US" w:eastAsia="zh-CN"/>
        </w:rPr>
      </w:pPr>
      <w:r>
        <w:rPr>
          <w:rFonts w:hint="eastAsia"/>
          <w:b/>
          <w:bCs/>
          <w:color w:val="auto"/>
          <w:sz w:val="24"/>
          <w:szCs w:val="24"/>
          <w:highlight w:val="none"/>
          <w:lang w:val="en-US" w:eastAsia="zh-CN"/>
        </w:rPr>
        <w:t>二、商务文件</w:t>
      </w:r>
    </w:p>
    <w:p w14:paraId="5258C514">
      <w:pPr>
        <w:rPr>
          <w:color w:val="auto"/>
          <w:sz w:val="24"/>
          <w:szCs w:val="24"/>
          <w:highlight w:val="none"/>
        </w:rPr>
      </w:pPr>
      <w:r>
        <w:rPr>
          <w:rFonts w:hint="eastAsia"/>
          <w:color w:val="auto"/>
          <w:sz w:val="24"/>
          <w:szCs w:val="24"/>
          <w:highlight w:val="none"/>
          <w:lang w:val="en-US" w:eastAsia="zh-CN"/>
        </w:rPr>
        <w:t xml:space="preserve">2.1 磋商响应函 </w:t>
      </w:r>
    </w:p>
    <w:p w14:paraId="4F019C66">
      <w:pPr>
        <w:rPr>
          <w:color w:val="auto"/>
          <w:sz w:val="24"/>
          <w:szCs w:val="24"/>
          <w:highlight w:val="none"/>
        </w:rPr>
      </w:pPr>
      <w:r>
        <w:rPr>
          <w:rFonts w:hint="eastAsia"/>
          <w:color w:val="auto"/>
          <w:sz w:val="24"/>
          <w:szCs w:val="24"/>
          <w:highlight w:val="none"/>
          <w:lang w:val="en-US" w:eastAsia="zh-CN"/>
        </w:rPr>
        <w:t xml:space="preserve">2.2 商务需求条款响应表 </w:t>
      </w:r>
    </w:p>
    <w:p w14:paraId="0C30342B">
      <w:pPr>
        <w:pStyle w:val="34"/>
        <w:bidi w:val="0"/>
        <w:rPr>
          <w:color w:val="auto"/>
          <w:highlight w:val="none"/>
        </w:rPr>
      </w:pPr>
      <w:r>
        <w:rPr>
          <w:rFonts w:hint="eastAsia" w:ascii="宋体" w:hAnsi="宋体" w:eastAsia="宋体" w:cs="宋体"/>
          <w:color w:val="auto"/>
          <w:kern w:val="0"/>
          <w:sz w:val="24"/>
          <w:szCs w:val="24"/>
          <w:highlight w:val="none"/>
          <w:lang w:val="en-US" w:eastAsia="zh-CN" w:bidi="zh-CN"/>
        </w:rPr>
        <w:t>2.3 拟派项目负责人及管理技术人员一览表</w:t>
      </w:r>
      <w:r>
        <w:rPr>
          <w:rFonts w:hint="eastAsia"/>
          <w:color w:val="auto"/>
          <w:highlight w:val="none"/>
          <w:lang w:val="en-US" w:eastAsia="zh-CN"/>
        </w:rPr>
        <w:t xml:space="preserve"> </w:t>
      </w:r>
    </w:p>
    <w:p w14:paraId="786E1E1F">
      <w:pPr>
        <w:rPr>
          <w:color w:val="auto"/>
          <w:sz w:val="24"/>
          <w:szCs w:val="24"/>
          <w:highlight w:val="none"/>
        </w:rPr>
      </w:pPr>
      <w:r>
        <w:rPr>
          <w:rFonts w:hint="eastAsia"/>
          <w:color w:val="auto"/>
          <w:sz w:val="24"/>
          <w:szCs w:val="24"/>
          <w:highlight w:val="none"/>
          <w:lang w:val="en-US" w:eastAsia="zh-CN"/>
        </w:rPr>
        <w:t xml:space="preserve">2.4 企业管理体系认证 </w:t>
      </w:r>
    </w:p>
    <w:p w14:paraId="1F34BA3C">
      <w:pPr>
        <w:rPr>
          <w:color w:val="auto"/>
          <w:sz w:val="24"/>
          <w:szCs w:val="24"/>
          <w:highlight w:val="none"/>
        </w:rPr>
      </w:pPr>
      <w:r>
        <w:rPr>
          <w:rFonts w:hint="eastAsia"/>
          <w:color w:val="auto"/>
          <w:sz w:val="24"/>
          <w:szCs w:val="24"/>
          <w:highlight w:val="none"/>
          <w:lang w:val="en-US" w:eastAsia="zh-CN"/>
        </w:rPr>
        <w:t xml:space="preserve">2.5 同类项目业绩情况一览表 </w:t>
      </w:r>
    </w:p>
    <w:p w14:paraId="75E8855F">
      <w:pPr>
        <w:rPr>
          <w:rFonts w:hint="eastAsia"/>
          <w:color w:val="auto"/>
          <w:sz w:val="24"/>
          <w:szCs w:val="24"/>
          <w:highlight w:val="none"/>
          <w:lang w:val="en-US" w:eastAsia="zh-CN"/>
        </w:rPr>
      </w:pPr>
      <w:r>
        <w:rPr>
          <w:rFonts w:hint="eastAsia"/>
          <w:color w:val="auto"/>
          <w:sz w:val="24"/>
          <w:szCs w:val="24"/>
          <w:highlight w:val="none"/>
          <w:lang w:val="en-US" w:eastAsia="zh-CN"/>
        </w:rPr>
        <w:t>2.6 项目团队</w:t>
      </w:r>
    </w:p>
    <w:p w14:paraId="1AE9AC51">
      <w:pPr>
        <w:rPr>
          <w:rFonts w:hint="eastAsia"/>
          <w:color w:val="auto"/>
          <w:sz w:val="24"/>
          <w:szCs w:val="24"/>
          <w:highlight w:val="none"/>
          <w:lang w:val="en-US" w:eastAsia="zh-CN"/>
        </w:rPr>
      </w:pPr>
      <w:r>
        <w:rPr>
          <w:rFonts w:hint="eastAsia"/>
          <w:color w:val="auto"/>
          <w:sz w:val="24"/>
          <w:szCs w:val="24"/>
          <w:highlight w:val="none"/>
          <w:lang w:val="en-US" w:eastAsia="zh-CN"/>
        </w:rPr>
        <w:t xml:space="preserve">2.7 中小企业声明函 </w:t>
      </w:r>
    </w:p>
    <w:p w14:paraId="6A1DA92D">
      <w:pPr>
        <w:pStyle w:val="6"/>
        <w:ind w:left="0" w:leftChars="0" w:firstLine="0" w:firstLineChars="0"/>
        <w:rPr>
          <w:rFonts w:hint="eastAsia" w:ascii="宋体" w:hAnsi="宋体" w:eastAsia="宋体" w:cs="宋体"/>
          <w:color w:val="auto"/>
          <w:sz w:val="24"/>
          <w:szCs w:val="24"/>
          <w:highlight w:val="none"/>
          <w:lang w:val="en-US" w:eastAsia="zh-CN" w:bidi="zh-CN"/>
        </w:rPr>
      </w:pPr>
      <w:r>
        <w:rPr>
          <w:rFonts w:hint="eastAsia" w:cs="宋体"/>
          <w:color w:val="auto"/>
          <w:sz w:val="24"/>
          <w:szCs w:val="24"/>
          <w:highlight w:val="none"/>
          <w:lang w:val="en-US" w:eastAsia="zh-CN" w:bidi="zh-CN"/>
        </w:rPr>
        <w:t>2</w:t>
      </w:r>
      <w:r>
        <w:rPr>
          <w:rFonts w:hint="eastAsia" w:ascii="宋体" w:hAnsi="宋体" w:eastAsia="宋体" w:cs="宋体"/>
          <w:color w:val="auto"/>
          <w:sz w:val="24"/>
          <w:szCs w:val="24"/>
          <w:highlight w:val="none"/>
          <w:lang w:val="en-US" w:eastAsia="zh-CN" w:bidi="zh-CN"/>
        </w:rPr>
        <w:t>.</w:t>
      </w:r>
      <w:r>
        <w:rPr>
          <w:rFonts w:hint="eastAsia" w:cs="宋体"/>
          <w:color w:val="auto"/>
          <w:sz w:val="24"/>
          <w:szCs w:val="24"/>
          <w:highlight w:val="none"/>
          <w:lang w:val="en-US" w:eastAsia="zh-CN" w:bidi="zh-CN"/>
        </w:rPr>
        <w:t xml:space="preserve">8 </w:t>
      </w:r>
      <w:r>
        <w:rPr>
          <w:rFonts w:hint="eastAsia" w:ascii="宋体" w:hAnsi="宋体" w:eastAsia="宋体" w:cs="宋体"/>
          <w:color w:val="auto"/>
          <w:sz w:val="24"/>
          <w:szCs w:val="24"/>
          <w:highlight w:val="none"/>
          <w:lang w:val="en-US" w:eastAsia="zh-CN" w:bidi="zh-CN"/>
        </w:rPr>
        <w:t>残疾人福利性单位声明函</w:t>
      </w:r>
      <w:r>
        <w:rPr>
          <w:rFonts w:hint="eastAsia"/>
          <w:color w:val="auto"/>
          <w:highlight w:val="none"/>
          <w:lang w:val="en-US" w:eastAsia="zh-CN"/>
        </w:rPr>
        <w:t>（可选）</w:t>
      </w:r>
    </w:p>
    <w:p w14:paraId="4FFDD648">
      <w:pPr>
        <w:rPr>
          <w:color w:val="auto"/>
          <w:sz w:val="24"/>
          <w:szCs w:val="24"/>
          <w:highlight w:val="none"/>
        </w:rPr>
      </w:pPr>
      <w:r>
        <w:rPr>
          <w:rFonts w:hint="eastAsia" w:cs="宋体"/>
          <w:color w:val="auto"/>
          <w:sz w:val="24"/>
          <w:szCs w:val="24"/>
          <w:highlight w:val="none"/>
          <w:lang w:val="en-US" w:eastAsia="zh-CN" w:bidi="zh-CN"/>
        </w:rPr>
        <w:t>2.9 监狱企业证明</w:t>
      </w:r>
      <w:r>
        <w:rPr>
          <w:rFonts w:hint="eastAsia"/>
          <w:color w:val="auto"/>
          <w:highlight w:val="none"/>
          <w:lang w:val="en-US" w:eastAsia="zh-CN"/>
        </w:rPr>
        <w:t>（可选）</w:t>
      </w:r>
    </w:p>
    <w:p w14:paraId="65567058">
      <w:pPr>
        <w:rPr>
          <w:color w:val="auto"/>
          <w:sz w:val="24"/>
          <w:szCs w:val="24"/>
          <w:highlight w:val="none"/>
        </w:rPr>
      </w:pPr>
      <w:r>
        <w:rPr>
          <w:rFonts w:hint="eastAsia"/>
          <w:b/>
          <w:bCs/>
          <w:color w:val="auto"/>
          <w:sz w:val="24"/>
          <w:szCs w:val="24"/>
          <w:highlight w:val="none"/>
          <w:lang w:val="en-US" w:eastAsia="zh-CN"/>
        </w:rPr>
        <w:t>三、技术文件</w:t>
      </w:r>
      <w:r>
        <w:rPr>
          <w:rFonts w:hint="eastAsia"/>
          <w:color w:val="auto"/>
          <w:sz w:val="24"/>
          <w:szCs w:val="24"/>
          <w:highlight w:val="none"/>
          <w:lang w:val="en-US" w:eastAsia="zh-CN"/>
        </w:rPr>
        <w:t xml:space="preserve"> </w:t>
      </w:r>
    </w:p>
    <w:p w14:paraId="722FBF16">
      <w:pPr>
        <w:rPr>
          <w:color w:val="auto"/>
          <w:sz w:val="24"/>
          <w:szCs w:val="24"/>
          <w:highlight w:val="none"/>
        </w:rPr>
      </w:pPr>
      <w:r>
        <w:rPr>
          <w:rFonts w:hint="eastAsia"/>
          <w:color w:val="auto"/>
          <w:sz w:val="24"/>
          <w:szCs w:val="24"/>
          <w:highlight w:val="none"/>
          <w:lang w:val="en-US" w:eastAsia="zh-CN"/>
        </w:rPr>
        <w:t xml:space="preserve">3.1 技术服务内容 </w:t>
      </w:r>
    </w:p>
    <w:p w14:paraId="06252454">
      <w:pPr>
        <w:rPr>
          <w:color w:val="auto"/>
          <w:sz w:val="24"/>
          <w:szCs w:val="24"/>
          <w:highlight w:val="none"/>
        </w:rPr>
      </w:pPr>
      <w:r>
        <w:rPr>
          <w:rFonts w:hint="eastAsia"/>
          <w:b/>
          <w:bCs/>
          <w:color w:val="auto"/>
          <w:sz w:val="24"/>
          <w:szCs w:val="24"/>
          <w:highlight w:val="none"/>
          <w:lang w:val="en-US" w:eastAsia="zh-CN"/>
        </w:rPr>
        <w:t>四、价格文件</w:t>
      </w:r>
      <w:r>
        <w:rPr>
          <w:rFonts w:hint="eastAsia"/>
          <w:color w:val="auto"/>
          <w:sz w:val="24"/>
          <w:szCs w:val="24"/>
          <w:highlight w:val="none"/>
          <w:lang w:val="en-US" w:eastAsia="zh-CN"/>
        </w:rPr>
        <w:t xml:space="preserve"> </w:t>
      </w:r>
    </w:p>
    <w:p w14:paraId="33A5F308">
      <w:pPr>
        <w:rPr>
          <w:rFonts w:hint="eastAsia"/>
          <w:color w:val="auto"/>
          <w:sz w:val="24"/>
          <w:szCs w:val="24"/>
          <w:highlight w:val="none"/>
          <w:lang w:val="en-US" w:eastAsia="zh-CN"/>
        </w:rPr>
      </w:pPr>
      <w:r>
        <w:rPr>
          <w:rFonts w:hint="eastAsia"/>
          <w:color w:val="auto"/>
          <w:sz w:val="24"/>
          <w:szCs w:val="24"/>
          <w:highlight w:val="none"/>
          <w:lang w:val="en-US" w:eastAsia="zh-CN"/>
        </w:rPr>
        <w:t xml:space="preserve">4.1 报价一览表 </w:t>
      </w:r>
    </w:p>
    <w:p w14:paraId="5D9F8C7F">
      <w:pPr>
        <w:rPr>
          <w:color w:val="auto"/>
          <w:sz w:val="24"/>
          <w:szCs w:val="24"/>
          <w:highlight w:val="none"/>
        </w:rPr>
      </w:pPr>
      <w:r>
        <w:rPr>
          <w:rFonts w:hint="eastAsia"/>
          <w:color w:val="auto"/>
          <w:sz w:val="24"/>
          <w:szCs w:val="24"/>
          <w:highlight w:val="none"/>
          <w:lang w:val="en-US" w:eastAsia="zh-CN"/>
        </w:rPr>
        <w:t xml:space="preserve">4.2 标价的工程量清单。 </w:t>
      </w:r>
    </w:p>
    <w:p w14:paraId="224BB8C4">
      <w:pPr>
        <w:rPr>
          <w:rFonts w:hint="default"/>
          <w:b/>
          <w:bCs/>
          <w:color w:val="auto"/>
          <w:sz w:val="24"/>
          <w:szCs w:val="24"/>
          <w:highlight w:val="none"/>
          <w:lang w:val="en-US" w:eastAsia="zh-CN"/>
        </w:rPr>
      </w:pPr>
      <w:r>
        <w:rPr>
          <w:rFonts w:hint="eastAsia"/>
          <w:b/>
          <w:bCs/>
          <w:color w:val="auto"/>
          <w:sz w:val="24"/>
          <w:szCs w:val="24"/>
          <w:highlight w:val="none"/>
          <w:lang w:val="en-US" w:eastAsia="zh-CN"/>
        </w:rPr>
        <w:t>五、供应商认为需要提供的其他资料</w:t>
      </w:r>
    </w:p>
    <w:p w14:paraId="57053632">
      <w:pPr>
        <w:rPr>
          <w:rFonts w:hint="eastAsia"/>
          <w:color w:val="auto"/>
          <w:sz w:val="24"/>
          <w:szCs w:val="24"/>
          <w:highlight w:val="none"/>
          <w:lang w:val="en-US" w:eastAsia="zh-CN"/>
        </w:rPr>
      </w:pPr>
      <w:r>
        <w:rPr>
          <w:rFonts w:hint="eastAsia"/>
          <w:b/>
          <w:bCs/>
          <w:color w:val="auto"/>
          <w:sz w:val="24"/>
          <w:szCs w:val="24"/>
          <w:highlight w:val="none"/>
          <w:lang w:val="en-US" w:eastAsia="zh-CN"/>
        </w:rPr>
        <w:t>六、其他文件格式</w:t>
      </w:r>
      <w:r>
        <w:rPr>
          <w:rFonts w:hint="eastAsia"/>
          <w:color w:val="auto"/>
          <w:sz w:val="24"/>
          <w:szCs w:val="24"/>
          <w:highlight w:val="none"/>
          <w:lang w:val="en-US" w:eastAsia="zh-CN"/>
        </w:rPr>
        <w:t xml:space="preserve"> </w:t>
      </w:r>
    </w:p>
    <w:p w14:paraId="77863B7C">
      <w:pPr>
        <w:rPr>
          <w:rFonts w:hint="eastAsia"/>
          <w:color w:val="auto"/>
          <w:sz w:val="24"/>
          <w:szCs w:val="24"/>
          <w:highlight w:val="none"/>
          <w:lang w:val="en-US" w:eastAsia="zh-CN"/>
        </w:rPr>
      </w:pPr>
      <w:r>
        <w:rPr>
          <w:rFonts w:hint="eastAsia"/>
          <w:color w:val="auto"/>
          <w:sz w:val="24"/>
          <w:szCs w:val="24"/>
          <w:highlight w:val="none"/>
          <w:lang w:val="en-US" w:eastAsia="zh-CN"/>
        </w:rPr>
        <w:t xml:space="preserve">6.1 法定代表人授权委托书  </w:t>
      </w:r>
    </w:p>
    <w:p w14:paraId="50A0E6A8">
      <w:pPr>
        <w:rPr>
          <w:rFonts w:hint="eastAsia"/>
          <w:color w:val="auto"/>
          <w:sz w:val="24"/>
          <w:szCs w:val="24"/>
          <w:highlight w:val="none"/>
          <w:lang w:val="en-US" w:eastAsia="zh-CN"/>
        </w:rPr>
      </w:pPr>
      <w:r>
        <w:rPr>
          <w:rFonts w:hint="eastAsia"/>
          <w:color w:val="auto"/>
          <w:sz w:val="24"/>
          <w:szCs w:val="24"/>
          <w:highlight w:val="none"/>
          <w:lang w:val="en-US" w:eastAsia="zh-CN"/>
        </w:rPr>
        <w:t xml:space="preserve">6.2 供应商资格声明函 </w:t>
      </w:r>
    </w:p>
    <w:p w14:paraId="309F3EA3">
      <w:pPr>
        <w:rPr>
          <w:rFonts w:hint="eastAsia"/>
          <w:color w:val="auto"/>
          <w:sz w:val="24"/>
          <w:szCs w:val="24"/>
          <w:highlight w:val="none"/>
          <w:lang w:val="en-US" w:eastAsia="zh-CN"/>
        </w:rPr>
      </w:pPr>
      <w:r>
        <w:rPr>
          <w:rFonts w:hint="eastAsia"/>
          <w:color w:val="auto"/>
          <w:sz w:val="24"/>
          <w:szCs w:val="24"/>
          <w:highlight w:val="none"/>
          <w:lang w:val="en-US" w:eastAsia="zh-CN"/>
        </w:rPr>
        <w:t>6.3 具备履行合同所必需的设备和专业技术能力的书面声明</w:t>
      </w:r>
    </w:p>
    <w:p w14:paraId="764D4325">
      <w:pPr>
        <w:rPr>
          <w:rFonts w:hint="eastAsia"/>
          <w:color w:val="auto"/>
          <w:sz w:val="24"/>
          <w:szCs w:val="24"/>
          <w:highlight w:val="none"/>
          <w:lang w:val="en-US" w:eastAsia="zh-CN"/>
        </w:rPr>
      </w:pPr>
      <w:r>
        <w:rPr>
          <w:rFonts w:hint="eastAsia"/>
          <w:color w:val="auto"/>
          <w:sz w:val="24"/>
          <w:szCs w:val="24"/>
          <w:highlight w:val="none"/>
          <w:lang w:val="en-US" w:eastAsia="zh-CN"/>
        </w:rPr>
        <w:t>6.4 参加政府采购活动前 3 年内在经营活动中没有重大违法记录的书面声明</w:t>
      </w:r>
    </w:p>
    <w:p w14:paraId="35773F4E">
      <w:pPr>
        <w:rPr>
          <w:rFonts w:hint="eastAsia"/>
          <w:color w:val="auto"/>
          <w:sz w:val="24"/>
          <w:szCs w:val="24"/>
          <w:highlight w:val="none"/>
          <w:lang w:val="en-US" w:eastAsia="zh-CN"/>
        </w:rPr>
      </w:pPr>
      <w:r>
        <w:rPr>
          <w:rFonts w:hint="eastAsia"/>
          <w:color w:val="auto"/>
          <w:sz w:val="24"/>
          <w:szCs w:val="24"/>
          <w:highlight w:val="none"/>
          <w:lang w:val="en-US" w:eastAsia="zh-CN"/>
        </w:rPr>
        <w:t>6.5 政府采购供应商质疑函范本</w:t>
      </w:r>
    </w:p>
    <w:p w14:paraId="2D36D5A5">
      <w:pPr>
        <w:rPr>
          <w:rFonts w:hint="eastAsia"/>
          <w:color w:val="auto"/>
          <w:sz w:val="24"/>
          <w:szCs w:val="24"/>
          <w:highlight w:val="none"/>
          <w:lang w:val="en-US" w:eastAsia="zh-CN"/>
        </w:rPr>
      </w:pPr>
      <w:r>
        <w:rPr>
          <w:rFonts w:hint="eastAsia"/>
          <w:color w:val="auto"/>
          <w:sz w:val="24"/>
          <w:szCs w:val="24"/>
          <w:highlight w:val="none"/>
          <w:lang w:val="en-US" w:eastAsia="zh-CN"/>
        </w:rPr>
        <w:t>6.6 联合体共同投标合同书（可选）</w:t>
      </w:r>
    </w:p>
    <w:p w14:paraId="2E9F7A1E">
      <w:pPr>
        <w:rPr>
          <w:color w:val="auto"/>
          <w:sz w:val="24"/>
          <w:szCs w:val="24"/>
          <w:highlight w:val="none"/>
        </w:rPr>
      </w:pPr>
      <w:r>
        <w:rPr>
          <w:rFonts w:hint="eastAsia"/>
          <w:color w:val="auto"/>
          <w:sz w:val="24"/>
          <w:szCs w:val="24"/>
          <w:highlight w:val="none"/>
          <w:lang w:val="en-US" w:eastAsia="zh-CN"/>
        </w:rPr>
        <w:t xml:space="preserve">注：请供应商按照以下文件的要求格式、内容，顺序制作磋商响应文件，并请 </w:t>
      </w:r>
    </w:p>
    <w:p w14:paraId="5CB9FFF2">
      <w:pPr>
        <w:rPr>
          <w:rFonts w:hint="default"/>
          <w:color w:val="auto"/>
          <w:sz w:val="24"/>
          <w:szCs w:val="24"/>
          <w:highlight w:val="none"/>
          <w:lang w:val="en-US"/>
        </w:rPr>
      </w:pPr>
      <w:r>
        <w:rPr>
          <w:rFonts w:hint="eastAsia"/>
          <w:color w:val="auto"/>
          <w:sz w:val="24"/>
          <w:szCs w:val="24"/>
          <w:highlight w:val="none"/>
          <w:lang w:val="en-US" w:eastAsia="zh-CN"/>
        </w:rPr>
        <w:t>编制目录及页码，否则可能将影响对磋商响应文件的评价。</w:t>
      </w:r>
    </w:p>
    <w:p w14:paraId="761203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p>
    <w:p w14:paraId="77C12895">
      <w:pPr>
        <w:pStyle w:val="6"/>
        <w:rPr>
          <w:rFonts w:hint="eastAsia" w:ascii="宋体" w:hAnsi="宋体" w:eastAsia="宋体" w:cs="宋体"/>
          <w:b/>
          <w:bCs/>
          <w:color w:val="auto"/>
          <w:sz w:val="28"/>
          <w:szCs w:val="28"/>
          <w:highlight w:val="none"/>
        </w:rPr>
      </w:pPr>
    </w:p>
    <w:p w14:paraId="69B6B1AE">
      <w:pPr>
        <w:rPr>
          <w:rFonts w:hint="eastAsia"/>
          <w:color w:val="auto"/>
          <w:highlight w:val="none"/>
        </w:rPr>
      </w:pPr>
    </w:p>
    <w:p w14:paraId="4A48448E">
      <w:pPr>
        <w:rPr>
          <w:rFonts w:hint="eastAsia"/>
          <w:color w:val="auto"/>
          <w:highlight w:val="none"/>
        </w:rPr>
      </w:pPr>
    </w:p>
    <w:p w14:paraId="5D2A9F85">
      <w:pPr>
        <w:pStyle w:val="6"/>
        <w:rPr>
          <w:rFonts w:hint="eastAsia"/>
          <w:color w:val="auto"/>
          <w:highlight w:val="none"/>
        </w:rPr>
      </w:pPr>
    </w:p>
    <w:p w14:paraId="312379B9">
      <w:pPr>
        <w:rPr>
          <w:rFonts w:hint="eastAsia"/>
        </w:rPr>
      </w:pPr>
    </w:p>
    <w:p w14:paraId="19783639">
      <w:pPr>
        <w:pStyle w:val="6"/>
        <w:rPr>
          <w:rFonts w:hint="eastAsia"/>
          <w:color w:val="auto"/>
          <w:highlight w:val="none"/>
        </w:rPr>
      </w:pPr>
    </w:p>
    <w:p w14:paraId="3EB640DA">
      <w:pPr>
        <w:rPr>
          <w:rFonts w:hint="eastAsia"/>
          <w:color w:val="auto"/>
          <w:highlight w:val="none"/>
        </w:rPr>
      </w:pPr>
    </w:p>
    <w:p w14:paraId="3166B5A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195" w:name="_Toc18871_WPSOffice_Level1"/>
      <w:r>
        <w:rPr>
          <w:rFonts w:hint="eastAsia"/>
          <w:b/>
          <w:bCs/>
          <w:color w:val="auto"/>
          <w:sz w:val="36"/>
          <w:szCs w:val="36"/>
          <w:highlight w:val="none"/>
          <w:lang w:val="en-US" w:eastAsia="zh-CN"/>
        </w:rPr>
        <w:t>一、自查表</w:t>
      </w:r>
      <w:bookmarkEnd w:id="195"/>
    </w:p>
    <w:p w14:paraId="4A4E6569">
      <w:pPr>
        <w:pStyle w:val="6"/>
        <w:ind w:left="0" w:leftChars="0" w:firstLine="0" w:firstLineChars="0"/>
        <w:rPr>
          <w:rFonts w:hint="eastAsia" w:ascii="宋体" w:hAnsi="宋体" w:eastAsia="宋体" w:cs="宋体"/>
          <w:b/>
          <w:bCs/>
          <w:color w:val="auto"/>
          <w:sz w:val="24"/>
          <w:szCs w:val="24"/>
          <w:highlight w:val="none"/>
        </w:rPr>
      </w:pPr>
    </w:p>
    <w:p w14:paraId="541477EE">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1.1 </w:t>
      </w:r>
      <w:r>
        <w:rPr>
          <w:rFonts w:hint="eastAsia" w:ascii="宋体" w:hAnsi="宋体" w:eastAsia="宋体" w:cs="宋体"/>
          <w:b/>
          <w:bCs/>
          <w:color w:val="auto"/>
          <w:sz w:val="28"/>
          <w:szCs w:val="28"/>
          <w:highlight w:val="none"/>
        </w:rPr>
        <w:t xml:space="preserve">资格审查自查表 </w:t>
      </w:r>
    </w:p>
    <w:p w14:paraId="032781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19"/>
        <w:tblW w:w="86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6002"/>
        <w:gridCol w:w="2057"/>
      </w:tblGrid>
      <w:tr w14:paraId="7062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1688910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14:paraId="3827A913">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6002" w:type="dxa"/>
            <w:noWrap w:val="0"/>
            <w:vAlign w:val="top"/>
          </w:tcPr>
          <w:p w14:paraId="79DD8BDA">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14:paraId="6D2ABA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《资格审查表》</w:t>
            </w:r>
          </w:p>
        </w:tc>
        <w:tc>
          <w:tcPr>
            <w:tcW w:w="2057" w:type="dxa"/>
            <w:noWrap w:val="0"/>
            <w:vAlign w:val="top"/>
          </w:tcPr>
          <w:p w14:paraId="48C9A2C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2ED6C6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r>
      <w:tr w14:paraId="520DB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572" w:type="dxa"/>
            <w:noWrap w:val="0"/>
            <w:vAlign w:val="top"/>
          </w:tcPr>
          <w:p w14:paraId="0E113125">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002" w:type="dxa"/>
            <w:noWrap w:val="0"/>
            <w:vAlign w:val="top"/>
          </w:tcPr>
          <w:p w14:paraId="457B13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6FA17CC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通过 □不通过 </w:t>
            </w:r>
          </w:p>
        </w:tc>
      </w:tr>
      <w:tr w14:paraId="7F9B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183B051F">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002" w:type="dxa"/>
            <w:noWrap w:val="0"/>
            <w:vAlign w:val="top"/>
          </w:tcPr>
          <w:p w14:paraId="0DB519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57FFD29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0A450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572" w:type="dxa"/>
            <w:noWrap w:val="0"/>
            <w:vAlign w:val="top"/>
          </w:tcPr>
          <w:p w14:paraId="0D95781E">
            <w:pPr>
              <w:jc w:val="both"/>
              <w:rPr>
                <w:rFonts w:hint="eastAsia"/>
                <w:color w:val="auto"/>
                <w:highlight w:val="none"/>
                <w:lang w:val="en-US" w:eastAsia="zh-CN"/>
              </w:rPr>
            </w:pPr>
          </w:p>
          <w:p w14:paraId="2DE3AE08">
            <w:pPr>
              <w:ind w:firstLine="220" w:firstLineChars="100"/>
              <w:jc w:val="both"/>
              <w:rPr>
                <w:rFonts w:hint="eastAsia"/>
                <w:color w:val="auto"/>
                <w:highlight w:val="none"/>
              </w:rPr>
            </w:pPr>
            <w:r>
              <w:rPr>
                <w:rFonts w:hint="eastAsia"/>
                <w:color w:val="auto"/>
                <w:highlight w:val="none"/>
                <w:lang w:val="en-US" w:eastAsia="zh-CN"/>
              </w:rPr>
              <w:t>3</w:t>
            </w:r>
          </w:p>
          <w:p w14:paraId="004DC74E">
            <w:pPr>
              <w:pStyle w:val="6"/>
              <w:rPr>
                <w:rFonts w:hint="eastAsia"/>
                <w:color w:val="auto"/>
                <w:highlight w:val="none"/>
              </w:rPr>
            </w:pPr>
          </w:p>
        </w:tc>
        <w:tc>
          <w:tcPr>
            <w:tcW w:w="6002" w:type="dxa"/>
            <w:noWrap w:val="0"/>
            <w:vAlign w:val="top"/>
          </w:tcPr>
          <w:p w14:paraId="2F7E6E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3DEC01B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60848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572" w:type="dxa"/>
            <w:noWrap w:val="0"/>
            <w:vAlign w:val="top"/>
          </w:tcPr>
          <w:p w14:paraId="00389156">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002" w:type="dxa"/>
            <w:noWrap w:val="0"/>
            <w:vAlign w:val="top"/>
          </w:tcPr>
          <w:p w14:paraId="79F7AA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44412E4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720A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72" w:type="dxa"/>
            <w:noWrap w:val="0"/>
            <w:vAlign w:val="top"/>
          </w:tcPr>
          <w:p w14:paraId="0FE512B5">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002" w:type="dxa"/>
            <w:noWrap w:val="0"/>
            <w:vAlign w:val="top"/>
          </w:tcPr>
          <w:p w14:paraId="4D5627E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7E04DA3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179B5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572" w:type="dxa"/>
            <w:noWrap w:val="0"/>
            <w:vAlign w:val="top"/>
          </w:tcPr>
          <w:p w14:paraId="55DE1AF1">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002" w:type="dxa"/>
            <w:noWrap w:val="0"/>
            <w:vAlign w:val="top"/>
          </w:tcPr>
          <w:p w14:paraId="2AFA1D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17522FB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F19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34FEF1A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002" w:type="dxa"/>
            <w:noWrap w:val="0"/>
            <w:vAlign w:val="top"/>
          </w:tcPr>
          <w:p w14:paraId="0EAAE2F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3DB4BB5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03EC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572" w:type="dxa"/>
            <w:noWrap w:val="0"/>
            <w:vAlign w:val="top"/>
          </w:tcPr>
          <w:p w14:paraId="5009D7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002" w:type="dxa"/>
            <w:noWrap w:val="0"/>
            <w:vAlign w:val="top"/>
          </w:tcPr>
          <w:p w14:paraId="7CC89D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45BAF21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219B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572" w:type="dxa"/>
            <w:noWrap w:val="0"/>
            <w:vAlign w:val="top"/>
          </w:tcPr>
          <w:p w14:paraId="67C74824">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002" w:type="dxa"/>
            <w:noWrap w:val="0"/>
            <w:vAlign w:val="top"/>
          </w:tcPr>
          <w:p w14:paraId="3A52E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0589A6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A1D996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注：供应商应按照磋商文件《资格性审查表》 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 </w:t>
      </w:r>
    </w:p>
    <w:p w14:paraId="69695421">
      <w:pPr>
        <w:pStyle w:val="6"/>
        <w:rPr>
          <w:rFonts w:hint="eastAsia" w:ascii="宋体" w:hAnsi="宋体" w:eastAsia="宋体" w:cs="宋体"/>
          <w:color w:val="auto"/>
          <w:sz w:val="24"/>
          <w:szCs w:val="24"/>
          <w:highlight w:val="none"/>
        </w:rPr>
      </w:pPr>
    </w:p>
    <w:p w14:paraId="371B3BF8">
      <w:pPr>
        <w:rPr>
          <w:rFonts w:hint="eastAsia" w:ascii="宋体" w:hAnsi="宋体" w:eastAsia="宋体" w:cs="宋体"/>
          <w:color w:val="auto"/>
          <w:sz w:val="24"/>
          <w:szCs w:val="24"/>
          <w:highlight w:val="none"/>
        </w:rPr>
      </w:pPr>
    </w:p>
    <w:p w14:paraId="01CCED0B">
      <w:pPr>
        <w:pStyle w:val="6"/>
        <w:rPr>
          <w:rFonts w:hint="eastAsia" w:ascii="宋体" w:hAnsi="宋体" w:eastAsia="宋体" w:cs="宋体"/>
          <w:color w:val="auto"/>
          <w:sz w:val="24"/>
          <w:szCs w:val="24"/>
          <w:highlight w:val="none"/>
        </w:rPr>
      </w:pPr>
    </w:p>
    <w:p w14:paraId="5315B0BE">
      <w:pPr>
        <w:rPr>
          <w:rFonts w:hint="eastAsia" w:ascii="宋体" w:hAnsi="宋体" w:eastAsia="宋体" w:cs="宋体"/>
          <w:color w:val="auto"/>
          <w:sz w:val="24"/>
          <w:szCs w:val="24"/>
          <w:highlight w:val="none"/>
        </w:rPr>
      </w:pPr>
    </w:p>
    <w:p w14:paraId="763F6ACF">
      <w:pPr>
        <w:pStyle w:val="6"/>
        <w:rPr>
          <w:rFonts w:hint="eastAsia"/>
          <w:color w:val="auto"/>
          <w:highlight w:val="none"/>
        </w:rPr>
      </w:pPr>
    </w:p>
    <w:p w14:paraId="6DB2909B">
      <w:pPr>
        <w:pStyle w:val="6"/>
        <w:rPr>
          <w:rFonts w:hint="eastAsia" w:ascii="宋体" w:hAnsi="宋体" w:eastAsia="宋体" w:cs="宋体"/>
          <w:color w:val="auto"/>
          <w:sz w:val="24"/>
          <w:szCs w:val="24"/>
          <w:highlight w:val="none"/>
        </w:rPr>
      </w:pPr>
    </w:p>
    <w:p w14:paraId="1FEFE7B8">
      <w:pPr>
        <w:rPr>
          <w:rFonts w:hint="eastAsia" w:ascii="宋体" w:hAnsi="宋体" w:eastAsia="宋体" w:cs="宋体"/>
          <w:color w:val="auto"/>
          <w:sz w:val="24"/>
          <w:szCs w:val="24"/>
          <w:highlight w:val="none"/>
        </w:rPr>
      </w:pPr>
    </w:p>
    <w:p w14:paraId="2D4D87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符合性审查自查表 </w:t>
      </w:r>
    </w:p>
    <w:p w14:paraId="34B4DB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19"/>
        <w:tblW w:w="8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4650"/>
        <w:gridCol w:w="2085"/>
        <w:gridCol w:w="1567"/>
      </w:tblGrid>
      <w:tr w14:paraId="439EC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153708DF">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14:paraId="75E1CE1A">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4650" w:type="dxa"/>
            <w:noWrap w:val="0"/>
            <w:vAlign w:val="top"/>
          </w:tcPr>
          <w:p w14:paraId="2567919E">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14:paraId="24AC9A0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tc>
        <w:tc>
          <w:tcPr>
            <w:tcW w:w="2085" w:type="dxa"/>
            <w:noWrap w:val="0"/>
            <w:vAlign w:val="top"/>
          </w:tcPr>
          <w:p w14:paraId="1778E6CE">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175523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c>
          <w:tcPr>
            <w:tcW w:w="1567" w:type="dxa"/>
            <w:noWrap w:val="0"/>
            <w:vAlign w:val="top"/>
          </w:tcPr>
          <w:p w14:paraId="212B153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9108DA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证明资料 </w:t>
            </w:r>
          </w:p>
        </w:tc>
      </w:tr>
      <w:tr w14:paraId="5397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630CC3D1">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50" w:type="dxa"/>
            <w:noWrap w:val="0"/>
            <w:vAlign w:val="top"/>
          </w:tcPr>
          <w:p w14:paraId="6BC64F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5B4F856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504C827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6AA247A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2852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304E66A4">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50" w:type="dxa"/>
            <w:noWrap w:val="0"/>
            <w:vAlign w:val="top"/>
          </w:tcPr>
          <w:p w14:paraId="4C3F4D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4FA7332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4E3CA7E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348F4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572" w:type="dxa"/>
            <w:noWrap w:val="0"/>
            <w:vAlign w:val="top"/>
          </w:tcPr>
          <w:p w14:paraId="272DF581">
            <w:pPr>
              <w:jc w:val="both"/>
              <w:rPr>
                <w:rFonts w:hint="eastAsia"/>
                <w:color w:val="auto"/>
                <w:highlight w:val="none"/>
                <w:lang w:val="en-US" w:eastAsia="zh-CN"/>
              </w:rPr>
            </w:pPr>
          </w:p>
          <w:p w14:paraId="0701978A">
            <w:pPr>
              <w:ind w:firstLine="220" w:firstLineChars="100"/>
              <w:jc w:val="both"/>
              <w:rPr>
                <w:rFonts w:hint="eastAsia"/>
                <w:color w:val="auto"/>
                <w:highlight w:val="none"/>
              </w:rPr>
            </w:pPr>
            <w:r>
              <w:rPr>
                <w:rFonts w:hint="eastAsia"/>
                <w:color w:val="auto"/>
                <w:highlight w:val="none"/>
                <w:lang w:val="en-US" w:eastAsia="zh-CN"/>
              </w:rPr>
              <w:t>3</w:t>
            </w:r>
          </w:p>
          <w:p w14:paraId="48C93A9A">
            <w:pPr>
              <w:pStyle w:val="6"/>
              <w:rPr>
                <w:rFonts w:hint="eastAsia"/>
                <w:color w:val="auto"/>
                <w:highlight w:val="none"/>
              </w:rPr>
            </w:pPr>
          </w:p>
        </w:tc>
        <w:tc>
          <w:tcPr>
            <w:tcW w:w="4650" w:type="dxa"/>
            <w:noWrap w:val="0"/>
            <w:vAlign w:val="top"/>
          </w:tcPr>
          <w:p w14:paraId="02CA03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6D06CA2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5D9FB92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4891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727425C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650" w:type="dxa"/>
            <w:noWrap w:val="0"/>
            <w:vAlign w:val="top"/>
          </w:tcPr>
          <w:p w14:paraId="0B99DBE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5D35963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47C882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7A481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15025F4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650" w:type="dxa"/>
            <w:noWrap w:val="0"/>
            <w:vAlign w:val="top"/>
          </w:tcPr>
          <w:p w14:paraId="62528F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24E6B25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A4919A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325E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6E6478A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650" w:type="dxa"/>
            <w:noWrap w:val="0"/>
            <w:vAlign w:val="top"/>
          </w:tcPr>
          <w:p w14:paraId="407DF9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464C384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45C112E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592E06C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563E7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446AAC4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650" w:type="dxa"/>
            <w:noWrap w:val="0"/>
            <w:vAlign w:val="top"/>
          </w:tcPr>
          <w:p w14:paraId="3493E6A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CDE41F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FC85DB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3307F8C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65F8D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3F9D43CE">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650" w:type="dxa"/>
            <w:noWrap w:val="0"/>
            <w:vAlign w:val="top"/>
          </w:tcPr>
          <w:p w14:paraId="448B6E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909876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3AF1C5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13ED8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72" w:type="dxa"/>
            <w:noWrap w:val="0"/>
            <w:vAlign w:val="top"/>
          </w:tcPr>
          <w:p w14:paraId="6B7E3F02">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50" w:type="dxa"/>
            <w:noWrap w:val="0"/>
            <w:vAlign w:val="top"/>
          </w:tcPr>
          <w:p w14:paraId="39496B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1BCB1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67" w:type="dxa"/>
            <w:noWrap w:val="0"/>
            <w:vAlign w:val="top"/>
          </w:tcPr>
          <w:p w14:paraId="6684498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09911E4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注：供应商应按照磋商文件《符合性审查表》中的内容逐条在上表中填写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在对应的□打“√”，并注明证明资料所在响应文件的页码。 </w:t>
      </w:r>
    </w:p>
    <w:p w14:paraId="50D03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p>
    <w:p w14:paraId="6CDB6B16">
      <w:pPr>
        <w:pStyle w:val="6"/>
        <w:rPr>
          <w:rFonts w:hint="eastAsia" w:ascii="宋体" w:hAnsi="宋体" w:eastAsia="宋体" w:cs="宋体"/>
          <w:color w:val="auto"/>
          <w:sz w:val="24"/>
          <w:szCs w:val="24"/>
          <w:highlight w:val="none"/>
          <w:lang w:val="zh-CN" w:eastAsia="zh-CN"/>
        </w:rPr>
      </w:pPr>
    </w:p>
    <w:p w14:paraId="2AC3FE87">
      <w:pPr>
        <w:rPr>
          <w:rFonts w:hint="eastAsia" w:ascii="宋体" w:hAnsi="宋体" w:eastAsia="宋体" w:cs="宋体"/>
          <w:color w:val="auto"/>
          <w:sz w:val="24"/>
          <w:szCs w:val="24"/>
          <w:highlight w:val="none"/>
          <w:lang w:val="zh-CN" w:eastAsia="zh-CN"/>
        </w:rPr>
      </w:pPr>
    </w:p>
    <w:p w14:paraId="6CC5FED6">
      <w:pPr>
        <w:pStyle w:val="6"/>
        <w:rPr>
          <w:rFonts w:hint="eastAsia" w:ascii="宋体" w:hAnsi="宋体" w:eastAsia="宋体" w:cs="宋体"/>
          <w:color w:val="auto"/>
          <w:sz w:val="24"/>
          <w:szCs w:val="24"/>
          <w:highlight w:val="none"/>
          <w:lang w:val="zh-CN" w:eastAsia="zh-CN"/>
        </w:rPr>
      </w:pPr>
    </w:p>
    <w:p w14:paraId="4AFA2B12">
      <w:pPr>
        <w:rPr>
          <w:rFonts w:hint="eastAsia"/>
          <w:color w:val="auto"/>
          <w:highlight w:val="none"/>
          <w:lang w:val="zh-CN" w:eastAsia="zh-CN"/>
        </w:rPr>
      </w:pPr>
    </w:p>
    <w:p w14:paraId="347F0573">
      <w:pPr>
        <w:pStyle w:val="6"/>
        <w:rPr>
          <w:rFonts w:hint="eastAsia"/>
          <w:color w:val="auto"/>
          <w:highlight w:val="none"/>
          <w:lang w:val="zh-CN" w:eastAsia="zh-CN"/>
        </w:rPr>
      </w:pPr>
    </w:p>
    <w:p w14:paraId="03109233">
      <w:pPr>
        <w:jc w:val="center"/>
        <w:rPr>
          <w:rFonts w:ascii="宋体" w:hAnsi="宋体"/>
          <w:b/>
          <w:color w:val="auto"/>
          <w:sz w:val="30"/>
          <w:szCs w:val="30"/>
          <w:highlight w:val="none"/>
        </w:rPr>
      </w:pPr>
      <w:r>
        <w:rPr>
          <w:rFonts w:hint="eastAsia"/>
          <w:b/>
          <w:color w:val="auto"/>
          <w:sz w:val="30"/>
          <w:szCs w:val="30"/>
          <w:highlight w:val="none"/>
          <w:lang w:val="en-US" w:eastAsia="zh-CN"/>
        </w:rPr>
        <w:t xml:space="preserve">1.3 </w:t>
      </w:r>
      <w:r>
        <w:rPr>
          <w:rFonts w:hint="eastAsia" w:ascii="宋体" w:hAnsi="宋体"/>
          <w:b/>
          <w:color w:val="auto"/>
          <w:sz w:val="30"/>
          <w:szCs w:val="30"/>
          <w:highlight w:val="none"/>
        </w:rPr>
        <w:t>评分索引表</w:t>
      </w:r>
    </w:p>
    <w:p w14:paraId="5956F0D7">
      <w:pPr>
        <w:rPr>
          <w:rFonts w:ascii="宋体" w:hAnsi="宋体"/>
          <w:color w:val="auto"/>
          <w:highlight w:val="none"/>
        </w:rPr>
      </w:pPr>
    </w:p>
    <w:tbl>
      <w:tblPr>
        <w:tblStyle w:val="19"/>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0582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center"/>
          </w:tcPr>
          <w:p w14:paraId="008FC0B1">
            <w:pPr>
              <w:pStyle w:val="35"/>
              <w:shd w:val="clear" w:color="auto" w:fill="FFFFFF"/>
              <w:spacing w:line="480" w:lineRule="auto"/>
              <w:ind w:left="420"/>
              <w:jc w:val="center"/>
              <w:rPr>
                <w:rFonts w:ascii="宋体" w:hAnsi="宋体" w:eastAsia="Times New Roman"/>
                <w:b/>
                <w:bCs/>
                <w:color w:val="auto"/>
                <w:highlight w:val="none"/>
                <w:lang w:val="en-US" w:eastAsia="zh-CN"/>
              </w:rPr>
            </w:pPr>
            <w:r>
              <w:rPr>
                <w:rFonts w:hint="eastAsia" w:ascii="宋体" w:hAnsi="宋体" w:eastAsia="Times New Roman"/>
                <w:b/>
                <w:color w:val="auto"/>
                <w:highlight w:val="none"/>
                <w:lang w:val="en-US"/>
              </w:rPr>
              <w:t>评分项目</w:t>
            </w:r>
          </w:p>
        </w:tc>
        <w:tc>
          <w:tcPr>
            <w:tcW w:w="3711" w:type="dxa"/>
            <w:noWrap w:val="0"/>
            <w:vAlign w:val="top"/>
          </w:tcPr>
          <w:p w14:paraId="32909978">
            <w:pPr>
              <w:spacing w:line="480" w:lineRule="auto"/>
              <w:jc w:val="center"/>
              <w:rPr>
                <w:rFonts w:ascii="宋体" w:hAnsi="宋体"/>
                <w:b/>
                <w:color w:val="auto"/>
                <w:highlight w:val="none"/>
              </w:rPr>
            </w:pPr>
            <w:r>
              <w:rPr>
                <w:rFonts w:hint="eastAsia" w:ascii="宋体" w:hAnsi="宋体"/>
                <w:b/>
                <w:color w:val="auto"/>
                <w:kern w:val="0"/>
                <w:sz w:val="24"/>
                <w:highlight w:val="none"/>
                <w:lang w:bidi="en-US"/>
              </w:rPr>
              <w:t>在</w:t>
            </w:r>
            <w:r>
              <w:rPr>
                <w:rFonts w:hint="eastAsia" w:ascii="宋体" w:hAnsi="宋体"/>
                <w:b/>
                <w:color w:val="auto"/>
                <w:kern w:val="0"/>
                <w:sz w:val="24"/>
                <w:highlight w:val="none"/>
                <w:lang w:val="en-US" w:eastAsia="zh-CN" w:bidi="en-US"/>
              </w:rPr>
              <w:t>响应</w:t>
            </w:r>
            <w:r>
              <w:rPr>
                <w:rFonts w:hint="eastAsia" w:ascii="宋体" w:hAnsi="宋体"/>
                <w:b/>
                <w:color w:val="auto"/>
                <w:kern w:val="0"/>
                <w:sz w:val="24"/>
                <w:highlight w:val="none"/>
                <w:lang w:bidi="en-US"/>
              </w:rPr>
              <w:t>文件中的页码位置（注明在**节点下第**页）</w:t>
            </w:r>
          </w:p>
        </w:tc>
      </w:tr>
      <w:tr w14:paraId="25DF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529" w:type="dxa"/>
            <w:noWrap w:val="0"/>
            <w:vAlign w:val="top"/>
          </w:tcPr>
          <w:p w14:paraId="46655668">
            <w:pPr>
              <w:pStyle w:val="35"/>
              <w:shd w:val="clear" w:color="auto" w:fill="FFFFFF"/>
              <w:spacing w:line="480" w:lineRule="auto"/>
              <w:ind w:left="420"/>
              <w:jc w:val="both"/>
              <w:rPr>
                <w:rFonts w:ascii="宋体" w:hAnsi="宋体" w:eastAsia="Times New Roman"/>
                <w:b/>
                <w:color w:val="auto"/>
                <w:highlight w:val="none"/>
                <w:lang w:val="en-US" w:eastAsia="zh-CN"/>
              </w:rPr>
            </w:pPr>
          </w:p>
        </w:tc>
        <w:tc>
          <w:tcPr>
            <w:tcW w:w="3711" w:type="dxa"/>
            <w:noWrap w:val="0"/>
            <w:vAlign w:val="top"/>
          </w:tcPr>
          <w:p w14:paraId="1BE469C8">
            <w:pPr>
              <w:spacing w:line="480" w:lineRule="auto"/>
              <w:rPr>
                <w:rFonts w:ascii="宋体" w:hAnsi="宋体"/>
                <w:b/>
                <w:color w:val="auto"/>
                <w:kern w:val="0"/>
                <w:sz w:val="24"/>
                <w:highlight w:val="none"/>
                <w:lang w:bidi="en-US"/>
              </w:rPr>
            </w:pPr>
          </w:p>
        </w:tc>
      </w:tr>
      <w:tr w14:paraId="5D46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40" w:type="dxa"/>
            <w:gridSpan w:val="2"/>
            <w:noWrap w:val="0"/>
            <w:vAlign w:val="top"/>
          </w:tcPr>
          <w:p w14:paraId="6B4AB50E">
            <w:pPr>
              <w:pStyle w:val="35"/>
              <w:shd w:val="clear" w:color="auto" w:fill="FFFFFF"/>
              <w:spacing w:line="480" w:lineRule="auto"/>
              <w:ind w:left="420"/>
              <w:jc w:val="both"/>
              <w:rPr>
                <w:rFonts w:ascii="宋体" w:hAnsi="宋体" w:eastAsia="Times New Roman"/>
                <w:color w:val="auto"/>
                <w:highlight w:val="none"/>
                <w:lang w:val="en-US" w:eastAsia="zh-CN"/>
              </w:rPr>
            </w:pPr>
          </w:p>
        </w:tc>
      </w:tr>
      <w:tr w14:paraId="27DE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9" w:type="dxa"/>
            <w:noWrap w:val="0"/>
            <w:vAlign w:val="top"/>
          </w:tcPr>
          <w:p w14:paraId="4040703C">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4D89046C">
            <w:pPr>
              <w:spacing w:line="480" w:lineRule="auto"/>
              <w:rPr>
                <w:rFonts w:ascii="宋体" w:hAnsi="宋体"/>
                <w:color w:val="auto"/>
                <w:highlight w:val="none"/>
              </w:rPr>
            </w:pPr>
          </w:p>
        </w:tc>
      </w:tr>
      <w:tr w14:paraId="1292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7D226A11">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5D837C29">
            <w:pPr>
              <w:spacing w:line="480" w:lineRule="auto"/>
              <w:rPr>
                <w:rFonts w:ascii="宋体" w:hAnsi="宋体"/>
                <w:color w:val="auto"/>
                <w:highlight w:val="none"/>
              </w:rPr>
            </w:pPr>
          </w:p>
        </w:tc>
      </w:tr>
      <w:tr w14:paraId="702F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7D682B38">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3441242B">
            <w:pPr>
              <w:spacing w:line="480" w:lineRule="auto"/>
              <w:rPr>
                <w:rFonts w:ascii="宋体" w:hAnsi="宋体"/>
                <w:color w:val="auto"/>
                <w:highlight w:val="none"/>
              </w:rPr>
            </w:pPr>
          </w:p>
        </w:tc>
      </w:tr>
      <w:tr w14:paraId="555F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6A00B9B0">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15C37F2B">
            <w:pPr>
              <w:spacing w:line="480" w:lineRule="auto"/>
              <w:rPr>
                <w:rFonts w:ascii="宋体" w:hAnsi="宋体"/>
                <w:color w:val="auto"/>
                <w:highlight w:val="none"/>
              </w:rPr>
            </w:pPr>
          </w:p>
        </w:tc>
      </w:tr>
      <w:tr w14:paraId="64C2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4E1A7E5E">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7732D9CE">
            <w:pPr>
              <w:spacing w:line="480" w:lineRule="auto"/>
              <w:rPr>
                <w:rFonts w:ascii="宋体" w:hAnsi="宋体"/>
                <w:color w:val="auto"/>
                <w:highlight w:val="none"/>
              </w:rPr>
            </w:pPr>
          </w:p>
        </w:tc>
      </w:tr>
      <w:tr w14:paraId="6A08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615B6E8D">
            <w:pPr>
              <w:pStyle w:val="35"/>
              <w:shd w:val="clear" w:color="auto" w:fill="FFFFFF"/>
              <w:spacing w:line="480" w:lineRule="auto"/>
              <w:ind w:left="420"/>
              <w:jc w:val="both"/>
              <w:rPr>
                <w:rFonts w:ascii="宋体" w:hAnsi="宋体" w:eastAsia="Times New Roman"/>
                <w:color w:val="auto"/>
                <w:highlight w:val="none"/>
                <w:lang w:val="en-US" w:eastAsia="zh-CN"/>
              </w:rPr>
            </w:pPr>
          </w:p>
        </w:tc>
      </w:tr>
      <w:tr w14:paraId="00C9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709A2273">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6A8AEC8F">
            <w:pPr>
              <w:spacing w:line="480" w:lineRule="auto"/>
              <w:rPr>
                <w:rFonts w:ascii="宋体" w:hAnsi="宋体"/>
                <w:color w:val="auto"/>
                <w:highlight w:val="none"/>
              </w:rPr>
            </w:pPr>
          </w:p>
        </w:tc>
      </w:tr>
      <w:tr w14:paraId="4E9B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639D3598">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0900D283">
            <w:pPr>
              <w:spacing w:line="480" w:lineRule="auto"/>
              <w:rPr>
                <w:rFonts w:ascii="宋体" w:hAnsi="宋体"/>
                <w:color w:val="auto"/>
                <w:highlight w:val="none"/>
              </w:rPr>
            </w:pPr>
          </w:p>
        </w:tc>
      </w:tr>
      <w:tr w14:paraId="5656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40B7057F">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70EF6429">
            <w:pPr>
              <w:spacing w:line="480" w:lineRule="auto"/>
              <w:rPr>
                <w:rFonts w:ascii="宋体" w:hAnsi="宋体"/>
                <w:color w:val="auto"/>
                <w:highlight w:val="none"/>
              </w:rPr>
            </w:pPr>
          </w:p>
        </w:tc>
      </w:tr>
      <w:tr w14:paraId="41F5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7E9BFFD0">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51786145">
            <w:pPr>
              <w:spacing w:line="480" w:lineRule="auto"/>
              <w:rPr>
                <w:rFonts w:ascii="宋体" w:hAnsi="宋体"/>
                <w:color w:val="auto"/>
                <w:highlight w:val="none"/>
              </w:rPr>
            </w:pPr>
          </w:p>
        </w:tc>
      </w:tr>
      <w:tr w14:paraId="28A7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461CF709">
            <w:pPr>
              <w:pStyle w:val="35"/>
              <w:shd w:val="clear" w:color="auto" w:fill="FFFFFF"/>
              <w:spacing w:line="480" w:lineRule="auto"/>
              <w:ind w:left="420"/>
              <w:jc w:val="both"/>
              <w:rPr>
                <w:rFonts w:ascii="宋体" w:hAnsi="宋体" w:eastAsia="Times New Roman"/>
                <w:b/>
                <w:color w:val="auto"/>
                <w:highlight w:val="none"/>
                <w:lang w:val="en-US" w:eastAsia="zh-CN"/>
              </w:rPr>
            </w:pPr>
          </w:p>
        </w:tc>
      </w:tr>
      <w:tr w14:paraId="42FC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729C2DA1">
            <w:pPr>
              <w:pStyle w:val="35"/>
              <w:shd w:val="clear" w:color="auto" w:fill="FFFFFF"/>
              <w:spacing w:line="480" w:lineRule="auto"/>
              <w:ind w:left="420"/>
              <w:rPr>
                <w:rFonts w:ascii="宋体" w:hAnsi="宋体" w:eastAsia="Times New Roman"/>
                <w:b/>
                <w:bCs/>
                <w:color w:val="auto"/>
                <w:highlight w:val="none"/>
                <w:lang w:val="en-US" w:eastAsia="zh-CN"/>
              </w:rPr>
            </w:pPr>
          </w:p>
        </w:tc>
        <w:tc>
          <w:tcPr>
            <w:tcW w:w="3711" w:type="dxa"/>
            <w:noWrap w:val="0"/>
            <w:vAlign w:val="top"/>
          </w:tcPr>
          <w:p w14:paraId="5D33DFFB">
            <w:pPr>
              <w:spacing w:line="480" w:lineRule="auto"/>
              <w:rPr>
                <w:rFonts w:ascii="宋体" w:hAnsi="宋体"/>
                <w:color w:val="auto"/>
                <w:highlight w:val="none"/>
              </w:rPr>
            </w:pPr>
          </w:p>
        </w:tc>
      </w:tr>
      <w:tr w14:paraId="2DC1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43804925">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2E24B327">
            <w:pPr>
              <w:spacing w:line="480" w:lineRule="auto"/>
              <w:rPr>
                <w:rFonts w:ascii="宋体" w:hAnsi="宋体"/>
                <w:color w:val="auto"/>
                <w:highlight w:val="none"/>
              </w:rPr>
            </w:pPr>
          </w:p>
        </w:tc>
      </w:tr>
    </w:tbl>
    <w:p w14:paraId="34A2E74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注：供应商应按照磋商文件《评分标准》中技术、商务评分表的内容，列明各评审 </w:t>
      </w:r>
    </w:p>
    <w:p w14:paraId="48360E7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分项在磋商响应文件中所在位置，以便查对。</w:t>
      </w:r>
    </w:p>
    <w:p w14:paraId="58BC97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sectPr>
          <w:headerReference r:id="rId16" w:type="default"/>
          <w:pgSz w:w="11910" w:h="16840"/>
          <w:pgMar w:top="1984" w:right="1531" w:bottom="2098" w:left="1531" w:header="670" w:footer="1041" w:gutter="0"/>
          <w:pgNumType w:fmt="decimal"/>
          <w:cols w:space="720" w:num="1"/>
          <w:rtlGutter w:val="0"/>
          <w:docGrid w:linePitch="1" w:charSpace="0"/>
        </w:sectPr>
      </w:pPr>
    </w:p>
    <w:p w14:paraId="7A1A486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196" w:name="_Toc4242_WPSOffice_Level1"/>
      <w:r>
        <w:rPr>
          <w:rFonts w:hint="eastAsia"/>
          <w:b/>
          <w:bCs/>
          <w:color w:val="auto"/>
          <w:sz w:val="36"/>
          <w:szCs w:val="36"/>
          <w:highlight w:val="none"/>
          <w:lang w:val="en-US" w:eastAsia="zh-CN"/>
        </w:rPr>
        <w:t>二、商务文件</w:t>
      </w:r>
      <w:bookmarkEnd w:id="196"/>
    </w:p>
    <w:p w14:paraId="620BCE0B">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p>
    <w:p w14:paraId="0C069D41">
      <w:pPr>
        <w:pStyle w:val="26"/>
        <w:bidi w:val="0"/>
        <w:jc w:val="center"/>
        <w:rPr>
          <w:rFonts w:hint="eastAsia" w:ascii="宋体" w:hAnsi="宋体" w:eastAsia="宋体" w:cs="宋体"/>
          <w:b/>
          <w:color w:val="auto"/>
          <w:kern w:val="0"/>
          <w:sz w:val="30"/>
          <w:szCs w:val="30"/>
          <w:highlight w:val="none"/>
          <w:lang w:val="zh-CN" w:eastAsia="zh-CN" w:bidi="zh-CN"/>
        </w:rPr>
      </w:pPr>
      <w:r>
        <w:rPr>
          <w:rFonts w:hint="eastAsia" w:cs="宋体"/>
          <w:b/>
          <w:color w:val="auto"/>
          <w:kern w:val="0"/>
          <w:sz w:val="30"/>
          <w:szCs w:val="30"/>
          <w:highlight w:val="none"/>
          <w:lang w:val="en-US" w:eastAsia="zh-CN" w:bidi="zh-CN"/>
        </w:rPr>
        <w:t>2</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 xml:space="preserve">1 </w:t>
      </w:r>
      <w:r>
        <w:rPr>
          <w:rFonts w:hint="eastAsia" w:ascii="宋体" w:hAnsi="宋体" w:eastAsia="宋体" w:cs="宋体"/>
          <w:b/>
          <w:color w:val="auto"/>
          <w:kern w:val="0"/>
          <w:sz w:val="30"/>
          <w:szCs w:val="30"/>
          <w:highlight w:val="none"/>
          <w:lang w:val="en-US" w:eastAsia="zh-CN" w:bidi="zh-CN"/>
        </w:rPr>
        <w:t>磋商响应函</w:t>
      </w:r>
    </w:p>
    <w:p w14:paraId="69B4F5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41996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s="宋体"/>
          <w:b/>
          <w:bCs/>
          <w:color w:val="auto"/>
          <w:sz w:val="24"/>
          <w:szCs w:val="24"/>
          <w:highlight w:val="none"/>
          <w:lang w:val="en-US" w:eastAsia="zh-CN"/>
        </w:rPr>
      </w:pPr>
      <w:r>
        <w:rPr>
          <w:rFonts w:hint="eastAsia" w:ascii="宋体" w:hAnsi="宋体" w:eastAsia="宋体" w:cs="宋体"/>
          <w:b/>
          <w:bCs/>
          <w:color w:val="auto"/>
          <w:sz w:val="24"/>
          <w:szCs w:val="24"/>
          <w:highlight w:val="none"/>
        </w:rPr>
        <w:t>致：</w:t>
      </w:r>
      <w:r>
        <w:rPr>
          <w:rFonts w:hint="eastAsia" w:cs="宋体"/>
          <w:b/>
          <w:bCs/>
          <w:color w:val="auto"/>
          <w:sz w:val="24"/>
          <w:szCs w:val="24"/>
          <w:highlight w:val="none"/>
          <w:lang w:val="en-US" w:eastAsia="zh-CN"/>
        </w:rPr>
        <w:t>托克逊县郭勒布依乡人民政府</w:t>
      </w:r>
    </w:p>
    <w:p w14:paraId="7A92B99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default" w:ascii="宋体" w:hAnsi="宋体" w:eastAsia="宋体" w:cs="宋体"/>
          <w:color w:val="auto"/>
          <w:sz w:val="24"/>
          <w:szCs w:val="24"/>
          <w:highlight w:val="none"/>
          <w:lang w:val="en-US"/>
        </w:rPr>
      </w:pPr>
      <w:r>
        <w:rPr>
          <w:rFonts w:hint="eastAsia" w:cs="宋体"/>
          <w:b/>
          <w:bCs/>
          <w:color w:val="auto"/>
          <w:sz w:val="24"/>
          <w:szCs w:val="24"/>
          <w:highlight w:val="none"/>
          <w:lang w:val="en-US" w:eastAsia="zh-CN"/>
        </w:rPr>
        <w:t>新疆华域天恒工程管理有限公司</w:t>
      </w:r>
    </w:p>
    <w:p w14:paraId="41DD06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我方确认收到贵方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采购相关</w:t>
      </w:r>
      <w:r>
        <w:rPr>
          <w:rFonts w:hint="eastAsia" w:cs="宋体"/>
          <w:color w:val="auto"/>
          <w:sz w:val="24"/>
          <w:szCs w:val="24"/>
          <w:highlight w:val="none"/>
          <w:lang w:val="en-US" w:eastAsia="zh-CN"/>
        </w:rPr>
        <w:t>工程</w:t>
      </w:r>
      <w:r>
        <w:rPr>
          <w:rFonts w:hint="eastAsia" w:ascii="宋体" w:hAnsi="宋体" w:eastAsia="宋体" w:cs="宋体"/>
          <w:color w:val="auto"/>
          <w:sz w:val="24"/>
          <w:szCs w:val="24"/>
          <w:highlight w:val="none"/>
        </w:rPr>
        <w:t>的磋商文件（</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(供应商名称、地址)  </w:t>
      </w:r>
      <w:r>
        <w:rPr>
          <w:rFonts w:hint="eastAsia" w:ascii="宋体" w:hAnsi="宋体" w:eastAsia="宋体" w:cs="宋体"/>
          <w:color w:val="auto"/>
          <w:sz w:val="24"/>
          <w:szCs w:val="24"/>
          <w:highlight w:val="none"/>
        </w:rPr>
        <w:t xml:space="preserve">作为供应商已正式授权 </w:t>
      </w:r>
      <w:r>
        <w:rPr>
          <w:rFonts w:hint="eastAsia" w:ascii="宋体" w:hAnsi="宋体" w:eastAsia="宋体" w:cs="宋体"/>
          <w:color w:val="auto"/>
          <w:sz w:val="24"/>
          <w:szCs w:val="24"/>
          <w:highlight w:val="none"/>
          <w:u w:val="single"/>
        </w:rPr>
        <w:t xml:space="preserve">(被供应商授权代表全名、职务) </w:t>
      </w:r>
      <w:r>
        <w:rPr>
          <w:rFonts w:hint="eastAsia" w:ascii="宋体" w:hAnsi="宋体" w:eastAsia="宋体" w:cs="宋体"/>
          <w:color w:val="auto"/>
          <w:sz w:val="24"/>
          <w:szCs w:val="24"/>
          <w:highlight w:val="none"/>
        </w:rPr>
        <w:t xml:space="preserve">为我方签名代表，签名代表在此声明并同意： </w:t>
      </w:r>
    </w:p>
    <w:p w14:paraId="079FE5E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我们愿意遵守</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磋商文件的各项规定，自愿参加磋商，并已清楚磋商文件的要求及有关文件规定，并严格按照磋商文件的规定履行全部责任和义务。 </w:t>
      </w:r>
    </w:p>
    <w:p w14:paraId="24CA07E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我们同意本响应文件自</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 xml:space="preserve">截止之日起 </w:t>
      </w:r>
      <w:r>
        <w:rPr>
          <w:rFonts w:hint="eastAsia" w:cs="宋体"/>
          <w:b/>
          <w:bCs/>
          <w:color w:val="auto"/>
          <w:sz w:val="24"/>
          <w:szCs w:val="24"/>
          <w:highlight w:val="none"/>
          <w:lang w:val="en-US" w:eastAsia="zh-CN"/>
        </w:rPr>
        <w:t>9</w:t>
      </w:r>
      <w:r>
        <w:rPr>
          <w:rFonts w:hint="eastAsia" w:ascii="宋体" w:hAnsi="宋体" w:eastAsia="宋体" w:cs="宋体"/>
          <w:b/>
          <w:bCs/>
          <w:color w:val="auto"/>
          <w:sz w:val="24"/>
          <w:szCs w:val="24"/>
          <w:highlight w:val="none"/>
        </w:rPr>
        <w:t xml:space="preserve">0 天内有效。如果我们的响应文件被接受，则直至合同生效时止，本响应文件始终有效并不撤回已递交的响应文件。 </w:t>
      </w:r>
    </w:p>
    <w:p w14:paraId="310108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我们已经详细地阅读并完全明白了全部磋商文件及附件，包括澄清（如有）及参考文件，我们完全理解本磋商文件的要求，我们同意放弃对磋商文件提出不明或误解的一切权力。 </w:t>
      </w:r>
    </w:p>
    <w:p w14:paraId="3127BB6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我们同意提供采购人、</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及磋商小组要求的有关磋商的一切数据或资料。 </w:t>
      </w:r>
    </w:p>
    <w:p w14:paraId="38BA4BF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我们理解采购人、</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及磋商小组与磋商小组并无义务必须接受最低报价的磋商或其它任何投标，完全理解</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拒绝迟到的任何磋商和最低磋商报价不是被授予成交的唯一条件。 </w:t>
      </w:r>
    </w:p>
    <w:p w14:paraId="57C86FC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如果我们未对磋商文件全部要求作出实质性响应，则完全同意并接受按无效响应处理。  </w:t>
      </w:r>
    </w:p>
    <w:p w14:paraId="4960393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 </w:t>
      </w:r>
    </w:p>
    <w:p w14:paraId="11E2188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如果我们提供的声明或承诺不真实，则完全同意认定为我司提供虚假材料，并同意作相应处理。 </w:t>
      </w:r>
    </w:p>
    <w:p w14:paraId="4FCC0EB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我们是依法注册的法人，在法律、财务及运作上完全独立于本项目采购人</w:t>
      </w:r>
    </w:p>
    <w:p w14:paraId="00A1C5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所有有关本次投标的函电请寄：</w:t>
      </w:r>
      <w:r>
        <w:rPr>
          <w:rFonts w:hint="eastAsia" w:ascii="宋体" w:hAnsi="宋体" w:eastAsia="宋体" w:cs="宋体"/>
          <w:b/>
          <w:bCs/>
          <w:color w:val="auto"/>
          <w:sz w:val="24"/>
          <w:szCs w:val="24"/>
          <w:highlight w:val="none"/>
          <w:u w:val="single"/>
        </w:rPr>
        <w:t xml:space="preserve"> （供应商地址）</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08AFC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5A05B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备注：本函内容不得擅自删改，否则视为无效投标。  </w:t>
      </w:r>
    </w:p>
    <w:p w14:paraId="2933AE9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7BE7B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00F2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6635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8CF23A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0ECDD23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F6E4D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1F8C24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D9CA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电 话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日 期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B2CE8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14:paraId="3270A6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14:paraId="39802C28">
      <w:pPr>
        <w:pStyle w:val="6"/>
        <w:rPr>
          <w:rFonts w:hint="eastAsia" w:ascii="宋体" w:hAnsi="宋体" w:eastAsia="宋体" w:cs="宋体"/>
          <w:color w:val="auto"/>
          <w:sz w:val="24"/>
          <w:szCs w:val="24"/>
          <w:highlight w:val="none"/>
        </w:rPr>
      </w:pPr>
    </w:p>
    <w:p w14:paraId="71E4D6C7">
      <w:pPr>
        <w:rPr>
          <w:rFonts w:hint="eastAsia" w:ascii="宋体" w:hAnsi="宋体" w:eastAsia="宋体" w:cs="宋体"/>
          <w:color w:val="auto"/>
          <w:sz w:val="24"/>
          <w:szCs w:val="24"/>
          <w:highlight w:val="none"/>
        </w:rPr>
      </w:pPr>
    </w:p>
    <w:p w14:paraId="4295838F">
      <w:pPr>
        <w:pStyle w:val="6"/>
        <w:rPr>
          <w:rFonts w:hint="eastAsia" w:ascii="宋体" w:hAnsi="宋体" w:eastAsia="宋体" w:cs="宋体"/>
          <w:color w:val="auto"/>
          <w:sz w:val="24"/>
          <w:szCs w:val="24"/>
          <w:highlight w:val="none"/>
        </w:rPr>
      </w:pPr>
    </w:p>
    <w:p w14:paraId="6C9EB28F">
      <w:pPr>
        <w:rPr>
          <w:rFonts w:hint="eastAsia" w:ascii="宋体" w:hAnsi="宋体" w:eastAsia="宋体" w:cs="宋体"/>
          <w:color w:val="auto"/>
          <w:sz w:val="24"/>
          <w:szCs w:val="24"/>
          <w:highlight w:val="none"/>
        </w:rPr>
      </w:pPr>
    </w:p>
    <w:p w14:paraId="300187B3">
      <w:pPr>
        <w:pStyle w:val="6"/>
        <w:rPr>
          <w:rFonts w:hint="eastAsia" w:ascii="宋体" w:hAnsi="宋体" w:eastAsia="宋体" w:cs="宋体"/>
          <w:color w:val="auto"/>
          <w:sz w:val="24"/>
          <w:szCs w:val="24"/>
          <w:highlight w:val="none"/>
        </w:rPr>
      </w:pPr>
    </w:p>
    <w:p w14:paraId="356C62EA">
      <w:pPr>
        <w:rPr>
          <w:rFonts w:hint="eastAsia" w:ascii="宋体" w:hAnsi="宋体" w:eastAsia="宋体" w:cs="宋体"/>
          <w:color w:val="auto"/>
          <w:sz w:val="24"/>
          <w:szCs w:val="24"/>
          <w:highlight w:val="none"/>
        </w:rPr>
      </w:pPr>
    </w:p>
    <w:p w14:paraId="1D951BDC">
      <w:pPr>
        <w:pStyle w:val="6"/>
        <w:rPr>
          <w:rFonts w:hint="eastAsia" w:ascii="宋体" w:hAnsi="宋体" w:eastAsia="宋体" w:cs="宋体"/>
          <w:color w:val="auto"/>
          <w:sz w:val="24"/>
          <w:szCs w:val="24"/>
          <w:highlight w:val="none"/>
        </w:rPr>
      </w:pPr>
    </w:p>
    <w:p w14:paraId="48CAC92F">
      <w:pPr>
        <w:rPr>
          <w:rFonts w:hint="eastAsia" w:ascii="宋体" w:hAnsi="宋体" w:eastAsia="宋体" w:cs="宋体"/>
          <w:color w:val="auto"/>
          <w:sz w:val="24"/>
          <w:szCs w:val="24"/>
          <w:highlight w:val="none"/>
        </w:rPr>
      </w:pPr>
    </w:p>
    <w:p w14:paraId="74E82D3B">
      <w:pPr>
        <w:pStyle w:val="6"/>
        <w:rPr>
          <w:rFonts w:hint="eastAsia" w:ascii="宋体" w:hAnsi="宋体" w:eastAsia="宋体" w:cs="宋体"/>
          <w:color w:val="auto"/>
          <w:sz w:val="24"/>
          <w:szCs w:val="24"/>
          <w:highlight w:val="none"/>
        </w:rPr>
      </w:pPr>
    </w:p>
    <w:p w14:paraId="7EB8BBAC">
      <w:pPr>
        <w:rPr>
          <w:rFonts w:hint="eastAsia" w:ascii="宋体" w:hAnsi="宋体" w:eastAsia="宋体" w:cs="宋体"/>
          <w:color w:val="auto"/>
          <w:sz w:val="24"/>
          <w:szCs w:val="24"/>
          <w:highlight w:val="none"/>
        </w:rPr>
      </w:pPr>
    </w:p>
    <w:p w14:paraId="291B455A">
      <w:pPr>
        <w:pStyle w:val="6"/>
        <w:rPr>
          <w:rFonts w:hint="eastAsia" w:ascii="宋体" w:hAnsi="宋体" w:eastAsia="宋体" w:cs="宋体"/>
          <w:color w:val="auto"/>
          <w:sz w:val="24"/>
          <w:szCs w:val="24"/>
          <w:highlight w:val="none"/>
        </w:rPr>
      </w:pPr>
    </w:p>
    <w:p w14:paraId="16A3E590">
      <w:pPr>
        <w:rPr>
          <w:rFonts w:hint="eastAsia" w:ascii="宋体" w:hAnsi="宋体" w:eastAsia="宋体" w:cs="宋体"/>
          <w:color w:val="auto"/>
          <w:sz w:val="24"/>
          <w:szCs w:val="24"/>
          <w:highlight w:val="none"/>
        </w:rPr>
      </w:pPr>
    </w:p>
    <w:p w14:paraId="2FEF01B7">
      <w:pPr>
        <w:pStyle w:val="6"/>
        <w:rPr>
          <w:rFonts w:hint="eastAsia" w:ascii="宋体" w:hAnsi="宋体" w:eastAsia="宋体" w:cs="宋体"/>
          <w:color w:val="auto"/>
          <w:sz w:val="24"/>
          <w:szCs w:val="24"/>
          <w:highlight w:val="none"/>
        </w:rPr>
      </w:pPr>
    </w:p>
    <w:p w14:paraId="14A8453B">
      <w:pPr>
        <w:rPr>
          <w:rFonts w:hint="eastAsia" w:ascii="宋体" w:hAnsi="宋体" w:eastAsia="宋体" w:cs="宋体"/>
          <w:color w:val="auto"/>
          <w:sz w:val="24"/>
          <w:szCs w:val="24"/>
          <w:highlight w:val="none"/>
        </w:rPr>
      </w:pPr>
    </w:p>
    <w:p w14:paraId="7F9A8594">
      <w:pPr>
        <w:pStyle w:val="15"/>
        <w:rPr>
          <w:rFonts w:hint="eastAsia"/>
        </w:rPr>
      </w:pPr>
    </w:p>
    <w:p w14:paraId="72FAE6BA">
      <w:pPr>
        <w:pStyle w:val="10"/>
        <w:rPr>
          <w:rFonts w:hint="eastAsia"/>
        </w:rPr>
      </w:pPr>
    </w:p>
    <w:p w14:paraId="6037D77F">
      <w:pPr>
        <w:pStyle w:val="10"/>
        <w:rPr>
          <w:rFonts w:hint="eastAsia"/>
        </w:rPr>
      </w:pPr>
    </w:p>
    <w:p w14:paraId="0EECF4EC">
      <w:pPr>
        <w:pStyle w:val="6"/>
        <w:rPr>
          <w:rFonts w:hint="eastAsia"/>
          <w:color w:val="auto"/>
          <w:highlight w:val="none"/>
        </w:rPr>
      </w:pPr>
    </w:p>
    <w:p w14:paraId="670C7302">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2.2 </w:t>
      </w:r>
      <w:r>
        <w:rPr>
          <w:rFonts w:hint="eastAsia" w:ascii="宋体" w:hAnsi="宋体" w:eastAsia="宋体" w:cs="宋体"/>
          <w:b/>
          <w:bCs/>
          <w:color w:val="auto"/>
          <w:sz w:val="30"/>
          <w:szCs w:val="30"/>
          <w:highlight w:val="none"/>
          <w:lang w:val="en-US" w:eastAsia="zh-CN"/>
        </w:rPr>
        <w:t>商务</w:t>
      </w:r>
      <w:r>
        <w:rPr>
          <w:rFonts w:hint="eastAsia" w:cs="宋体"/>
          <w:b/>
          <w:bCs/>
          <w:color w:val="auto"/>
          <w:sz w:val="30"/>
          <w:szCs w:val="30"/>
          <w:highlight w:val="none"/>
          <w:lang w:val="en-US" w:eastAsia="zh-CN"/>
        </w:rPr>
        <w:t>需求</w:t>
      </w:r>
      <w:r>
        <w:rPr>
          <w:rFonts w:hint="eastAsia" w:ascii="宋体" w:hAnsi="宋体" w:eastAsia="宋体" w:cs="宋体"/>
          <w:b/>
          <w:bCs/>
          <w:color w:val="auto"/>
          <w:sz w:val="30"/>
          <w:szCs w:val="30"/>
          <w:highlight w:val="none"/>
          <w:lang w:val="en-US" w:eastAsia="zh-CN"/>
        </w:rPr>
        <w:t xml:space="preserve">条款响应表 </w:t>
      </w:r>
    </w:p>
    <w:p w14:paraId="31B67C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52F1A25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0"/>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80"/>
        <w:gridCol w:w="1590"/>
        <w:gridCol w:w="1494"/>
      </w:tblGrid>
      <w:tr w14:paraId="24CA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2B78F7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序号</w:t>
            </w:r>
          </w:p>
        </w:tc>
        <w:tc>
          <w:tcPr>
            <w:tcW w:w="5280" w:type="dxa"/>
            <w:noWrap w:val="0"/>
            <w:vAlign w:val="top"/>
          </w:tcPr>
          <w:p w14:paraId="39BC5AD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商务条款要求</w:t>
            </w:r>
          </w:p>
        </w:tc>
        <w:tc>
          <w:tcPr>
            <w:tcW w:w="1590" w:type="dxa"/>
            <w:noWrap w:val="0"/>
            <w:vAlign w:val="top"/>
          </w:tcPr>
          <w:p w14:paraId="694592C4">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是否响应</w:t>
            </w:r>
          </w:p>
        </w:tc>
        <w:tc>
          <w:tcPr>
            <w:tcW w:w="1494" w:type="dxa"/>
            <w:noWrap w:val="0"/>
            <w:vAlign w:val="top"/>
          </w:tcPr>
          <w:p w14:paraId="77864AD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偏离说明</w:t>
            </w:r>
          </w:p>
        </w:tc>
      </w:tr>
      <w:tr w14:paraId="74D7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76B798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w:t>
            </w:r>
          </w:p>
        </w:tc>
        <w:tc>
          <w:tcPr>
            <w:tcW w:w="5280" w:type="dxa"/>
            <w:noWrap w:val="0"/>
            <w:vAlign w:val="top"/>
          </w:tcPr>
          <w:p w14:paraId="5712E7C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完全理解并接受合同条款要求</w:t>
            </w:r>
          </w:p>
        </w:tc>
        <w:tc>
          <w:tcPr>
            <w:tcW w:w="1590" w:type="dxa"/>
            <w:noWrap w:val="0"/>
            <w:vAlign w:val="top"/>
          </w:tcPr>
          <w:p w14:paraId="2ABEBD9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449BA2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608C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7EE8106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2</w:t>
            </w:r>
          </w:p>
        </w:tc>
        <w:tc>
          <w:tcPr>
            <w:tcW w:w="5280" w:type="dxa"/>
            <w:noWrap w:val="0"/>
            <w:vAlign w:val="top"/>
          </w:tcPr>
          <w:p w14:paraId="03230BC7">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完全理解并接受对合格供应商、合格的服务要求</w:t>
            </w:r>
          </w:p>
        </w:tc>
        <w:tc>
          <w:tcPr>
            <w:tcW w:w="1590" w:type="dxa"/>
            <w:noWrap w:val="0"/>
            <w:vAlign w:val="top"/>
          </w:tcPr>
          <w:p w14:paraId="07D9E65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5DCD3E9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7D05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0D8885AC">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w:t>
            </w:r>
          </w:p>
        </w:tc>
        <w:tc>
          <w:tcPr>
            <w:tcW w:w="5280" w:type="dxa"/>
            <w:noWrap w:val="0"/>
            <w:vAlign w:val="top"/>
          </w:tcPr>
          <w:p w14:paraId="500772AA">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完全理解并接受对供应商的各项须知、规约要求和责任义务，包括带“★”条款的全部内容。</w:t>
            </w:r>
          </w:p>
        </w:tc>
        <w:tc>
          <w:tcPr>
            <w:tcW w:w="1590" w:type="dxa"/>
            <w:noWrap w:val="0"/>
            <w:vAlign w:val="top"/>
          </w:tcPr>
          <w:p w14:paraId="3B653EA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0CD6F67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4692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EB5E0E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4</w:t>
            </w:r>
          </w:p>
        </w:tc>
        <w:tc>
          <w:tcPr>
            <w:tcW w:w="5280" w:type="dxa"/>
            <w:noWrap w:val="0"/>
            <w:vAlign w:val="top"/>
          </w:tcPr>
          <w:p w14:paraId="58F26A6F">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拟派项目负责人的要求</w:t>
            </w:r>
          </w:p>
        </w:tc>
        <w:tc>
          <w:tcPr>
            <w:tcW w:w="1590" w:type="dxa"/>
            <w:noWrap w:val="0"/>
            <w:vAlign w:val="top"/>
          </w:tcPr>
          <w:p w14:paraId="055AB9C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7EFCE99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6E7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15E3B6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5</w:t>
            </w:r>
          </w:p>
        </w:tc>
        <w:tc>
          <w:tcPr>
            <w:tcW w:w="5280" w:type="dxa"/>
            <w:noWrap w:val="0"/>
            <w:vAlign w:val="top"/>
          </w:tcPr>
          <w:p w14:paraId="0973262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 xml:space="preserve">磋商有效期：磋商有效期为自递交投标文件起至确定 正式成交供应商止不少于 </w:t>
            </w:r>
            <w:r>
              <w:rPr>
                <w:rFonts w:hint="default" w:ascii="Times New Roman" w:hAnsi="Times New Roman" w:eastAsia="宋体" w:cs="Times New Roman"/>
                <w:color w:val="auto"/>
                <w:kern w:val="0"/>
                <w:sz w:val="24"/>
                <w:szCs w:val="24"/>
                <w:highlight w:val="none"/>
                <w:lang w:val="en-US" w:eastAsia="zh-CN" w:bidi="ar"/>
              </w:rPr>
              <w:t xml:space="preserve">90 </w:t>
            </w:r>
            <w:r>
              <w:rPr>
                <w:rFonts w:hint="eastAsia" w:ascii="宋体" w:hAnsi="宋体" w:eastAsia="宋体" w:cs="宋体"/>
                <w:color w:val="auto"/>
                <w:kern w:val="0"/>
                <w:sz w:val="24"/>
                <w:szCs w:val="24"/>
                <w:highlight w:val="none"/>
                <w:lang w:val="en-US" w:eastAsia="zh-CN" w:bidi="ar"/>
              </w:rPr>
              <w:t>天</w:t>
            </w:r>
          </w:p>
        </w:tc>
        <w:tc>
          <w:tcPr>
            <w:tcW w:w="1590" w:type="dxa"/>
            <w:noWrap w:val="0"/>
            <w:vAlign w:val="top"/>
          </w:tcPr>
          <w:p w14:paraId="25401D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61AB0DF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0094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0A61117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6</w:t>
            </w:r>
          </w:p>
        </w:tc>
        <w:tc>
          <w:tcPr>
            <w:tcW w:w="5280" w:type="dxa"/>
            <w:noWrap w:val="0"/>
            <w:vAlign w:val="top"/>
          </w:tcPr>
          <w:p w14:paraId="4C2F7B55">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报价内容均涵盖报价要求之一切费用和伴随服务</w:t>
            </w:r>
          </w:p>
        </w:tc>
        <w:tc>
          <w:tcPr>
            <w:tcW w:w="1590" w:type="dxa"/>
            <w:noWrap w:val="0"/>
            <w:vAlign w:val="top"/>
          </w:tcPr>
          <w:p w14:paraId="721BFF3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3E71A25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801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5D3202B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7</w:t>
            </w:r>
          </w:p>
        </w:tc>
        <w:tc>
          <w:tcPr>
            <w:tcW w:w="5280" w:type="dxa"/>
            <w:noWrap w:val="0"/>
            <w:vAlign w:val="top"/>
          </w:tcPr>
          <w:p w14:paraId="089A634C">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同意接受招标文件的各项要求</w:t>
            </w:r>
          </w:p>
        </w:tc>
        <w:tc>
          <w:tcPr>
            <w:tcW w:w="1590" w:type="dxa"/>
            <w:noWrap w:val="0"/>
            <w:vAlign w:val="top"/>
          </w:tcPr>
          <w:p w14:paraId="6565E37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5B505A4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4E9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3A3929E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8</w:t>
            </w:r>
          </w:p>
        </w:tc>
        <w:tc>
          <w:tcPr>
            <w:tcW w:w="5280" w:type="dxa"/>
            <w:noWrap w:val="0"/>
            <w:vAlign w:val="top"/>
          </w:tcPr>
          <w:p w14:paraId="22C24619">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同意接受合同范本所列的各项条款</w:t>
            </w:r>
          </w:p>
        </w:tc>
        <w:tc>
          <w:tcPr>
            <w:tcW w:w="1590" w:type="dxa"/>
            <w:noWrap w:val="0"/>
            <w:vAlign w:val="top"/>
          </w:tcPr>
          <w:p w14:paraId="06EF57C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1547E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6E56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6FBEDE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9</w:t>
            </w:r>
          </w:p>
        </w:tc>
        <w:tc>
          <w:tcPr>
            <w:tcW w:w="5280" w:type="dxa"/>
            <w:noWrap w:val="0"/>
            <w:vAlign w:val="top"/>
          </w:tcPr>
          <w:p w14:paraId="728F94F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同意按本项目要求缴付相关款项</w:t>
            </w:r>
          </w:p>
        </w:tc>
        <w:tc>
          <w:tcPr>
            <w:tcW w:w="1590" w:type="dxa"/>
            <w:noWrap w:val="0"/>
            <w:vAlign w:val="top"/>
          </w:tcPr>
          <w:p w14:paraId="54949E7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374CFF0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7E38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942F91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10</w:t>
            </w:r>
          </w:p>
        </w:tc>
        <w:tc>
          <w:tcPr>
            <w:tcW w:w="5280" w:type="dxa"/>
            <w:noWrap w:val="0"/>
            <w:vAlign w:val="top"/>
          </w:tcPr>
          <w:p w14:paraId="52805953">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同意采购人以任何形式对我方投标文件内容的真实性 和有效性进行审查、验证</w:t>
            </w:r>
          </w:p>
        </w:tc>
        <w:tc>
          <w:tcPr>
            <w:tcW w:w="1590" w:type="dxa"/>
            <w:noWrap w:val="0"/>
            <w:vAlign w:val="top"/>
          </w:tcPr>
          <w:p w14:paraId="5B84129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051C179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5EA4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3066B57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11</w:t>
            </w:r>
          </w:p>
        </w:tc>
        <w:tc>
          <w:tcPr>
            <w:tcW w:w="5280" w:type="dxa"/>
            <w:noWrap w:val="0"/>
            <w:vAlign w:val="top"/>
          </w:tcPr>
          <w:p w14:paraId="7BFF3243">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其它商务条款偏离说明（若有）：</w:t>
            </w:r>
          </w:p>
        </w:tc>
        <w:tc>
          <w:tcPr>
            <w:tcW w:w="1590" w:type="dxa"/>
            <w:noWrap w:val="0"/>
            <w:vAlign w:val="top"/>
          </w:tcPr>
          <w:p w14:paraId="61811F4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293904F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bl>
    <w:p w14:paraId="0F7543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6641990">
      <w:pPr>
        <w:rPr>
          <w:rFonts w:hint="eastAsia" w:ascii="宋体" w:hAnsi="宋体" w:eastAsia="宋体" w:cs="宋体"/>
          <w:b/>
          <w:bCs/>
          <w:color w:val="auto"/>
          <w:sz w:val="30"/>
          <w:szCs w:val="30"/>
          <w:highlight w:val="none"/>
          <w:lang w:val="en-US" w:eastAsia="zh-CN"/>
        </w:rPr>
      </w:pPr>
    </w:p>
    <w:p w14:paraId="622460CA">
      <w:pPr>
        <w:rPr>
          <w:rFonts w:hint="eastAsia"/>
          <w:color w:val="auto"/>
          <w:highlight w:val="none"/>
          <w:lang w:val="en-US" w:eastAsia="zh-CN"/>
        </w:rPr>
      </w:pPr>
      <w:r>
        <w:rPr>
          <w:rFonts w:hint="eastAsia"/>
          <w:color w:val="auto"/>
          <w:highlight w:val="none"/>
          <w:lang w:val="en-US" w:eastAsia="zh-CN"/>
        </w:rPr>
        <w:t>注：</w:t>
      </w:r>
    </w:p>
    <w:p w14:paraId="204E8F4B">
      <w:pPr>
        <w:rPr>
          <w:color w:val="auto"/>
          <w:highlight w:val="none"/>
        </w:rPr>
      </w:pPr>
      <w:r>
        <w:rPr>
          <w:rFonts w:hint="eastAsia"/>
          <w:color w:val="auto"/>
          <w:highlight w:val="none"/>
          <w:lang w:val="en-US" w:eastAsia="zh-CN"/>
        </w:rPr>
        <w:t xml:space="preserve">1. 对于上述要求，如供应商完全响应，则请在“是否响应”栏内打“√”，对空白或 </w:t>
      </w:r>
    </w:p>
    <w:p w14:paraId="213E3DD2">
      <w:pPr>
        <w:rPr>
          <w:color w:val="auto"/>
          <w:highlight w:val="none"/>
        </w:rPr>
      </w:pPr>
      <w:r>
        <w:rPr>
          <w:rFonts w:hint="eastAsia"/>
          <w:color w:val="auto"/>
          <w:highlight w:val="none"/>
          <w:lang w:val="en-US" w:eastAsia="zh-CN"/>
        </w:rPr>
        <w:t xml:space="preserve">打“×”视为偏离，请在“偏离说明”栏内扼要说明偏离情况。 </w:t>
      </w:r>
    </w:p>
    <w:p w14:paraId="6C7717A2">
      <w:pPr>
        <w:rPr>
          <w:color w:val="auto"/>
          <w:highlight w:val="none"/>
        </w:rPr>
      </w:pPr>
      <w:r>
        <w:rPr>
          <w:rFonts w:hint="eastAsia"/>
          <w:color w:val="auto"/>
          <w:highlight w:val="none"/>
          <w:lang w:val="en-US" w:eastAsia="zh-CN"/>
        </w:rPr>
        <w:t xml:space="preserve">2. 此表内容必须与实施方案中所介绍的内容一致，打“★”项为不可负偏离(劣于)的重要 </w:t>
      </w:r>
    </w:p>
    <w:p w14:paraId="36F7DB69">
      <w:pPr>
        <w:rPr>
          <w:color w:val="auto"/>
          <w:highlight w:val="none"/>
        </w:rPr>
      </w:pPr>
      <w:r>
        <w:rPr>
          <w:rFonts w:hint="eastAsia"/>
          <w:color w:val="auto"/>
          <w:highlight w:val="none"/>
          <w:lang w:val="en-US" w:eastAsia="zh-CN"/>
        </w:rPr>
        <w:t>项。</w:t>
      </w:r>
    </w:p>
    <w:p w14:paraId="5CD971EC">
      <w:pPr>
        <w:rPr>
          <w:rFonts w:hint="eastAsia"/>
          <w:color w:val="auto"/>
          <w:highlight w:val="none"/>
          <w:lang w:val="en-US" w:eastAsia="zh-CN"/>
        </w:rPr>
      </w:pPr>
    </w:p>
    <w:p w14:paraId="521B62C7">
      <w:pPr>
        <w:rPr>
          <w:color w:val="auto"/>
          <w:highlight w:val="none"/>
        </w:rPr>
      </w:pPr>
      <w:r>
        <w:rPr>
          <w:rFonts w:hint="eastAsia"/>
          <w:color w:val="auto"/>
          <w:highlight w:val="none"/>
          <w:lang w:val="en-US" w:eastAsia="zh-CN"/>
        </w:rPr>
        <w:t xml:space="preserve">供应商法定代表人（或法定代表人授权代表）签字或盖章： </w:t>
      </w:r>
    </w:p>
    <w:p w14:paraId="6FD6D13E">
      <w:pPr>
        <w:rPr>
          <w:rFonts w:hint="eastAsia"/>
          <w:color w:val="auto"/>
          <w:highlight w:val="none"/>
          <w:lang w:val="en-US" w:eastAsia="zh-CN"/>
        </w:rPr>
      </w:pPr>
    </w:p>
    <w:p w14:paraId="7CB4A12F">
      <w:pPr>
        <w:rPr>
          <w:color w:val="auto"/>
          <w:highlight w:val="none"/>
        </w:rPr>
      </w:pPr>
      <w:r>
        <w:rPr>
          <w:rFonts w:hint="eastAsia"/>
          <w:color w:val="auto"/>
          <w:highlight w:val="none"/>
          <w:lang w:val="en-US" w:eastAsia="zh-CN"/>
        </w:rPr>
        <w:t xml:space="preserve">供应商名称（盖公章）： </w:t>
      </w:r>
    </w:p>
    <w:p w14:paraId="20FEE95C">
      <w:pPr>
        <w:rPr>
          <w:rFonts w:hint="eastAsia"/>
          <w:color w:val="auto"/>
          <w:highlight w:val="none"/>
          <w:lang w:val="en-US" w:eastAsia="zh-CN"/>
        </w:rPr>
      </w:pPr>
    </w:p>
    <w:p w14:paraId="5F5FE855">
      <w:pPr>
        <w:rPr>
          <w:color w:val="auto"/>
          <w:highlight w:val="none"/>
        </w:rPr>
      </w:pPr>
      <w:r>
        <w:rPr>
          <w:rFonts w:hint="eastAsia"/>
          <w:color w:val="auto"/>
          <w:highlight w:val="none"/>
          <w:lang w:val="en-US" w:eastAsia="zh-CN"/>
        </w:rPr>
        <w:t>日 期： 年 月 日</w:t>
      </w:r>
    </w:p>
    <w:p w14:paraId="05CB6AB9">
      <w:pPr>
        <w:pStyle w:val="6"/>
        <w:rPr>
          <w:rFonts w:hint="eastAsia" w:ascii="宋体" w:hAnsi="宋体" w:eastAsia="宋体" w:cs="宋体"/>
          <w:b/>
          <w:bCs/>
          <w:color w:val="auto"/>
          <w:sz w:val="30"/>
          <w:szCs w:val="30"/>
          <w:highlight w:val="none"/>
          <w:lang w:val="en-US" w:eastAsia="zh-CN"/>
        </w:rPr>
      </w:pPr>
    </w:p>
    <w:p w14:paraId="29FD1B09">
      <w:pPr>
        <w:rPr>
          <w:rFonts w:hint="eastAsia" w:ascii="宋体" w:hAnsi="宋体" w:eastAsia="宋体" w:cs="宋体"/>
          <w:b/>
          <w:bCs/>
          <w:color w:val="auto"/>
          <w:sz w:val="30"/>
          <w:szCs w:val="30"/>
          <w:highlight w:val="none"/>
          <w:lang w:val="en-US" w:eastAsia="zh-CN"/>
        </w:rPr>
      </w:pPr>
    </w:p>
    <w:p w14:paraId="182BC16D">
      <w:pPr>
        <w:pStyle w:val="6"/>
        <w:rPr>
          <w:rFonts w:hint="eastAsia" w:ascii="宋体" w:hAnsi="宋体" w:eastAsia="宋体" w:cs="宋体"/>
          <w:b/>
          <w:bCs/>
          <w:color w:val="auto"/>
          <w:sz w:val="30"/>
          <w:szCs w:val="30"/>
          <w:highlight w:val="none"/>
          <w:lang w:val="en-US" w:eastAsia="zh-CN"/>
        </w:rPr>
      </w:pPr>
    </w:p>
    <w:p w14:paraId="6C9F5FE9">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2.3 拟派</w:t>
      </w:r>
      <w:r>
        <w:rPr>
          <w:rFonts w:hint="eastAsia" w:ascii="宋体" w:hAnsi="宋体" w:eastAsia="宋体" w:cs="宋体"/>
          <w:b/>
          <w:bCs/>
          <w:color w:val="auto"/>
          <w:sz w:val="30"/>
          <w:szCs w:val="30"/>
          <w:highlight w:val="none"/>
          <w:lang w:val="en-US" w:eastAsia="zh-CN"/>
        </w:rPr>
        <w:t>项目负责人及管理技术人员一览表</w:t>
      </w:r>
    </w:p>
    <w:p w14:paraId="72227D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371FDB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page">
                  <wp:posOffset>642620</wp:posOffset>
                </wp:positionH>
                <wp:positionV relativeFrom="paragraph">
                  <wp:posOffset>576580</wp:posOffset>
                </wp:positionV>
                <wp:extent cx="6283325" cy="411099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6283325" cy="4110990"/>
                        </a:xfrm>
                        <a:prstGeom prst="rect">
                          <a:avLst/>
                        </a:prstGeom>
                        <a:noFill/>
                        <a:ln>
                          <a:noFill/>
                        </a:ln>
                      </wps:spPr>
                      <wps:txbx>
                        <w:txbxContent>
                          <w:tbl>
                            <w:tblPr>
                              <w:tblStyle w:val="19"/>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9062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01951466">
                                  <w:pPr>
                                    <w:pStyle w:val="32"/>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5B1F7127">
                                  <w:pPr>
                                    <w:pStyle w:val="32"/>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168572E4">
                                  <w:pPr>
                                    <w:pStyle w:val="32"/>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3EF775DD">
                                  <w:pPr>
                                    <w:pStyle w:val="32"/>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4557C6D0">
                                  <w:pPr>
                                    <w:pStyle w:val="32"/>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04196705">
                                  <w:pPr>
                                    <w:pStyle w:val="32"/>
                                    <w:spacing w:before="26" w:line="270" w:lineRule="atLeast"/>
                                    <w:ind w:left="1200" w:right="98" w:hanging="1050"/>
                                    <w:rPr>
                                      <w:sz w:val="21"/>
                                    </w:rPr>
                                  </w:pPr>
                                  <w:r>
                                    <w:rPr>
                                      <w:sz w:val="21"/>
                                    </w:rPr>
                                    <w:t xml:space="preserve">拟担任职务或承担工作内容 </w:t>
                                  </w:r>
                                </w:p>
                              </w:tc>
                            </w:tr>
                            <w:tr w14:paraId="58E80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4F7422DB">
                                  <w:pPr>
                                    <w:pStyle w:val="32"/>
                                    <w:spacing w:before="9"/>
                                    <w:rPr>
                                      <w:sz w:val="21"/>
                                    </w:rPr>
                                  </w:pPr>
                                </w:p>
                                <w:p w14:paraId="46B0E650">
                                  <w:pPr>
                                    <w:pStyle w:val="32"/>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27B05421">
                                  <w:pPr>
                                    <w:pStyle w:val="32"/>
                                    <w:spacing w:before="9"/>
                                    <w:rPr>
                                      <w:sz w:val="21"/>
                                    </w:rPr>
                                  </w:pPr>
                                </w:p>
                                <w:p w14:paraId="78EEEFD7">
                                  <w:pPr>
                                    <w:pStyle w:val="32"/>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22E998CF">
                                  <w:pPr>
                                    <w:pStyle w:val="32"/>
                                    <w:spacing w:before="9"/>
                                    <w:rPr>
                                      <w:sz w:val="21"/>
                                    </w:rPr>
                                  </w:pPr>
                                </w:p>
                                <w:p w14:paraId="19E49111">
                                  <w:pPr>
                                    <w:pStyle w:val="32"/>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256698DC">
                                  <w:pPr>
                                    <w:pStyle w:val="32"/>
                                    <w:spacing w:before="9"/>
                                    <w:rPr>
                                      <w:sz w:val="21"/>
                                    </w:rPr>
                                  </w:pPr>
                                </w:p>
                                <w:p w14:paraId="2E5E37A8">
                                  <w:pPr>
                                    <w:pStyle w:val="32"/>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5AC6FD62">
                                  <w:pPr>
                                    <w:pStyle w:val="32"/>
                                    <w:spacing w:before="9"/>
                                    <w:rPr>
                                      <w:sz w:val="21"/>
                                    </w:rPr>
                                  </w:pPr>
                                </w:p>
                                <w:p w14:paraId="1136178E">
                                  <w:pPr>
                                    <w:pStyle w:val="32"/>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4B032F8B">
                                  <w:pPr>
                                    <w:pStyle w:val="32"/>
                                    <w:spacing w:before="9"/>
                                    <w:rPr>
                                      <w:sz w:val="21"/>
                                    </w:rPr>
                                  </w:pPr>
                                </w:p>
                                <w:p w14:paraId="49F8F639">
                                  <w:pPr>
                                    <w:pStyle w:val="32"/>
                                    <w:spacing w:before="1"/>
                                    <w:ind w:right="1151"/>
                                    <w:jc w:val="right"/>
                                    <w:rPr>
                                      <w:sz w:val="21"/>
                                    </w:rPr>
                                  </w:pPr>
                                  <w:r>
                                    <w:rPr>
                                      <w:w w:val="100"/>
                                      <w:sz w:val="21"/>
                                    </w:rPr>
                                    <w:t xml:space="preserve"> </w:t>
                                  </w:r>
                                </w:p>
                              </w:tc>
                            </w:tr>
                            <w:tr w14:paraId="752B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7962D29">
                                  <w:pPr>
                                    <w:pStyle w:val="32"/>
                                    <w:spacing w:before="11"/>
                                    <w:rPr>
                                      <w:sz w:val="20"/>
                                    </w:rPr>
                                  </w:pPr>
                                </w:p>
                                <w:p w14:paraId="21637ED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CEB9138">
                                  <w:pPr>
                                    <w:pStyle w:val="32"/>
                                    <w:spacing w:before="11"/>
                                    <w:rPr>
                                      <w:sz w:val="20"/>
                                    </w:rPr>
                                  </w:pPr>
                                </w:p>
                                <w:p w14:paraId="40E66CF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4CBC3F5">
                                  <w:pPr>
                                    <w:pStyle w:val="32"/>
                                    <w:spacing w:before="11"/>
                                    <w:rPr>
                                      <w:sz w:val="20"/>
                                    </w:rPr>
                                  </w:pPr>
                                </w:p>
                                <w:p w14:paraId="2E6FBC0F">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F06005C">
                                  <w:pPr>
                                    <w:pStyle w:val="32"/>
                                    <w:spacing w:before="11"/>
                                    <w:rPr>
                                      <w:sz w:val="20"/>
                                    </w:rPr>
                                  </w:pPr>
                                </w:p>
                                <w:p w14:paraId="5E3F23CB">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09770AFC">
                                  <w:pPr>
                                    <w:pStyle w:val="32"/>
                                    <w:spacing w:before="11"/>
                                    <w:rPr>
                                      <w:sz w:val="20"/>
                                    </w:rPr>
                                  </w:pPr>
                                </w:p>
                                <w:p w14:paraId="5FF65BB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AE69A25">
                                  <w:pPr>
                                    <w:pStyle w:val="32"/>
                                    <w:spacing w:before="11"/>
                                    <w:rPr>
                                      <w:sz w:val="20"/>
                                    </w:rPr>
                                  </w:pPr>
                                </w:p>
                                <w:p w14:paraId="43567DED">
                                  <w:pPr>
                                    <w:pStyle w:val="32"/>
                                    <w:ind w:right="1151"/>
                                    <w:jc w:val="right"/>
                                    <w:rPr>
                                      <w:sz w:val="21"/>
                                    </w:rPr>
                                  </w:pPr>
                                  <w:r>
                                    <w:rPr>
                                      <w:w w:val="100"/>
                                      <w:sz w:val="21"/>
                                    </w:rPr>
                                    <w:t xml:space="preserve"> </w:t>
                                  </w:r>
                                </w:p>
                              </w:tc>
                            </w:tr>
                            <w:tr w14:paraId="5B41C7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55C712FD">
                                  <w:pPr>
                                    <w:pStyle w:val="32"/>
                                    <w:spacing w:before="11"/>
                                    <w:rPr>
                                      <w:sz w:val="20"/>
                                    </w:rPr>
                                  </w:pPr>
                                </w:p>
                                <w:p w14:paraId="72C545F1">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9E3F2F5">
                                  <w:pPr>
                                    <w:pStyle w:val="32"/>
                                    <w:spacing w:before="11"/>
                                    <w:rPr>
                                      <w:sz w:val="20"/>
                                    </w:rPr>
                                  </w:pPr>
                                </w:p>
                                <w:p w14:paraId="703A2CE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44137738">
                                  <w:pPr>
                                    <w:pStyle w:val="32"/>
                                    <w:spacing w:before="11"/>
                                    <w:rPr>
                                      <w:sz w:val="20"/>
                                    </w:rPr>
                                  </w:pPr>
                                </w:p>
                                <w:p w14:paraId="64EE50FE">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517F3D4">
                                  <w:pPr>
                                    <w:pStyle w:val="32"/>
                                    <w:spacing w:before="11"/>
                                    <w:rPr>
                                      <w:sz w:val="20"/>
                                    </w:rPr>
                                  </w:pPr>
                                </w:p>
                                <w:p w14:paraId="4705ABAD">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0522EBA">
                                  <w:pPr>
                                    <w:pStyle w:val="32"/>
                                    <w:spacing w:before="11"/>
                                    <w:rPr>
                                      <w:sz w:val="20"/>
                                    </w:rPr>
                                  </w:pPr>
                                </w:p>
                                <w:p w14:paraId="5C425A2D">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F32BE77">
                                  <w:pPr>
                                    <w:pStyle w:val="32"/>
                                    <w:spacing w:before="11"/>
                                    <w:rPr>
                                      <w:sz w:val="20"/>
                                    </w:rPr>
                                  </w:pPr>
                                </w:p>
                                <w:p w14:paraId="67440800">
                                  <w:pPr>
                                    <w:pStyle w:val="32"/>
                                    <w:ind w:right="1151"/>
                                    <w:jc w:val="right"/>
                                    <w:rPr>
                                      <w:sz w:val="21"/>
                                    </w:rPr>
                                  </w:pPr>
                                  <w:r>
                                    <w:rPr>
                                      <w:w w:val="100"/>
                                      <w:sz w:val="21"/>
                                    </w:rPr>
                                    <w:t xml:space="preserve"> </w:t>
                                  </w:r>
                                </w:p>
                              </w:tc>
                            </w:tr>
                            <w:tr w14:paraId="3D099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248320F">
                                  <w:pPr>
                                    <w:pStyle w:val="32"/>
                                    <w:spacing w:before="11"/>
                                    <w:rPr>
                                      <w:sz w:val="20"/>
                                    </w:rPr>
                                  </w:pPr>
                                </w:p>
                                <w:p w14:paraId="614EE05B">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1BB4E5F">
                                  <w:pPr>
                                    <w:pStyle w:val="32"/>
                                    <w:spacing w:before="11"/>
                                    <w:rPr>
                                      <w:sz w:val="20"/>
                                    </w:rPr>
                                  </w:pPr>
                                </w:p>
                                <w:p w14:paraId="2014FD99">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875127D">
                                  <w:pPr>
                                    <w:pStyle w:val="32"/>
                                    <w:spacing w:before="11"/>
                                    <w:rPr>
                                      <w:sz w:val="20"/>
                                    </w:rPr>
                                  </w:pPr>
                                </w:p>
                                <w:p w14:paraId="5301A46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BE78ABF">
                                  <w:pPr>
                                    <w:pStyle w:val="32"/>
                                    <w:spacing w:before="11"/>
                                    <w:rPr>
                                      <w:sz w:val="20"/>
                                    </w:rPr>
                                  </w:pPr>
                                </w:p>
                                <w:p w14:paraId="5FE8CAA4">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3A00D1">
                                  <w:pPr>
                                    <w:pStyle w:val="32"/>
                                    <w:spacing w:before="11"/>
                                    <w:rPr>
                                      <w:sz w:val="20"/>
                                    </w:rPr>
                                  </w:pPr>
                                </w:p>
                                <w:p w14:paraId="438BC12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54878E2B">
                                  <w:pPr>
                                    <w:pStyle w:val="32"/>
                                    <w:spacing w:before="11"/>
                                    <w:rPr>
                                      <w:sz w:val="20"/>
                                    </w:rPr>
                                  </w:pPr>
                                </w:p>
                                <w:p w14:paraId="1AB911C6">
                                  <w:pPr>
                                    <w:pStyle w:val="32"/>
                                    <w:ind w:right="1151"/>
                                    <w:jc w:val="right"/>
                                    <w:rPr>
                                      <w:sz w:val="21"/>
                                    </w:rPr>
                                  </w:pPr>
                                  <w:r>
                                    <w:rPr>
                                      <w:w w:val="100"/>
                                      <w:sz w:val="21"/>
                                    </w:rPr>
                                    <w:t xml:space="preserve"> </w:t>
                                  </w:r>
                                </w:p>
                              </w:tc>
                            </w:tr>
                            <w:tr w14:paraId="27C23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52E0C8E5">
                                  <w:pPr>
                                    <w:pStyle w:val="32"/>
                                    <w:spacing w:before="11"/>
                                    <w:rPr>
                                      <w:sz w:val="20"/>
                                    </w:rPr>
                                  </w:pPr>
                                </w:p>
                                <w:p w14:paraId="2D9504C4">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65372E4">
                                  <w:pPr>
                                    <w:pStyle w:val="32"/>
                                    <w:spacing w:before="11"/>
                                    <w:rPr>
                                      <w:sz w:val="20"/>
                                    </w:rPr>
                                  </w:pPr>
                                </w:p>
                                <w:p w14:paraId="64C53CEA">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B7DE112">
                                  <w:pPr>
                                    <w:pStyle w:val="32"/>
                                    <w:spacing w:before="11"/>
                                    <w:rPr>
                                      <w:sz w:val="20"/>
                                    </w:rPr>
                                  </w:pPr>
                                </w:p>
                                <w:p w14:paraId="65AA696A">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EF9686A">
                                  <w:pPr>
                                    <w:pStyle w:val="32"/>
                                    <w:spacing w:before="11"/>
                                    <w:rPr>
                                      <w:sz w:val="20"/>
                                    </w:rPr>
                                  </w:pPr>
                                </w:p>
                                <w:p w14:paraId="3914E36F">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7CDDED4">
                                  <w:pPr>
                                    <w:pStyle w:val="32"/>
                                    <w:spacing w:before="11"/>
                                    <w:rPr>
                                      <w:sz w:val="20"/>
                                    </w:rPr>
                                  </w:pPr>
                                </w:p>
                                <w:p w14:paraId="67733CE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104EC45">
                                  <w:pPr>
                                    <w:pStyle w:val="32"/>
                                    <w:spacing w:before="11"/>
                                    <w:rPr>
                                      <w:sz w:val="20"/>
                                    </w:rPr>
                                  </w:pPr>
                                </w:p>
                                <w:p w14:paraId="353A30F2">
                                  <w:pPr>
                                    <w:pStyle w:val="32"/>
                                    <w:ind w:right="1151"/>
                                    <w:jc w:val="right"/>
                                    <w:rPr>
                                      <w:sz w:val="21"/>
                                    </w:rPr>
                                  </w:pPr>
                                  <w:r>
                                    <w:rPr>
                                      <w:w w:val="100"/>
                                      <w:sz w:val="21"/>
                                    </w:rPr>
                                    <w:t xml:space="preserve"> </w:t>
                                  </w:r>
                                </w:p>
                              </w:tc>
                            </w:tr>
                            <w:tr w14:paraId="36C7C1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AB1C19D">
                                  <w:pPr>
                                    <w:pStyle w:val="32"/>
                                    <w:spacing w:before="11"/>
                                    <w:rPr>
                                      <w:sz w:val="20"/>
                                    </w:rPr>
                                  </w:pPr>
                                </w:p>
                                <w:p w14:paraId="5378E01C">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C79DAB">
                                  <w:pPr>
                                    <w:pStyle w:val="32"/>
                                    <w:spacing w:before="11"/>
                                    <w:rPr>
                                      <w:sz w:val="20"/>
                                    </w:rPr>
                                  </w:pPr>
                                </w:p>
                                <w:p w14:paraId="75DBB9E1">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3CB6EC2">
                                  <w:pPr>
                                    <w:pStyle w:val="32"/>
                                    <w:spacing w:before="11"/>
                                    <w:rPr>
                                      <w:sz w:val="20"/>
                                    </w:rPr>
                                  </w:pPr>
                                </w:p>
                                <w:p w14:paraId="71BF2A58">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26D5CBE">
                                  <w:pPr>
                                    <w:pStyle w:val="32"/>
                                    <w:spacing w:before="11"/>
                                    <w:rPr>
                                      <w:sz w:val="20"/>
                                    </w:rPr>
                                  </w:pPr>
                                </w:p>
                                <w:p w14:paraId="040FC1D6">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6DF6D33">
                                  <w:pPr>
                                    <w:pStyle w:val="32"/>
                                    <w:spacing w:before="11"/>
                                    <w:rPr>
                                      <w:sz w:val="20"/>
                                    </w:rPr>
                                  </w:pPr>
                                </w:p>
                                <w:p w14:paraId="0370B073">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B2B752C">
                                  <w:pPr>
                                    <w:pStyle w:val="32"/>
                                    <w:spacing w:before="11"/>
                                    <w:rPr>
                                      <w:sz w:val="20"/>
                                    </w:rPr>
                                  </w:pPr>
                                </w:p>
                                <w:p w14:paraId="7848BD31">
                                  <w:pPr>
                                    <w:pStyle w:val="32"/>
                                    <w:ind w:right="1151"/>
                                    <w:jc w:val="right"/>
                                    <w:rPr>
                                      <w:sz w:val="21"/>
                                    </w:rPr>
                                  </w:pPr>
                                  <w:r>
                                    <w:rPr>
                                      <w:w w:val="100"/>
                                      <w:sz w:val="21"/>
                                    </w:rPr>
                                    <w:t xml:space="preserve"> </w:t>
                                  </w:r>
                                </w:p>
                              </w:tc>
                            </w:tr>
                            <w:tr w14:paraId="625402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1DB97D3E">
                                  <w:pPr>
                                    <w:pStyle w:val="32"/>
                                    <w:spacing w:before="11"/>
                                    <w:rPr>
                                      <w:sz w:val="20"/>
                                    </w:rPr>
                                  </w:pPr>
                                </w:p>
                                <w:p w14:paraId="254820E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3C7FF339">
                                  <w:pPr>
                                    <w:pStyle w:val="32"/>
                                    <w:spacing w:before="11"/>
                                    <w:rPr>
                                      <w:sz w:val="20"/>
                                    </w:rPr>
                                  </w:pPr>
                                </w:p>
                                <w:p w14:paraId="142521A8">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CBDBF1E">
                                  <w:pPr>
                                    <w:pStyle w:val="32"/>
                                    <w:spacing w:before="11"/>
                                    <w:rPr>
                                      <w:sz w:val="20"/>
                                    </w:rPr>
                                  </w:pPr>
                                </w:p>
                                <w:p w14:paraId="4ACC824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C606BCF">
                                  <w:pPr>
                                    <w:pStyle w:val="32"/>
                                    <w:spacing w:before="11"/>
                                    <w:rPr>
                                      <w:sz w:val="20"/>
                                    </w:rPr>
                                  </w:pPr>
                                </w:p>
                                <w:p w14:paraId="1AF00F89">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8F1279E">
                                  <w:pPr>
                                    <w:pStyle w:val="32"/>
                                    <w:spacing w:before="11"/>
                                    <w:rPr>
                                      <w:sz w:val="20"/>
                                    </w:rPr>
                                  </w:pPr>
                                </w:p>
                                <w:p w14:paraId="2424F27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2E86664">
                                  <w:pPr>
                                    <w:pStyle w:val="32"/>
                                    <w:spacing w:before="11"/>
                                    <w:rPr>
                                      <w:sz w:val="20"/>
                                    </w:rPr>
                                  </w:pPr>
                                </w:p>
                                <w:p w14:paraId="155F1CDB">
                                  <w:pPr>
                                    <w:pStyle w:val="32"/>
                                    <w:ind w:right="1151"/>
                                    <w:jc w:val="right"/>
                                    <w:rPr>
                                      <w:sz w:val="21"/>
                                    </w:rPr>
                                  </w:pPr>
                                  <w:r>
                                    <w:rPr>
                                      <w:w w:val="100"/>
                                      <w:sz w:val="21"/>
                                    </w:rPr>
                                    <w:t xml:space="preserve"> </w:t>
                                  </w:r>
                                </w:p>
                              </w:tc>
                            </w:tr>
                            <w:tr w14:paraId="40028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1DA74C9C">
                                  <w:pPr>
                                    <w:pStyle w:val="32"/>
                                    <w:spacing w:before="11"/>
                                    <w:rPr>
                                      <w:sz w:val="20"/>
                                    </w:rPr>
                                  </w:pPr>
                                </w:p>
                                <w:p w14:paraId="6175EB46">
                                  <w:pPr>
                                    <w:pStyle w:val="32"/>
                                    <w:ind w:left="127"/>
                                    <w:jc w:val="center"/>
                                    <w:rPr>
                                      <w:sz w:val="21"/>
                                    </w:rPr>
                                  </w:pPr>
                                  <w:r>
                                    <w:rPr>
                                      <w:w w:val="100"/>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2562274C">
                                  <w:pPr>
                                    <w:pStyle w:val="32"/>
                                    <w:spacing w:before="11"/>
                                    <w:rPr>
                                      <w:sz w:val="20"/>
                                    </w:rPr>
                                  </w:pPr>
                                </w:p>
                                <w:p w14:paraId="6937079C">
                                  <w:pPr>
                                    <w:pStyle w:val="32"/>
                                    <w:ind w:left="137"/>
                                    <w:jc w:val="center"/>
                                    <w:rPr>
                                      <w:sz w:val="21"/>
                                    </w:rPr>
                                  </w:pPr>
                                  <w:r>
                                    <w:rPr>
                                      <w:w w:val="100"/>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BC246D2">
                                  <w:pPr>
                                    <w:pStyle w:val="32"/>
                                    <w:spacing w:before="11"/>
                                    <w:rPr>
                                      <w:sz w:val="20"/>
                                    </w:rPr>
                                  </w:pPr>
                                </w:p>
                                <w:p w14:paraId="7B57B3EB">
                                  <w:pPr>
                                    <w:pStyle w:val="32"/>
                                    <w:ind w:left="133"/>
                                    <w:jc w:val="center"/>
                                    <w:rPr>
                                      <w:sz w:val="21"/>
                                    </w:rPr>
                                  </w:pPr>
                                  <w:r>
                                    <w:rPr>
                                      <w:w w:val="100"/>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1CC8B8EB">
                                  <w:pPr>
                                    <w:pStyle w:val="32"/>
                                    <w:spacing w:before="11"/>
                                    <w:rPr>
                                      <w:sz w:val="20"/>
                                    </w:rPr>
                                  </w:pPr>
                                </w:p>
                                <w:p w14:paraId="02E2798F">
                                  <w:pPr>
                                    <w:pStyle w:val="32"/>
                                    <w:ind w:left="136"/>
                                    <w:jc w:val="center"/>
                                    <w:rPr>
                                      <w:sz w:val="21"/>
                                    </w:rPr>
                                  </w:pPr>
                                  <w:r>
                                    <w:rPr>
                                      <w:w w:val="100"/>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6988C12E">
                                  <w:pPr>
                                    <w:pStyle w:val="32"/>
                                    <w:spacing w:before="11"/>
                                    <w:rPr>
                                      <w:sz w:val="20"/>
                                    </w:rPr>
                                  </w:pPr>
                                </w:p>
                                <w:p w14:paraId="32F90409">
                                  <w:pPr>
                                    <w:pStyle w:val="32"/>
                                    <w:ind w:left="143"/>
                                    <w:jc w:val="center"/>
                                    <w:rPr>
                                      <w:sz w:val="21"/>
                                    </w:rPr>
                                  </w:pPr>
                                  <w:r>
                                    <w:rPr>
                                      <w:w w:val="100"/>
                                      <w:sz w:val="21"/>
                                    </w:rPr>
                                    <w:t xml:space="preserve"> </w:t>
                                  </w:r>
                                </w:p>
                              </w:tc>
                              <w:tc>
                                <w:tcPr>
                                  <w:tcW w:w="2585" w:type="dxa"/>
                                  <w:tcBorders>
                                    <w:top w:val="single" w:color="000000" w:sz="4" w:space="0"/>
                                    <w:left w:val="single" w:color="000000" w:sz="4" w:space="0"/>
                                  </w:tcBorders>
                                  <w:noWrap w:val="0"/>
                                  <w:vAlign w:val="top"/>
                                </w:tcPr>
                                <w:p w14:paraId="0F9DD587">
                                  <w:pPr>
                                    <w:pStyle w:val="32"/>
                                    <w:spacing w:before="11"/>
                                    <w:rPr>
                                      <w:sz w:val="20"/>
                                    </w:rPr>
                                  </w:pPr>
                                </w:p>
                                <w:p w14:paraId="5B6A077E">
                                  <w:pPr>
                                    <w:pStyle w:val="32"/>
                                    <w:ind w:right="1151"/>
                                    <w:jc w:val="right"/>
                                    <w:rPr>
                                      <w:sz w:val="21"/>
                                    </w:rPr>
                                  </w:pPr>
                                  <w:r>
                                    <w:rPr>
                                      <w:w w:val="100"/>
                                      <w:sz w:val="21"/>
                                    </w:rPr>
                                    <w:t xml:space="preserve"> </w:t>
                                  </w:r>
                                </w:p>
                              </w:tc>
                            </w:tr>
                          </w:tbl>
                          <w:p w14:paraId="2875D8EF">
                            <w:pPr>
                              <w:pStyle w:val="7"/>
                            </w:pPr>
                          </w:p>
                        </w:txbxContent>
                      </wps:txbx>
                      <wps:bodyPr lIns="0" tIns="0" rIns="0" bIns="0" upright="1"/>
                    </wps:wsp>
                  </a:graphicData>
                </a:graphic>
              </wp:anchor>
            </w:drawing>
          </mc:Choice>
          <mc:Fallback>
            <w:pict>
              <v:shape id="_x0000_s1026" o:spid="_x0000_s1026" o:spt="202" type="#_x0000_t202" style="position:absolute;left:0pt;margin-left:50.6pt;margin-top:45.4pt;height:323.7pt;width:494.75pt;mso-position-horizontal-relative:page;z-index:251666432;mso-width-relative:page;mso-height-relative:page;" filled="f" stroked="f" coordsize="21600,21600" o:gfxdata="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QvZI2AAAAAsBAAAPAAAAAAAAAAEAIAAAACIAAABkcnMvZG93bnJldi54bWxQ&#10;SwECFAAUAAAACACHTuJADsL9pb4BAAB1AwAADgAAAAAAAAABACAAAAAnAQAAZHJzL2Uyb0RvYy54&#10;bWxQSwUGAAAAAAYABgBZAQAAVwUAAAAA&#10;">
                <v:fill on="f" focussize="0,0"/>
                <v:stroke on="f"/>
                <v:imagedata o:title=""/>
                <o:lock v:ext="edit" aspectratio="f"/>
                <v:textbox inset="0mm,0mm,0mm,0mm">
                  <w:txbxContent>
                    <w:tbl>
                      <w:tblPr>
                        <w:tblStyle w:val="19"/>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9062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01951466">
                            <w:pPr>
                              <w:pStyle w:val="32"/>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5B1F7127">
                            <w:pPr>
                              <w:pStyle w:val="32"/>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168572E4">
                            <w:pPr>
                              <w:pStyle w:val="32"/>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3EF775DD">
                            <w:pPr>
                              <w:pStyle w:val="32"/>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4557C6D0">
                            <w:pPr>
                              <w:pStyle w:val="32"/>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04196705">
                            <w:pPr>
                              <w:pStyle w:val="32"/>
                              <w:spacing w:before="26" w:line="270" w:lineRule="atLeast"/>
                              <w:ind w:left="1200" w:right="98" w:hanging="1050"/>
                              <w:rPr>
                                <w:sz w:val="21"/>
                              </w:rPr>
                            </w:pPr>
                            <w:r>
                              <w:rPr>
                                <w:sz w:val="21"/>
                              </w:rPr>
                              <w:t xml:space="preserve">拟担任职务或承担工作内容 </w:t>
                            </w:r>
                          </w:p>
                        </w:tc>
                      </w:tr>
                      <w:tr w14:paraId="58E80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4F7422DB">
                            <w:pPr>
                              <w:pStyle w:val="32"/>
                              <w:spacing w:before="9"/>
                              <w:rPr>
                                <w:sz w:val="21"/>
                              </w:rPr>
                            </w:pPr>
                          </w:p>
                          <w:p w14:paraId="46B0E650">
                            <w:pPr>
                              <w:pStyle w:val="32"/>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27B05421">
                            <w:pPr>
                              <w:pStyle w:val="32"/>
                              <w:spacing w:before="9"/>
                              <w:rPr>
                                <w:sz w:val="21"/>
                              </w:rPr>
                            </w:pPr>
                          </w:p>
                          <w:p w14:paraId="78EEEFD7">
                            <w:pPr>
                              <w:pStyle w:val="32"/>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22E998CF">
                            <w:pPr>
                              <w:pStyle w:val="32"/>
                              <w:spacing w:before="9"/>
                              <w:rPr>
                                <w:sz w:val="21"/>
                              </w:rPr>
                            </w:pPr>
                          </w:p>
                          <w:p w14:paraId="19E49111">
                            <w:pPr>
                              <w:pStyle w:val="32"/>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256698DC">
                            <w:pPr>
                              <w:pStyle w:val="32"/>
                              <w:spacing w:before="9"/>
                              <w:rPr>
                                <w:sz w:val="21"/>
                              </w:rPr>
                            </w:pPr>
                          </w:p>
                          <w:p w14:paraId="2E5E37A8">
                            <w:pPr>
                              <w:pStyle w:val="32"/>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5AC6FD62">
                            <w:pPr>
                              <w:pStyle w:val="32"/>
                              <w:spacing w:before="9"/>
                              <w:rPr>
                                <w:sz w:val="21"/>
                              </w:rPr>
                            </w:pPr>
                          </w:p>
                          <w:p w14:paraId="1136178E">
                            <w:pPr>
                              <w:pStyle w:val="32"/>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4B032F8B">
                            <w:pPr>
                              <w:pStyle w:val="32"/>
                              <w:spacing w:before="9"/>
                              <w:rPr>
                                <w:sz w:val="21"/>
                              </w:rPr>
                            </w:pPr>
                          </w:p>
                          <w:p w14:paraId="49F8F639">
                            <w:pPr>
                              <w:pStyle w:val="32"/>
                              <w:spacing w:before="1"/>
                              <w:ind w:right="1151"/>
                              <w:jc w:val="right"/>
                              <w:rPr>
                                <w:sz w:val="21"/>
                              </w:rPr>
                            </w:pPr>
                            <w:r>
                              <w:rPr>
                                <w:w w:val="100"/>
                                <w:sz w:val="21"/>
                              </w:rPr>
                              <w:t xml:space="preserve"> </w:t>
                            </w:r>
                          </w:p>
                        </w:tc>
                      </w:tr>
                      <w:tr w14:paraId="752B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7962D29">
                            <w:pPr>
                              <w:pStyle w:val="32"/>
                              <w:spacing w:before="11"/>
                              <w:rPr>
                                <w:sz w:val="20"/>
                              </w:rPr>
                            </w:pPr>
                          </w:p>
                          <w:p w14:paraId="21637ED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CEB9138">
                            <w:pPr>
                              <w:pStyle w:val="32"/>
                              <w:spacing w:before="11"/>
                              <w:rPr>
                                <w:sz w:val="20"/>
                              </w:rPr>
                            </w:pPr>
                          </w:p>
                          <w:p w14:paraId="40E66CF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4CBC3F5">
                            <w:pPr>
                              <w:pStyle w:val="32"/>
                              <w:spacing w:before="11"/>
                              <w:rPr>
                                <w:sz w:val="20"/>
                              </w:rPr>
                            </w:pPr>
                          </w:p>
                          <w:p w14:paraId="2E6FBC0F">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F06005C">
                            <w:pPr>
                              <w:pStyle w:val="32"/>
                              <w:spacing w:before="11"/>
                              <w:rPr>
                                <w:sz w:val="20"/>
                              </w:rPr>
                            </w:pPr>
                          </w:p>
                          <w:p w14:paraId="5E3F23CB">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09770AFC">
                            <w:pPr>
                              <w:pStyle w:val="32"/>
                              <w:spacing w:before="11"/>
                              <w:rPr>
                                <w:sz w:val="20"/>
                              </w:rPr>
                            </w:pPr>
                          </w:p>
                          <w:p w14:paraId="5FF65BB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AE69A25">
                            <w:pPr>
                              <w:pStyle w:val="32"/>
                              <w:spacing w:before="11"/>
                              <w:rPr>
                                <w:sz w:val="20"/>
                              </w:rPr>
                            </w:pPr>
                          </w:p>
                          <w:p w14:paraId="43567DED">
                            <w:pPr>
                              <w:pStyle w:val="32"/>
                              <w:ind w:right="1151"/>
                              <w:jc w:val="right"/>
                              <w:rPr>
                                <w:sz w:val="21"/>
                              </w:rPr>
                            </w:pPr>
                            <w:r>
                              <w:rPr>
                                <w:w w:val="100"/>
                                <w:sz w:val="21"/>
                              </w:rPr>
                              <w:t xml:space="preserve"> </w:t>
                            </w:r>
                          </w:p>
                        </w:tc>
                      </w:tr>
                      <w:tr w14:paraId="5B41C7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55C712FD">
                            <w:pPr>
                              <w:pStyle w:val="32"/>
                              <w:spacing w:before="11"/>
                              <w:rPr>
                                <w:sz w:val="20"/>
                              </w:rPr>
                            </w:pPr>
                          </w:p>
                          <w:p w14:paraId="72C545F1">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9E3F2F5">
                            <w:pPr>
                              <w:pStyle w:val="32"/>
                              <w:spacing w:before="11"/>
                              <w:rPr>
                                <w:sz w:val="20"/>
                              </w:rPr>
                            </w:pPr>
                          </w:p>
                          <w:p w14:paraId="703A2CE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44137738">
                            <w:pPr>
                              <w:pStyle w:val="32"/>
                              <w:spacing w:before="11"/>
                              <w:rPr>
                                <w:sz w:val="20"/>
                              </w:rPr>
                            </w:pPr>
                          </w:p>
                          <w:p w14:paraId="64EE50FE">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517F3D4">
                            <w:pPr>
                              <w:pStyle w:val="32"/>
                              <w:spacing w:before="11"/>
                              <w:rPr>
                                <w:sz w:val="20"/>
                              </w:rPr>
                            </w:pPr>
                          </w:p>
                          <w:p w14:paraId="4705ABAD">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0522EBA">
                            <w:pPr>
                              <w:pStyle w:val="32"/>
                              <w:spacing w:before="11"/>
                              <w:rPr>
                                <w:sz w:val="20"/>
                              </w:rPr>
                            </w:pPr>
                          </w:p>
                          <w:p w14:paraId="5C425A2D">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F32BE77">
                            <w:pPr>
                              <w:pStyle w:val="32"/>
                              <w:spacing w:before="11"/>
                              <w:rPr>
                                <w:sz w:val="20"/>
                              </w:rPr>
                            </w:pPr>
                          </w:p>
                          <w:p w14:paraId="67440800">
                            <w:pPr>
                              <w:pStyle w:val="32"/>
                              <w:ind w:right="1151"/>
                              <w:jc w:val="right"/>
                              <w:rPr>
                                <w:sz w:val="21"/>
                              </w:rPr>
                            </w:pPr>
                            <w:r>
                              <w:rPr>
                                <w:w w:val="100"/>
                                <w:sz w:val="21"/>
                              </w:rPr>
                              <w:t xml:space="preserve"> </w:t>
                            </w:r>
                          </w:p>
                        </w:tc>
                      </w:tr>
                      <w:tr w14:paraId="3D099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248320F">
                            <w:pPr>
                              <w:pStyle w:val="32"/>
                              <w:spacing w:before="11"/>
                              <w:rPr>
                                <w:sz w:val="20"/>
                              </w:rPr>
                            </w:pPr>
                          </w:p>
                          <w:p w14:paraId="614EE05B">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1BB4E5F">
                            <w:pPr>
                              <w:pStyle w:val="32"/>
                              <w:spacing w:before="11"/>
                              <w:rPr>
                                <w:sz w:val="20"/>
                              </w:rPr>
                            </w:pPr>
                          </w:p>
                          <w:p w14:paraId="2014FD99">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875127D">
                            <w:pPr>
                              <w:pStyle w:val="32"/>
                              <w:spacing w:before="11"/>
                              <w:rPr>
                                <w:sz w:val="20"/>
                              </w:rPr>
                            </w:pPr>
                          </w:p>
                          <w:p w14:paraId="5301A46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BE78ABF">
                            <w:pPr>
                              <w:pStyle w:val="32"/>
                              <w:spacing w:before="11"/>
                              <w:rPr>
                                <w:sz w:val="20"/>
                              </w:rPr>
                            </w:pPr>
                          </w:p>
                          <w:p w14:paraId="5FE8CAA4">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3A00D1">
                            <w:pPr>
                              <w:pStyle w:val="32"/>
                              <w:spacing w:before="11"/>
                              <w:rPr>
                                <w:sz w:val="20"/>
                              </w:rPr>
                            </w:pPr>
                          </w:p>
                          <w:p w14:paraId="438BC12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54878E2B">
                            <w:pPr>
                              <w:pStyle w:val="32"/>
                              <w:spacing w:before="11"/>
                              <w:rPr>
                                <w:sz w:val="20"/>
                              </w:rPr>
                            </w:pPr>
                          </w:p>
                          <w:p w14:paraId="1AB911C6">
                            <w:pPr>
                              <w:pStyle w:val="32"/>
                              <w:ind w:right="1151"/>
                              <w:jc w:val="right"/>
                              <w:rPr>
                                <w:sz w:val="21"/>
                              </w:rPr>
                            </w:pPr>
                            <w:r>
                              <w:rPr>
                                <w:w w:val="100"/>
                                <w:sz w:val="21"/>
                              </w:rPr>
                              <w:t xml:space="preserve"> </w:t>
                            </w:r>
                          </w:p>
                        </w:tc>
                      </w:tr>
                      <w:tr w14:paraId="27C23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52E0C8E5">
                            <w:pPr>
                              <w:pStyle w:val="32"/>
                              <w:spacing w:before="11"/>
                              <w:rPr>
                                <w:sz w:val="20"/>
                              </w:rPr>
                            </w:pPr>
                          </w:p>
                          <w:p w14:paraId="2D9504C4">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65372E4">
                            <w:pPr>
                              <w:pStyle w:val="32"/>
                              <w:spacing w:before="11"/>
                              <w:rPr>
                                <w:sz w:val="20"/>
                              </w:rPr>
                            </w:pPr>
                          </w:p>
                          <w:p w14:paraId="64C53CEA">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B7DE112">
                            <w:pPr>
                              <w:pStyle w:val="32"/>
                              <w:spacing w:before="11"/>
                              <w:rPr>
                                <w:sz w:val="20"/>
                              </w:rPr>
                            </w:pPr>
                          </w:p>
                          <w:p w14:paraId="65AA696A">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EF9686A">
                            <w:pPr>
                              <w:pStyle w:val="32"/>
                              <w:spacing w:before="11"/>
                              <w:rPr>
                                <w:sz w:val="20"/>
                              </w:rPr>
                            </w:pPr>
                          </w:p>
                          <w:p w14:paraId="3914E36F">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7CDDED4">
                            <w:pPr>
                              <w:pStyle w:val="32"/>
                              <w:spacing w:before="11"/>
                              <w:rPr>
                                <w:sz w:val="20"/>
                              </w:rPr>
                            </w:pPr>
                          </w:p>
                          <w:p w14:paraId="67733CE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104EC45">
                            <w:pPr>
                              <w:pStyle w:val="32"/>
                              <w:spacing w:before="11"/>
                              <w:rPr>
                                <w:sz w:val="20"/>
                              </w:rPr>
                            </w:pPr>
                          </w:p>
                          <w:p w14:paraId="353A30F2">
                            <w:pPr>
                              <w:pStyle w:val="32"/>
                              <w:ind w:right="1151"/>
                              <w:jc w:val="right"/>
                              <w:rPr>
                                <w:sz w:val="21"/>
                              </w:rPr>
                            </w:pPr>
                            <w:r>
                              <w:rPr>
                                <w:w w:val="100"/>
                                <w:sz w:val="21"/>
                              </w:rPr>
                              <w:t xml:space="preserve"> </w:t>
                            </w:r>
                          </w:p>
                        </w:tc>
                      </w:tr>
                      <w:tr w14:paraId="36C7C1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AB1C19D">
                            <w:pPr>
                              <w:pStyle w:val="32"/>
                              <w:spacing w:before="11"/>
                              <w:rPr>
                                <w:sz w:val="20"/>
                              </w:rPr>
                            </w:pPr>
                          </w:p>
                          <w:p w14:paraId="5378E01C">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C79DAB">
                            <w:pPr>
                              <w:pStyle w:val="32"/>
                              <w:spacing w:before="11"/>
                              <w:rPr>
                                <w:sz w:val="20"/>
                              </w:rPr>
                            </w:pPr>
                          </w:p>
                          <w:p w14:paraId="75DBB9E1">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3CB6EC2">
                            <w:pPr>
                              <w:pStyle w:val="32"/>
                              <w:spacing w:before="11"/>
                              <w:rPr>
                                <w:sz w:val="20"/>
                              </w:rPr>
                            </w:pPr>
                          </w:p>
                          <w:p w14:paraId="71BF2A58">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26D5CBE">
                            <w:pPr>
                              <w:pStyle w:val="32"/>
                              <w:spacing w:before="11"/>
                              <w:rPr>
                                <w:sz w:val="20"/>
                              </w:rPr>
                            </w:pPr>
                          </w:p>
                          <w:p w14:paraId="040FC1D6">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6DF6D33">
                            <w:pPr>
                              <w:pStyle w:val="32"/>
                              <w:spacing w:before="11"/>
                              <w:rPr>
                                <w:sz w:val="20"/>
                              </w:rPr>
                            </w:pPr>
                          </w:p>
                          <w:p w14:paraId="0370B073">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B2B752C">
                            <w:pPr>
                              <w:pStyle w:val="32"/>
                              <w:spacing w:before="11"/>
                              <w:rPr>
                                <w:sz w:val="20"/>
                              </w:rPr>
                            </w:pPr>
                          </w:p>
                          <w:p w14:paraId="7848BD31">
                            <w:pPr>
                              <w:pStyle w:val="32"/>
                              <w:ind w:right="1151"/>
                              <w:jc w:val="right"/>
                              <w:rPr>
                                <w:sz w:val="21"/>
                              </w:rPr>
                            </w:pPr>
                            <w:r>
                              <w:rPr>
                                <w:w w:val="100"/>
                                <w:sz w:val="21"/>
                              </w:rPr>
                              <w:t xml:space="preserve"> </w:t>
                            </w:r>
                          </w:p>
                        </w:tc>
                      </w:tr>
                      <w:tr w14:paraId="625402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1DB97D3E">
                            <w:pPr>
                              <w:pStyle w:val="32"/>
                              <w:spacing w:before="11"/>
                              <w:rPr>
                                <w:sz w:val="20"/>
                              </w:rPr>
                            </w:pPr>
                          </w:p>
                          <w:p w14:paraId="254820E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3C7FF339">
                            <w:pPr>
                              <w:pStyle w:val="32"/>
                              <w:spacing w:before="11"/>
                              <w:rPr>
                                <w:sz w:val="20"/>
                              </w:rPr>
                            </w:pPr>
                          </w:p>
                          <w:p w14:paraId="142521A8">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CBDBF1E">
                            <w:pPr>
                              <w:pStyle w:val="32"/>
                              <w:spacing w:before="11"/>
                              <w:rPr>
                                <w:sz w:val="20"/>
                              </w:rPr>
                            </w:pPr>
                          </w:p>
                          <w:p w14:paraId="4ACC824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C606BCF">
                            <w:pPr>
                              <w:pStyle w:val="32"/>
                              <w:spacing w:before="11"/>
                              <w:rPr>
                                <w:sz w:val="20"/>
                              </w:rPr>
                            </w:pPr>
                          </w:p>
                          <w:p w14:paraId="1AF00F89">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8F1279E">
                            <w:pPr>
                              <w:pStyle w:val="32"/>
                              <w:spacing w:before="11"/>
                              <w:rPr>
                                <w:sz w:val="20"/>
                              </w:rPr>
                            </w:pPr>
                          </w:p>
                          <w:p w14:paraId="2424F27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2E86664">
                            <w:pPr>
                              <w:pStyle w:val="32"/>
                              <w:spacing w:before="11"/>
                              <w:rPr>
                                <w:sz w:val="20"/>
                              </w:rPr>
                            </w:pPr>
                          </w:p>
                          <w:p w14:paraId="155F1CDB">
                            <w:pPr>
                              <w:pStyle w:val="32"/>
                              <w:ind w:right="1151"/>
                              <w:jc w:val="right"/>
                              <w:rPr>
                                <w:sz w:val="21"/>
                              </w:rPr>
                            </w:pPr>
                            <w:r>
                              <w:rPr>
                                <w:w w:val="100"/>
                                <w:sz w:val="21"/>
                              </w:rPr>
                              <w:t xml:space="preserve"> </w:t>
                            </w:r>
                          </w:p>
                        </w:tc>
                      </w:tr>
                      <w:tr w14:paraId="40028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1DA74C9C">
                            <w:pPr>
                              <w:pStyle w:val="32"/>
                              <w:spacing w:before="11"/>
                              <w:rPr>
                                <w:sz w:val="20"/>
                              </w:rPr>
                            </w:pPr>
                          </w:p>
                          <w:p w14:paraId="6175EB46">
                            <w:pPr>
                              <w:pStyle w:val="32"/>
                              <w:ind w:left="127"/>
                              <w:jc w:val="center"/>
                              <w:rPr>
                                <w:sz w:val="21"/>
                              </w:rPr>
                            </w:pPr>
                            <w:r>
                              <w:rPr>
                                <w:w w:val="100"/>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2562274C">
                            <w:pPr>
                              <w:pStyle w:val="32"/>
                              <w:spacing w:before="11"/>
                              <w:rPr>
                                <w:sz w:val="20"/>
                              </w:rPr>
                            </w:pPr>
                          </w:p>
                          <w:p w14:paraId="6937079C">
                            <w:pPr>
                              <w:pStyle w:val="32"/>
                              <w:ind w:left="137"/>
                              <w:jc w:val="center"/>
                              <w:rPr>
                                <w:sz w:val="21"/>
                              </w:rPr>
                            </w:pPr>
                            <w:r>
                              <w:rPr>
                                <w:w w:val="100"/>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BC246D2">
                            <w:pPr>
                              <w:pStyle w:val="32"/>
                              <w:spacing w:before="11"/>
                              <w:rPr>
                                <w:sz w:val="20"/>
                              </w:rPr>
                            </w:pPr>
                          </w:p>
                          <w:p w14:paraId="7B57B3EB">
                            <w:pPr>
                              <w:pStyle w:val="32"/>
                              <w:ind w:left="133"/>
                              <w:jc w:val="center"/>
                              <w:rPr>
                                <w:sz w:val="21"/>
                              </w:rPr>
                            </w:pPr>
                            <w:r>
                              <w:rPr>
                                <w:w w:val="100"/>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1CC8B8EB">
                            <w:pPr>
                              <w:pStyle w:val="32"/>
                              <w:spacing w:before="11"/>
                              <w:rPr>
                                <w:sz w:val="20"/>
                              </w:rPr>
                            </w:pPr>
                          </w:p>
                          <w:p w14:paraId="02E2798F">
                            <w:pPr>
                              <w:pStyle w:val="32"/>
                              <w:ind w:left="136"/>
                              <w:jc w:val="center"/>
                              <w:rPr>
                                <w:sz w:val="21"/>
                              </w:rPr>
                            </w:pPr>
                            <w:r>
                              <w:rPr>
                                <w:w w:val="100"/>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6988C12E">
                            <w:pPr>
                              <w:pStyle w:val="32"/>
                              <w:spacing w:before="11"/>
                              <w:rPr>
                                <w:sz w:val="20"/>
                              </w:rPr>
                            </w:pPr>
                          </w:p>
                          <w:p w14:paraId="32F90409">
                            <w:pPr>
                              <w:pStyle w:val="32"/>
                              <w:ind w:left="143"/>
                              <w:jc w:val="center"/>
                              <w:rPr>
                                <w:sz w:val="21"/>
                              </w:rPr>
                            </w:pPr>
                            <w:r>
                              <w:rPr>
                                <w:w w:val="100"/>
                                <w:sz w:val="21"/>
                              </w:rPr>
                              <w:t xml:space="preserve"> </w:t>
                            </w:r>
                          </w:p>
                        </w:tc>
                        <w:tc>
                          <w:tcPr>
                            <w:tcW w:w="2585" w:type="dxa"/>
                            <w:tcBorders>
                              <w:top w:val="single" w:color="000000" w:sz="4" w:space="0"/>
                              <w:left w:val="single" w:color="000000" w:sz="4" w:space="0"/>
                            </w:tcBorders>
                            <w:noWrap w:val="0"/>
                            <w:vAlign w:val="top"/>
                          </w:tcPr>
                          <w:p w14:paraId="0F9DD587">
                            <w:pPr>
                              <w:pStyle w:val="32"/>
                              <w:spacing w:before="11"/>
                              <w:rPr>
                                <w:sz w:val="20"/>
                              </w:rPr>
                            </w:pPr>
                          </w:p>
                          <w:p w14:paraId="5B6A077E">
                            <w:pPr>
                              <w:pStyle w:val="32"/>
                              <w:ind w:right="1151"/>
                              <w:jc w:val="right"/>
                              <w:rPr>
                                <w:sz w:val="21"/>
                              </w:rPr>
                            </w:pPr>
                            <w:r>
                              <w:rPr>
                                <w:w w:val="100"/>
                                <w:sz w:val="21"/>
                              </w:rPr>
                              <w:t xml:space="preserve"> </w:t>
                            </w:r>
                          </w:p>
                        </w:tc>
                      </w:tr>
                    </w:tbl>
                    <w:p w14:paraId="2875D8EF">
                      <w:pPr>
                        <w:pStyle w:val="7"/>
                      </w:pPr>
                    </w:p>
                  </w:txbxContent>
                </v:textbox>
              </v:shape>
            </w:pict>
          </mc:Fallback>
        </mc:AlternateContent>
      </w:r>
      <w:r>
        <w:rPr>
          <w:rFonts w:hint="eastAsia" w:ascii="宋体" w:hAnsi="宋体" w:eastAsia="宋体" w:cs="宋体"/>
          <w:color w:val="auto"/>
          <w:sz w:val="24"/>
          <w:szCs w:val="24"/>
          <w:highlight w:val="none"/>
        </w:rPr>
        <w:t>采购项目名称：</w:t>
      </w:r>
    </w:p>
    <w:p w14:paraId="5EC39E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4877B0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7D3A95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BA2C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C6F7C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7B5A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ABE031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FB474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D7AA7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0941EB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85E3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DB81CF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F571C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90416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01E9D1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3607C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5CA2884">
      <w:pPr>
        <w:rPr>
          <w:rFonts w:hint="eastAsia"/>
          <w:color w:val="auto"/>
          <w:highlight w:val="none"/>
          <w:lang w:val="en-US" w:eastAsia="zh-CN"/>
        </w:rPr>
      </w:pPr>
      <w:r>
        <w:rPr>
          <w:rFonts w:hint="eastAsia"/>
          <w:color w:val="auto"/>
          <w:highlight w:val="none"/>
          <w:lang w:val="en-US" w:eastAsia="zh-CN"/>
        </w:rPr>
        <w:t xml:space="preserve">备注：根据评审表的要求提交相应证明资料复印件加盖企业公章：身份证、资格证（注册建造师执业资格证书）、安全生产考核合格证、社保证明（需提供近1个月）、拟派项目负责人没有在其他在建项目中担任项目负责人的书面承诺。 </w:t>
      </w:r>
    </w:p>
    <w:p w14:paraId="28310EC4">
      <w:pPr>
        <w:rPr>
          <w:rFonts w:hint="eastAsia"/>
          <w:color w:val="auto"/>
          <w:highlight w:val="none"/>
          <w:lang w:val="en-US" w:eastAsia="zh-CN"/>
        </w:rPr>
      </w:pPr>
    </w:p>
    <w:p w14:paraId="6C5B8215">
      <w:pPr>
        <w:rPr>
          <w:rFonts w:hint="eastAsia"/>
          <w:color w:val="auto"/>
          <w:highlight w:val="none"/>
          <w:lang w:val="en-US" w:eastAsia="zh-CN"/>
        </w:rPr>
      </w:pPr>
      <w:r>
        <w:rPr>
          <w:rFonts w:hint="eastAsia"/>
          <w:color w:val="auto"/>
          <w:highlight w:val="none"/>
          <w:lang w:val="en-US" w:eastAsia="zh-CN"/>
        </w:rPr>
        <w:t xml:space="preserve">供应商名称（单位盖公章）：                              </w:t>
      </w:r>
    </w:p>
    <w:p w14:paraId="243E8F59">
      <w:pPr>
        <w:rPr>
          <w:rFonts w:hint="eastAsia"/>
          <w:color w:val="auto"/>
          <w:highlight w:val="none"/>
          <w:lang w:val="en-US" w:eastAsia="zh-CN"/>
        </w:rPr>
      </w:pPr>
      <w:r>
        <w:rPr>
          <w:rFonts w:hint="eastAsia"/>
          <w:color w:val="auto"/>
          <w:highlight w:val="none"/>
          <w:lang w:val="en-US" w:eastAsia="zh-CN"/>
        </w:rPr>
        <w:t xml:space="preserve"> </w:t>
      </w:r>
    </w:p>
    <w:p w14:paraId="1EF64115">
      <w:pPr>
        <w:rPr>
          <w:rFonts w:hint="eastAsia" w:ascii="宋体" w:hAnsi="宋体" w:eastAsia="宋体" w:cs="宋体"/>
          <w:color w:val="auto"/>
          <w:sz w:val="24"/>
          <w:szCs w:val="24"/>
          <w:highlight w:val="none"/>
        </w:rPr>
      </w:pPr>
      <w:r>
        <w:rPr>
          <w:rFonts w:hint="eastAsia"/>
          <w:color w:val="auto"/>
          <w:highlight w:val="none"/>
          <w:lang w:val="en-US" w:eastAsia="zh-CN"/>
        </w:rPr>
        <w:t xml:space="preserve">日期:   </w:t>
      </w:r>
      <w:r>
        <w:rPr>
          <w:rFonts w:hint="eastAsia" w:ascii="宋体" w:hAnsi="宋体" w:eastAsia="宋体" w:cs="宋体"/>
          <w:color w:val="auto"/>
          <w:sz w:val="24"/>
          <w:szCs w:val="24"/>
          <w:highlight w:val="none"/>
        </w:rPr>
        <w:t xml:space="preserve">     </w:t>
      </w:r>
    </w:p>
    <w:p w14:paraId="65BAE726">
      <w:pPr>
        <w:rPr>
          <w:rFonts w:hint="eastAsia" w:ascii="宋体" w:hAnsi="宋体" w:eastAsia="宋体" w:cs="宋体"/>
          <w:b/>
          <w:bCs/>
          <w:color w:val="auto"/>
          <w:sz w:val="30"/>
          <w:szCs w:val="30"/>
          <w:highlight w:val="none"/>
          <w:lang w:val="en-US" w:eastAsia="zh-CN"/>
        </w:rPr>
      </w:pPr>
    </w:p>
    <w:p w14:paraId="0582A9F7">
      <w:pPr>
        <w:pStyle w:val="6"/>
        <w:rPr>
          <w:rFonts w:hint="eastAsia"/>
          <w:color w:val="auto"/>
          <w:highlight w:val="none"/>
          <w:lang w:val="en-US" w:eastAsia="zh-CN"/>
        </w:rPr>
      </w:pPr>
    </w:p>
    <w:p w14:paraId="4186F80A">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4DEE5BC5">
      <w:pPr>
        <w:pStyle w:val="6"/>
        <w:rPr>
          <w:rFonts w:hint="eastAsia"/>
          <w:color w:val="auto"/>
          <w:highlight w:val="none"/>
          <w:lang w:val="en-US" w:eastAsia="zh-CN"/>
        </w:rPr>
      </w:pPr>
    </w:p>
    <w:p w14:paraId="74CDBC82">
      <w:pPr>
        <w:rPr>
          <w:rFonts w:hint="eastAsia"/>
          <w:lang w:val="en-US" w:eastAsia="zh-CN"/>
        </w:rPr>
      </w:pPr>
    </w:p>
    <w:p w14:paraId="1C1467D6">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0783266A">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 xml:space="preserve">.4 企业管理体系认证 </w:t>
      </w:r>
    </w:p>
    <w:p w14:paraId="286BEE6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1DB9BF1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须知第</w:t>
      </w:r>
      <w:r>
        <w:rPr>
          <w:rFonts w:hint="eastAsia" w:cs="宋体"/>
          <w:color w:val="auto"/>
          <w:sz w:val="24"/>
          <w:szCs w:val="24"/>
          <w:highlight w:val="none"/>
          <w:lang w:val="en-US" w:eastAsia="zh-CN"/>
        </w:rPr>
        <w:t>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14:paraId="3FE0BA8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7C71FC6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5B218C8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58F8C6D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6B67EFE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14:paraId="04C664C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14:paraId="551A28B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1D5FDE09">
      <w:pPr>
        <w:pStyle w:val="6"/>
        <w:rPr>
          <w:rFonts w:hint="eastAsia" w:ascii="宋体" w:hAnsi="宋体" w:eastAsia="宋体" w:cs="宋体"/>
          <w:b/>
          <w:bCs/>
          <w:color w:val="auto"/>
          <w:sz w:val="30"/>
          <w:szCs w:val="30"/>
          <w:highlight w:val="none"/>
          <w:lang w:val="en-US" w:eastAsia="zh-CN"/>
        </w:rPr>
      </w:pPr>
    </w:p>
    <w:p w14:paraId="7F02579E">
      <w:pPr>
        <w:rPr>
          <w:rFonts w:hint="eastAsia" w:ascii="宋体" w:hAnsi="宋体" w:eastAsia="宋体" w:cs="宋体"/>
          <w:b/>
          <w:bCs/>
          <w:color w:val="auto"/>
          <w:sz w:val="30"/>
          <w:szCs w:val="30"/>
          <w:highlight w:val="none"/>
          <w:lang w:val="en-US" w:eastAsia="zh-CN"/>
        </w:rPr>
      </w:pPr>
    </w:p>
    <w:p w14:paraId="7B8DC8CB">
      <w:pPr>
        <w:pStyle w:val="6"/>
        <w:rPr>
          <w:rFonts w:hint="eastAsia" w:ascii="宋体" w:hAnsi="宋体" w:eastAsia="宋体" w:cs="宋体"/>
          <w:b/>
          <w:bCs/>
          <w:color w:val="auto"/>
          <w:sz w:val="30"/>
          <w:szCs w:val="30"/>
          <w:highlight w:val="none"/>
          <w:lang w:val="en-US" w:eastAsia="zh-CN"/>
        </w:rPr>
      </w:pPr>
    </w:p>
    <w:p w14:paraId="15AEBC9B">
      <w:pPr>
        <w:rPr>
          <w:rFonts w:hint="eastAsia" w:ascii="宋体" w:hAnsi="宋体" w:eastAsia="宋体" w:cs="宋体"/>
          <w:b/>
          <w:bCs/>
          <w:color w:val="auto"/>
          <w:sz w:val="30"/>
          <w:szCs w:val="30"/>
          <w:highlight w:val="none"/>
          <w:lang w:val="en-US" w:eastAsia="zh-CN"/>
        </w:rPr>
      </w:pPr>
    </w:p>
    <w:p w14:paraId="4E2E8F32">
      <w:pPr>
        <w:pStyle w:val="6"/>
        <w:rPr>
          <w:rFonts w:hint="eastAsia" w:ascii="宋体" w:hAnsi="宋体" w:eastAsia="宋体" w:cs="宋体"/>
          <w:b/>
          <w:bCs/>
          <w:color w:val="auto"/>
          <w:sz w:val="30"/>
          <w:szCs w:val="30"/>
          <w:highlight w:val="none"/>
          <w:lang w:val="en-US" w:eastAsia="zh-CN"/>
        </w:rPr>
      </w:pPr>
    </w:p>
    <w:p w14:paraId="2001768E">
      <w:pPr>
        <w:rPr>
          <w:rFonts w:hint="eastAsia" w:ascii="宋体" w:hAnsi="宋体" w:eastAsia="宋体" w:cs="宋体"/>
          <w:b/>
          <w:bCs/>
          <w:color w:val="auto"/>
          <w:sz w:val="30"/>
          <w:szCs w:val="30"/>
          <w:highlight w:val="none"/>
          <w:lang w:val="en-US" w:eastAsia="zh-CN"/>
        </w:rPr>
      </w:pPr>
    </w:p>
    <w:p w14:paraId="47B7531A">
      <w:pPr>
        <w:pStyle w:val="6"/>
        <w:rPr>
          <w:rFonts w:hint="eastAsia" w:ascii="宋体" w:hAnsi="宋体" w:eastAsia="宋体" w:cs="宋体"/>
          <w:b/>
          <w:bCs/>
          <w:color w:val="auto"/>
          <w:sz w:val="30"/>
          <w:szCs w:val="30"/>
          <w:highlight w:val="none"/>
          <w:lang w:val="en-US" w:eastAsia="zh-CN"/>
        </w:rPr>
      </w:pPr>
    </w:p>
    <w:p w14:paraId="0B9300FF">
      <w:pPr>
        <w:rPr>
          <w:rFonts w:hint="eastAsia" w:ascii="宋体" w:hAnsi="宋体" w:eastAsia="宋体" w:cs="宋体"/>
          <w:b/>
          <w:bCs/>
          <w:color w:val="auto"/>
          <w:sz w:val="30"/>
          <w:szCs w:val="30"/>
          <w:highlight w:val="none"/>
          <w:lang w:val="en-US" w:eastAsia="zh-CN"/>
        </w:rPr>
      </w:pPr>
    </w:p>
    <w:p w14:paraId="664876C7">
      <w:pPr>
        <w:pStyle w:val="6"/>
        <w:rPr>
          <w:rFonts w:hint="eastAsia" w:ascii="宋体" w:hAnsi="宋体" w:eastAsia="宋体" w:cs="宋体"/>
          <w:b/>
          <w:bCs/>
          <w:color w:val="auto"/>
          <w:sz w:val="30"/>
          <w:szCs w:val="30"/>
          <w:highlight w:val="none"/>
          <w:lang w:val="en-US" w:eastAsia="zh-CN"/>
        </w:rPr>
      </w:pPr>
    </w:p>
    <w:p w14:paraId="3F5A0393">
      <w:pPr>
        <w:rPr>
          <w:rFonts w:hint="eastAsia" w:ascii="宋体" w:hAnsi="宋体" w:eastAsia="宋体" w:cs="宋体"/>
          <w:b/>
          <w:bCs/>
          <w:color w:val="auto"/>
          <w:sz w:val="30"/>
          <w:szCs w:val="30"/>
          <w:highlight w:val="none"/>
          <w:lang w:val="en-US" w:eastAsia="zh-CN"/>
        </w:rPr>
      </w:pPr>
    </w:p>
    <w:p w14:paraId="69C7C1D6">
      <w:pPr>
        <w:pStyle w:val="6"/>
        <w:rPr>
          <w:rFonts w:hint="eastAsia" w:ascii="宋体" w:hAnsi="宋体" w:eastAsia="宋体" w:cs="宋体"/>
          <w:b/>
          <w:bCs/>
          <w:color w:val="auto"/>
          <w:sz w:val="30"/>
          <w:szCs w:val="30"/>
          <w:highlight w:val="none"/>
          <w:lang w:val="en-US" w:eastAsia="zh-CN"/>
        </w:rPr>
      </w:pPr>
    </w:p>
    <w:p w14:paraId="5170F54F">
      <w:pPr>
        <w:rPr>
          <w:rFonts w:hint="eastAsia" w:ascii="宋体" w:hAnsi="宋体" w:eastAsia="宋体" w:cs="宋体"/>
          <w:b/>
          <w:bCs/>
          <w:color w:val="auto"/>
          <w:sz w:val="30"/>
          <w:szCs w:val="30"/>
          <w:highlight w:val="none"/>
          <w:lang w:val="en-US" w:eastAsia="zh-CN"/>
        </w:rPr>
      </w:pPr>
    </w:p>
    <w:p w14:paraId="39C3E62C">
      <w:pPr>
        <w:pStyle w:val="6"/>
        <w:rPr>
          <w:rFonts w:hint="eastAsia" w:ascii="宋体" w:hAnsi="宋体" w:eastAsia="宋体" w:cs="宋体"/>
          <w:b/>
          <w:bCs/>
          <w:color w:val="auto"/>
          <w:sz w:val="30"/>
          <w:szCs w:val="30"/>
          <w:highlight w:val="none"/>
          <w:lang w:val="en-US" w:eastAsia="zh-CN"/>
        </w:rPr>
      </w:pPr>
    </w:p>
    <w:p w14:paraId="1778C0FF">
      <w:pPr>
        <w:rPr>
          <w:rFonts w:hint="eastAsia" w:ascii="宋体" w:hAnsi="宋体" w:eastAsia="宋体" w:cs="宋体"/>
          <w:b/>
          <w:bCs/>
          <w:color w:val="auto"/>
          <w:sz w:val="30"/>
          <w:szCs w:val="30"/>
          <w:highlight w:val="none"/>
          <w:lang w:val="en-US" w:eastAsia="zh-CN"/>
        </w:rPr>
      </w:pPr>
    </w:p>
    <w:p w14:paraId="7B53A850">
      <w:pPr>
        <w:pStyle w:val="6"/>
        <w:rPr>
          <w:rFonts w:hint="eastAsia" w:ascii="宋体" w:hAnsi="宋体" w:eastAsia="宋体" w:cs="宋体"/>
          <w:b/>
          <w:bCs/>
          <w:color w:val="auto"/>
          <w:sz w:val="30"/>
          <w:szCs w:val="30"/>
          <w:highlight w:val="none"/>
          <w:lang w:val="en-US" w:eastAsia="zh-CN"/>
        </w:rPr>
      </w:pPr>
    </w:p>
    <w:p w14:paraId="78CD5478">
      <w:pPr>
        <w:rPr>
          <w:rFonts w:hint="eastAsia" w:ascii="宋体" w:hAnsi="宋体" w:eastAsia="宋体" w:cs="宋体"/>
          <w:b/>
          <w:bCs/>
          <w:color w:val="auto"/>
          <w:sz w:val="30"/>
          <w:szCs w:val="30"/>
          <w:highlight w:val="none"/>
          <w:lang w:val="en-US" w:eastAsia="zh-CN"/>
        </w:rPr>
      </w:pPr>
    </w:p>
    <w:p w14:paraId="153A4077">
      <w:pPr>
        <w:pStyle w:val="6"/>
        <w:rPr>
          <w:rFonts w:hint="eastAsia" w:ascii="宋体" w:hAnsi="宋体" w:eastAsia="宋体" w:cs="宋体"/>
          <w:b/>
          <w:bCs/>
          <w:color w:val="auto"/>
          <w:sz w:val="30"/>
          <w:szCs w:val="30"/>
          <w:highlight w:val="none"/>
          <w:lang w:val="en-US" w:eastAsia="zh-CN"/>
        </w:rPr>
      </w:pPr>
    </w:p>
    <w:p w14:paraId="36A4EE2B">
      <w:pPr>
        <w:rPr>
          <w:rFonts w:hint="eastAsia" w:ascii="宋体" w:hAnsi="宋体" w:eastAsia="宋体" w:cs="宋体"/>
          <w:b/>
          <w:bCs/>
          <w:color w:val="auto"/>
          <w:sz w:val="30"/>
          <w:szCs w:val="30"/>
          <w:highlight w:val="none"/>
          <w:lang w:val="en-US" w:eastAsia="zh-CN"/>
        </w:rPr>
      </w:pPr>
    </w:p>
    <w:p w14:paraId="47DC44A5">
      <w:pPr>
        <w:pStyle w:val="6"/>
        <w:rPr>
          <w:rFonts w:hint="eastAsia" w:ascii="宋体" w:hAnsi="宋体" w:eastAsia="宋体" w:cs="宋体"/>
          <w:b/>
          <w:bCs/>
          <w:color w:val="auto"/>
          <w:sz w:val="30"/>
          <w:szCs w:val="30"/>
          <w:highlight w:val="none"/>
          <w:lang w:val="en-US" w:eastAsia="zh-CN"/>
        </w:rPr>
      </w:pPr>
    </w:p>
    <w:p w14:paraId="661E7C78">
      <w:pPr>
        <w:rPr>
          <w:rFonts w:hint="eastAsia" w:ascii="宋体" w:hAnsi="宋体" w:eastAsia="宋体" w:cs="宋体"/>
          <w:b/>
          <w:bCs/>
          <w:color w:val="auto"/>
          <w:sz w:val="30"/>
          <w:szCs w:val="30"/>
          <w:highlight w:val="none"/>
          <w:lang w:val="en-US" w:eastAsia="zh-CN"/>
        </w:rPr>
      </w:pPr>
    </w:p>
    <w:p w14:paraId="0765F465">
      <w:pPr>
        <w:pStyle w:val="6"/>
        <w:rPr>
          <w:rFonts w:hint="eastAsia"/>
          <w:color w:val="auto"/>
          <w:highlight w:val="none"/>
          <w:lang w:val="en-US" w:eastAsia="zh-CN"/>
        </w:rPr>
      </w:pPr>
    </w:p>
    <w:p w14:paraId="08949F9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2.5 </w:t>
      </w:r>
      <w:r>
        <w:rPr>
          <w:rFonts w:hint="eastAsia" w:ascii="宋体" w:hAnsi="宋体" w:eastAsia="宋体" w:cs="宋体"/>
          <w:b/>
          <w:bCs/>
          <w:color w:val="auto"/>
          <w:sz w:val="30"/>
          <w:szCs w:val="30"/>
          <w:highlight w:val="none"/>
          <w:lang w:val="en-US" w:eastAsia="zh-CN"/>
        </w:rPr>
        <w:t>同类项目业绩情况一览表</w:t>
      </w:r>
    </w:p>
    <w:p w14:paraId="3BD682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4EA5C5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275123E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56AB2C5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page">
                  <wp:posOffset>622300</wp:posOffset>
                </wp:positionH>
                <wp:positionV relativeFrom="paragraph">
                  <wp:posOffset>113030</wp:posOffset>
                </wp:positionV>
                <wp:extent cx="6285230" cy="262064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285230" cy="2620645"/>
                        </a:xfrm>
                        <a:prstGeom prst="rect">
                          <a:avLst/>
                        </a:prstGeom>
                        <a:noFill/>
                        <a:ln>
                          <a:noFill/>
                        </a:ln>
                      </wps:spPr>
                      <wps:txbx>
                        <w:txbxContent>
                          <w:tbl>
                            <w:tblPr>
                              <w:tblStyle w:val="19"/>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6F5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407D5270">
                                  <w:pPr>
                                    <w:pStyle w:val="32"/>
                                    <w:spacing w:before="137"/>
                                    <w:ind w:left="170" w:right="10"/>
                                    <w:jc w:val="center"/>
                                    <w:rPr>
                                      <w:sz w:val="21"/>
                                    </w:rPr>
                                  </w:pPr>
                                  <w:r>
                                    <w:rPr>
                                      <w:sz w:val="21"/>
                                    </w:rPr>
                                    <w:t xml:space="preserve">序号 </w:t>
                                  </w:r>
                                </w:p>
                              </w:tc>
                              <w:tc>
                                <w:tcPr>
                                  <w:tcW w:w="1878" w:type="dxa"/>
                                  <w:shd w:val="clear" w:color="auto" w:fill="EDEBE0"/>
                                  <w:noWrap w:val="0"/>
                                  <w:vAlign w:val="top"/>
                                </w:tcPr>
                                <w:p w14:paraId="75455539">
                                  <w:pPr>
                                    <w:pStyle w:val="32"/>
                                    <w:spacing w:before="137"/>
                                    <w:ind w:left="366" w:right="228"/>
                                    <w:jc w:val="center"/>
                                    <w:rPr>
                                      <w:sz w:val="21"/>
                                    </w:rPr>
                                  </w:pPr>
                                  <w:r>
                                    <w:rPr>
                                      <w:sz w:val="21"/>
                                    </w:rPr>
                                    <w:t xml:space="preserve">采购单位名称 </w:t>
                                  </w:r>
                                </w:p>
                              </w:tc>
                              <w:tc>
                                <w:tcPr>
                                  <w:tcW w:w="2115" w:type="dxa"/>
                                  <w:shd w:val="clear" w:color="auto" w:fill="EDEBE0"/>
                                  <w:noWrap w:val="0"/>
                                  <w:vAlign w:val="top"/>
                                </w:tcPr>
                                <w:p w14:paraId="3950877D">
                                  <w:pPr>
                                    <w:pStyle w:val="32"/>
                                    <w:spacing w:before="137"/>
                                    <w:ind w:left="456" w:right="319"/>
                                    <w:jc w:val="center"/>
                                    <w:rPr>
                                      <w:sz w:val="21"/>
                                    </w:rPr>
                                  </w:pPr>
                                  <w:r>
                                    <w:rPr>
                                      <w:sz w:val="21"/>
                                    </w:rPr>
                                    <w:t xml:space="preserve">采购项目名称 </w:t>
                                  </w:r>
                                </w:p>
                              </w:tc>
                              <w:tc>
                                <w:tcPr>
                                  <w:tcW w:w="1755" w:type="dxa"/>
                                  <w:shd w:val="clear" w:color="auto" w:fill="EDEBE0"/>
                                  <w:noWrap w:val="0"/>
                                  <w:vAlign w:val="top"/>
                                </w:tcPr>
                                <w:p w14:paraId="3B55C8BF">
                                  <w:pPr>
                                    <w:pStyle w:val="32"/>
                                    <w:spacing w:before="137"/>
                                    <w:ind w:left="492" w:right="353"/>
                                    <w:jc w:val="center"/>
                                    <w:rPr>
                                      <w:sz w:val="21"/>
                                    </w:rPr>
                                  </w:pPr>
                                  <w:r>
                                    <w:rPr>
                                      <w:sz w:val="21"/>
                                    </w:rPr>
                                    <w:t xml:space="preserve">合同总价 </w:t>
                                  </w:r>
                                </w:p>
                              </w:tc>
                              <w:tc>
                                <w:tcPr>
                                  <w:tcW w:w="1723" w:type="dxa"/>
                                  <w:shd w:val="clear" w:color="auto" w:fill="EDEBE0"/>
                                  <w:noWrap w:val="0"/>
                                  <w:vAlign w:val="top"/>
                                </w:tcPr>
                                <w:p w14:paraId="4B9F14A5">
                                  <w:pPr>
                                    <w:pStyle w:val="32"/>
                                    <w:spacing w:before="137"/>
                                    <w:ind w:left="490" w:right="355"/>
                                    <w:jc w:val="center"/>
                                    <w:rPr>
                                      <w:sz w:val="21"/>
                                    </w:rPr>
                                  </w:pPr>
                                  <w:r>
                                    <w:rPr>
                                      <w:sz w:val="21"/>
                                    </w:rPr>
                                    <w:t xml:space="preserve">签订日期 </w:t>
                                  </w:r>
                                </w:p>
                              </w:tc>
                              <w:tc>
                                <w:tcPr>
                                  <w:tcW w:w="1721" w:type="dxa"/>
                                  <w:shd w:val="clear" w:color="auto" w:fill="EDEBE0"/>
                                  <w:noWrap w:val="0"/>
                                  <w:vAlign w:val="top"/>
                                </w:tcPr>
                                <w:p w14:paraId="28AC086B">
                                  <w:pPr>
                                    <w:pStyle w:val="32"/>
                                    <w:ind w:left="118" w:right="73"/>
                                    <w:jc w:val="center"/>
                                    <w:rPr>
                                      <w:sz w:val="21"/>
                                    </w:rPr>
                                  </w:pPr>
                                  <w:r>
                                    <w:rPr>
                                      <w:sz w:val="21"/>
                                    </w:rPr>
                                    <w:t>单位联系人及电</w:t>
                                  </w:r>
                                </w:p>
                                <w:p w14:paraId="0A30F7B3">
                                  <w:pPr>
                                    <w:pStyle w:val="32"/>
                                    <w:spacing w:before="5" w:line="240" w:lineRule="exact"/>
                                    <w:ind w:left="219" w:right="73"/>
                                    <w:jc w:val="center"/>
                                    <w:rPr>
                                      <w:sz w:val="21"/>
                                    </w:rPr>
                                  </w:pPr>
                                  <w:r>
                                    <w:rPr>
                                      <w:sz w:val="21"/>
                                    </w:rPr>
                                    <w:t xml:space="preserve">话 </w:t>
                                  </w:r>
                                </w:p>
                              </w:tc>
                            </w:tr>
                            <w:tr w14:paraId="5E3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7C2E764F">
                                  <w:pPr>
                                    <w:pStyle w:val="32"/>
                                    <w:spacing w:before="120"/>
                                    <w:ind w:left="122"/>
                                    <w:jc w:val="center"/>
                                    <w:rPr>
                                      <w:sz w:val="21"/>
                                    </w:rPr>
                                  </w:pPr>
                                  <w:r>
                                    <w:rPr>
                                      <w:w w:val="100"/>
                                      <w:sz w:val="21"/>
                                    </w:rPr>
                                    <w:t xml:space="preserve"> </w:t>
                                  </w:r>
                                </w:p>
                              </w:tc>
                              <w:tc>
                                <w:tcPr>
                                  <w:tcW w:w="1878" w:type="dxa"/>
                                  <w:noWrap w:val="0"/>
                                  <w:vAlign w:val="top"/>
                                </w:tcPr>
                                <w:p w14:paraId="5EDCC99E">
                                  <w:pPr>
                                    <w:pStyle w:val="32"/>
                                    <w:spacing w:before="120"/>
                                    <w:ind w:left="135"/>
                                    <w:jc w:val="center"/>
                                    <w:rPr>
                                      <w:sz w:val="21"/>
                                    </w:rPr>
                                  </w:pPr>
                                  <w:r>
                                    <w:rPr>
                                      <w:w w:val="100"/>
                                      <w:sz w:val="21"/>
                                    </w:rPr>
                                    <w:t xml:space="preserve"> </w:t>
                                  </w:r>
                                </w:p>
                              </w:tc>
                              <w:tc>
                                <w:tcPr>
                                  <w:tcW w:w="2115" w:type="dxa"/>
                                  <w:noWrap w:val="0"/>
                                  <w:vAlign w:val="top"/>
                                </w:tcPr>
                                <w:p w14:paraId="53A67E89">
                                  <w:pPr>
                                    <w:pStyle w:val="32"/>
                                    <w:spacing w:before="120"/>
                                    <w:ind w:left="139"/>
                                    <w:jc w:val="center"/>
                                    <w:rPr>
                                      <w:sz w:val="21"/>
                                    </w:rPr>
                                  </w:pPr>
                                  <w:r>
                                    <w:rPr>
                                      <w:w w:val="100"/>
                                      <w:sz w:val="21"/>
                                    </w:rPr>
                                    <w:t xml:space="preserve"> </w:t>
                                  </w:r>
                                </w:p>
                              </w:tc>
                              <w:tc>
                                <w:tcPr>
                                  <w:tcW w:w="1755" w:type="dxa"/>
                                  <w:noWrap w:val="0"/>
                                  <w:vAlign w:val="top"/>
                                </w:tcPr>
                                <w:p w14:paraId="2BF62894">
                                  <w:pPr>
                                    <w:pStyle w:val="32"/>
                                    <w:spacing w:before="120"/>
                                    <w:ind w:left="139"/>
                                    <w:jc w:val="center"/>
                                    <w:rPr>
                                      <w:sz w:val="21"/>
                                    </w:rPr>
                                  </w:pPr>
                                  <w:r>
                                    <w:rPr>
                                      <w:w w:val="100"/>
                                      <w:sz w:val="21"/>
                                    </w:rPr>
                                    <w:t xml:space="preserve"> </w:t>
                                  </w:r>
                                </w:p>
                              </w:tc>
                              <w:tc>
                                <w:tcPr>
                                  <w:tcW w:w="1723" w:type="dxa"/>
                                  <w:noWrap w:val="0"/>
                                  <w:vAlign w:val="top"/>
                                </w:tcPr>
                                <w:p w14:paraId="40CDD260">
                                  <w:pPr>
                                    <w:pStyle w:val="32"/>
                                    <w:spacing w:before="120"/>
                                    <w:ind w:left="135"/>
                                    <w:jc w:val="center"/>
                                    <w:rPr>
                                      <w:sz w:val="21"/>
                                    </w:rPr>
                                  </w:pPr>
                                  <w:r>
                                    <w:rPr>
                                      <w:w w:val="100"/>
                                      <w:sz w:val="21"/>
                                    </w:rPr>
                                    <w:t xml:space="preserve"> </w:t>
                                  </w:r>
                                </w:p>
                              </w:tc>
                              <w:tc>
                                <w:tcPr>
                                  <w:tcW w:w="1721" w:type="dxa"/>
                                  <w:noWrap w:val="0"/>
                                  <w:vAlign w:val="top"/>
                                </w:tcPr>
                                <w:p w14:paraId="20852DF3">
                                  <w:pPr>
                                    <w:pStyle w:val="32"/>
                                    <w:spacing w:before="120"/>
                                    <w:ind w:right="722"/>
                                    <w:jc w:val="right"/>
                                    <w:rPr>
                                      <w:sz w:val="21"/>
                                    </w:rPr>
                                  </w:pPr>
                                  <w:r>
                                    <w:rPr>
                                      <w:w w:val="100"/>
                                      <w:sz w:val="21"/>
                                    </w:rPr>
                                    <w:t xml:space="preserve"> </w:t>
                                  </w:r>
                                </w:p>
                              </w:tc>
                            </w:tr>
                            <w:tr w14:paraId="4B4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115E4727">
                                  <w:pPr>
                                    <w:pStyle w:val="32"/>
                                    <w:spacing w:before="109"/>
                                    <w:ind w:left="122"/>
                                    <w:jc w:val="center"/>
                                    <w:rPr>
                                      <w:sz w:val="21"/>
                                    </w:rPr>
                                  </w:pPr>
                                  <w:r>
                                    <w:rPr>
                                      <w:w w:val="100"/>
                                      <w:sz w:val="21"/>
                                    </w:rPr>
                                    <w:t xml:space="preserve"> </w:t>
                                  </w:r>
                                </w:p>
                              </w:tc>
                              <w:tc>
                                <w:tcPr>
                                  <w:tcW w:w="1878" w:type="dxa"/>
                                  <w:noWrap w:val="0"/>
                                  <w:vAlign w:val="top"/>
                                </w:tcPr>
                                <w:p w14:paraId="0D1BF479">
                                  <w:pPr>
                                    <w:pStyle w:val="32"/>
                                    <w:spacing w:before="109"/>
                                    <w:ind w:left="135"/>
                                    <w:jc w:val="center"/>
                                    <w:rPr>
                                      <w:sz w:val="21"/>
                                    </w:rPr>
                                  </w:pPr>
                                  <w:r>
                                    <w:rPr>
                                      <w:w w:val="100"/>
                                      <w:sz w:val="21"/>
                                    </w:rPr>
                                    <w:t xml:space="preserve"> </w:t>
                                  </w:r>
                                </w:p>
                              </w:tc>
                              <w:tc>
                                <w:tcPr>
                                  <w:tcW w:w="2115" w:type="dxa"/>
                                  <w:noWrap w:val="0"/>
                                  <w:vAlign w:val="top"/>
                                </w:tcPr>
                                <w:p w14:paraId="462D3CAB">
                                  <w:pPr>
                                    <w:pStyle w:val="32"/>
                                    <w:spacing w:before="109"/>
                                    <w:ind w:left="139"/>
                                    <w:jc w:val="center"/>
                                    <w:rPr>
                                      <w:sz w:val="21"/>
                                    </w:rPr>
                                  </w:pPr>
                                  <w:r>
                                    <w:rPr>
                                      <w:w w:val="100"/>
                                      <w:sz w:val="21"/>
                                    </w:rPr>
                                    <w:t xml:space="preserve"> </w:t>
                                  </w:r>
                                </w:p>
                              </w:tc>
                              <w:tc>
                                <w:tcPr>
                                  <w:tcW w:w="1755" w:type="dxa"/>
                                  <w:noWrap w:val="0"/>
                                  <w:vAlign w:val="top"/>
                                </w:tcPr>
                                <w:p w14:paraId="174D5639">
                                  <w:pPr>
                                    <w:pStyle w:val="32"/>
                                    <w:spacing w:before="109"/>
                                    <w:ind w:left="139"/>
                                    <w:jc w:val="center"/>
                                    <w:rPr>
                                      <w:sz w:val="21"/>
                                    </w:rPr>
                                  </w:pPr>
                                  <w:r>
                                    <w:rPr>
                                      <w:w w:val="100"/>
                                      <w:sz w:val="21"/>
                                    </w:rPr>
                                    <w:t xml:space="preserve"> </w:t>
                                  </w:r>
                                </w:p>
                              </w:tc>
                              <w:tc>
                                <w:tcPr>
                                  <w:tcW w:w="1723" w:type="dxa"/>
                                  <w:noWrap w:val="0"/>
                                  <w:vAlign w:val="top"/>
                                </w:tcPr>
                                <w:p w14:paraId="1E22A852">
                                  <w:pPr>
                                    <w:pStyle w:val="32"/>
                                    <w:spacing w:before="109"/>
                                    <w:ind w:left="135"/>
                                    <w:jc w:val="center"/>
                                    <w:rPr>
                                      <w:sz w:val="21"/>
                                    </w:rPr>
                                  </w:pPr>
                                  <w:r>
                                    <w:rPr>
                                      <w:w w:val="100"/>
                                      <w:sz w:val="21"/>
                                    </w:rPr>
                                    <w:t xml:space="preserve"> </w:t>
                                  </w:r>
                                </w:p>
                              </w:tc>
                              <w:tc>
                                <w:tcPr>
                                  <w:tcW w:w="1721" w:type="dxa"/>
                                  <w:noWrap w:val="0"/>
                                  <w:vAlign w:val="top"/>
                                </w:tcPr>
                                <w:p w14:paraId="71D0F854">
                                  <w:pPr>
                                    <w:pStyle w:val="32"/>
                                    <w:spacing w:before="109"/>
                                    <w:ind w:right="722"/>
                                    <w:jc w:val="right"/>
                                    <w:rPr>
                                      <w:sz w:val="21"/>
                                    </w:rPr>
                                  </w:pPr>
                                  <w:r>
                                    <w:rPr>
                                      <w:w w:val="100"/>
                                      <w:sz w:val="21"/>
                                    </w:rPr>
                                    <w:t xml:space="preserve"> </w:t>
                                  </w:r>
                                </w:p>
                              </w:tc>
                            </w:tr>
                            <w:tr w14:paraId="7FC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EB9F2C4">
                                  <w:pPr>
                                    <w:pStyle w:val="32"/>
                                    <w:spacing w:before="111"/>
                                    <w:ind w:left="122"/>
                                    <w:jc w:val="center"/>
                                    <w:rPr>
                                      <w:sz w:val="21"/>
                                    </w:rPr>
                                  </w:pPr>
                                  <w:r>
                                    <w:rPr>
                                      <w:w w:val="100"/>
                                      <w:sz w:val="21"/>
                                    </w:rPr>
                                    <w:t xml:space="preserve"> </w:t>
                                  </w:r>
                                </w:p>
                              </w:tc>
                              <w:tc>
                                <w:tcPr>
                                  <w:tcW w:w="1878" w:type="dxa"/>
                                  <w:noWrap w:val="0"/>
                                  <w:vAlign w:val="top"/>
                                </w:tcPr>
                                <w:p w14:paraId="17ABAE61">
                                  <w:pPr>
                                    <w:pStyle w:val="32"/>
                                    <w:spacing w:before="111"/>
                                    <w:ind w:left="135"/>
                                    <w:jc w:val="center"/>
                                    <w:rPr>
                                      <w:sz w:val="21"/>
                                    </w:rPr>
                                  </w:pPr>
                                  <w:r>
                                    <w:rPr>
                                      <w:w w:val="100"/>
                                      <w:sz w:val="21"/>
                                    </w:rPr>
                                    <w:t xml:space="preserve"> </w:t>
                                  </w:r>
                                </w:p>
                              </w:tc>
                              <w:tc>
                                <w:tcPr>
                                  <w:tcW w:w="2115" w:type="dxa"/>
                                  <w:noWrap w:val="0"/>
                                  <w:vAlign w:val="top"/>
                                </w:tcPr>
                                <w:p w14:paraId="2F441EE9">
                                  <w:pPr>
                                    <w:pStyle w:val="32"/>
                                    <w:spacing w:before="111"/>
                                    <w:ind w:left="139"/>
                                    <w:jc w:val="center"/>
                                    <w:rPr>
                                      <w:sz w:val="21"/>
                                    </w:rPr>
                                  </w:pPr>
                                  <w:r>
                                    <w:rPr>
                                      <w:w w:val="100"/>
                                      <w:sz w:val="21"/>
                                    </w:rPr>
                                    <w:t xml:space="preserve"> </w:t>
                                  </w:r>
                                </w:p>
                              </w:tc>
                              <w:tc>
                                <w:tcPr>
                                  <w:tcW w:w="1755" w:type="dxa"/>
                                  <w:noWrap w:val="0"/>
                                  <w:vAlign w:val="top"/>
                                </w:tcPr>
                                <w:p w14:paraId="3518DFBE">
                                  <w:pPr>
                                    <w:pStyle w:val="32"/>
                                    <w:spacing w:before="111"/>
                                    <w:ind w:left="139"/>
                                    <w:jc w:val="center"/>
                                    <w:rPr>
                                      <w:sz w:val="21"/>
                                    </w:rPr>
                                  </w:pPr>
                                  <w:r>
                                    <w:rPr>
                                      <w:w w:val="100"/>
                                      <w:sz w:val="21"/>
                                    </w:rPr>
                                    <w:t xml:space="preserve"> </w:t>
                                  </w:r>
                                </w:p>
                              </w:tc>
                              <w:tc>
                                <w:tcPr>
                                  <w:tcW w:w="1723" w:type="dxa"/>
                                  <w:noWrap w:val="0"/>
                                  <w:vAlign w:val="top"/>
                                </w:tcPr>
                                <w:p w14:paraId="3C72D780">
                                  <w:pPr>
                                    <w:pStyle w:val="32"/>
                                    <w:spacing w:before="111"/>
                                    <w:ind w:left="135"/>
                                    <w:jc w:val="center"/>
                                    <w:rPr>
                                      <w:sz w:val="21"/>
                                    </w:rPr>
                                  </w:pPr>
                                  <w:r>
                                    <w:rPr>
                                      <w:w w:val="100"/>
                                      <w:sz w:val="21"/>
                                    </w:rPr>
                                    <w:t xml:space="preserve"> </w:t>
                                  </w:r>
                                </w:p>
                              </w:tc>
                              <w:tc>
                                <w:tcPr>
                                  <w:tcW w:w="1721" w:type="dxa"/>
                                  <w:noWrap w:val="0"/>
                                  <w:vAlign w:val="top"/>
                                </w:tcPr>
                                <w:p w14:paraId="6CFDDCA9">
                                  <w:pPr>
                                    <w:pStyle w:val="32"/>
                                    <w:spacing w:before="111"/>
                                    <w:ind w:right="722"/>
                                    <w:jc w:val="right"/>
                                    <w:rPr>
                                      <w:sz w:val="21"/>
                                    </w:rPr>
                                  </w:pPr>
                                  <w:r>
                                    <w:rPr>
                                      <w:w w:val="100"/>
                                      <w:sz w:val="21"/>
                                    </w:rPr>
                                    <w:t xml:space="preserve"> </w:t>
                                  </w:r>
                                </w:p>
                              </w:tc>
                            </w:tr>
                            <w:tr w14:paraId="307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00B8D671">
                                  <w:pPr>
                                    <w:pStyle w:val="32"/>
                                    <w:spacing w:before="109"/>
                                    <w:ind w:left="122"/>
                                    <w:jc w:val="center"/>
                                    <w:rPr>
                                      <w:sz w:val="21"/>
                                    </w:rPr>
                                  </w:pPr>
                                  <w:r>
                                    <w:rPr>
                                      <w:w w:val="100"/>
                                      <w:sz w:val="21"/>
                                    </w:rPr>
                                    <w:t xml:space="preserve"> </w:t>
                                  </w:r>
                                </w:p>
                              </w:tc>
                              <w:tc>
                                <w:tcPr>
                                  <w:tcW w:w="1878" w:type="dxa"/>
                                  <w:noWrap w:val="0"/>
                                  <w:vAlign w:val="top"/>
                                </w:tcPr>
                                <w:p w14:paraId="0BF16FA0">
                                  <w:pPr>
                                    <w:pStyle w:val="32"/>
                                    <w:spacing w:before="109"/>
                                    <w:ind w:left="135"/>
                                    <w:jc w:val="center"/>
                                    <w:rPr>
                                      <w:sz w:val="21"/>
                                    </w:rPr>
                                  </w:pPr>
                                  <w:r>
                                    <w:rPr>
                                      <w:w w:val="100"/>
                                      <w:sz w:val="21"/>
                                    </w:rPr>
                                    <w:t xml:space="preserve"> </w:t>
                                  </w:r>
                                </w:p>
                              </w:tc>
                              <w:tc>
                                <w:tcPr>
                                  <w:tcW w:w="2115" w:type="dxa"/>
                                  <w:noWrap w:val="0"/>
                                  <w:vAlign w:val="top"/>
                                </w:tcPr>
                                <w:p w14:paraId="6704C0E3">
                                  <w:pPr>
                                    <w:pStyle w:val="32"/>
                                    <w:spacing w:before="109"/>
                                    <w:ind w:left="139"/>
                                    <w:jc w:val="center"/>
                                    <w:rPr>
                                      <w:sz w:val="21"/>
                                    </w:rPr>
                                  </w:pPr>
                                  <w:r>
                                    <w:rPr>
                                      <w:w w:val="100"/>
                                      <w:sz w:val="21"/>
                                    </w:rPr>
                                    <w:t xml:space="preserve"> </w:t>
                                  </w:r>
                                </w:p>
                              </w:tc>
                              <w:tc>
                                <w:tcPr>
                                  <w:tcW w:w="1755" w:type="dxa"/>
                                  <w:noWrap w:val="0"/>
                                  <w:vAlign w:val="top"/>
                                </w:tcPr>
                                <w:p w14:paraId="21258494">
                                  <w:pPr>
                                    <w:pStyle w:val="32"/>
                                    <w:spacing w:before="109"/>
                                    <w:ind w:left="139"/>
                                    <w:jc w:val="center"/>
                                    <w:rPr>
                                      <w:sz w:val="21"/>
                                    </w:rPr>
                                  </w:pPr>
                                  <w:r>
                                    <w:rPr>
                                      <w:w w:val="100"/>
                                      <w:sz w:val="21"/>
                                    </w:rPr>
                                    <w:t xml:space="preserve"> </w:t>
                                  </w:r>
                                </w:p>
                              </w:tc>
                              <w:tc>
                                <w:tcPr>
                                  <w:tcW w:w="1723" w:type="dxa"/>
                                  <w:noWrap w:val="0"/>
                                  <w:vAlign w:val="top"/>
                                </w:tcPr>
                                <w:p w14:paraId="220F6F9E">
                                  <w:pPr>
                                    <w:pStyle w:val="32"/>
                                    <w:spacing w:before="109"/>
                                    <w:ind w:left="135"/>
                                    <w:jc w:val="center"/>
                                    <w:rPr>
                                      <w:sz w:val="21"/>
                                    </w:rPr>
                                  </w:pPr>
                                  <w:r>
                                    <w:rPr>
                                      <w:w w:val="100"/>
                                      <w:sz w:val="21"/>
                                    </w:rPr>
                                    <w:t xml:space="preserve"> </w:t>
                                  </w:r>
                                </w:p>
                              </w:tc>
                              <w:tc>
                                <w:tcPr>
                                  <w:tcW w:w="1721" w:type="dxa"/>
                                  <w:noWrap w:val="0"/>
                                  <w:vAlign w:val="top"/>
                                </w:tcPr>
                                <w:p w14:paraId="73F16979">
                                  <w:pPr>
                                    <w:pStyle w:val="32"/>
                                    <w:spacing w:before="109"/>
                                    <w:ind w:right="722"/>
                                    <w:jc w:val="right"/>
                                    <w:rPr>
                                      <w:sz w:val="21"/>
                                    </w:rPr>
                                  </w:pPr>
                                  <w:r>
                                    <w:rPr>
                                      <w:w w:val="100"/>
                                      <w:sz w:val="21"/>
                                    </w:rPr>
                                    <w:t xml:space="preserve"> </w:t>
                                  </w:r>
                                </w:p>
                              </w:tc>
                            </w:tr>
                            <w:tr w14:paraId="54DD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AF43608">
                                  <w:pPr>
                                    <w:pStyle w:val="32"/>
                                    <w:spacing w:before="109"/>
                                    <w:ind w:left="122"/>
                                    <w:jc w:val="center"/>
                                    <w:rPr>
                                      <w:sz w:val="21"/>
                                    </w:rPr>
                                  </w:pPr>
                                  <w:r>
                                    <w:rPr>
                                      <w:w w:val="100"/>
                                      <w:sz w:val="21"/>
                                    </w:rPr>
                                    <w:t xml:space="preserve"> </w:t>
                                  </w:r>
                                </w:p>
                              </w:tc>
                              <w:tc>
                                <w:tcPr>
                                  <w:tcW w:w="1878" w:type="dxa"/>
                                  <w:noWrap w:val="0"/>
                                  <w:vAlign w:val="top"/>
                                </w:tcPr>
                                <w:p w14:paraId="73726242">
                                  <w:pPr>
                                    <w:pStyle w:val="32"/>
                                    <w:spacing w:before="109"/>
                                    <w:ind w:left="135"/>
                                    <w:jc w:val="center"/>
                                    <w:rPr>
                                      <w:sz w:val="21"/>
                                    </w:rPr>
                                  </w:pPr>
                                  <w:r>
                                    <w:rPr>
                                      <w:w w:val="100"/>
                                      <w:sz w:val="21"/>
                                    </w:rPr>
                                    <w:t xml:space="preserve"> </w:t>
                                  </w:r>
                                </w:p>
                              </w:tc>
                              <w:tc>
                                <w:tcPr>
                                  <w:tcW w:w="2115" w:type="dxa"/>
                                  <w:noWrap w:val="0"/>
                                  <w:vAlign w:val="top"/>
                                </w:tcPr>
                                <w:p w14:paraId="6A0FB917">
                                  <w:pPr>
                                    <w:pStyle w:val="32"/>
                                    <w:spacing w:before="109"/>
                                    <w:ind w:left="139"/>
                                    <w:jc w:val="center"/>
                                    <w:rPr>
                                      <w:sz w:val="21"/>
                                    </w:rPr>
                                  </w:pPr>
                                  <w:r>
                                    <w:rPr>
                                      <w:w w:val="100"/>
                                      <w:sz w:val="21"/>
                                    </w:rPr>
                                    <w:t xml:space="preserve"> </w:t>
                                  </w:r>
                                </w:p>
                              </w:tc>
                              <w:tc>
                                <w:tcPr>
                                  <w:tcW w:w="1755" w:type="dxa"/>
                                  <w:noWrap w:val="0"/>
                                  <w:vAlign w:val="top"/>
                                </w:tcPr>
                                <w:p w14:paraId="577DF54B">
                                  <w:pPr>
                                    <w:pStyle w:val="32"/>
                                    <w:spacing w:before="109"/>
                                    <w:ind w:left="139"/>
                                    <w:jc w:val="center"/>
                                    <w:rPr>
                                      <w:sz w:val="21"/>
                                    </w:rPr>
                                  </w:pPr>
                                  <w:r>
                                    <w:rPr>
                                      <w:w w:val="100"/>
                                      <w:sz w:val="21"/>
                                    </w:rPr>
                                    <w:t xml:space="preserve"> </w:t>
                                  </w:r>
                                </w:p>
                              </w:tc>
                              <w:tc>
                                <w:tcPr>
                                  <w:tcW w:w="1723" w:type="dxa"/>
                                  <w:noWrap w:val="0"/>
                                  <w:vAlign w:val="top"/>
                                </w:tcPr>
                                <w:p w14:paraId="2F08D25B">
                                  <w:pPr>
                                    <w:pStyle w:val="32"/>
                                    <w:spacing w:before="109"/>
                                    <w:ind w:left="135"/>
                                    <w:jc w:val="center"/>
                                    <w:rPr>
                                      <w:sz w:val="21"/>
                                    </w:rPr>
                                  </w:pPr>
                                  <w:r>
                                    <w:rPr>
                                      <w:w w:val="100"/>
                                      <w:sz w:val="21"/>
                                    </w:rPr>
                                    <w:t xml:space="preserve"> </w:t>
                                  </w:r>
                                </w:p>
                              </w:tc>
                              <w:tc>
                                <w:tcPr>
                                  <w:tcW w:w="1721" w:type="dxa"/>
                                  <w:noWrap w:val="0"/>
                                  <w:vAlign w:val="top"/>
                                </w:tcPr>
                                <w:p w14:paraId="2FDD09E4">
                                  <w:pPr>
                                    <w:pStyle w:val="32"/>
                                    <w:spacing w:before="109"/>
                                    <w:ind w:right="722"/>
                                    <w:jc w:val="right"/>
                                    <w:rPr>
                                      <w:sz w:val="21"/>
                                    </w:rPr>
                                  </w:pPr>
                                  <w:r>
                                    <w:rPr>
                                      <w:w w:val="100"/>
                                      <w:sz w:val="21"/>
                                    </w:rPr>
                                    <w:t xml:space="preserve"> </w:t>
                                  </w:r>
                                </w:p>
                              </w:tc>
                            </w:tr>
                            <w:tr w14:paraId="0314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14B14C29">
                                  <w:pPr>
                                    <w:pStyle w:val="32"/>
                                    <w:spacing w:before="109"/>
                                    <w:ind w:left="122"/>
                                    <w:jc w:val="center"/>
                                    <w:rPr>
                                      <w:sz w:val="21"/>
                                    </w:rPr>
                                  </w:pPr>
                                  <w:r>
                                    <w:rPr>
                                      <w:w w:val="100"/>
                                      <w:sz w:val="21"/>
                                    </w:rPr>
                                    <w:t xml:space="preserve"> </w:t>
                                  </w:r>
                                </w:p>
                              </w:tc>
                              <w:tc>
                                <w:tcPr>
                                  <w:tcW w:w="1878" w:type="dxa"/>
                                  <w:noWrap w:val="0"/>
                                  <w:vAlign w:val="top"/>
                                </w:tcPr>
                                <w:p w14:paraId="2CA62393">
                                  <w:pPr>
                                    <w:pStyle w:val="32"/>
                                    <w:spacing w:before="109"/>
                                    <w:ind w:left="135"/>
                                    <w:jc w:val="center"/>
                                    <w:rPr>
                                      <w:sz w:val="21"/>
                                    </w:rPr>
                                  </w:pPr>
                                  <w:r>
                                    <w:rPr>
                                      <w:w w:val="100"/>
                                      <w:sz w:val="21"/>
                                    </w:rPr>
                                    <w:t xml:space="preserve"> </w:t>
                                  </w:r>
                                </w:p>
                              </w:tc>
                              <w:tc>
                                <w:tcPr>
                                  <w:tcW w:w="2115" w:type="dxa"/>
                                  <w:noWrap w:val="0"/>
                                  <w:vAlign w:val="top"/>
                                </w:tcPr>
                                <w:p w14:paraId="39DE8CCA">
                                  <w:pPr>
                                    <w:pStyle w:val="32"/>
                                    <w:spacing w:before="109"/>
                                    <w:ind w:left="139"/>
                                    <w:jc w:val="center"/>
                                    <w:rPr>
                                      <w:sz w:val="21"/>
                                    </w:rPr>
                                  </w:pPr>
                                  <w:r>
                                    <w:rPr>
                                      <w:w w:val="100"/>
                                      <w:sz w:val="21"/>
                                    </w:rPr>
                                    <w:t xml:space="preserve"> </w:t>
                                  </w:r>
                                </w:p>
                              </w:tc>
                              <w:tc>
                                <w:tcPr>
                                  <w:tcW w:w="1755" w:type="dxa"/>
                                  <w:noWrap w:val="0"/>
                                  <w:vAlign w:val="top"/>
                                </w:tcPr>
                                <w:p w14:paraId="62A8499E">
                                  <w:pPr>
                                    <w:pStyle w:val="32"/>
                                    <w:spacing w:before="109"/>
                                    <w:ind w:left="139"/>
                                    <w:jc w:val="center"/>
                                    <w:rPr>
                                      <w:sz w:val="21"/>
                                    </w:rPr>
                                  </w:pPr>
                                  <w:r>
                                    <w:rPr>
                                      <w:w w:val="100"/>
                                      <w:sz w:val="21"/>
                                    </w:rPr>
                                    <w:t xml:space="preserve"> </w:t>
                                  </w:r>
                                </w:p>
                              </w:tc>
                              <w:tc>
                                <w:tcPr>
                                  <w:tcW w:w="1723" w:type="dxa"/>
                                  <w:noWrap w:val="0"/>
                                  <w:vAlign w:val="top"/>
                                </w:tcPr>
                                <w:p w14:paraId="4B9EC7D2">
                                  <w:pPr>
                                    <w:pStyle w:val="32"/>
                                    <w:spacing w:before="109"/>
                                    <w:ind w:left="135"/>
                                    <w:jc w:val="center"/>
                                    <w:rPr>
                                      <w:sz w:val="21"/>
                                    </w:rPr>
                                  </w:pPr>
                                  <w:r>
                                    <w:rPr>
                                      <w:w w:val="100"/>
                                      <w:sz w:val="21"/>
                                    </w:rPr>
                                    <w:t xml:space="preserve"> </w:t>
                                  </w:r>
                                </w:p>
                              </w:tc>
                              <w:tc>
                                <w:tcPr>
                                  <w:tcW w:w="1721" w:type="dxa"/>
                                  <w:noWrap w:val="0"/>
                                  <w:vAlign w:val="top"/>
                                </w:tcPr>
                                <w:p w14:paraId="4A25781B">
                                  <w:pPr>
                                    <w:pStyle w:val="32"/>
                                    <w:spacing w:before="109"/>
                                    <w:ind w:right="722"/>
                                    <w:jc w:val="right"/>
                                    <w:rPr>
                                      <w:sz w:val="21"/>
                                    </w:rPr>
                                  </w:pPr>
                                  <w:r>
                                    <w:rPr>
                                      <w:w w:val="100"/>
                                      <w:sz w:val="21"/>
                                    </w:rPr>
                                    <w:t xml:space="preserve"> </w:t>
                                  </w:r>
                                </w:p>
                              </w:tc>
                            </w:tr>
                            <w:tr w14:paraId="691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351F0CE6">
                                  <w:pPr>
                                    <w:pStyle w:val="32"/>
                                    <w:spacing w:before="109"/>
                                    <w:ind w:left="122"/>
                                    <w:jc w:val="center"/>
                                    <w:rPr>
                                      <w:sz w:val="21"/>
                                    </w:rPr>
                                  </w:pPr>
                                  <w:r>
                                    <w:rPr>
                                      <w:w w:val="100"/>
                                      <w:sz w:val="21"/>
                                    </w:rPr>
                                    <w:t xml:space="preserve"> </w:t>
                                  </w:r>
                                </w:p>
                              </w:tc>
                              <w:tc>
                                <w:tcPr>
                                  <w:tcW w:w="1878" w:type="dxa"/>
                                  <w:noWrap w:val="0"/>
                                  <w:vAlign w:val="top"/>
                                </w:tcPr>
                                <w:p w14:paraId="42B447CF">
                                  <w:pPr>
                                    <w:pStyle w:val="32"/>
                                    <w:spacing w:before="109"/>
                                    <w:ind w:left="135"/>
                                    <w:jc w:val="center"/>
                                    <w:rPr>
                                      <w:sz w:val="21"/>
                                    </w:rPr>
                                  </w:pPr>
                                  <w:r>
                                    <w:rPr>
                                      <w:w w:val="100"/>
                                      <w:sz w:val="21"/>
                                    </w:rPr>
                                    <w:t xml:space="preserve"> </w:t>
                                  </w:r>
                                </w:p>
                              </w:tc>
                              <w:tc>
                                <w:tcPr>
                                  <w:tcW w:w="2115" w:type="dxa"/>
                                  <w:noWrap w:val="0"/>
                                  <w:vAlign w:val="top"/>
                                </w:tcPr>
                                <w:p w14:paraId="436D70B6">
                                  <w:pPr>
                                    <w:pStyle w:val="32"/>
                                    <w:spacing w:before="109"/>
                                    <w:ind w:left="139"/>
                                    <w:jc w:val="center"/>
                                    <w:rPr>
                                      <w:sz w:val="21"/>
                                    </w:rPr>
                                  </w:pPr>
                                  <w:r>
                                    <w:rPr>
                                      <w:w w:val="100"/>
                                      <w:sz w:val="21"/>
                                    </w:rPr>
                                    <w:t xml:space="preserve"> </w:t>
                                  </w:r>
                                </w:p>
                              </w:tc>
                              <w:tc>
                                <w:tcPr>
                                  <w:tcW w:w="1755" w:type="dxa"/>
                                  <w:noWrap w:val="0"/>
                                  <w:vAlign w:val="top"/>
                                </w:tcPr>
                                <w:p w14:paraId="34C84EC1">
                                  <w:pPr>
                                    <w:pStyle w:val="32"/>
                                    <w:spacing w:before="109"/>
                                    <w:ind w:left="139"/>
                                    <w:jc w:val="center"/>
                                    <w:rPr>
                                      <w:sz w:val="21"/>
                                    </w:rPr>
                                  </w:pPr>
                                  <w:r>
                                    <w:rPr>
                                      <w:w w:val="100"/>
                                      <w:sz w:val="21"/>
                                    </w:rPr>
                                    <w:t xml:space="preserve"> </w:t>
                                  </w:r>
                                </w:p>
                              </w:tc>
                              <w:tc>
                                <w:tcPr>
                                  <w:tcW w:w="1723" w:type="dxa"/>
                                  <w:noWrap w:val="0"/>
                                  <w:vAlign w:val="top"/>
                                </w:tcPr>
                                <w:p w14:paraId="1D996C64">
                                  <w:pPr>
                                    <w:pStyle w:val="32"/>
                                    <w:spacing w:before="109"/>
                                    <w:ind w:left="135"/>
                                    <w:jc w:val="center"/>
                                    <w:rPr>
                                      <w:sz w:val="21"/>
                                    </w:rPr>
                                  </w:pPr>
                                  <w:r>
                                    <w:rPr>
                                      <w:w w:val="100"/>
                                      <w:sz w:val="21"/>
                                    </w:rPr>
                                    <w:t xml:space="preserve"> </w:t>
                                  </w:r>
                                </w:p>
                              </w:tc>
                              <w:tc>
                                <w:tcPr>
                                  <w:tcW w:w="1721" w:type="dxa"/>
                                  <w:noWrap w:val="0"/>
                                  <w:vAlign w:val="top"/>
                                </w:tcPr>
                                <w:p w14:paraId="60A48D67">
                                  <w:pPr>
                                    <w:pStyle w:val="32"/>
                                    <w:spacing w:before="109"/>
                                    <w:ind w:right="722"/>
                                    <w:jc w:val="right"/>
                                    <w:rPr>
                                      <w:sz w:val="21"/>
                                    </w:rPr>
                                  </w:pPr>
                                  <w:r>
                                    <w:rPr>
                                      <w:w w:val="100"/>
                                      <w:sz w:val="21"/>
                                    </w:rPr>
                                    <w:t xml:space="preserve"> </w:t>
                                  </w:r>
                                </w:p>
                              </w:tc>
                            </w:tr>
                            <w:tr w14:paraId="18E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90C83E3">
                                  <w:pPr>
                                    <w:pStyle w:val="32"/>
                                    <w:spacing w:before="109" w:line="269" w:lineRule="exact"/>
                                    <w:ind w:left="122"/>
                                    <w:jc w:val="center"/>
                                    <w:rPr>
                                      <w:sz w:val="21"/>
                                    </w:rPr>
                                  </w:pPr>
                                  <w:r>
                                    <w:rPr>
                                      <w:w w:val="100"/>
                                      <w:sz w:val="21"/>
                                    </w:rPr>
                                    <w:t xml:space="preserve"> </w:t>
                                  </w:r>
                                </w:p>
                              </w:tc>
                              <w:tc>
                                <w:tcPr>
                                  <w:tcW w:w="1878" w:type="dxa"/>
                                  <w:noWrap w:val="0"/>
                                  <w:vAlign w:val="top"/>
                                </w:tcPr>
                                <w:p w14:paraId="385D596D">
                                  <w:pPr>
                                    <w:pStyle w:val="32"/>
                                    <w:spacing w:before="109" w:line="269" w:lineRule="exact"/>
                                    <w:ind w:left="135"/>
                                    <w:jc w:val="center"/>
                                    <w:rPr>
                                      <w:sz w:val="21"/>
                                    </w:rPr>
                                  </w:pPr>
                                  <w:r>
                                    <w:rPr>
                                      <w:w w:val="100"/>
                                      <w:sz w:val="21"/>
                                    </w:rPr>
                                    <w:t xml:space="preserve"> </w:t>
                                  </w:r>
                                </w:p>
                              </w:tc>
                              <w:tc>
                                <w:tcPr>
                                  <w:tcW w:w="2115" w:type="dxa"/>
                                  <w:noWrap w:val="0"/>
                                  <w:vAlign w:val="top"/>
                                </w:tcPr>
                                <w:p w14:paraId="16ACC73B">
                                  <w:pPr>
                                    <w:pStyle w:val="32"/>
                                    <w:spacing w:before="109" w:line="269" w:lineRule="exact"/>
                                    <w:ind w:left="139"/>
                                    <w:jc w:val="center"/>
                                    <w:rPr>
                                      <w:sz w:val="21"/>
                                    </w:rPr>
                                  </w:pPr>
                                  <w:r>
                                    <w:rPr>
                                      <w:w w:val="100"/>
                                      <w:sz w:val="21"/>
                                    </w:rPr>
                                    <w:t xml:space="preserve"> </w:t>
                                  </w:r>
                                </w:p>
                              </w:tc>
                              <w:tc>
                                <w:tcPr>
                                  <w:tcW w:w="1755" w:type="dxa"/>
                                  <w:noWrap w:val="0"/>
                                  <w:vAlign w:val="top"/>
                                </w:tcPr>
                                <w:p w14:paraId="76FA310C">
                                  <w:pPr>
                                    <w:pStyle w:val="32"/>
                                    <w:spacing w:before="109" w:line="269" w:lineRule="exact"/>
                                    <w:ind w:left="139"/>
                                    <w:jc w:val="center"/>
                                    <w:rPr>
                                      <w:sz w:val="21"/>
                                    </w:rPr>
                                  </w:pPr>
                                  <w:r>
                                    <w:rPr>
                                      <w:w w:val="100"/>
                                      <w:sz w:val="21"/>
                                    </w:rPr>
                                    <w:t xml:space="preserve"> </w:t>
                                  </w:r>
                                </w:p>
                              </w:tc>
                              <w:tc>
                                <w:tcPr>
                                  <w:tcW w:w="1723" w:type="dxa"/>
                                  <w:noWrap w:val="0"/>
                                  <w:vAlign w:val="top"/>
                                </w:tcPr>
                                <w:p w14:paraId="7CBF1188">
                                  <w:pPr>
                                    <w:pStyle w:val="32"/>
                                    <w:spacing w:before="109" w:line="269" w:lineRule="exact"/>
                                    <w:ind w:left="135"/>
                                    <w:jc w:val="center"/>
                                    <w:rPr>
                                      <w:sz w:val="21"/>
                                    </w:rPr>
                                  </w:pPr>
                                  <w:r>
                                    <w:rPr>
                                      <w:w w:val="100"/>
                                      <w:sz w:val="21"/>
                                    </w:rPr>
                                    <w:t xml:space="preserve"> </w:t>
                                  </w:r>
                                </w:p>
                              </w:tc>
                              <w:tc>
                                <w:tcPr>
                                  <w:tcW w:w="1721" w:type="dxa"/>
                                  <w:noWrap w:val="0"/>
                                  <w:vAlign w:val="top"/>
                                </w:tcPr>
                                <w:p w14:paraId="4E6A06EA">
                                  <w:pPr>
                                    <w:pStyle w:val="32"/>
                                    <w:spacing w:before="109" w:line="269" w:lineRule="exact"/>
                                    <w:ind w:right="722"/>
                                    <w:jc w:val="right"/>
                                    <w:rPr>
                                      <w:sz w:val="21"/>
                                    </w:rPr>
                                  </w:pPr>
                                  <w:r>
                                    <w:rPr>
                                      <w:w w:val="100"/>
                                      <w:sz w:val="21"/>
                                    </w:rPr>
                                    <w:t xml:space="preserve"> </w:t>
                                  </w:r>
                                </w:p>
                              </w:tc>
                            </w:tr>
                          </w:tbl>
                          <w:p w14:paraId="64A18F1F">
                            <w:pPr>
                              <w:pStyle w:val="7"/>
                            </w:pPr>
                          </w:p>
                        </w:txbxContent>
                      </wps:txbx>
                      <wps:bodyPr lIns="0" tIns="0" rIns="0" bIns="0" upright="1"/>
                    </wps:wsp>
                  </a:graphicData>
                </a:graphic>
              </wp:anchor>
            </w:drawing>
          </mc:Choice>
          <mc:Fallback>
            <w:pict>
              <v:shape id="_x0000_s1026" o:spid="_x0000_s1026" o:spt="202" type="#_x0000_t202" style="position:absolute;left:0pt;margin-left:49pt;margin-top:8.9pt;height:206.35pt;width:494.9pt;mso-position-horizontal-relative:page;z-index:251667456;mso-width-relative:page;mso-height-relative:page;" filled="f" stroked="f" coordsize="21600,21600" o:gfxdata="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J0dI2AAAAAoBAAAPAAAAAAAAAAEAIAAAACIAAABkcnMvZG93bnJldi54bWxQSwEC&#10;FAAUAAAACACHTuJA8l5M1rsBAAB1AwAADgAAAAAAAAABACAAAAAnAQAAZHJzL2Uyb0RvYy54bWxQ&#10;SwUGAAAAAAYABgBZAQAAVAUAAAAA&#10;">
                <v:fill on="f" focussize="0,0"/>
                <v:stroke on="f"/>
                <v:imagedata o:title=""/>
                <o:lock v:ext="edit" aspectratio="f"/>
                <v:textbox inset="0mm,0mm,0mm,0mm">
                  <w:txbxContent>
                    <w:tbl>
                      <w:tblPr>
                        <w:tblStyle w:val="19"/>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6F5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407D5270">
                            <w:pPr>
                              <w:pStyle w:val="32"/>
                              <w:spacing w:before="137"/>
                              <w:ind w:left="170" w:right="10"/>
                              <w:jc w:val="center"/>
                              <w:rPr>
                                <w:sz w:val="21"/>
                              </w:rPr>
                            </w:pPr>
                            <w:r>
                              <w:rPr>
                                <w:sz w:val="21"/>
                              </w:rPr>
                              <w:t xml:space="preserve">序号 </w:t>
                            </w:r>
                          </w:p>
                        </w:tc>
                        <w:tc>
                          <w:tcPr>
                            <w:tcW w:w="1878" w:type="dxa"/>
                            <w:shd w:val="clear" w:color="auto" w:fill="EDEBE0"/>
                            <w:noWrap w:val="0"/>
                            <w:vAlign w:val="top"/>
                          </w:tcPr>
                          <w:p w14:paraId="75455539">
                            <w:pPr>
                              <w:pStyle w:val="32"/>
                              <w:spacing w:before="137"/>
                              <w:ind w:left="366" w:right="228"/>
                              <w:jc w:val="center"/>
                              <w:rPr>
                                <w:sz w:val="21"/>
                              </w:rPr>
                            </w:pPr>
                            <w:r>
                              <w:rPr>
                                <w:sz w:val="21"/>
                              </w:rPr>
                              <w:t xml:space="preserve">采购单位名称 </w:t>
                            </w:r>
                          </w:p>
                        </w:tc>
                        <w:tc>
                          <w:tcPr>
                            <w:tcW w:w="2115" w:type="dxa"/>
                            <w:shd w:val="clear" w:color="auto" w:fill="EDEBE0"/>
                            <w:noWrap w:val="0"/>
                            <w:vAlign w:val="top"/>
                          </w:tcPr>
                          <w:p w14:paraId="3950877D">
                            <w:pPr>
                              <w:pStyle w:val="32"/>
                              <w:spacing w:before="137"/>
                              <w:ind w:left="456" w:right="319"/>
                              <w:jc w:val="center"/>
                              <w:rPr>
                                <w:sz w:val="21"/>
                              </w:rPr>
                            </w:pPr>
                            <w:r>
                              <w:rPr>
                                <w:sz w:val="21"/>
                              </w:rPr>
                              <w:t xml:space="preserve">采购项目名称 </w:t>
                            </w:r>
                          </w:p>
                        </w:tc>
                        <w:tc>
                          <w:tcPr>
                            <w:tcW w:w="1755" w:type="dxa"/>
                            <w:shd w:val="clear" w:color="auto" w:fill="EDEBE0"/>
                            <w:noWrap w:val="0"/>
                            <w:vAlign w:val="top"/>
                          </w:tcPr>
                          <w:p w14:paraId="3B55C8BF">
                            <w:pPr>
                              <w:pStyle w:val="32"/>
                              <w:spacing w:before="137"/>
                              <w:ind w:left="492" w:right="353"/>
                              <w:jc w:val="center"/>
                              <w:rPr>
                                <w:sz w:val="21"/>
                              </w:rPr>
                            </w:pPr>
                            <w:r>
                              <w:rPr>
                                <w:sz w:val="21"/>
                              </w:rPr>
                              <w:t xml:space="preserve">合同总价 </w:t>
                            </w:r>
                          </w:p>
                        </w:tc>
                        <w:tc>
                          <w:tcPr>
                            <w:tcW w:w="1723" w:type="dxa"/>
                            <w:shd w:val="clear" w:color="auto" w:fill="EDEBE0"/>
                            <w:noWrap w:val="0"/>
                            <w:vAlign w:val="top"/>
                          </w:tcPr>
                          <w:p w14:paraId="4B9F14A5">
                            <w:pPr>
                              <w:pStyle w:val="32"/>
                              <w:spacing w:before="137"/>
                              <w:ind w:left="490" w:right="355"/>
                              <w:jc w:val="center"/>
                              <w:rPr>
                                <w:sz w:val="21"/>
                              </w:rPr>
                            </w:pPr>
                            <w:r>
                              <w:rPr>
                                <w:sz w:val="21"/>
                              </w:rPr>
                              <w:t xml:space="preserve">签订日期 </w:t>
                            </w:r>
                          </w:p>
                        </w:tc>
                        <w:tc>
                          <w:tcPr>
                            <w:tcW w:w="1721" w:type="dxa"/>
                            <w:shd w:val="clear" w:color="auto" w:fill="EDEBE0"/>
                            <w:noWrap w:val="0"/>
                            <w:vAlign w:val="top"/>
                          </w:tcPr>
                          <w:p w14:paraId="28AC086B">
                            <w:pPr>
                              <w:pStyle w:val="32"/>
                              <w:ind w:left="118" w:right="73"/>
                              <w:jc w:val="center"/>
                              <w:rPr>
                                <w:sz w:val="21"/>
                              </w:rPr>
                            </w:pPr>
                            <w:r>
                              <w:rPr>
                                <w:sz w:val="21"/>
                              </w:rPr>
                              <w:t>单位联系人及电</w:t>
                            </w:r>
                          </w:p>
                          <w:p w14:paraId="0A30F7B3">
                            <w:pPr>
                              <w:pStyle w:val="32"/>
                              <w:spacing w:before="5" w:line="240" w:lineRule="exact"/>
                              <w:ind w:left="219" w:right="73"/>
                              <w:jc w:val="center"/>
                              <w:rPr>
                                <w:sz w:val="21"/>
                              </w:rPr>
                            </w:pPr>
                            <w:r>
                              <w:rPr>
                                <w:sz w:val="21"/>
                              </w:rPr>
                              <w:t xml:space="preserve">话 </w:t>
                            </w:r>
                          </w:p>
                        </w:tc>
                      </w:tr>
                      <w:tr w14:paraId="5E3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7C2E764F">
                            <w:pPr>
                              <w:pStyle w:val="32"/>
                              <w:spacing w:before="120"/>
                              <w:ind w:left="122"/>
                              <w:jc w:val="center"/>
                              <w:rPr>
                                <w:sz w:val="21"/>
                              </w:rPr>
                            </w:pPr>
                            <w:r>
                              <w:rPr>
                                <w:w w:val="100"/>
                                <w:sz w:val="21"/>
                              </w:rPr>
                              <w:t xml:space="preserve"> </w:t>
                            </w:r>
                          </w:p>
                        </w:tc>
                        <w:tc>
                          <w:tcPr>
                            <w:tcW w:w="1878" w:type="dxa"/>
                            <w:noWrap w:val="0"/>
                            <w:vAlign w:val="top"/>
                          </w:tcPr>
                          <w:p w14:paraId="5EDCC99E">
                            <w:pPr>
                              <w:pStyle w:val="32"/>
                              <w:spacing w:before="120"/>
                              <w:ind w:left="135"/>
                              <w:jc w:val="center"/>
                              <w:rPr>
                                <w:sz w:val="21"/>
                              </w:rPr>
                            </w:pPr>
                            <w:r>
                              <w:rPr>
                                <w:w w:val="100"/>
                                <w:sz w:val="21"/>
                              </w:rPr>
                              <w:t xml:space="preserve"> </w:t>
                            </w:r>
                          </w:p>
                        </w:tc>
                        <w:tc>
                          <w:tcPr>
                            <w:tcW w:w="2115" w:type="dxa"/>
                            <w:noWrap w:val="0"/>
                            <w:vAlign w:val="top"/>
                          </w:tcPr>
                          <w:p w14:paraId="53A67E89">
                            <w:pPr>
                              <w:pStyle w:val="32"/>
                              <w:spacing w:before="120"/>
                              <w:ind w:left="139"/>
                              <w:jc w:val="center"/>
                              <w:rPr>
                                <w:sz w:val="21"/>
                              </w:rPr>
                            </w:pPr>
                            <w:r>
                              <w:rPr>
                                <w:w w:val="100"/>
                                <w:sz w:val="21"/>
                              </w:rPr>
                              <w:t xml:space="preserve"> </w:t>
                            </w:r>
                          </w:p>
                        </w:tc>
                        <w:tc>
                          <w:tcPr>
                            <w:tcW w:w="1755" w:type="dxa"/>
                            <w:noWrap w:val="0"/>
                            <w:vAlign w:val="top"/>
                          </w:tcPr>
                          <w:p w14:paraId="2BF62894">
                            <w:pPr>
                              <w:pStyle w:val="32"/>
                              <w:spacing w:before="120"/>
                              <w:ind w:left="139"/>
                              <w:jc w:val="center"/>
                              <w:rPr>
                                <w:sz w:val="21"/>
                              </w:rPr>
                            </w:pPr>
                            <w:r>
                              <w:rPr>
                                <w:w w:val="100"/>
                                <w:sz w:val="21"/>
                              </w:rPr>
                              <w:t xml:space="preserve"> </w:t>
                            </w:r>
                          </w:p>
                        </w:tc>
                        <w:tc>
                          <w:tcPr>
                            <w:tcW w:w="1723" w:type="dxa"/>
                            <w:noWrap w:val="0"/>
                            <w:vAlign w:val="top"/>
                          </w:tcPr>
                          <w:p w14:paraId="40CDD260">
                            <w:pPr>
                              <w:pStyle w:val="32"/>
                              <w:spacing w:before="120"/>
                              <w:ind w:left="135"/>
                              <w:jc w:val="center"/>
                              <w:rPr>
                                <w:sz w:val="21"/>
                              </w:rPr>
                            </w:pPr>
                            <w:r>
                              <w:rPr>
                                <w:w w:val="100"/>
                                <w:sz w:val="21"/>
                              </w:rPr>
                              <w:t xml:space="preserve"> </w:t>
                            </w:r>
                          </w:p>
                        </w:tc>
                        <w:tc>
                          <w:tcPr>
                            <w:tcW w:w="1721" w:type="dxa"/>
                            <w:noWrap w:val="0"/>
                            <w:vAlign w:val="top"/>
                          </w:tcPr>
                          <w:p w14:paraId="20852DF3">
                            <w:pPr>
                              <w:pStyle w:val="32"/>
                              <w:spacing w:before="120"/>
                              <w:ind w:right="722"/>
                              <w:jc w:val="right"/>
                              <w:rPr>
                                <w:sz w:val="21"/>
                              </w:rPr>
                            </w:pPr>
                            <w:r>
                              <w:rPr>
                                <w:w w:val="100"/>
                                <w:sz w:val="21"/>
                              </w:rPr>
                              <w:t xml:space="preserve"> </w:t>
                            </w:r>
                          </w:p>
                        </w:tc>
                      </w:tr>
                      <w:tr w14:paraId="4B4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115E4727">
                            <w:pPr>
                              <w:pStyle w:val="32"/>
                              <w:spacing w:before="109"/>
                              <w:ind w:left="122"/>
                              <w:jc w:val="center"/>
                              <w:rPr>
                                <w:sz w:val="21"/>
                              </w:rPr>
                            </w:pPr>
                            <w:r>
                              <w:rPr>
                                <w:w w:val="100"/>
                                <w:sz w:val="21"/>
                              </w:rPr>
                              <w:t xml:space="preserve"> </w:t>
                            </w:r>
                          </w:p>
                        </w:tc>
                        <w:tc>
                          <w:tcPr>
                            <w:tcW w:w="1878" w:type="dxa"/>
                            <w:noWrap w:val="0"/>
                            <w:vAlign w:val="top"/>
                          </w:tcPr>
                          <w:p w14:paraId="0D1BF479">
                            <w:pPr>
                              <w:pStyle w:val="32"/>
                              <w:spacing w:before="109"/>
                              <w:ind w:left="135"/>
                              <w:jc w:val="center"/>
                              <w:rPr>
                                <w:sz w:val="21"/>
                              </w:rPr>
                            </w:pPr>
                            <w:r>
                              <w:rPr>
                                <w:w w:val="100"/>
                                <w:sz w:val="21"/>
                              </w:rPr>
                              <w:t xml:space="preserve"> </w:t>
                            </w:r>
                          </w:p>
                        </w:tc>
                        <w:tc>
                          <w:tcPr>
                            <w:tcW w:w="2115" w:type="dxa"/>
                            <w:noWrap w:val="0"/>
                            <w:vAlign w:val="top"/>
                          </w:tcPr>
                          <w:p w14:paraId="462D3CAB">
                            <w:pPr>
                              <w:pStyle w:val="32"/>
                              <w:spacing w:before="109"/>
                              <w:ind w:left="139"/>
                              <w:jc w:val="center"/>
                              <w:rPr>
                                <w:sz w:val="21"/>
                              </w:rPr>
                            </w:pPr>
                            <w:r>
                              <w:rPr>
                                <w:w w:val="100"/>
                                <w:sz w:val="21"/>
                              </w:rPr>
                              <w:t xml:space="preserve"> </w:t>
                            </w:r>
                          </w:p>
                        </w:tc>
                        <w:tc>
                          <w:tcPr>
                            <w:tcW w:w="1755" w:type="dxa"/>
                            <w:noWrap w:val="0"/>
                            <w:vAlign w:val="top"/>
                          </w:tcPr>
                          <w:p w14:paraId="174D5639">
                            <w:pPr>
                              <w:pStyle w:val="32"/>
                              <w:spacing w:before="109"/>
                              <w:ind w:left="139"/>
                              <w:jc w:val="center"/>
                              <w:rPr>
                                <w:sz w:val="21"/>
                              </w:rPr>
                            </w:pPr>
                            <w:r>
                              <w:rPr>
                                <w:w w:val="100"/>
                                <w:sz w:val="21"/>
                              </w:rPr>
                              <w:t xml:space="preserve"> </w:t>
                            </w:r>
                          </w:p>
                        </w:tc>
                        <w:tc>
                          <w:tcPr>
                            <w:tcW w:w="1723" w:type="dxa"/>
                            <w:noWrap w:val="0"/>
                            <w:vAlign w:val="top"/>
                          </w:tcPr>
                          <w:p w14:paraId="1E22A852">
                            <w:pPr>
                              <w:pStyle w:val="32"/>
                              <w:spacing w:before="109"/>
                              <w:ind w:left="135"/>
                              <w:jc w:val="center"/>
                              <w:rPr>
                                <w:sz w:val="21"/>
                              </w:rPr>
                            </w:pPr>
                            <w:r>
                              <w:rPr>
                                <w:w w:val="100"/>
                                <w:sz w:val="21"/>
                              </w:rPr>
                              <w:t xml:space="preserve"> </w:t>
                            </w:r>
                          </w:p>
                        </w:tc>
                        <w:tc>
                          <w:tcPr>
                            <w:tcW w:w="1721" w:type="dxa"/>
                            <w:noWrap w:val="0"/>
                            <w:vAlign w:val="top"/>
                          </w:tcPr>
                          <w:p w14:paraId="71D0F854">
                            <w:pPr>
                              <w:pStyle w:val="32"/>
                              <w:spacing w:before="109"/>
                              <w:ind w:right="722"/>
                              <w:jc w:val="right"/>
                              <w:rPr>
                                <w:sz w:val="21"/>
                              </w:rPr>
                            </w:pPr>
                            <w:r>
                              <w:rPr>
                                <w:w w:val="100"/>
                                <w:sz w:val="21"/>
                              </w:rPr>
                              <w:t xml:space="preserve"> </w:t>
                            </w:r>
                          </w:p>
                        </w:tc>
                      </w:tr>
                      <w:tr w14:paraId="7FC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EB9F2C4">
                            <w:pPr>
                              <w:pStyle w:val="32"/>
                              <w:spacing w:before="111"/>
                              <w:ind w:left="122"/>
                              <w:jc w:val="center"/>
                              <w:rPr>
                                <w:sz w:val="21"/>
                              </w:rPr>
                            </w:pPr>
                            <w:r>
                              <w:rPr>
                                <w:w w:val="100"/>
                                <w:sz w:val="21"/>
                              </w:rPr>
                              <w:t xml:space="preserve"> </w:t>
                            </w:r>
                          </w:p>
                        </w:tc>
                        <w:tc>
                          <w:tcPr>
                            <w:tcW w:w="1878" w:type="dxa"/>
                            <w:noWrap w:val="0"/>
                            <w:vAlign w:val="top"/>
                          </w:tcPr>
                          <w:p w14:paraId="17ABAE61">
                            <w:pPr>
                              <w:pStyle w:val="32"/>
                              <w:spacing w:before="111"/>
                              <w:ind w:left="135"/>
                              <w:jc w:val="center"/>
                              <w:rPr>
                                <w:sz w:val="21"/>
                              </w:rPr>
                            </w:pPr>
                            <w:r>
                              <w:rPr>
                                <w:w w:val="100"/>
                                <w:sz w:val="21"/>
                              </w:rPr>
                              <w:t xml:space="preserve"> </w:t>
                            </w:r>
                          </w:p>
                        </w:tc>
                        <w:tc>
                          <w:tcPr>
                            <w:tcW w:w="2115" w:type="dxa"/>
                            <w:noWrap w:val="0"/>
                            <w:vAlign w:val="top"/>
                          </w:tcPr>
                          <w:p w14:paraId="2F441EE9">
                            <w:pPr>
                              <w:pStyle w:val="32"/>
                              <w:spacing w:before="111"/>
                              <w:ind w:left="139"/>
                              <w:jc w:val="center"/>
                              <w:rPr>
                                <w:sz w:val="21"/>
                              </w:rPr>
                            </w:pPr>
                            <w:r>
                              <w:rPr>
                                <w:w w:val="100"/>
                                <w:sz w:val="21"/>
                              </w:rPr>
                              <w:t xml:space="preserve"> </w:t>
                            </w:r>
                          </w:p>
                        </w:tc>
                        <w:tc>
                          <w:tcPr>
                            <w:tcW w:w="1755" w:type="dxa"/>
                            <w:noWrap w:val="0"/>
                            <w:vAlign w:val="top"/>
                          </w:tcPr>
                          <w:p w14:paraId="3518DFBE">
                            <w:pPr>
                              <w:pStyle w:val="32"/>
                              <w:spacing w:before="111"/>
                              <w:ind w:left="139"/>
                              <w:jc w:val="center"/>
                              <w:rPr>
                                <w:sz w:val="21"/>
                              </w:rPr>
                            </w:pPr>
                            <w:r>
                              <w:rPr>
                                <w:w w:val="100"/>
                                <w:sz w:val="21"/>
                              </w:rPr>
                              <w:t xml:space="preserve"> </w:t>
                            </w:r>
                          </w:p>
                        </w:tc>
                        <w:tc>
                          <w:tcPr>
                            <w:tcW w:w="1723" w:type="dxa"/>
                            <w:noWrap w:val="0"/>
                            <w:vAlign w:val="top"/>
                          </w:tcPr>
                          <w:p w14:paraId="3C72D780">
                            <w:pPr>
                              <w:pStyle w:val="32"/>
                              <w:spacing w:before="111"/>
                              <w:ind w:left="135"/>
                              <w:jc w:val="center"/>
                              <w:rPr>
                                <w:sz w:val="21"/>
                              </w:rPr>
                            </w:pPr>
                            <w:r>
                              <w:rPr>
                                <w:w w:val="100"/>
                                <w:sz w:val="21"/>
                              </w:rPr>
                              <w:t xml:space="preserve"> </w:t>
                            </w:r>
                          </w:p>
                        </w:tc>
                        <w:tc>
                          <w:tcPr>
                            <w:tcW w:w="1721" w:type="dxa"/>
                            <w:noWrap w:val="0"/>
                            <w:vAlign w:val="top"/>
                          </w:tcPr>
                          <w:p w14:paraId="6CFDDCA9">
                            <w:pPr>
                              <w:pStyle w:val="32"/>
                              <w:spacing w:before="111"/>
                              <w:ind w:right="722"/>
                              <w:jc w:val="right"/>
                              <w:rPr>
                                <w:sz w:val="21"/>
                              </w:rPr>
                            </w:pPr>
                            <w:r>
                              <w:rPr>
                                <w:w w:val="100"/>
                                <w:sz w:val="21"/>
                              </w:rPr>
                              <w:t xml:space="preserve"> </w:t>
                            </w:r>
                          </w:p>
                        </w:tc>
                      </w:tr>
                      <w:tr w14:paraId="307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00B8D671">
                            <w:pPr>
                              <w:pStyle w:val="32"/>
                              <w:spacing w:before="109"/>
                              <w:ind w:left="122"/>
                              <w:jc w:val="center"/>
                              <w:rPr>
                                <w:sz w:val="21"/>
                              </w:rPr>
                            </w:pPr>
                            <w:r>
                              <w:rPr>
                                <w:w w:val="100"/>
                                <w:sz w:val="21"/>
                              </w:rPr>
                              <w:t xml:space="preserve"> </w:t>
                            </w:r>
                          </w:p>
                        </w:tc>
                        <w:tc>
                          <w:tcPr>
                            <w:tcW w:w="1878" w:type="dxa"/>
                            <w:noWrap w:val="0"/>
                            <w:vAlign w:val="top"/>
                          </w:tcPr>
                          <w:p w14:paraId="0BF16FA0">
                            <w:pPr>
                              <w:pStyle w:val="32"/>
                              <w:spacing w:before="109"/>
                              <w:ind w:left="135"/>
                              <w:jc w:val="center"/>
                              <w:rPr>
                                <w:sz w:val="21"/>
                              </w:rPr>
                            </w:pPr>
                            <w:r>
                              <w:rPr>
                                <w:w w:val="100"/>
                                <w:sz w:val="21"/>
                              </w:rPr>
                              <w:t xml:space="preserve"> </w:t>
                            </w:r>
                          </w:p>
                        </w:tc>
                        <w:tc>
                          <w:tcPr>
                            <w:tcW w:w="2115" w:type="dxa"/>
                            <w:noWrap w:val="0"/>
                            <w:vAlign w:val="top"/>
                          </w:tcPr>
                          <w:p w14:paraId="6704C0E3">
                            <w:pPr>
                              <w:pStyle w:val="32"/>
                              <w:spacing w:before="109"/>
                              <w:ind w:left="139"/>
                              <w:jc w:val="center"/>
                              <w:rPr>
                                <w:sz w:val="21"/>
                              </w:rPr>
                            </w:pPr>
                            <w:r>
                              <w:rPr>
                                <w:w w:val="100"/>
                                <w:sz w:val="21"/>
                              </w:rPr>
                              <w:t xml:space="preserve"> </w:t>
                            </w:r>
                          </w:p>
                        </w:tc>
                        <w:tc>
                          <w:tcPr>
                            <w:tcW w:w="1755" w:type="dxa"/>
                            <w:noWrap w:val="0"/>
                            <w:vAlign w:val="top"/>
                          </w:tcPr>
                          <w:p w14:paraId="21258494">
                            <w:pPr>
                              <w:pStyle w:val="32"/>
                              <w:spacing w:before="109"/>
                              <w:ind w:left="139"/>
                              <w:jc w:val="center"/>
                              <w:rPr>
                                <w:sz w:val="21"/>
                              </w:rPr>
                            </w:pPr>
                            <w:r>
                              <w:rPr>
                                <w:w w:val="100"/>
                                <w:sz w:val="21"/>
                              </w:rPr>
                              <w:t xml:space="preserve"> </w:t>
                            </w:r>
                          </w:p>
                        </w:tc>
                        <w:tc>
                          <w:tcPr>
                            <w:tcW w:w="1723" w:type="dxa"/>
                            <w:noWrap w:val="0"/>
                            <w:vAlign w:val="top"/>
                          </w:tcPr>
                          <w:p w14:paraId="220F6F9E">
                            <w:pPr>
                              <w:pStyle w:val="32"/>
                              <w:spacing w:before="109"/>
                              <w:ind w:left="135"/>
                              <w:jc w:val="center"/>
                              <w:rPr>
                                <w:sz w:val="21"/>
                              </w:rPr>
                            </w:pPr>
                            <w:r>
                              <w:rPr>
                                <w:w w:val="100"/>
                                <w:sz w:val="21"/>
                              </w:rPr>
                              <w:t xml:space="preserve"> </w:t>
                            </w:r>
                          </w:p>
                        </w:tc>
                        <w:tc>
                          <w:tcPr>
                            <w:tcW w:w="1721" w:type="dxa"/>
                            <w:noWrap w:val="0"/>
                            <w:vAlign w:val="top"/>
                          </w:tcPr>
                          <w:p w14:paraId="73F16979">
                            <w:pPr>
                              <w:pStyle w:val="32"/>
                              <w:spacing w:before="109"/>
                              <w:ind w:right="722"/>
                              <w:jc w:val="right"/>
                              <w:rPr>
                                <w:sz w:val="21"/>
                              </w:rPr>
                            </w:pPr>
                            <w:r>
                              <w:rPr>
                                <w:w w:val="100"/>
                                <w:sz w:val="21"/>
                              </w:rPr>
                              <w:t xml:space="preserve"> </w:t>
                            </w:r>
                          </w:p>
                        </w:tc>
                      </w:tr>
                      <w:tr w14:paraId="54DD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AF43608">
                            <w:pPr>
                              <w:pStyle w:val="32"/>
                              <w:spacing w:before="109"/>
                              <w:ind w:left="122"/>
                              <w:jc w:val="center"/>
                              <w:rPr>
                                <w:sz w:val="21"/>
                              </w:rPr>
                            </w:pPr>
                            <w:r>
                              <w:rPr>
                                <w:w w:val="100"/>
                                <w:sz w:val="21"/>
                              </w:rPr>
                              <w:t xml:space="preserve"> </w:t>
                            </w:r>
                          </w:p>
                        </w:tc>
                        <w:tc>
                          <w:tcPr>
                            <w:tcW w:w="1878" w:type="dxa"/>
                            <w:noWrap w:val="0"/>
                            <w:vAlign w:val="top"/>
                          </w:tcPr>
                          <w:p w14:paraId="73726242">
                            <w:pPr>
                              <w:pStyle w:val="32"/>
                              <w:spacing w:before="109"/>
                              <w:ind w:left="135"/>
                              <w:jc w:val="center"/>
                              <w:rPr>
                                <w:sz w:val="21"/>
                              </w:rPr>
                            </w:pPr>
                            <w:r>
                              <w:rPr>
                                <w:w w:val="100"/>
                                <w:sz w:val="21"/>
                              </w:rPr>
                              <w:t xml:space="preserve"> </w:t>
                            </w:r>
                          </w:p>
                        </w:tc>
                        <w:tc>
                          <w:tcPr>
                            <w:tcW w:w="2115" w:type="dxa"/>
                            <w:noWrap w:val="0"/>
                            <w:vAlign w:val="top"/>
                          </w:tcPr>
                          <w:p w14:paraId="6A0FB917">
                            <w:pPr>
                              <w:pStyle w:val="32"/>
                              <w:spacing w:before="109"/>
                              <w:ind w:left="139"/>
                              <w:jc w:val="center"/>
                              <w:rPr>
                                <w:sz w:val="21"/>
                              </w:rPr>
                            </w:pPr>
                            <w:r>
                              <w:rPr>
                                <w:w w:val="100"/>
                                <w:sz w:val="21"/>
                              </w:rPr>
                              <w:t xml:space="preserve"> </w:t>
                            </w:r>
                          </w:p>
                        </w:tc>
                        <w:tc>
                          <w:tcPr>
                            <w:tcW w:w="1755" w:type="dxa"/>
                            <w:noWrap w:val="0"/>
                            <w:vAlign w:val="top"/>
                          </w:tcPr>
                          <w:p w14:paraId="577DF54B">
                            <w:pPr>
                              <w:pStyle w:val="32"/>
                              <w:spacing w:before="109"/>
                              <w:ind w:left="139"/>
                              <w:jc w:val="center"/>
                              <w:rPr>
                                <w:sz w:val="21"/>
                              </w:rPr>
                            </w:pPr>
                            <w:r>
                              <w:rPr>
                                <w:w w:val="100"/>
                                <w:sz w:val="21"/>
                              </w:rPr>
                              <w:t xml:space="preserve"> </w:t>
                            </w:r>
                          </w:p>
                        </w:tc>
                        <w:tc>
                          <w:tcPr>
                            <w:tcW w:w="1723" w:type="dxa"/>
                            <w:noWrap w:val="0"/>
                            <w:vAlign w:val="top"/>
                          </w:tcPr>
                          <w:p w14:paraId="2F08D25B">
                            <w:pPr>
                              <w:pStyle w:val="32"/>
                              <w:spacing w:before="109"/>
                              <w:ind w:left="135"/>
                              <w:jc w:val="center"/>
                              <w:rPr>
                                <w:sz w:val="21"/>
                              </w:rPr>
                            </w:pPr>
                            <w:r>
                              <w:rPr>
                                <w:w w:val="100"/>
                                <w:sz w:val="21"/>
                              </w:rPr>
                              <w:t xml:space="preserve"> </w:t>
                            </w:r>
                          </w:p>
                        </w:tc>
                        <w:tc>
                          <w:tcPr>
                            <w:tcW w:w="1721" w:type="dxa"/>
                            <w:noWrap w:val="0"/>
                            <w:vAlign w:val="top"/>
                          </w:tcPr>
                          <w:p w14:paraId="2FDD09E4">
                            <w:pPr>
                              <w:pStyle w:val="32"/>
                              <w:spacing w:before="109"/>
                              <w:ind w:right="722"/>
                              <w:jc w:val="right"/>
                              <w:rPr>
                                <w:sz w:val="21"/>
                              </w:rPr>
                            </w:pPr>
                            <w:r>
                              <w:rPr>
                                <w:w w:val="100"/>
                                <w:sz w:val="21"/>
                              </w:rPr>
                              <w:t xml:space="preserve"> </w:t>
                            </w:r>
                          </w:p>
                        </w:tc>
                      </w:tr>
                      <w:tr w14:paraId="0314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14B14C29">
                            <w:pPr>
                              <w:pStyle w:val="32"/>
                              <w:spacing w:before="109"/>
                              <w:ind w:left="122"/>
                              <w:jc w:val="center"/>
                              <w:rPr>
                                <w:sz w:val="21"/>
                              </w:rPr>
                            </w:pPr>
                            <w:r>
                              <w:rPr>
                                <w:w w:val="100"/>
                                <w:sz w:val="21"/>
                              </w:rPr>
                              <w:t xml:space="preserve"> </w:t>
                            </w:r>
                          </w:p>
                        </w:tc>
                        <w:tc>
                          <w:tcPr>
                            <w:tcW w:w="1878" w:type="dxa"/>
                            <w:noWrap w:val="0"/>
                            <w:vAlign w:val="top"/>
                          </w:tcPr>
                          <w:p w14:paraId="2CA62393">
                            <w:pPr>
                              <w:pStyle w:val="32"/>
                              <w:spacing w:before="109"/>
                              <w:ind w:left="135"/>
                              <w:jc w:val="center"/>
                              <w:rPr>
                                <w:sz w:val="21"/>
                              </w:rPr>
                            </w:pPr>
                            <w:r>
                              <w:rPr>
                                <w:w w:val="100"/>
                                <w:sz w:val="21"/>
                              </w:rPr>
                              <w:t xml:space="preserve"> </w:t>
                            </w:r>
                          </w:p>
                        </w:tc>
                        <w:tc>
                          <w:tcPr>
                            <w:tcW w:w="2115" w:type="dxa"/>
                            <w:noWrap w:val="0"/>
                            <w:vAlign w:val="top"/>
                          </w:tcPr>
                          <w:p w14:paraId="39DE8CCA">
                            <w:pPr>
                              <w:pStyle w:val="32"/>
                              <w:spacing w:before="109"/>
                              <w:ind w:left="139"/>
                              <w:jc w:val="center"/>
                              <w:rPr>
                                <w:sz w:val="21"/>
                              </w:rPr>
                            </w:pPr>
                            <w:r>
                              <w:rPr>
                                <w:w w:val="100"/>
                                <w:sz w:val="21"/>
                              </w:rPr>
                              <w:t xml:space="preserve"> </w:t>
                            </w:r>
                          </w:p>
                        </w:tc>
                        <w:tc>
                          <w:tcPr>
                            <w:tcW w:w="1755" w:type="dxa"/>
                            <w:noWrap w:val="0"/>
                            <w:vAlign w:val="top"/>
                          </w:tcPr>
                          <w:p w14:paraId="62A8499E">
                            <w:pPr>
                              <w:pStyle w:val="32"/>
                              <w:spacing w:before="109"/>
                              <w:ind w:left="139"/>
                              <w:jc w:val="center"/>
                              <w:rPr>
                                <w:sz w:val="21"/>
                              </w:rPr>
                            </w:pPr>
                            <w:r>
                              <w:rPr>
                                <w:w w:val="100"/>
                                <w:sz w:val="21"/>
                              </w:rPr>
                              <w:t xml:space="preserve"> </w:t>
                            </w:r>
                          </w:p>
                        </w:tc>
                        <w:tc>
                          <w:tcPr>
                            <w:tcW w:w="1723" w:type="dxa"/>
                            <w:noWrap w:val="0"/>
                            <w:vAlign w:val="top"/>
                          </w:tcPr>
                          <w:p w14:paraId="4B9EC7D2">
                            <w:pPr>
                              <w:pStyle w:val="32"/>
                              <w:spacing w:before="109"/>
                              <w:ind w:left="135"/>
                              <w:jc w:val="center"/>
                              <w:rPr>
                                <w:sz w:val="21"/>
                              </w:rPr>
                            </w:pPr>
                            <w:r>
                              <w:rPr>
                                <w:w w:val="100"/>
                                <w:sz w:val="21"/>
                              </w:rPr>
                              <w:t xml:space="preserve"> </w:t>
                            </w:r>
                          </w:p>
                        </w:tc>
                        <w:tc>
                          <w:tcPr>
                            <w:tcW w:w="1721" w:type="dxa"/>
                            <w:noWrap w:val="0"/>
                            <w:vAlign w:val="top"/>
                          </w:tcPr>
                          <w:p w14:paraId="4A25781B">
                            <w:pPr>
                              <w:pStyle w:val="32"/>
                              <w:spacing w:before="109"/>
                              <w:ind w:right="722"/>
                              <w:jc w:val="right"/>
                              <w:rPr>
                                <w:sz w:val="21"/>
                              </w:rPr>
                            </w:pPr>
                            <w:r>
                              <w:rPr>
                                <w:w w:val="100"/>
                                <w:sz w:val="21"/>
                              </w:rPr>
                              <w:t xml:space="preserve"> </w:t>
                            </w:r>
                          </w:p>
                        </w:tc>
                      </w:tr>
                      <w:tr w14:paraId="691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351F0CE6">
                            <w:pPr>
                              <w:pStyle w:val="32"/>
                              <w:spacing w:before="109"/>
                              <w:ind w:left="122"/>
                              <w:jc w:val="center"/>
                              <w:rPr>
                                <w:sz w:val="21"/>
                              </w:rPr>
                            </w:pPr>
                            <w:r>
                              <w:rPr>
                                <w:w w:val="100"/>
                                <w:sz w:val="21"/>
                              </w:rPr>
                              <w:t xml:space="preserve"> </w:t>
                            </w:r>
                          </w:p>
                        </w:tc>
                        <w:tc>
                          <w:tcPr>
                            <w:tcW w:w="1878" w:type="dxa"/>
                            <w:noWrap w:val="0"/>
                            <w:vAlign w:val="top"/>
                          </w:tcPr>
                          <w:p w14:paraId="42B447CF">
                            <w:pPr>
                              <w:pStyle w:val="32"/>
                              <w:spacing w:before="109"/>
                              <w:ind w:left="135"/>
                              <w:jc w:val="center"/>
                              <w:rPr>
                                <w:sz w:val="21"/>
                              </w:rPr>
                            </w:pPr>
                            <w:r>
                              <w:rPr>
                                <w:w w:val="100"/>
                                <w:sz w:val="21"/>
                              </w:rPr>
                              <w:t xml:space="preserve"> </w:t>
                            </w:r>
                          </w:p>
                        </w:tc>
                        <w:tc>
                          <w:tcPr>
                            <w:tcW w:w="2115" w:type="dxa"/>
                            <w:noWrap w:val="0"/>
                            <w:vAlign w:val="top"/>
                          </w:tcPr>
                          <w:p w14:paraId="436D70B6">
                            <w:pPr>
                              <w:pStyle w:val="32"/>
                              <w:spacing w:before="109"/>
                              <w:ind w:left="139"/>
                              <w:jc w:val="center"/>
                              <w:rPr>
                                <w:sz w:val="21"/>
                              </w:rPr>
                            </w:pPr>
                            <w:r>
                              <w:rPr>
                                <w:w w:val="100"/>
                                <w:sz w:val="21"/>
                              </w:rPr>
                              <w:t xml:space="preserve"> </w:t>
                            </w:r>
                          </w:p>
                        </w:tc>
                        <w:tc>
                          <w:tcPr>
                            <w:tcW w:w="1755" w:type="dxa"/>
                            <w:noWrap w:val="0"/>
                            <w:vAlign w:val="top"/>
                          </w:tcPr>
                          <w:p w14:paraId="34C84EC1">
                            <w:pPr>
                              <w:pStyle w:val="32"/>
                              <w:spacing w:before="109"/>
                              <w:ind w:left="139"/>
                              <w:jc w:val="center"/>
                              <w:rPr>
                                <w:sz w:val="21"/>
                              </w:rPr>
                            </w:pPr>
                            <w:r>
                              <w:rPr>
                                <w:w w:val="100"/>
                                <w:sz w:val="21"/>
                              </w:rPr>
                              <w:t xml:space="preserve"> </w:t>
                            </w:r>
                          </w:p>
                        </w:tc>
                        <w:tc>
                          <w:tcPr>
                            <w:tcW w:w="1723" w:type="dxa"/>
                            <w:noWrap w:val="0"/>
                            <w:vAlign w:val="top"/>
                          </w:tcPr>
                          <w:p w14:paraId="1D996C64">
                            <w:pPr>
                              <w:pStyle w:val="32"/>
                              <w:spacing w:before="109"/>
                              <w:ind w:left="135"/>
                              <w:jc w:val="center"/>
                              <w:rPr>
                                <w:sz w:val="21"/>
                              </w:rPr>
                            </w:pPr>
                            <w:r>
                              <w:rPr>
                                <w:w w:val="100"/>
                                <w:sz w:val="21"/>
                              </w:rPr>
                              <w:t xml:space="preserve"> </w:t>
                            </w:r>
                          </w:p>
                        </w:tc>
                        <w:tc>
                          <w:tcPr>
                            <w:tcW w:w="1721" w:type="dxa"/>
                            <w:noWrap w:val="0"/>
                            <w:vAlign w:val="top"/>
                          </w:tcPr>
                          <w:p w14:paraId="60A48D67">
                            <w:pPr>
                              <w:pStyle w:val="32"/>
                              <w:spacing w:before="109"/>
                              <w:ind w:right="722"/>
                              <w:jc w:val="right"/>
                              <w:rPr>
                                <w:sz w:val="21"/>
                              </w:rPr>
                            </w:pPr>
                            <w:r>
                              <w:rPr>
                                <w:w w:val="100"/>
                                <w:sz w:val="21"/>
                              </w:rPr>
                              <w:t xml:space="preserve"> </w:t>
                            </w:r>
                          </w:p>
                        </w:tc>
                      </w:tr>
                      <w:tr w14:paraId="18E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90C83E3">
                            <w:pPr>
                              <w:pStyle w:val="32"/>
                              <w:spacing w:before="109" w:line="269" w:lineRule="exact"/>
                              <w:ind w:left="122"/>
                              <w:jc w:val="center"/>
                              <w:rPr>
                                <w:sz w:val="21"/>
                              </w:rPr>
                            </w:pPr>
                            <w:r>
                              <w:rPr>
                                <w:w w:val="100"/>
                                <w:sz w:val="21"/>
                              </w:rPr>
                              <w:t xml:space="preserve"> </w:t>
                            </w:r>
                          </w:p>
                        </w:tc>
                        <w:tc>
                          <w:tcPr>
                            <w:tcW w:w="1878" w:type="dxa"/>
                            <w:noWrap w:val="0"/>
                            <w:vAlign w:val="top"/>
                          </w:tcPr>
                          <w:p w14:paraId="385D596D">
                            <w:pPr>
                              <w:pStyle w:val="32"/>
                              <w:spacing w:before="109" w:line="269" w:lineRule="exact"/>
                              <w:ind w:left="135"/>
                              <w:jc w:val="center"/>
                              <w:rPr>
                                <w:sz w:val="21"/>
                              </w:rPr>
                            </w:pPr>
                            <w:r>
                              <w:rPr>
                                <w:w w:val="100"/>
                                <w:sz w:val="21"/>
                              </w:rPr>
                              <w:t xml:space="preserve"> </w:t>
                            </w:r>
                          </w:p>
                        </w:tc>
                        <w:tc>
                          <w:tcPr>
                            <w:tcW w:w="2115" w:type="dxa"/>
                            <w:noWrap w:val="0"/>
                            <w:vAlign w:val="top"/>
                          </w:tcPr>
                          <w:p w14:paraId="16ACC73B">
                            <w:pPr>
                              <w:pStyle w:val="32"/>
                              <w:spacing w:before="109" w:line="269" w:lineRule="exact"/>
                              <w:ind w:left="139"/>
                              <w:jc w:val="center"/>
                              <w:rPr>
                                <w:sz w:val="21"/>
                              </w:rPr>
                            </w:pPr>
                            <w:r>
                              <w:rPr>
                                <w:w w:val="100"/>
                                <w:sz w:val="21"/>
                              </w:rPr>
                              <w:t xml:space="preserve"> </w:t>
                            </w:r>
                          </w:p>
                        </w:tc>
                        <w:tc>
                          <w:tcPr>
                            <w:tcW w:w="1755" w:type="dxa"/>
                            <w:noWrap w:val="0"/>
                            <w:vAlign w:val="top"/>
                          </w:tcPr>
                          <w:p w14:paraId="76FA310C">
                            <w:pPr>
                              <w:pStyle w:val="32"/>
                              <w:spacing w:before="109" w:line="269" w:lineRule="exact"/>
                              <w:ind w:left="139"/>
                              <w:jc w:val="center"/>
                              <w:rPr>
                                <w:sz w:val="21"/>
                              </w:rPr>
                            </w:pPr>
                            <w:r>
                              <w:rPr>
                                <w:w w:val="100"/>
                                <w:sz w:val="21"/>
                              </w:rPr>
                              <w:t xml:space="preserve"> </w:t>
                            </w:r>
                          </w:p>
                        </w:tc>
                        <w:tc>
                          <w:tcPr>
                            <w:tcW w:w="1723" w:type="dxa"/>
                            <w:noWrap w:val="0"/>
                            <w:vAlign w:val="top"/>
                          </w:tcPr>
                          <w:p w14:paraId="7CBF1188">
                            <w:pPr>
                              <w:pStyle w:val="32"/>
                              <w:spacing w:before="109" w:line="269" w:lineRule="exact"/>
                              <w:ind w:left="135"/>
                              <w:jc w:val="center"/>
                              <w:rPr>
                                <w:sz w:val="21"/>
                              </w:rPr>
                            </w:pPr>
                            <w:r>
                              <w:rPr>
                                <w:w w:val="100"/>
                                <w:sz w:val="21"/>
                              </w:rPr>
                              <w:t xml:space="preserve"> </w:t>
                            </w:r>
                          </w:p>
                        </w:tc>
                        <w:tc>
                          <w:tcPr>
                            <w:tcW w:w="1721" w:type="dxa"/>
                            <w:noWrap w:val="0"/>
                            <w:vAlign w:val="top"/>
                          </w:tcPr>
                          <w:p w14:paraId="4E6A06EA">
                            <w:pPr>
                              <w:pStyle w:val="32"/>
                              <w:spacing w:before="109" w:line="269" w:lineRule="exact"/>
                              <w:ind w:right="722"/>
                              <w:jc w:val="right"/>
                              <w:rPr>
                                <w:sz w:val="21"/>
                              </w:rPr>
                            </w:pPr>
                            <w:r>
                              <w:rPr>
                                <w:w w:val="100"/>
                                <w:sz w:val="21"/>
                              </w:rPr>
                              <w:t xml:space="preserve"> </w:t>
                            </w:r>
                          </w:p>
                        </w:tc>
                      </w:tr>
                    </w:tbl>
                    <w:p w14:paraId="64A18F1F">
                      <w:pPr>
                        <w:pStyle w:val="7"/>
                      </w:pPr>
                    </w:p>
                  </w:txbxContent>
                </v:textbox>
              </v:shape>
            </w:pict>
          </mc:Fallback>
        </mc:AlternateContent>
      </w:r>
    </w:p>
    <w:p w14:paraId="42D267B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9D3E09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83B227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26595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09C711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48FB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14B7F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3B90AA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C3FA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A1C52E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备注：根据评审表的要求提交相应资料。 </w:t>
      </w:r>
    </w:p>
    <w:p w14:paraId="627ADCB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F62F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F04A3B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42AD6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B4B1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5320B0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1523D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98BFCE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2E532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7" w:type="default"/>
          <w:footerReference r:id="rId18" w:type="default"/>
          <w:pgSz w:w="11910" w:h="16840"/>
          <w:pgMar w:top="1984" w:right="1531" w:bottom="2098" w:left="1531" w:header="670" w:footer="1041" w:gutter="0"/>
          <w:pgNumType w:fmt="decimal"/>
          <w:cols w:space="720" w:num="1"/>
          <w:rtlGutter w:val="0"/>
          <w:docGrid w:linePitch="1" w:charSpace="0"/>
        </w:sectPr>
      </w:pPr>
    </w:p>
    <w:p w14:paraId="41A7D53E">
      <w:pPr>
        <w:jc w:val="center"/>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w:t>
      </w:r>
      <w:r>
        <w:rPr>
          <w:rFonts w:hint="eastAsia" w:cs="宋体"/>
          <w:b/>
          <w:bCs/>
          <w:color w:val="auto"/>
          <w:sz w:val="30"/>
          <w:szCs w:val="30"/>
          <w:highlight w:val="none"/>
          <w:lang w:val="en-US" w:eastAsia="zh-CN"/>
        </w:rPr>
        <w:t xml:space="preserve">6 </w:t>
      </w:r>
      <w:r>
        <w:rPr>
          <w:rFonts w:hint="eastAsia" w:ascii="宋体" w:hAnsi="宋体" w:eastAsia="宋体" w:cs="宋体"/>
          <w:b/>
          <w:bCs/>
          <w:color w:val="auto"/>
          <w:sz w:val="30"/>
          <w:szCs w:val="30"/>
          <w:highlight w:val="none"/>
          <w:lang w:val="en-US" w:eastAsia="zh-CN"/>
        </w:rPr>
        <w:t>项目团队</w:t>
      </w:r>
    </w:p>
    <w:p w14:paraId="2EA5A234">
      <w:pPr>
        <w:pStyle w:val="6"/>
        <w:rPr>
          <w:color w:val="auto"/>
          <w:highlight w:val="none"/>
        </w:rPr>
      </w:pPr>
    </w:p>
    <w:p w14:paraId="60BB0BD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14:paraId="369429D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14:paraId="62A8F58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14:paraId="15C7F6C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27C583AC">
      <w:pPr>
        <w:rPr>
          <w:rFonts w:hint="eastAsia"/>
          <w:color w:val="auto"/>
          <w:highlight w:val="none"/>
          <w:lang w:val="en-US" w:eastAsia="zh-CN"/>
        </w:rPr>
      </w:pPr>
    </w:p>
    <w:p w14:paraId="448500C7">
      <w:pPr>
        <w:pStyle w:val="6"/>
        <w:rPr>
          <w:rFonts w:hint="eastAsia" w:ascii="宋体" w:hAnsi="宋体" w:eastAsia="宋体" w:cs="宋体"/>
          <w:b/>
          <w:bCs/>
          <w:color w:val="auto"/>
          <w:sz w:val="30"/>
          <w:szCs w:val="30"/>
          <w:highlight w:val="none"/>
          <w:lang w:val="en-US" w:eastAsia="zh-CN"/>
        </w:rPr>
      </w:pPr>
    </w:p>
    <w:p w14:paraId="2B89D9D0">
      <w:pPr>
        <w:rPr>
          <w:rFonts w:hint="eastAsia" w:ascii="宋体" w:hAnsi="宋体" w:eastAsia="宋体" w:cs="宋体"/>
          <w:b/>
          <w:bCs/>
          <w:color w:val="auto"/>
          <w:sz w:val="30"/>
          <w:szCs w:val="30"/>
          <w:highlight w:val="none"/>
          <w:lang w:val="en-US" w:eastAsia="zh-CN"/>
        </w:rPr>
      </w:pPr>
    </w:p>
    <w:p w14:paraId="79B9174C">
      <w:pPr>
        <w:pStyle w:val="6"/>
        <w:rPr>
          <w:rFonts w:hint="eastAsia" w:ascii="宋体" w:hAnsi="宋体" w:eastAsia="宋体" w:cs="宋体"/>
          <w:b/>
          <w:bCs/>
          <w:color w:val="auto"/>
          <w:sz w:val="30"/>
          <w:szCs w:val="30"/>
          <w:highlight w:val="none"/>
          <w:lang w:val="en-US" w:eastAsia="zh-CN"/>
        </w:rPr>
      </w:pPr>
    </w:p>
    <w:p w14:paraId="38AC2056">
      <w:pPr>
        <w:rPr>
          <w:rFonts w:hint="eastAsia" w:ascii="宋体" w:hAnsi="宋体" w:eastAsia="宋体" w:cs="宋体"/>
          <w:b/>
          <w:bCs/>
          <w:color w:val="auto"/>
          <w:sz w:val="30"/>
          <w:szCs w:val="30"/>
          <w:highlight w:val="none"/>
          <w:lang w:val="en-US" w:eastAsia="zh-CN"/>
        </w:rPr>
      </w:pPr>
    </w:p>
    <w:p w14:paraId="16834CD0">
      <w:pPr>
        <w:pStyle w:val="6"/>
        <w:rPr>
          <w:rFonts w:hint="eastAsia" w:ascii="宋体" w:hAnsi="宋体" w:eastAsia="宋体" w:cs="宋体"/>
          <w:b/>
          <w:bCs/>
          <w:color w:val="auto"/>
          <w:sz w:val="30"/>
          <w:szCs w:val="30"/>
          <w:highlight w:val="none"/>
          <w:lang w:val="en-US" w:eastAsia="zh-CN"/>
        </w:rPr>
      </w:pPr>
    </w:p>
    <w:p w14:paraId="7BCACFCB">
      <w:pPr>
        <w:rPr>
          <w:rFonts w:hint="eastAsia" w:ascii="宋体" w:hAnsi="宋体" w:eastAsia="宋体" w:cs="宋体"/>
          <w:b/>
          <w:bCs/>
          <w:color w:val="auto"/>
          <w:sz w:val="30"/>
          <w:szCs w:val="30"/>
          <w:highlight w:val="none"/>
          <w:lang w:val="en-US" w:eastAsia="zh-CN"/>
        </w:rPr>
      </w:pPr>
    </w:p>
    <w:p w14:paraId="691ECD72">
      <w:pPr>
        <w:pStyle w:val="6"/>
        <w:rPr>
          <w:rFonts w:hint="eastAsia" w:ascii="宋体" w:hAnsi="宋体" w:eastAsia="宋体" w:cs="宋体"/>
          <w:b/>
          <w:bCs/>
          <w:color w:val="auto"/>
          <w:sz w:val="30"/>
          <w:szCs w:val="30"/>
          <w:highlight w:val="none"/>
          <w:lang w:val="en-US" w:eastAsia="zh-CN"/>
        </w:rPr>
      </w:pPr>
    </w:p>
    <w:p w14:paraId="4FBA74C3">
      <w:pPr>
        <w:rPr>
          <w:rFonts w:hint="eastAsia" w:ascii="宋体" w:hAnsi="宋体" w:eastAsia="宋体" w:cs="宋体"/>
          <w:b/>
          <w:bCs/>
          <w:color w:val="auto"/>
          <w:sz w:val="30"/>
          <w:szCs w:val="30"/>
          <w:highlight w:val="none"/>
          <w:lang w:val="en-US" w:eastAsia="zh-CN"/>
        </w:rPr>
      </w:pPr>
    </w:p>
    <w:p w14:paraId="782C26C0">
      <w:pPr>
        <w:pStyle w:val="6"/>
        <w:rPr>
          <w:rFonts w:hint="eastAsia" w:ascii="宋体" w:hAnsi="宋体" w:eastAsia="宋体" w:cs="宋体"/>
          <w:b/>
          <w:bCs/>
          <w:color w:val="auto"/>
          <w:sz w:val="30"/>
          <w:szCs w:val="30"/>
          <w:highlight w:val="none"/>
          <w:lang w:val="en-US" w:eastAsia="zh-CN"/>
        </w:rPr>
      </w:pPr>
    </w:p>
    <w:p w14:paraId="11F68B94">
      <w:pPr>
        <w:rPr>
          <w:rFonts w:hint="eastAsia" w:ascii="宋体" w:hAnsi="宋体" w:eastAsia="宋体" w:cs="宋体"/>
          <w:b/>
          <w:bCs/>
          <w:color w:val="auto"/>
          <w:sz w:val="30"/>
          <w:szCs w:val="30"/>
          <w:highlight w:val="none"/>
          <w:lang w:val="en-US" w:eastAsia="zh-CN"/>
        </w:rPr>
      </w:pPr>
    </w:p>
    <w:p w14:paraId="321018A7">
      <w:pPr>
        <w:pStyle w:val="6"/>
        <w:rPr>
          <w:rFonts w:hint="eastAsia" w:ascii="宋体" w:hAnsi="宋体" w:eastAsia="宋体" w:cs="宋体"/>
          <w:b/>
          <w:bCs/>
          <w:color w:val="auto"/>
          <w:sz w:val="30"/>
          <w:szCs w:val="30"/>
          <w:highlight w:val="none"/>
          <w:lang w:val="en-US" w:eastAsia="zh-CN"/>
        </w:rPr>
      </w:pPr>
    </w:p>
    <w:p w14:paraId="32E71BA7">
      <w:pPr>
        <w:rPr>
          <w:rFonts w:hint="eastAsia" w:ascii="宋体" w:hAnsi="宋体" w:eastAsia="宋体" w:cs="宋体"/>
          <w:b/>
          <w:bCs/>
          <w:color w:val="auto"/>
          <w:sz w:val="30"/>
          <w:szCs w:val="30"/>
          <w:highlight w:val="none"/>
          <w:lang w:val="en-US" w:eastAsia="zh-CN"/>
        </w:rPr>
      </w:pPr>
    </w:p>
    <w:p w14:paraId="0B291027">
      <w:pPr>
        <w:pStyle w:val="6"/>
        <w:rPr>
          <w:rFonts w:hint="eastAsia" w:ascii="宋体" w:hAnsi="宋体" w:eastAsia="宋体" w:cs="宋体"/>
          <w:b/>
          <w:bCs/>
          <w:color w:val="auto"/>
          <w:sz w:val="30"/>
          <w:szCs w:val="30"/>
          <w:highlight w:val="none"/>
          <w:lang w:val="en-US" w:eastAsia="zh-CN"/>
        </w:rPr>
      </w:pPr>
    </w:p>
    <w:p w14:paraId="4E1FC3DB">
      <w:pPr>
        <w:rPr>
          <w:rFonts w:hint="eastAsia" w:ascii="宋体" w:hAnsi="宋体" w:eastAsia="宋体" w:cs="宋体"/>
          <w:b/>
          <w:bCs/>
          <w:color w:val="auto"/>
          <w:sz w:val="30"/>
          <w:szCs w:val="30"/>
          <w:highlight w:val="none"/>
          <w:lang w:val="en-US" w:eastAsia="zh-CN"/>
        </w:rPr>
      </w:pPr>
    </w:p>
    <w:p w14:paraId="0B366FAC">
      <w:pPr>
        <w:pStyle w:val="6"/>
        <w:rPr>
          <w:rFonts w:hint="eastAsia" w:ascii="宋体" w:hAnsi="宋体" w:eastAsia="宋体" w:cs="宋体"/>
          <w:b/>
          <w:bCs/>
          <w:color w:val="auto"/>
          <w:sz w:val="30"/>
          <w:szCs w:val="30"/>
          <w:highlight w:val="none"/>
          <w:lang w:val="en-US" w:eastAsia="zh-CN"/>
        </w:rPr>
      </w:pPr>
    </w:p>
    <w:p w14:paraId="2C0087F7">
      <w:pPr>
        <w:rPr>
          <w:rFonts w:hint="eastAsia" w:ascii="宋体" w:hAnsi="宋体" w:eastAsia="宋体" w:cs="宋体"/>
          <w:b/>
          <w:bCs/>
          <w:color w:val="auto"/>
          <w:sz w:val="30"/>
          <w:szCs w:val="30"/>
          <w:highlight w:val="none"/>
          <w:lang w:val="en-US" w:eastAsia="zh-CN"/>
        </w:rPr>
      </w:pPr>
    </w:p>
    <w:p w14:paraId="2CC40B3D">
      <w:pPr>
        <w:pStyle w:val="6"/>
        <w:rPr>
          <w:rFonts w:hint="eastAsia" w:ascii="宋体" w:hAnsi="宋体" w:eastAsia="宋体" w:cs="宋体"/>
          <w:b/>
          <w:bCs/>
          <w:color w:val="auto"/>
          <w:sz w:val="30"/>
          <w:szCs w:val="30"/>
          <w:highlight w:val="none"/>
          <w:lang w:val="en-US" w:eastAsia="zh-CN"/>
        </w:rPr>
      </w:pPr>
    </w:p>
    <w:p w14:paraId="3216CB3E">
      <w:pPr>
        <w:rPr>
          <w:rFonts w:hint="eastAsia" w:ascii="宋体" w:hAnsi="宋体" w:eastAsia="宋体" w:cs="宋体"/>
          <w:b/>
          <w:bCs/>
          <w:color w:val="auto"/>
          <w:sz w:val="30"/>
          <w:szCs w:val="30"/>
          <w:highlight w:val="none"/>
          <w:lang w:val="en-US" w:eastAsia="zh-CN"/>
        </w:rPr>
      </w:pPr>
    </w:p>
    <w:p w14:paraId="4758C868">
      <w:pPr>
        <w:pStyle w:val="6"/>
        <w:rPr>
          <w:rFonts w:hint="eastAsia" w:ascii="宋体" w:hAnsi="宋体" w:eastAsia="宋体" w:cs="宋体"/>
          <w:b/>
          <w:bCs/>
          <w:color w:val="auto"/>
          <w:sz w:val="30"/>
          <w:szCs w:val="30"/>
          <w:highlight w:val="none"/>
          <w:lang w:val="en-US" w:eastAsia="zh-CN"/>
        </w:rPr>
      </w:pPr>
    </w:p>
    <w:p w14:paraId="70DDED9D">
      <w:pPr>
        <w:rPr>
          <w:rFonts w:hint="eastAsia" w:ascii="宋体" w:hAnsi="宋体" w:eastAsia="宋体" w:cs="宋体"/>
          <w:b/>
          <w:bCs/>
          <w:color w:val="auto"/>
          <w:sz w:val="30"/>
          <w:szCs w:val="30"/>
          <w:highlight w:val="none"/>
          <w:lang w:val="en-US" w:eastAsia="zh-CN"/>
        </w:rPr>
      </w:pPr>
    </w:p>
    <w:p w14:paraId="14624DC3">
      <w:pPr>
        <w:pStyle w:val="6"/>
        <w:rPr>
          <w:rFonts w:hint="eastAsia" w:ascii="宋体" w:hAnsi="宋体" w:eastAsia="宋体" w:cs="宋体"/>
          <w:b/>
          <w:bCs/>
          <w:color w:val="auto"/>
          <w:sz w:val="30"/>
          <w:szCs w:val="30"/>
          <w:highlight w:val="none"/>
          <w:lang w:val="en-US" w:eastAsia="zh-CN"/>
        </w:rPr>
      </w:pPr>
    </w:p>
    <w:p w14:paraId="6F275E07">
      <w:pPr>
        <w:rPr>
          <w:rFonts w:hint="eastAsia" w:ascii="宋体" w:hAnsi="宋体" w:eastAsia="宋体" w:cs="宋体"/>
          <w:b/>
          <w:bCs/>
          <w:color w:val="auto"/>
          <w:sz w:val="30"/>
          <w:szCs w:val="30"/>
          <w:highlight w:val="none"/>
          <w:lang w:val="en-US" w:eastAsia="zh-CN"/>
        </w:rPr>
      </w:pPr>
    </w:p>
    <w:p w14:paraId="15899241">
      <w:pPr>
        <w:pStyle w:val="6"/>
        <w:rPr>
          <w:rFonts w:hint="eastAsia" w:ascii="宋体" w:hAnsi="宋体" w:eastAsia="宋体" w:cs="宋体"/>
          <w:b/>
          <w:bCs/>
          <w:color w:val="auto"/>
          <w:sz w:val="30"/>
          <w:szCs w:val="30"/>
          <w:highlight w:val="none"/>
          <w:lang w:val="en-US" w:eastAsia="zh-CN"/>
        </w:rPr>
      </w:pPr>
    </w:p>
    <w:p w14:paraId="7E61215D">
      <w:pPr>
        <w:rPr>
          <w:rFonts w:hint="eastAsia"/>
          <w:color w:val="auto"/>
          <w:highlight w:val="none"/>
          <w:lang w:val="en-US" w:eastAsia="zh-CN"/>
        </w:rPr>
      </w:pPr>
    </w:p>
    <w:p w14:paraId="5554E9B4">
      <w:pPr>
        <w:rPr>
          <w:rFonts w:hint="eastAsia" w:ascii="宋体" w:hAnsi="宋体" w:eastAsia="宋体" w:cs="宋体"/>
          <w:b/>
          <w:bCs/>
          <w:color w:val="auto"/>
          <w:sz w:val="30"/>
          <w:szCs w:val="30"/>
          <w:highlight w:val="none"/>
          <w:lang w:val="en-US" w:eastAsia="zh-CN"/>
        </w:rPr>
      </w:pPr>
    </w:p>
    <w:p w14:paraId="388F7CCD">
      <w:pPr>
        <w:pStyle w:val="6"/>
        <w:rPr>
          <w:rFonts w:hint="eastAsia" w:ascii="宋体" w:hAnsi="宋体" w:eastAsia="宋体" w:cs="宋体"/>
          <w:b/>
          <w:bCs/>
          <w:color w:val="auto"/>
          <w:sz w:val="30"/>
          <w:szCs w:val="30"/>
          <w:highlight w:val="none"/>
          <w:lang w:val="en-US" w:eastAsia="zh-CN"/>
        </w:rPr>
      </w:pPr>
    </w:p>
    <w:p w14:paraId="21AB4A90">
      <w:pPr>
        <w:rPr>
          <w:rFonts w:hint="eastAsia"/>
          <w:color w:val="auto"/>
          <w:highlight w:val="none"/>
          <w:lang w:val="en-US" w:eastAsia="zh-CN"/>
        </w:rPr>
      </w:pPr>
    </w:p>
    <w:p w14:paraId="296A78EB">
      <w:pPr>
        <w:pStyle w:val="6"/>
        <w:rPr>
          <w:rFonts w:hint="eastAsia"/>
          <w:color w:val="auto"/>
          <w:highlight w:val="none"/>
          <w:lang w:val="en-US" w:eastAsia="zh-CN"/>
        </w:rPr>
      </w:pPr>
    </w:p>
    <w:p w14:paraId="7DAD04B0">
      <w:pPr>
        <w:keepNext w:val="0"/>
        <w:keepLines w:val="0"/>
        <w:pageBreakBefore w:val="0"/>
        <w:widowControl w:val="0"/>
        <w:kinsoku/>
        <w:wordWrap/>
        <w:overflowPunct/>
        <w:topLinePunct w:val="0"/>
        <w:autoSpaceDE w:val="0"/>
        <w:autoSpaceDN w:val="0"/>
        <w:bidi w:val="0"/>
        <w:adjustRightInd/>
        <w:snapToGrid/>
        <w:spacing w:line="440" w:lineRule="exact"/>
        <w:ind w:firstLine="1205" w:firstLineChars="400"/>
        <w:jc w:val="both"/>
        <w:textAlignment w:val="auto"/>
        <w:rPr>
          <w:rFonts w:hint="eastAsia" w:ascii="宋体" w:hAnsi="宋体" w:eastAsia="宋体" w:cs="宋体"/>
          <w:b/>
          <w:bCs/>
          <w:color w:val="auto"/>
          <w:sz w:val="30"/>
          <w:szCs w:val="30"/>
          <w:highlight w:val="none"/>
        </w:rPr>
      </w:pPr>
      <w:r>
        <w:rPr>
          <w:rFonts w:hint="eastAsia" w:cs="宋体"/>
          <w:b/>
          <w:bCs/>
          <w:color w:val="auto"/>
          <w:sz w:val="30"/>
          <w:szCs w:val="30"/>
          <w:highlight w:val="none"/>
          <w:lang w:val="en-US" w:eastAsia="zh-CN"/>
        </w:rPr>
        <w:t xml:space="preserve">2.7  </w:t>
      </w:r>
      <w:r>
        <w:rPr>
          <w:rFonts w:hint="eastAsia" w:ascii="宋体" w:hAnsi="宋体" w:eastAsia="宋体" w:cs="宋体"/>
          <w:b/>
          <w:bCs/>
          <w:color w:val="auto"/>
          <w:sz w:val="30"/>
          <w:szCs w:val="30"/>
          <w:highlight w:val="none"/>
        </w:rPr>
        <w:t>中小企业声明函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实质性条款必须提供</w:t>
      </w:r>
      <w:r>
        <w:rPr>
          <w:rFonts w:hint="eastAsia" w:cs="宋体"/>
          <w:b/>
          <w:bCs/>
          <w:color w:val="auto"/>
          <w:sz w:val="30"/>
          <w:szCs w:val="30"/>
          <w:highlight w:val="none"/>
          <w:lang w:eastAsia="zh-CN"/>
        </w:rPr>
        <w:t>）</w:t>
      </w:r>
      <w:r>
        <w:rPr>
          <w:rFonts w:hint="eastAsia" w:ascii="宋体" w:hAnsi="宋体" w:eastAsia="宋体" w:cs="宋体"/>
          <w:b/>
          <w:bCs/>
          <w:color w:val="auto"/>
          <w:sz w:val="30"/>
          <w:szCs w:val="30"/>
          <w:highlight w:val="none"/>
        </w:rPr>
        <w:t xml:space="preserve"> </w:t>
      </w:r>
    </w:p>
    <w:p w14:paraId="37B357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B67323">
      <w:pPr>
        <w:pStyle w:val="16"/>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本公司（联合体）郑重声明，根据《政府采购促进中小企业发展管理办法》（财库〔2020〕46号）的规定，</w:t>
      </w:r>
      <w:r>
        <w:rPr>
          <w:rFonts w:hint="eastAsia" w:ascii="宋体" w:hAnsi="宋体" w:eastAsia="宋体" w:cs="宋体"/>
          <w:color w:val="auto"/>
          <w:spacing w:val="6"/>
          <w:kern w:val="0"/>
          <w:sz w:val="24"/>
          <w:szCs w:val="24"/>
          <w:highlight w:val="none"/>
          <w:u w:val="single"/>
          <w:lang w:val="zh-CN" w:eastAsia="zh-CN" w:bidi="zh-CN"/>
        </w:rPr>
        <w:t>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rFonts w:hint="eastAsia" w:ascii="宋体" w:hAnsi="宋体" w:eastAsia="宋体" w:cs="宋体"/>
          <w:color w:val="auto"/>
          <w:spacing w:val="6"/>
          <w:kern w:val="0"/>
          <w:sz w:val="24"/>
          <w:szCs w:val="24"/>
          <w:highlight w:val="none"/>
          <w:lang w:val="zh-CN" w:eastAsia="zh-CN" w:bidi="zh-CN"/>
        </w:rPr>
        <w:t>的具体情况如下：</w:t>
      </w:r>
    </w:p>
    <w:p w14:paraId="28708939">
      <w:pPr>
        <w:pStyle w:val="16"/>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1.</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0B3C2350">
      <w:pPr>
        <w:pStyle w:val="16"/>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2.</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6BCC00EE">
      <w:pPr>
        <w:pStyle w:val="16"/>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w:t>
      </w:r>
    </w:p>
    <w:p w14:paraId="511419BD">
      <w:pPr>
        <w:pStyle w:val="16"/>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以上企业，不属于大企业的分支机构，不存在控股股东为大企业的情形，也不存在与大企业的负责人为同一人的情形。</w:t>
      </w:r>
    </w:p>
    <w:p w14:paraId="5A2B4256">
      <w:pPr>
        <w:pStyle w:val="16"/>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本企业对上述声明内容的真实性负责。如有虚假，将依法承担相应责任。</w:t>
      </w:r>
    </w:p>
    <w:p w14:paraId="6BBDAFAE">
      <w:pPr>
        <w:pStyle w:val="16"/>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w:t>
      </w:r>
    </w:p>
    <w:p w14:paraId="1F9078AC">
      <w:pPr>
        <w:pStyle w:val="16"/>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企业名称（盖章）：</w:t>
      </w:r>
    </w:p>
    <w:p w14:paraId="7FB184F5">
      <w:pPr>
        <w:pStyle w:val="16"/>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日期：</w:t>
      </w:r>
    </w:p>
    <w:p w14:paraId="52DB5DB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从业人员、营业收入、资产总额填报上一年度数据，无上一年度数据的新成立企业</w:t>
      </w:r>
      <w:r>
        <w:rPr>
          <w:rFonts w:hint="eastAsia"/>
          <w:b/>
          <w:bCs/>
          <w:color w:val="auto"/>
          <w:sz w:val="18"/>
          <w:highlight w:val="none"/>
          <w:lang w:val="en-US" w:eastAsia="zh-CN"/>
        </w:rPr>
        <w:t>按照现状</w:t>
      </w:r>
      <w:r>
        <w:rPr>
          <w:rFonts w:hint="eastAsia" w:ascii="宋体" w:hAnsi="宋体" w:eastAsia="宋体"/>
          <w:b/>
          <w:bCs/>
          <w:color w:val="auto"/>
          <w:sz w:val="18"/>
          <w:highlight w:val="none"/>
        </w:rPr>
        <w:t>填报。</w:t>
      </w:r>
    </w:p>
    <w:p w14:paraId="57402E77">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300" w:right="0" w:rightChars="0"/>
        <w:jc w:val="both"/>
        <w:textAlignment w:val="auto"/>
        <w:rPr>
          <w:rFonts w:hint="eastAsia" w:ascii="宋体" w:hAnsi="宋体" w:eastAsia="宋体" w:cs="宋体"/>
          <w:b/>
          <w:bCs/>
          <w:color w:val="auto"/>
          <w:sz w:val="30"/>
          <w:szCs w:val="30"/>
          <w:highlight w:val="none"/>
          <w:lang w:val="en-US" w:eastAsia="zh-CN"/>
        </w:rPr>
      </w:pPr>
      <w:r>
        <w:rPr>
          <w:rFonts w:hint="eastAsia"/>
          <w:b/>
          <w:bCs/>
          <w:color w:val="auto"/>
          <w:sz w:val="18"/>
          <w:szCs w:val="22"/>
          <w:highlight w:val="none"/>
          <w:lang w:val="en-US" w:eastAsia="zh-CN"/>
        </w:rPr>
        <w:t>2、</w:t>
      </w: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14:paraId="0AA55F56">
      <w:pPr>
        <w:pStyle w:val="18"/>
        <w:rPr>
          <w:rFonts w:hint="eastAsia"/>
          <w:lang w:val="en-US" w:eastAsia="zh-CN"/>
        </w:rPr>
      </w:pPr>
    </w:p>
    <w:p w14:paraId="05AF2671">
      <w:pPr>
        <w:spacing w:line="360" w:lineRule="auto"/>
        <w:jc w:val="center"/>
        <w:rPr>
          <w:rFonts w:ascii="仿宋_GB2312" w:hAnsi="仿宋_GB2312" w:eastAsia="仿宋_GB2312"/>
          <w:b/>
          <w:bCs/>
          <w:color w:val="auto"/>
          <w:sz w:val="32"/>
          <w:szCs w:val="32"/>
          <w:highlight w:val="none"/>
        </w:rPr>
      </w:pPr>
      <w:r>
        <w:rPr>
          <w:rFonts w:hint="eastAsia" w:ascii="仿宋_GB2312" w:hAnsi="仿宋_GB2312" w:eastAsia="仿宋_GB2312" w:cs="仿宋"/>
          <w:b/>
          <w:bCs/>
          <w:color w:val="auto"/>
          <w:sz w:val="32"/>
          <w:szCs w:val="32"/>
          <w:highlight w:val="none"/>
          <w:lang w:val="en-US" w:eastAsia="zh-CN"/>
        </w:rPr>
        <w:t xml:space="preserve">2.8 </w:t>
      </w:r>
      <w:r>
        <w:rPr>
          <w:rFonts w:hint="eastAsia" w:ascii="宋体" w:hAnsi="宋体" w:eastAsia="宋体" w:cs="宋体"/>
          <w:b/>
          <w:bCs/>
          <w:color w:val="auto"/>
          <w:sz w:val="30"/>
          <w:szCs w:val="30"/>
          <w:highlight w:val="none"/>
        </w:rPr>
        <w:t>残疾人福利性单位声明函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14:paraId="0F054179">
      <w:pPr>
        <w:spacing w:line="360" w:lineRule="auto"/>
        <w:rPr>
          <w:rFonts w:ascii="仿宋_GB2312" w:hAnsi="仿宋_GB2312" w:eastAsia="仿宋_GB2312"/>
          <w:b/>
          <w:bCs/>
          <w:color w:val="auto"/>
          <w:spacing w:val="6"/>
          <w:highlight w:val="none"/>
        </w:rPr>
      </w:pPr>
    </w:p>
    <w:p w14:paraId="0240EB80">
      <w:pPr>
        <w:spacing w:line="360" w:lineRule="auto"/>
        <w:ind w:firstLine="504" w:firstLineChars="200"/>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项目采购活动由本单位承担工程。</w:t>
      </w:r>
    </w:p>
    <w:p w14:paraId="66CD8D9B">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2E9CECB7">
      <w:pPr>
        <w:spacing w:line="360" w:lineRule="auto"/>
        <w:rPr>
          <w:rFonts w:hint="eastAsia" w:ascii="宋体" w:hAnsi="宋体" w:eastAsia="宋体" w:cs="宋体"/>
          <w:color w:val="auto"/>
          <w:spacing w:val="6"/>
          <w:sz w:val="24"/>
          <w:szCs w:val="24"/>
          <w:highlight w:val="none"/>
        </w:rPr>
      </w:pPr>
    </w:p>
    <w:p w14:paraId="78527BF0">
      <w:pPr>
        <w:spacing w:line="360" w:lineRule="auto"/>
        <w:rPr>
          <w:rFonts w:hint="eastAsia" w:ascii="宋体" w:hAnsi="宋体" w:eastAsia="宋体" w:cs="宋体"/>
          <w:color w:val="auto"/>
          <w:spacing w:val="6"/>
          <w:sz w:val="24"/>
          <w:szCs w:val="24"/>
          <w:highlight w:val="none"/>
        </w:rPr>
      </w:pPr>
    </w:p>
    <w:p w14:paraId="7794D1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供应商名称：XXXX（加盖公章）</w:t>
      </w:r>
    </w:p>
    <w:p w14:paraId="6B1D065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日期：XXX年XXX月XXX日</w:t>
      </w:r>
    </w:p>
    <w:p w14:paraId="2AB9522D">
      <w:pPr>
        <w:spacing w:line="360" w:lineRule="auto"/>
        <w:ind w:firstLine="480" w:firstLineChars="200"/>
        <w:rPr>
          <w:rFonts w:hint="eastAsia" w:ascii="宋体" w:hAnsi="宋体" w:eastAsia="宋体" w:cs="宋体"/>
          <w:color w:val="auto"/>
          <w:sz w:val="24"/>
          <w:szCs w:val="24"/>
          <w:highlight w:val="none"/>
        </w:rPr>
      </w:pPr>
    </w:p>
    <w:p w14:paraId="00981AB0">
      <w:pPr>
        <w:spacing w:line="360" w:lineRule="auto"/>
        <w:rPr>
          <w:rFonts w:hint="eastAsia" w:ascii="宋体" w:hAnsi="宋体" w:eastAsia="宋体" w:cs="宋体"/>
          <w:color w:val="auto"/>
          <w:sz w:val="24"/>
          <w:szCs w:val="24"/>
          <w:highlight w:val="none"/>
        </w:rPr>
      </w:pPr>
    </w:p>
    <w:p w14:paraId="4F8F6F32">
      <w:pPr>
        <w:spacing w:line="360" w:lineRule="auto"/>
        <w:rPr>
          <w:rFonts w:hint="eastAsia" w:ascii="宋体" w:hAnsi="宋体" w:eastAsia="宋体" w:cs="宋体"/>
          <w:color w:val="auto"/>
          <w:sz w:val="24"/>
          <w:szCs w:val="24"/>
          <w:highlight w:val="none"/>
        </w:rPr>
      </w:pPr>
    </w:p>
    <w:p w14:paraId="3357CA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45D43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3B056D2">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59C34F07">
      <w:pPr>
        <w:spacing w:line="360" w:lineRule="auto"/>
        <w:ind w:firstLine="431" w:firstLineChars="196"/>
        <w:outlineLvl w:val="1"/>
        <w:rPr>
          <w:rFonts w:ascii="仿宋_GB2312" w:hAnsi="仿宋_GB2312" w:eastAsia="仿宋_GB2312"/>
          <w:color w:val="auto"/>
          <w:highlight w:val="none"/>
        </w:rPr>
      </w:pPr>
    </w:p>
    <w:p w14:paraId="1721C4C8">
      <w:pPr>
        <w:spacing w:line="360" w:lineRule="auto"/>
        <w:rPr>
          <w:rFonts w:ascii="仿宋_GB2312" w:hAnsi="仿宋_GB2312" w:eastAsia="仿宋_GB2312"/>
          <w:b/>
          <w:bCs/>
          <w:color w:val="auto"/>
          <w:sz w:val="28"/>
          <w:szCs w:val="28"/>
          <w:highlight w:val="none"/>
        </w:rPr>
        <w:sectPr>
          <w:headerReference r:id="rId19" w:type="default"/>
          <w:footerReference r:id="rId20" w:type="default"/>
          <w:footerReference r:id="rId21" w:type="even"/>
          <w:pgSz w:w="11907" w:h="16840"/>
          <w:pgMar w:top="1440" w:right="1797" w:bottom="1440" w:left="1797" w:header="851" w:footer="992" w:gutter="0"/>
          <w:pgNumType w:fmt="decimal"/>
          <w:cols w:space="720" w:num="1"/>
          <w:docGrid w:linePitch="312" w:charSpace="0"/>
        </w:sectPr>
      </w:pPr>
    </w:p>
    <w:p w14:paraId="688A7840">
      <w:pPr>
        <w:spacing w:line="360" w:lineRule="auto"/>
        <w:jc w:val="center"/>
        <w:rPr>
          <w:rFonts w:hint="eastAsia" w:ascii="宋体" w:hAnsi="宋体" w:eastAsia="宋体" w:cs="宋体"/>
          <w:b/>
          <w:bCs/>
          <w:color w:val="auto"/>
          <w:sz w:val="30"/>
          <w:szCs w:val="30"/>
          <w:highlight w:val="none"/>
          <w:lang w:eastAsia="zh-CN"/>
        </w:rPr>
      </w:pPr>
      <w:r>
        <w:rPr>
          <w:rFonts w:hint="eastAsia" w:cs="宋体"/>
          <w:b/>
          <w:bCs/>
          <w:color w:val="auto"/>
          <w:sz w:val="30"/>
          <w:szCs w:val="30"/>
          <w:highlight w:val="none"/>
          <w:lang w:val="en-US" w:eastAsia="zh-CN"/>
        </w:rPr>
        <w:t xml:space="preserve">2.9 </w:t>
      </w:r>
      <w:r>
        <w:rPr>
          <w:rFonts w:hint="eastAsia" w:ascii="宋体" w:hAnsi="宋体" w:eastAsia="宋体" w:cs="宋体"/>
          <w:b/>
          <w:bCs/>
          <w:color w:val="auto"/>
          <w:sz w:val="30"/>
          <w:szCs w:val="30"/>
          <w:highlight w:val="none"/>
        </w:rPr>
        <w:t>监狱企业证明</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14:paraId="643542BF">
      <w:pPr>
        <w:spacing w:line="360" w:lineRule="auto"/>
        <w:jc w:val="center"/>
        <w:rPr>
          <w:rFonts w:ascii="仿宋_GB2312" w:hAnsi="仿宋_GB2312" w:eastAsia="仿宋_GB2312" w:cs="仿宋"/>
          <w:b/>
          <w:bCs/>
          <w:color w:val="auto"/>
          <w:sz w:val="32"/>
          <w:szCs w:val="32"/>
          <w:highlight w:val="none"/>
        </w:rPr>
      </w:pPr>
    </w:p>
    <w:p w14:paraId="7B945666">
      <w:pPr>
        <w:spacing w:line="360" w:lineRule="auto"/>
        <w:jc w:val="center"/>
        <w:rPr>
          <w:rFonts w:ascii="仿宋_GB2312" w:hAnsi="仿宋_GB2312" w:eastAsia="仿宋_GB2312" w:cs="仿宋"/>
          <w:b/>
          <w:bCs/>
          <w:color w:val="auto"/>
          <w:sz w:val="32"/>
          <w:szCs w:val="32"/>
          <w:highlight w:val="none"/>
        </w:rPr>
      </w:pPr>
    </w:p>
    <w:p w14:paraId="1EA0080E">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注：1.监狱企业参加政府采购活动时，应当提供由省级以上监狱管理局、戒毒管理局（含新疆生产建设兵团）出具的属于监狱企业的证明文件，并加盖单位公章。</w:t>
      </w:r>
    </w:p>
    <w:p w14:paraId="2F236B56">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2.监狱企业视同小型、微型企业，享受预留份额、评审中价格扣除等政府采购促进中小企业发展的政府采购政策。监狱企业属于小型、微型企业的，不重复享受政策。</w:t>
      </w:r>
    </w:p>
    <w:p w14:paraId="438E93A8">
      <w:pPr>
        <w:rPr>
          <w:rFonts w:hint="eastAsia"/>
          <w:color w:val="auto"/>
          <w:highlight w:val="none"/>
          <w:lang w:val="en-US" w:eastAsia="zh-CN"/>
        </w:rPr>
      </w:pPr>
    </w:p>
    <w:p w14:paraId="21822272">
      <w:pPr>
        <w:pStyle w:val="6"/>
        <w:rPr>
          <w:rFonts w:hint="eastAsia"/>
          <w:color w:val="auto"/>
          <w:highlight w:val="none"/>
          <w:lang w:val="en-US" w:eastAsia="zh-CN"/>
        </w:rPr>
      </w:pPr>
    </w:p>
    <w:p w14:paraId="0612CB6B">
      <w:pPr>
        <w:rPr>
          <w:rFonts w:hint="eastAsia"/>
          <w:color w:val="auto"/>
          <w:highlight w:val="none"/>
          <w:lang w:val="en-US" w:eastAsia="zh-CN"/>
        </w:rPr>
      </w:pPr>
    </w:p>
    <w:p w14:paraId="025473FB">
      <w:pPr>
        <w:pStyle w:val="6"/>
        <w:rPr>
          <w:rFonts w:hint="eastAsia"/>
          <w:color w:val="auto"/>
          <w:highlight w:val="none"/>
          <w:lang w:val="en-US" w:eastAsia="zh-CN"/>
        </w:rPr>
      </w:pPr>
    </w:p>
    <w:p w14:paraId="725006F4">
      <w:pPr>
        <w:rPr>
          <w:rFonts w:hint="eastAsia"/>
          <w:color w:val="auto"/>
          <w:highlight w:val="none"/>
          <w:lang w:val="en-US" w:eastAsia="zh-CN"/>
        </w:rPr>
      </w:pPr>
    </w:p>
    <w:p w14:paraId="191F9659">
      <w:pPr>
        <w:pStyle w:val="6"/>
        <w:rPr>
          <w:rFonts w:hint="eastAsia"/>
          <w:color w:val="auto"/>
          <w:highlight w:val="none"/>
          <w:lang w:val="en-US" w:eastAsia="zh-CN"/>
        </w:rPr>
      </w:pPr>
    </w:p>
    <w:p w14:paraId="5D6B46B0">
      <w:pPr>
        <w:rPr>
          <w:rFonts w:hint="eastAsia"/>
          <w:color w:val="auto"/>
          <w:highlight w:val="none"/>
          <w:lang w:val="en-US" w:eastAsia="zh-CN"/>
        </w:rPr>
      </w:pPr>
    </w:p>
    <w:p w14:paraId="5EFA2C72">
      <w:pPr>
        <w:pStyle w:val="6"/>
        <w:rPr>
          <w:rFonts w:hint="eastAsia"/>
          <w:color w:val="auto"/>
          <w:highlight w:val="none"/>
          <w:lang w:val="en-US" w:eastAsia="zh-CN"/>
        </w:rPr>
      </w:pPr>
    </w:p>
    <w:p w14:paraId="2EA25CE8">
      <w:pPr>
        <w:rPr>
          <w:rFonts w:hint="eastAsia"/>
          <w:color w:val="auto"/>
          <w:highlight w:val="none"/>
          <w:lang w:val="en-US" w:eastAsia="zh-CN"/>
        </w:rPr>
      </w:pPr>
    </w:p>
    <w:p w14:paraId="4541897D">
      <w:pPr>
        <w:pStyle w:val="6"/>
        <w:rPr>
          <w:rFonts w:hint="eastAsia"/>
          <w:color w:val="auto"/>
          <w:highlight w:val="none"/>
          <w:lang w:val="en-US" w:eastAsia="zh-CN"/>
        </w:rPr>
      </w:pPr>
    </w:p>
    <w:p w14:paraId="04E4F952">
      <w:pPr>
        <w:rPr>
          <w:rFonts w:hint="eastAsia"/>
          <w:color w:val="auto"/>
          <w:highlight w:val="none"/>
          <w:lang w:val="en-US" w:eastAsia="zh-CN"/>
        </w:rPr>
      </w:pPr>
    </w:p>
    <w:p w14:paraId="197C3F34">
      <w:pPr>
        <w:pStyle w:val="6"/>
        <w:rPr>
          <w:rFonts w:hint="eastAsia"/>
          <w:color w:val="auto"/>
          <w:highlight w:val="none"/>
          <w:lang w:val="en-US" w:eastAsia="zh-CN"/>
        </w:rPr>
      </w:pPr>
    </w:p>
    <w:p w14:paraId="79568861">
      <w:pPr>
        <w:rPr>
          <w:rFonts w:hint="eastAsia"/>
          <w:color w:val="auto"/>
          <w:highlight w:val="none"/>
          <w:lang w:val="en-US" w:eastAsia="zh-CN"/>
        </w:rPr>
      </w:pPr>
    </w:p>
    <w:p w14:paraId="1FD986B3">
      <w:pPr>
        <w:pStyle w:val="6"/>
        <w:rPr>
          <w:rFonts w:hint="eastAsia"/>
          <w:color w:val="auto"/>
          <w:highlight w:val="none"/>
          <w:lang w:val="en-US" w:eastAsia="zh-CN"/>
        </w:rPr>
      </w:pPr>
    </w:p>
    <w:p w14:paraId="1F25DFDE">
      <w:pPr>
        <w:rPr>
          <w:rFonts w:hint="eastAsia"/>
          <w:color w:val="auto"/>
          <w:highlight w:val="none"/>
          <w:lang w:val="en-US" w:eastAsia="zh-CN"/>
        </w:rPr>
      </w:pPr>
    </w:p>
    <w:p w14:paraId="32B8D497">
      <w:pPr>
        <w:pStyle w:val="6"/>
        <w:rPr>
          <w:rFonts w:hint="eastAsia"/>
          <w:color w:val="auto"/>
          <w:highlight w:val="none"/>
          <w:lang w:val="en-US" w:eastAsia="zh-CN"/>
        </w:rPr>
      </w:pPr>
    </w:p>
    <w:p w14:paraId="3B382ED1">
      <w:pPr>
        <w:rPr>
          <w:rFonts w:hint="eastAsia"/>
          <w:color w:val="auto"/>
          <w:highlight w:val="none"/>
          <w:lang w:val="en-US" w:eastAsia="zh-CN"/>
        </w:rPr>
      </w:pPr>
    </w:p>
    <w:p w14:paraId="11B7D951">
      <w:pPr>
        <w:pStyle w:val="6"/>
        <w:rPr>
          <w:rFonts w:hint="eastAsia"/>
          <w:color w:val="auto"/>
          <w:highlight w:val="none"/>
          <w:lang w:val="en-US" w:eastAsia="zh-CN"/>
        </w:rPr>
      </w:pPr>
    </w:p>
    <w:p w14:paraId="2A358D76">
      <w:pPr>
        <w:rPr>
          <w:rFonts w:hint="eastAsia"/>
          <w:color w:val="auto"/>
          <w:highlight w:val="none"/>
          <w:lang w:val="en-US" w:eastAsia="zh-CN"/>
        </w:rPr>
      </w:pPr>
    </w:p>
    <w:p w14:paraId="1FCF7AAF">
      <w:pPr>
        <w:pStyle w:val="6"/>
        <w:rPr>
          <w:rFonts w:hint="eastAsia"/>
          <w:color w:val="auto"/>
          <w:highlight w:val="none"/>
          <w:lang w:val="en-US" w:eastAsia="zh-CN"/>
        </w:rPr>
      </w:pPr>
    </w:p>
    <w:p w14:paraId="4E5D17D7">
      <w:pPr>
        <w:rPr>
          <w:rFonts w:hint="eastAsia"/>
          <w:color w:val="auto"/>
          <w:highlight w:val="none"/>
          <w:lang w:val="en-US" w:eastAsia="zh-CN"/>
        </w:rPr>
      </w:pPr>
    </w:p>
    <w:p w14:paraId="66D2E6C9">
      <w:pPr>
        <w:pStyle w:val="6"/>
        <w:rPr>
          <w:rFonts w:hint="eastAsia"/>
          <w:color w:val="auto"/>
          <w:highlight w:val="none"/>
          <w:lang w:val="en-US" w:eastAsia="zh-CN"/>
        </w:rPr>
      </w:pPr>
    </w:p>
    <w:p w14:paraId="7B9D9AA4">
      <w:pPr>
        <w:rPr>
          <w:rFonts w:hint="eastAsia"/>
          <w:color w:val="auto"/>
          <w:highlight w:val="none"/>
          <w:lang w:val="en-US" w:eastAsia="zh-CN"/>
        </w:rPr>
      </w:pPr>
    </w:p>
    <w:p w14:paraId="2BB009F5">
      <w:pPr>
        <w:pStyle w:val="6"/>
        <w:rPr>
          <w:rFonts w:hint="eastAsia"/>
          <w:color w:val="auto"/>
          <w:highlight w:val="none"/>
          <w:lang w:val="en-US" w:eastAsia="zh-CN"/>
        </w:rPr>
      </w:pPr>
    </w:p>
    <w:p w14:paraId="427141D5">
      <w:pPr>
        <w:rPr>
          <w:rFonts w:hint="eastAsia"/>
          <w:color w:val="auto"/>
          <w:highlight w:val="none"/>
          <w:lang w:val="en-US" w:eastAsia="zh-CN"/>
        </w:rPr>
      </w:pPr>
    </w:p>
    <w:p w14:paraId="10B3DA1D">
      <w:pPr>
        <w:pStyle w:val="15"/>
        <w:rPr>
          <w:rFonts w:hint="eastAsia"/>
          <w:color w:val="auto"/>
          <w:highlight w:val="none"/>
          <w:lang w:val="en-US" w:eastAsia="zh-CN"/>
        </w:rPr>
      </w:pPr>
    </w:p>
    <w:p w14:paraId="7E02E6ED">
      <w:pPr>
        <w:pStyle w:val="10"/>
        <w:rPr>
          <w:rFonts w:hint="eastAsia"/>
          <w:color w:val="auto"/>
          <w:highlight w:val="none"/>
          <w:lang w:val="en-US" w:eastAsia="zh-CN"/>
        </w:rPr>
      </w:pPr>
    </w:p>
    <w:p w14:paraId="3D0626F1">
      <w:pPr>
        <w:pStyle w:val="10"/>
        <w:rPr>
          <w:rFonts w:hint="eastAsia"/>
          <w:color w:val="auto"/>
          <w:highlight w:val="none"/>
          <w:lang w:val="en-US" w:eastAsia="zh-CN"/>
        </w:rPr>
      </w:pPr>
    </w:p>
    <w:p w14:paraId="451ABDBE">
      <w:pPr>
        <w:pStyle w:val="10"/>
        <w:rPr>
          <w:rFonts w:hint="eastAsia"/>
          <w:color w:val="auto"/>
          <w:highlight w:val="none"/>
          <w:lang w:val="en-US" w:eastAsia="zh-CN"/>
        </w:rPr>
      </w:pPr>
    </w:p>
    <w:p w14:paraId="3B9F05CA">
      <w:pPr>
        <w:pStyle w:val="10"/>
        <w:rPr>
          <w:rFonts w:hint="eastAsia"/>
          <w:color w:val="auto"/>
          <w:highlight w:val="none"/>
          <w:lang w:val="en-US" w:eastAsia="zh-CN"/>
        </w:rPr>
      </w:pPr>
    </w:p>
    <w:p w14:paraId="082890BC">
      <w:pPr>
        <w:pStyle w:val="6"/>
        <w:rPr>
          <w:rFonts w:hint="eastAsia"/>
          <w:color w:val="auto"/>
          <w:highlight w:val="none"/>
          <w:lang w:val="en-US" w:eastAsia="zh-CN"/>
        </w:rPr>
      </w:pPr>
    </w:p>
    <w:p w14:paraId="521DB7F7">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6"/>
          <w:szCs w:val="36"/>
          <w:highlight w:val="none"/>
        </w:rPr>
      </w:pPr>
      <w:bookmarkStart w:id="197" w:name="_Toc12316_WPSOffice_Level1"/>
      <w:r>
        <w:rPr>
          <w:rFonts w:hint="eastAsia"/>
          <w:b/>
          <w:bCs/>
          <w:color w:val="auto"/>
          <w:sz w:val="36"/>
          <w:szCs w:val="36"/>
          <w:highlight w:val="none"/>
          <w:lang w:val="en-US" w:eastAsia="zh-CN"/>
        </w:rPr>
        <w:t>三、技术文件</w:t>
      </w:r>
      <w:bookmarkEnd w:id="197"/>
    </w:p>
    <w:p w14:paraId="3FA1594C">
      <w:pPr>
        <w:rPr>
          <w:rFonts w:hint="eastAsia"/>
          <w:color w:val="auto"/>
          <w:highlight w:val="none"/>
          <w:lang w:val="en-US" w:eastAsia="zh-CN"/>
        </w:rPr>
      </w:pPr>
    </w:p>
    <w:p w14:paraId="27405DA9">
      <w:pPr>
        <w:rPr>
          <w:rFonts w:hint="eastAsia"/>
          <w:color w:val="auto"/>
          <w:highlight w:val="none"/>
          <w:lang w:val="en-US" w:eastAsia="zh-CN"/>
        </w:rPr>
      </w:pPr>
    </w:p>
    <w:p w14:paraId="7AE7553C">
      <w:pPr>
        <w:pStyle w:val="6"/>
        <w:rPr>
          <w:rFonts w:hint="eastAsia"/>
          <w:color w:val="auto"/>
          <w:highlight w:val="none"/>
          <w:lang w:val="en-US" w:eastAsia="zh-CN"/>
        </w:rPr>
      </w:pPr>
    </w:p>
    <w:p w14:paraId="2B6B873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s="宋体"/>
          <w:b/>
          <w:bCs/>
          <w:color w:val="auto"/>
          <w:sz w:val="30"/>
          <w:szCs w:val="30"/>
          <w:highlight w:val="none"/>
          <w:lang w:val="en-US" w:eastAsia="zh-CN"/>
        </w:rPr>
      </w:pPr>
      <w:r>
        <w:rPr>
          <w:rFonts w:hint="eastAsia" w:cs="宋体"/>
          <w:b/>
          <w:bCs/>
          <w:color w:val="auto"/>
          <w:sz w:val="30"/>
          <w:szCs w:val="30"/>
          <w:highlight w:val="none"/>
          <w:lang w:val="en-US" w:eastAsia="zh-CN"/>
        </w:rPr>
        <w:t xml:space="preserve">3.1  技术服务内容 </w:t>
      </w:r>
    </w:p>
    <w:p w14:paraId="25DDEE7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48B4F21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应包括但不局限于以下内容 </w:t>
      </w:r>
    </w:p>
    <w:p w14:paraId="3D94E65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技术方案必须科学合理、真实可行，能充分体现出自身技术和专业优势。其要点和主要内容不限于如下内容： </w:t>
      </w:r>
    </w:p>
    <w:p w14:paraId="25DCE31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4.2.1 项目实施方案； </w:t>
      </w:r>
    </w:p>
    <w:p w14:paraId="0955F61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4.2.2 施工工期保证措施； </w:t>
      </w:r>
    </w:p>
    <w:p w14:paraId="79A9CD9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4.2.3 质量管理及质量保证措施； </w:t>
      </w:r>
    </w:p>
    <w:p w14:paraId="1AA2AF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4.2.4 施工安全及文明施工措施； </w:t>
      </w:r>
    </w:p>
    <w:p w14:paraId="694BCCC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4.2.5 应急服务方案； </w:t>
      </w:r>
    </w:p>
    <w:p w14:paraId="5D3F40C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4.2.6 员工权益保障方案； </w:t>
      </w:r>
    </w:p>
    <w:p w14:paraId="5D8F4FE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4.2.7 企业规章制度情况。 </w:t>
      </w:r>
    </w:p>
    <w:p w14:paraId="1F589F69">
      <w:pPr>
        <w:pStyle w:val="6"/>
        <w:rPr>
          <w:rFonts w:hint="eastAsia" w:ascii="宋体" w:hAnsi="宋体" w:eastAsia="宋体" w:cs="宋体"/>
          <w:color w:val="auto"/>
          <w:sz w:val="24"/>
          <w:szCs w:val="24"/>
          <w:highlight w:val="none"/>
          <w:lang w:val="en-US" w:eastAsia="zh-CN"/>
        </w:rPr>
      </w:pPr>
    </w:p>
    <w:p w14:paraId="23C8E75C">
      <w:pPr>
        <w:rPr>
          <w:rFonts w:hint="eastAsia"/>
          <w:color w:val="auto"/>
          <w:highlight w:val="none"/>
          <w:lang w:val="en-US" w:eastAsia="zh-CN"/>
        </w:rPr>
      </w:pPr>
    </w:p>
    <w:p w14:paraId="5B94B97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提供相应证明材料。</w:t>
      </w:r>
    </w:p>
    <w:p w14:paraId="2C5AB31E">
      <w:pPr>
        <w:pStyle w:val="6"/>
        <w:rPr>
          <w:rFonts w:hint="eastAsia"/>
          <w:color w:val="auto"/>
          <w:highlight w:val="none"/>
          <w:lang w:val="en-US" w:eastAsia="zh-CN"/>
        </w:rPr>
      </w:pPr>
    </w:p>
    <w:p w14:paraId="41ABB021">
      <w:pPr>
        <w:rPr>
          <w:rFonts w:hint="eastAsia"/>
          <w:color w:val="auto"/>
          <w:highlight w:val="none"/>
          <w:lang w:val="en-US" w:eastAsia="zh-CN"/>
        </w:rPr>
      </w:pPr>
    </w:p>
    <w:p w14:paraId="6550F42E">
      <w:pPr>
        <w:pStyle w:val="6"/>
        <w:rPr>
          <w:rFonts w:hint="eastAsia"/>
          <w:color w:val="auto"/>
          <w:highlight w:val="none"/>
          <w:lang w:val="en-US" w:eastAsia="zh-CN"/>
        </w:rPr>
      </w:pPr>
    </w:p>
    <w:p w14:paraId="179736D6">
      <w:pPr>
        <w:rPr>
          <w:rFonts w:hint="eastAsia"/>
          <w:color w:val="auto"/>
          <w:highlight w:val="none"/>
          <w:lang w:val="en-US" w:eastAsia="zh-CN"/>
        </w:rPr>
      </w:pPr>
    </w:p>
    <w:p w14:paraId="28BDA092">
      <w:pPr>
        <w:pStyle w:val="6"/>
        <w:rPr>
          <w:rFonts w:hint="eastAsia"/>
          <w:color w:val="auto"/>
          <w:highlight w:val="none"/>
          <w:lang w:val="en-US" w:eastAsia="zh-CN"/>
        </w:rPr>
      </w:pPr>
    </w:p>
    <w:p w14:paraId="6FEBA996">
      <w:pPr>
        <w:rPr>
          <w:rFonts w:hint="eastAsia"/>
          <w:color w:val="auto"/>
          <w:highlight w:val="none"/>
          <w:lang w:val="en-US" w:eastAsia="zh-CN"/>
        </w:rPr>
      </w:pPr>
    </w:p>
    <w:p w14:paraId="1D333716">
      <w:pPr>
        <w:pStyle w:val="6"/>
        <w:rPr>
          <w:rFonts w:hint="eastAsia"/>
          <w:color w:val="auto"/>
          <w:highlight w:val="none"/>
          <w:lang w:val="en-US" w:eastAsia="zh-CN"/>
        </w:rPr>
      </w:pPr>
    </w:p>
    <w:p w14:paraId="70753DBF">
      <w:pPr>
        <w:rPr>
          <w:rFonts w:hint="eastAsia"/>
          <w:color w:val="auto"/>
          <w:highlight w:val="none"/>
          <w:lang w:val="en-US" w:eastAsia="zh-CN"/>
        </w:rPr>
      </w:pPr>
    </w:p>
    <w:p w14:paraId="54BE95D7">
      <w:pPr>
        <w:pStyle w:val="6"/>
        <w:rPr>
          <w:rFonts w:hint="eastAsia"/>
          <w:color w:val="auto"/>
          <w:highlight w:val="none"/>
          <w:lang w:val="en-US" w:eastAsia="zh-CN"/>
        </w:rPr>
      </w:pPr>
    </w:p>
    <w:p w14:paraId="216071BA">
      <w:pPr>
        <w:rPr>
          <w:rFonts w:hint="eastAsia"/>
          <w:color w:val="auto"/>
          <w:highlight w:val="none"/>
          <w:lang w:val="en-US" w:eastAsia="zh-CN"/>
        </w:rPr>
      </w:pPr>
    </w:p>
    <w:p w14:paraId="36FE55D9">
      <w:pPr>
        <w:pStyle w:val="6"/>
        <w:rPr>
          <w:rFonts w:hint="eastAsia"/>
          <w:color w:val="auto"/>
          <w:highlight w:val="none"/>
          <w:lang w:val="en-US" w:eastAsia="zh-CN"/>
        </w:rPr>
      </w:pPr>
    </w:p>
    <w:p w14:paraId="306AAB1E">
      <w:pPr>
        <w:rPr>
          <w:rFonts w:hint="eastAsia"/>
          <w:color w:val="auto"/>
          <w:highlight w:val="none"/>
          <w:lang w:val="en-US" w:eastAsia="zh-CN"/>
        </w:rPr>
      </w:pPr>
    </w:p>
    <w:p w14:paraId="33CEE700">
      <w:pPr>
        <w:pStyle w:val="6"/>
        <w:rPr>
          <w:rFonts w:hint="eastAsia"/>
          <w:color w:val="auto"/>
          <w:highlight w:val="none"/>
          <w:lang w:val="en-US" w:eastAsia="zh-CN"/>
        </w:rPr>
      </w:pPr>
    </w:p>
    <w:p w14:paraId="471D0E14">
      <w:pPr>
        <w:rPr>
          <w:rFonts w:hint="eastAsia"/>
          <w:color w:val="auto"/>
          <w:highlight w:val="none"/>
          <w:lang w:val="en-US" w:eastAsia="zh-CN"/>
        </w:rPr>
      </w:pPr>
    </w:p>
    <w:p w14:paraId="2F03802A">
      <w:pPr>
        <w:pStyle w:val="6"/>
        <w:rPr>
          <w:rFonts w:hint="eastAsia"/>
          <w:color w:val="auto"/>
          <w:highlight w:val="none"/>
          <w:lang w:val="en-US" w:eastAsia="zh-CN"/>
        </w:rPr>
      </w:pPr>
    </w:p>
    <w:p w14:paraId="0E9F298A">
      <w:pPr>
        <w:rPr>
          <w:rFonts w:hint="eastAsia"/>
          <w:color w:val="auto"/>
          <w:highlight w:val="none"/>
          <w:lang w:val="en-US" w:eastAsia="zh-CN"/>
        </w:rPr>
      </w:pPr>
    </w:p>
    <w:p w14:paraId="2E10AFFB">
      <w:pPr>
        <w:pStyle w:val="6"/>
        <w:rPr>
          <w:rFonts w:hint="eastAsia"/>
          <w:color w:val="auto"/>
          <w:highlight w:val="none"/>
          <w:lang w:val="en-US" w:eastAsia="zh-CN"/>
        </w:rPr>
      </w:pPr>
    </w:p>
    <w:p w14:paraId="7A0FE2F9">
      <w:pPr>
        <w:rPr>
          <w:rFonts w:hint="eastAsia"/>
          <w:color w:val="auto"/>
          <w:highlight w:val="none"/>
          <w:lang w:val="en-US" w:eastAsia="zh-CN"/>
        </w:rPr>
      </w:pPr>
    </w:p>
    <w:p w14:paraId="74AFC521">
      <w:pPr>
        <w:pStyle w:val="6"/>
        <w:rPr>
          <w:rFonts w:hint="eastAsia"/>
          <w:color w:val="auto"/>
          <w:highlight w:val="none"/>
          <w:lang w:val="en-US" w:eastAsia="zh-CN"/>
        </w:rPr>
      </w:pPr>
    </w:p>
    <w:p w14:paraId="4D23399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198" w:name="_Toc28570_WPSOffice_Level1"/>
      <w:r>
        <w:rPr>
          <w:rFonts w:hint="eastAsia"/>
          <w:b/>
          <w:bCs/>
          <w:color w:val="auto"/>
          <w:sz w:val="36"/>
          <w:szCs w:val="36"/>
          <w:highlight w:val="none"/>
          <w:lang w:val="en-US" w:eastAsia="zh-CN"/>
        </w:rPr>
        <w:t>四、价格部分</w:t>
      </w:r>
      <w:bookmarkEnd w:id="198"/>
    </w:p>
    <w:p w14:paraId="76468BA2">
      <w:pPr>
        <w:rPr>
          <w:rFonts w:hint="eastAsia"/>
          <w:color w:val="auto"/>
          <w:highlight w:val="none"/>
          <w:lang w:val="en-US" w:eastAsia="zh-CN"/>
        </w:rPr>
      </w:pPr>
    </w:p>
    <w:p w14:paraId="0BE282D1">
      <w:pPr>
        <w:pStyle w:val="6"/>
        <w:rPr>
          <w:rFonts w:hint="eastAsia"/>
          <w:color w:val="auto"/>
          <w:highlight w:val="none"/>
          <w:lang w:val="en-US" w:eastAsia="zh-CN"/>
        </w:rPr>
      </w:pPr>
    </w:p>
    <w:p w14:paraId="09B732C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4.1 报价</w:t>
      </w:r>
      <w:r>
        <w:rPr>
          <w:rFonts w:hint="eastAsia" w:ascii="宋体" w:hAnsi="宋体" w:eastAsia="宋体" w:cs="宋体"/>
          <w:b/>
          <w:bCs/>
          <w:color w:val="auto"/>
          <w:sz w:val="30"/>
          <w:szCs w:val="30"/>
          <w:highlight w:val="none"/>
        </w:rPr>
        <w:t>一览表(首次报价表)</w:t>
      </w:r>
    </w:p>
    <w:p w14:paraId="517BC8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A139A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page">
                  <wp:posOffset>641350</wp:posOffset>
                </wp:positionH>
                <wp:positionV relativeFrom="paragraph">
                  <wp:posOffset>576580</wp:posOffset>
                </wp:positionV>
                <wp:extent cx="6286500" cy="175895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6286500" cy="1758950"/>
                        </a:xfrm>
                        <a:prstGeom prst="rect">
                          <a:avLst/>
                        </a:prstGeom>
                        <a:noFill/>
                        <a:ln>
                          <a:noFill/>
                        </a:ln>
                      </wps:spPr>
                      <wps:txbx>
                        <w:txbxContent>
                          <w:tbl>
                            <w:tblPr>
                              <w:tblStyle w:val="19"/>
                              <w:tblW w:w="971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53"/>
                              <w:gridCol w:w="5066"/>
                            </w:tblGrid>
                            <w:tr w14:paraId="3C55EC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4653" w:type="dxa"/>
                                  <w:tcBorders>
                                    <w:bottom w:val="double" w:color="000000" w:sz="0" w:space="0"/>
                                    <w:right w:val="single" w:color="000000" w:sz="4" w:space="0"/>
                                  </w:tcBorders>
                                  <w:shd w:val="clear" w:color="auto" w:fill="EDEBE0"/>
                                  <w:noWrap w:val="0"/>
                                  <w:vAlign w:val="top"/>
                                </w:tcPr>
                                <w:p w14:paraId="513C8408">
                                  <w:pPr>
                                    <w:pStyle w:val="32"/>
                                    <w:spacing w:before="101"/>
                                    <w:ind w:left="606" w:right="479"/>
                                    <w:jc w:val="center"/>
                                    <w:rPr>
                                      <w:rFonts w:hint="eastAsia" w:ascii="微软雅黑" w:eastAsia="微软雅黑"/>
                                      <w:b/>
                                      <w:sz w:val="21"/>
                                    </w:rPr>
                                  </w:pPr>
                                  <w:r>
                                    <w:rPr>
                                      <w:rFonts w:hint="eastAsia" w:ascii="微软雅黑" w:eastAsia="微软雅黑"/>
                                      <w:b/>
                                      <w:sz w:val="21"/>
                                      <w:lang w:val="en-US" w:eastAsia="zh-CN"/>
                                    </w:rPr>
                                    <w:t>项目</w:t>
                                  </w:r>
                                  <w:r>
                                    <w:rPr>
                                      <w:rFonts w:hint="eastAsia" w:ascii="微软雅黑" w:eastAsia="微软雅黑"/>
                                      <w:b/>
                                      <w:sz w:val="21"/>
                                    </w:rPr>
                                    <w:t>内容</w:t>
                                  </w:r>
                                  <w:r>
                                    <w:rPr>
                                      <w:rFonts w:hint="eastAsia" w:ascii="微软雅黑" w:eastAsia="微软雅黑"/>
                                      <w:b/>
                                      <w:w w:val="168"/>
                                      <w:sz w:val="21"/>
                                    </w:rPr>
                                    <w:t xml:space="preserve"> </w:t>
                                  </w:r>
                                </w:p>
                              </w:tc>
                              <w:tc>
                                <w:tcPr>
                                  <w:tcW w:w="5066" w:type="dxa"/>
                                  <w:tcBorders>
                                    <w:left w:val="single" w:color="000000" w:sz="4" w:space="0"/>
                                    <w:bottom w:val="double" w:color="000000" w:sz="0" w:space="0"/>
                                  </w:tcBorders>
                                  <w:shd w:val="clear" w:color="auto" w:fill="EDEBE0"/>
                                  <w:noWrap w:val="0"/>
                                  <w:vAlign w:val="top"/>
                                </w:tcPr>
                                <w:p w14:paraId="2C43ED4C">
                                  <w:pPr>
                                    <w:pStyle w:val="32"/>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662AF829">
                                  <w:pPr>
                                    <w:pStyle w:val="32"/>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2E8F4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8" w:hRule="atLeast"/>
                              </w:trPr>
                              <w:tc>
                                <w:tcPr>
                                  <w:tcW w:w="4653" w:type="dxa"/>
                                  <w:tcBorders>
                                    <w:top w:val="double" w:color="000000" w:sz="0" w:space="0"/>
                                    <w:bottom w:val="double" w:color="000000" w:sz="0" w:space="0"/>
                                    <w:right w:val="single" w:color="000000" w:sz="4" w:space="0"/>
                                  </w:tcBorders>
                                  <w:noWrap w:val="0"/>
                                  <w:vAlign w:val="top"/>
                                </w:tcPr>
                                <w:p w14:paraId="4B3D40CD">
                                  <w:pPr>
                                    <w:pStyle w:val="32"/>
                                    <w:rPr>
                                      <w:rFonts w:ascii="微软雅黑"/>
                                      <w:b/>
                                      <w:sz w:val="20"/>
                                    </w:rPr>
                                  </w:pPr>
                                </w:p>
                                <w:p w14:paraId="4ED6E339">
                                  <w:pPr>
                                    <w:pStyle w:val="32"/>
                                    <w:spacing w:before="9"/>
                                    <w:rPr>
                                      <w:rFonts w:ascii="微软雅黑"/>
                                      <w:b/>
                                      <w:sz w:val="14"/>
                                    </w:rPr>
                                  </w:pPr>
                                </w:p>
                                <w:p w14:paraId="05D3A4DE">
                                  <w:pPr>
                                    <w:pStyle w:val="32"/>
                                    <w:spacing w:before="1"/>
                                    <w:ind w:left="609" w:right="479"/>
                                    <w:jc w:val="center"/>
                                    <w:rPr>
                                      <w:sz w:val="21"/>
                                    </w:rPr>
                                  </w:pPr>
                                </w:p>
                              </w:tc>
                              <w:tc>
                                <w:tcPr>
                                  <w:tcW w:w="5066" w:type="dxa"/>
                                  <w:tcBorders>
                                    <w:top w:val="double" w:color="000000" w:sz="0" w:space="0"/>
                                    <w:left w:val="single" w:color="000000" w:sz="4" w:space="0"/>
                                    <w:bottom w:val="single" w:color="000000" w:sz="4" w:space="0"/>
                                  </w:tcBorders>
                                  <w:noWrap w:val="0"/>
                                  <w:vAlign w:val="top"/>
                                </w:tcPr>
                                <w:p w14:paraId="72492474">
                                  <w:pPr>
                                    <w:pStyle w:val="32"/>
                                    <w:spacing w:before="2"/>
                                    <w:rPr>
                                      <w:rFonts w:ascii="微软雅黑"/>
                                      <w:b/>
                                      <w:sz w:val="27"/>
                                    </w:rPr>
                                  </w:pPr>
                                </w:p>
                                <w:p w14:paraId="5989694B">
                                  <w:pPr>
                                    <w:pStyle w:val="32"/>
                                    <w:spacing w:line="381" w:lineRule="auto"/>
                                    <w:ind w:left="120" w:right="2161"/>
                                    <w:rPr>
                                      <w:spacing w:val="-1"/>
                                      <w:sz w:val="21"/>
                                      <w:u w:val="single"/>
                                    </w:rPr>
                                  </w:pPr>
                                  <w:r>
                                    <w:rPr>
                                      <w:spacing w:val="-1"/>
                                      <w:sz w:val="21"/>
                                    </w:rPr>
                                    <w:t>小 写 ：</w:t>
                                  </w:r>
                                  <w:r>
                                    <w:rPr>
                                      <w:spacing w:val="-1"/>
                                      <w:sz w:val="21"/>
                                      <w:u w:val="single"/>
                                    </w:rPr>
                                    <w:t xml:space="preserve">                 </w:t>
                                  </w:r>
                                </w:p>
                                <w:p w14:paraId="4340DCE0">
                                  <w:pPr>
                                    <w:pStyle w:val="32"/>
                                    <w:spacing w:line="381" w:lineRule="auto"/>
                                    <w:ind w:left="120" w:right="2161"/>
                                    <w:rPr>
                                      <w:sz w:val="21"/>
                                    </w:rPr>
                                  </w:pPr>
                                  <w:r>
                                    <w:rPr>
                                      <w:spacing w:val="-1"/>
                                      <w:sz w:val="21"/>
                                    </w:rPr>
                                    <w:t>大</w:t>
                                  </w:r>
                                  <w:r>
                                    <w:rPr>
                                      <w:rFonts w:hint="eastAsia"/>
                                      <w:spacing w:val="-1"/>
                                      <w:sz w:val="21"/>
                                      <w:lang w:val="en-US" w:eastAsia="zh-CN"/>
                                    </w:rPr>
                                    <w:t xml:space="preserve"> </w:t>
                                  </w:r>
                                  <w:r>
                                    <w:rPr>
                                      <w:spacing w:val="-1"/>
                                      <w:sz w:val="21"/>
                                    </w:rPr>
                                    <w:t>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p w14:paraId="5B210EED">
                                  <w:pPr>
                                    <w:pStyle w:val="32"/>
                                    <w:spacing w:line="381" w:lineRule="auto"/>
                                    <w:ind w:left="120" w:right="2161"/>
                                    <w:rPr>
                                      <w:rFonts w:hint="eastAsia" w:eastAsia="宋体"/>
                                      <w:sz w:val="21"/>
                                      <w:lang w:val="en-US" w:eastAsia="zh-CN"/>
                                    </w:rPr>
                                  </w:pPr>
                                  <w:r>
                                    <w:rPr>
                                      <w:rFonts w:hint="eastAsia"/>
                                      <w:sz w:val="21"/>
                                      <w:lang w:val="en-US" w:eastAsia="zh-CN"/>
                                    </w:rPr>
                                    <w:t>合同履约期限：</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rFonts w:hint="eastAsia"/>
                                      <w:sz w:val="21"/>
                                      <w:u w:val="single"/>
                                      <w:lang w:val="en-US" w:eastAsia="zh-CN"/>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337E98A">
                            <w:pPr>
                              <w:pStyle w:val="7"/>
                            </w:pPr>
                          </w:p>
                        </w:txbxContent>
                      </wps:txbx>
                      <wps:bodyPr lIns="0" tIns="0" rIns="0" bIns="0" upright="1"/>
                    </wps:wsp>
                  </a:graphicData>
                </a:graphic>
              </wp:anchor>
            </w:drawing>
          </mc:Choice>
          <mc:Fallback>
            <w:pict>
              <v:shape id="_x0000_s1026" o:spid="_x0000_s1026" o:spt="202" type="#_x0000_t202" style="position:absolute;left:0pt;margin-left:50.5pt;margin-top:45.4pt;height:138.5pt;width:495pt;mso-position-horizontal-relative:page;z-index:251665408;mso-width-relative:page;mso-height-relative:page;" filled="f" stroked="f" coordsize="21600,21600" o:gfxdata="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BjANcAAAALAQAADwAAAAAAAAABACAAAAAiAAAAZHJzL2Rvd25yZXYueG1sUEsB&#10;AhQAFAAAAAgAh07iQBkkqaG9AQAAdQMAAA4AAAAAAAAAAQAgAAAAJgEAAGRycy9lMm9Eb2MueG1s&#10;UEsFBgAAAAAGAAYAWQEAAFUFAAAAAA==&#10;">
                <v:fill on="f" focussize="0,0"/>
                <v:stroke on="f"/>
                <v:imagedata o:title=""/>
                <o:lock v:ext="edit" aspectratio="f"/>
                <v:textbox inset="0mm,0mm,0mm,0mm">
                  <w:txbxContent>
                    <w:tbl>
                      <w:tblPr>
                        <w:tblStyle w:val="19"/>
                        <w:tblW w:w="971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53"/>
                        <w:gridCol w:w="5066"/>
                      </w:tblGrid>
                      <w:tr w14:paraId="3C55EC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4653" w:type="dxa"/>
                            <w:tcBorders>
                              <w:bottom w:val="double" w:color="000000" w:sz="0" w:space="0"/>
                              <w:right w:val="single" w:color="000000" w:sz="4" w:space="0"/>
                            </w:tcBorders>
                            <w:shd w:val="clear" w:color="auto" w:fill="EDEBE0"/>
                            <w:noWrap w:val="0"/>
                            <w:vAlign w:val="top"/>
                          </w:tcPr>
                          <w:p w14:paraId="513C8408">
                            <w:pPr>
                              <w:pStyle w:val="32"/>
                              <w:spacing w:before="101"/>
                              <w:ind w:left="606" w:right="479"/>
                              <w:jc w:val="center"/>
                              <w:rPr>
                                <w:rFonts w:hint="eastAsia" w:ascii="微软雅黑" w:eastAsia="微软雅黑"/>
                                <w:b/>
                                <w:sz w:val="21"/>
                              </w:rPr>
                            </w:pPr>
                            <w:r>
                              <w:rPr>
                                <w:rFonts w:hint="eastAsia" w:ascii="微软雅黑" w:eastAsia="微软雅黑"/>
                                <w:b/>
                                <w:sz w:val="21"/>
                                <w:lang w:val="en-US" w:eastAsia="zh-CN"/>
                              </w:rPr>
                              <w:t>项目</w:t>
                            </w:r>
                            <w:r>
                              <w:rPr>
                                <w:rFonts w:hint="eastAsia" w:ascii="微软雅黑" w:eastAsia="微软雅黑"/>
                                <w:b/>
                                <w:sz w:val="21"/>
                              </w:rPr>
                              <w:t>内容</w:t>
                            </w:r>
                            <w:r>
                              <w:rPr>
                                <w:rFonts w:hint="eastAsia" w:ascii="微软雅黑" w:eastAsia="微软雅黑"/>
                                <w:b/>
                                <w:w w:val="168"/>
                                <w:sz w:val="21"/>
                              </w:rPr>
                              <w:t xml:space="preserve"> </w:t>
                            </w:r>
                          </w:p>
                        </w:tc>
                        <w:tc>
                          <w:tcPr>
                            <w:tcW w:w="5066" w:type="dxa"/>
                            <w:tcBorders>
                              <w:left w:val="single" w:color="000000" w:sz="4" w:space="0"/>
                              <w:bottom w:val="double" w:color="000000" w:sz="0" w:space="0"/>
                            </w:tcBorders>
                            <w:shd w:val="clear" w:color="auto" w:fill="EDEBE0"/>
                            <w:noWrap w:val="0"/>
                            <w:vAlign w:val="top"/>
                          </w:tcPr>
                          <w:p w14:paraId="2C43ED4C">
                            <w:pPr>
                              <w:pStyle w:val="32"/>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662AF829">
                            <w:pPr>
                              <w:pStyle w:val="32"/>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2E8F4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8" w:hRule="atLeast"/>
                        </w:trPr>
                        <w:tc>
                          <w:tcPr>
                            <w:tcW w:w="4653" w:type="dxa"/>
                            <w:tcBorders>
                              <w:top w:val="double" w:color="000000" w:sz="0" w:space="0"/>
                              <w:bottom w:val="double" w:color="000000" w:sz="0" w:space="0"/>
                              <w:right w:val="single" w:color="000000" w:sz="4" w:space="0"/>
                            </w:tcBorders>
                            <w:noWrap w:val="0"/>
                            <w:vAlign w:val="top"/>
                          </w:tcPr>
                          <w:p w14:paraId="4B3D40CD">
                            <w:pPr>
                              <w:pStyle w:val="32"/>
                              <w:rPr>
                                <w:rFonts w:ascii="微软雅黑"/>
                                <w:b/>
                                <w:sz w:val="20"/>
                              </w:rPr>
                            </w:pPr>
                          </w:p>
                          <w:p w14:paraId="4ED6E339">
                            <w:pPr>
                              <w:pStyle w:val="32"/>
                              <w:spacing w:before="9"/>
                              <w:rPr>
                                <w:rFonts w:ascii="微软雅黑"/>
                                <w:b/>
                                <w:sz w:val="14"/>
                              </w:rPr>
                            </w:pPr>
                          </w:p>
                          <w:p w14:paraId="05D3A4DE">
                            <w:pPr>
                              <w:pStyle w:val="32"/>
                              <w:spacing w:before="1"/>
                              <w:ind w:left="609" w:right="479"/>
                              <w:jc w:val="center"/>
                              <w:rPr>
                                <w:sz w:val="21"/>
                              </w:rPr>
                            </w:pPr>
                          </w:p>
                        </w:tc>
                        <w:tc>
                          <w:tcPr>
                            <w:tcW w:w="5066" w:type="dxa"/>
                            <w:tcBorders>
                              <w:top w:val="double" w:color="000000" w:sz="0" w:space="0"/>
                              <w:left w:val="single" w:color="000000" w:sz="4" w:space="0"/>
                              <w:bottom w:val="single" w:color="000000" w:sz="4" w:space="0"/>
                            </w:tcBorders>
                            <w:noWrap w:val="0"/>
                            <w:vAlign w:val="top"/>
                          </w:tcPr>
                          <w:p w14:paraId="72492474">
                            <w:pPr>
                              <w:pStyle w:val="32"/>
                              <w:spacing w:before="2"/>
                              <w:rPr>
                                <w:rFonts w:ascii="微软雅黑"/>
                                <w:b/>
                                <w:sz w:val="27"/>
                              </w:rPr>
                            </w:pPr>
                          </w:p>
                          <w:p w14:paraId="5989694B">
                            <w:pPr>
                              <w:pStyle w:val="32"/>
                              <w:spacing w:line="381" w:lineRule="auto"/>
                              <w:ind w:left="120" w:right="2161"/>
                              <w:rPr>
                                <w:spacing w:val="-1"/>
                                <w:sz w:val="21"/>
                                <w:u w:val="single"/>
                              </w:rPr>
                            </w:pPr>
                            <w:r>
                              <w:rPr>
                                <w:spacing w:val="-1"/>
                                <w:sz w:val="21"/>
                              </w:rPr>
                              <w:t>小 写 ：</w:t>
                            </w:r>
                            <w:r>
                              <w:rPr>
                                <w:spacing w:val="-1"/>
                                <w:sz w:val="21"/>
                                <w:u w:val="single"/>
                              </w:rPr>
                              <w:t xml:space="preserve">                 </w:t>
                            </w:r>
                          </w:p>
                          <w:p w14:paraId="4340DCE0">
                            <w:pPr>
                              <w:pStyle w:val="32"/>
                              <w:spacing w:line="381" w:lineRule="auto"/>
                              <w:ind w:left="120" w:right="2161"/>
                              <w:rPr>
                                <w:sz w:val="21"/>
                              </w:rPr>
                            </w:pPr>
                            <w:r>
                              <w:rPr>
                                <w:spacing w:val="-1"/>
                                <w:sz w:val="21"/>
                              </w:rPr>
                              <w:t>大</w:t>
                            </w:r>
                            <w:r>
                              <w:rPr>
                                <w:rFonts w:hint="eastAsia"/>
                                <w:spacing w:val="-1"/>
                                <w:sz w:val="21"/>
                                <w:lang w:val="en-US" w:eastAsia="zh-CN"/>
                              </w:rPr>
                              <w:t xml:space="preserve"> </w:t>
                            </w:r>
                            <w:r>
                              <w:rPr>
                                <w:spacing w:val="-1"/>
                                <w:sz w:val="21"/>
                              </w:rPr>
                              <w:t>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p w14:paraId="5B210EED">
                            <w:pPr>
                              <w:pStyle w:val="32"/>
                              <w:spacing w:line="381" w:lineRule="auto"/>
                              <w:ind w:left="120" w:right="2161"/>
                              <w:rPr>
                                <w:rFonts w:hint="eastAsia" w:eastAsia="宋体"/>
                                <w:sz w:val="21"/>
                                <w:lang w:val="en-US" w:eastAsia="zh-CN"/>
                              </w:rPr>
                            </w:pPr>
                            <w:r>
                              <w:rPr>
                                <w:rFonts w:hint="eastAsia"/>
                                <w:sz w:val="21"/>
                                <w:lang w:val="en-US" w:eastAsia="zh-CN"/>
                              </w:rPr>
                              <w:t>合同履约期限：</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rFonts w:hint="eastAsia"/>
                                <w:sz w:val="21"/>
                                <w:u w:val="single"/>
                                <w:lang w:val="en-US" w:eastAsia="zh-CN"/>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337E98A">
                      <w:pPr>
                        <w:pStyle w:val="7"/>
                      </w:pPr>
                    </w:p>
                  </w:txbxContent>
                </v:textbox>
              </v:shape>
            </w:pict>
          </mc:Fallback>
        </mc:AlternateContent>
      </w:r>
      <w:r>
        <w:rPr>
          <w:rFonts w:hint="eastAsia" w:ascii="宋体" w:hAnsi="宋体" w:eastAsia="宋体" w:cs="宋体"/>
          <w:color w:val="auto"/>
          <w:sz w:val="24"/>
          <w:szCs w:val="24"/>
          <w:highlight w:val="none"/>
        </w:rPr>
        <w:t>采购项目名称：</w:t>
      </w:r>
    </w:p>
    <w:p w14:paraId="691062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0243C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2FF714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94FB2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A85A18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EDEEAD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4A4A5E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FA3589">
      <w:pPr>
        <w:rPr>
          <w:rFonts w:hint="eastAsia"/>
          <w:color w:val="auto"/>
          <w:highlight w:val="none"/>
          <w:lang w:val="en-US" w:eastAsia="zh-CN"/>
        </w:rPr>
      </w:pPr>
    </w:p>
    <w:p w14:paraId="53894A19">
      <w:pPr>
        <w:rPr>
          <w:rFonts w:hint="eastAsia"/>
          <w:color w:val="auto"/>
          <w:highlight w:val="none"/>
          <w:lang w:val="en-US" w:eastAsia="zh-CN"/>
        </w:rPr>
      </w:pPr>
    </w:p>
    <w:p w14:paraId="0C3026F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14:paraId="3B072FE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供应商须按要求填写所有信息。政采云填报必须与本格式一致，本表格式内容不得改动。 </w:t>
      </w:r>
    </w:p>
    <w:p w14:paraId="341E8A6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总报价不得超出本项目采购预算价，否则视作无效响应文件。</w:t>
      </w:r>
    </w:p>
    <w:p w14:paraId="1C17892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9A93E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6ECD77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7E05D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B3F80B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1100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CB2F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22" w:type="default"/>
          <w:pgSz w:w="11910" w:h="16840"/>
          <w:pgMar w:top="1984" w:right="1531" w:bottom="2098" w:left="1531" w:header="670" w:footer="1041" w:gutter="0"/>
          <w:pgNumType w:fmt="decimal"/>
          <w:cols w:space="720" w:num="1"/>
          <w:rtlGutter w:val="0"/>
          <w:docGrid w:linePitch="1" w:charSpace="0"/>
        </w:sectPr>
      </w:pPr>
    </w:p>
    <w:p w14:paraId="34D763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B42E68">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4.2 标价的工程量清单</w:t>
      </w:r>
      <w:r>
        <w:rPr>
          <w:rFonts w:hint="eastAsia" w:ascii="宋体" w:hAnsi="宋体" w:eastAsia="宋体" w:cs="宋体"/>
          <w:b/>
          <w:bCs/>
          <w:color w:val="auto"/>
          <w:sz w:val="30"/>
          <w:szCs w:val="30"/>
          <w:highlight w:val="none"/>
        </w:rPr>
        <w:t xml:space="preserve"> </w:t>
      </w:r>
    </w:p>
    <w:p w14:paraId="704AB48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58DDB2F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4A19798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  </w:t>
      </w:r>
    </w:p>
    <w:p w14:paraId="1756578B">
      <w:pPr>
        <w:pStyle w:val="6"/>
        <w:ind w:left="0" w:leftChars="0" w:firstLine="0" w:firstLineChars="0"/>
        <w:rPr>
          <w:rFonts w:hint="eastAsia" w:ascii="宋体" w:hAnsi="宋体" w:eastAsia="宋体" w:cs="宋体"/>
          <w:color w:val="auto"/>
          <w:sz w:val="24"/>
          <w:szCs w:val="24"/>
          <w:highlight w:val="none"/>
          <w:lang w:val="en-US" w:eastAsia="zh-CN"/>
        </w:rPr>
      </w:pPr>
    </w:p>
    <w:p w14:paraId="44804763">
      <w:pPr>
        <w:pStyle w:val="6"/>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3CC9095D">
      <w:pPr>
        <w:rPr>
          <w:rFonts w:hint="eastAsia" w:ascii="宋体" w:hAnsi="宋体" w:eastAsia="宋体" w:cs="宋体"/>
          <w:color w:val="auto"/>
          <w:sz w:val="24"/>
          <w:szCs w:val="24"/>
          <w:highlight w:val="none"/>
        </w:rPr>
      </w:pPr>
    </w:p>
    <w:p w14:paraId="23966891">
      <w:pPr>
        <w:pStyle w:val="6"/>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163BE803">
      <w:pPr>
        <w:pStyle w:val="6"/>
        <w:rPr>
          <w:rFonts w:hint="eastAsia" w:ascii="宋体" w:hAnsi="宋体" w:eastAsia="宋体" w:cs="宋体"/>
          <w:color w:val="auto"/>
          <w:sz w:val="24"/>
          <w:szCs w:val="24"/>
          <w:highlight w:val="none"/>
        </w:rPr>
      </w:pPr>
    </w:p>
    <w:p w14:paraId="7B10F5DE">
      <w:pPr>
        <w:pStyle w:val="6"/>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65F3EEB7">
      <w:pPr>
        <w:rPr>
          <w:rFonts w:hint="eastAsia" w:ascii="宋体" w:hAnsi="宋体" w:eastAsia="宋体" w:cs="宋体"/>
          <w:color w:val="auto"/>
          <w:sz w:val="24"/>
          <w:szCs w:val="24"/>
          <w:highlight w:val="none"/>
        </w:rPr>
      </w:pPr>
    </w:p>
    <w:p w14:paraId="5DBE33CF">
      <w:pPr>
        <w:pStyle w:val="6"/>
        <w:rPr>
          <w:rFonts w:hint="eastAsia" w:ascii="宋体" w:hAnsi="宋体" w:eastAsia="宋体" w:cs="宋体"/>
          <w:color w:val="auto"/>
          <w:sz w:val="24"/>
          <w:szCs w:val="24"/>
          <w:highlight w:val="none"/>
        </w:rPr>
      </w:pPr>
    </w:p>
    <w:p w14:paraId="29D5B94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0433E0E2">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此表为《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一览表(首次报价表)》的报价明细表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工程量清单”为准。</w:t>
      </w:r>
    </w:p>
    <w:p w14:paraId="6CF7F70C">
      <w:pPr>
        <w:rPr>
          <w:rFonts w:hint="eastAsia" w:ascii="宋体" w:hAnsi="宋体" w:eastAsia="宋体" w:cs="宋体"/>
          <w:color w:val="auto"/>
          <w:sz w:val="24"/>
          <w:szCs w:val="24"/>
          <w:highlight w:val="none"/>
        </w:rPr>
      </w:pPr>
    </w:p>
    <w:p w14:paraId="4FC1D107">
      <w:pPr>
        <w:pStyle w:val="6"/>
        <w:ind w:left="0" w:leftChars="0" w:firstLine="0" w:firstLineChars="0"/>
        <w:jc w:val="both"/>
        <w:rPr>
          <w:rFonts w:hint="eastAsia" w:ascii="宋体" w:hAnsi="宋体" w:eastAsia="宋体" w:cs="宋体"/>
          <w:color w:val="auto"/>
          <w:sz w:val="24"/>
          <w:szCs w:val="24"/>
          <w:highlight w:val="none"/>
        </w:rPr>
      </w:pPr>
      <w:r>
        <w:rPr>
          <w:rFonts w:hint="eastAsia" w:ascii="仿宋" w:hAnsi="仿宋" w:eastAsia="仿宋" w:cs="仿宋"/>
          <w:b w:val="0"/>
          <w:bCs w:val="0"/>
          <w:color w:val="auto"/>
          <w:kern w:val="2"/>
          <w:sz w:val="24"/>
          <w:szCs w:val="24"/>
          <w:u w:val="none"/>
          <w:lang w:val="en-US" w:eastAsia="zh-CN" w:bidi="ar-SA"/>
        </w:rPr>
        <w:t>2、</w:t>
      </w:r>
      <w:r>
        <w:rPr>
          <w:rFonts w:hint="eastAsia" w:ascii="宋体" w:hAnsi="宋体" w:eastAsia="宋体" w:cs="宋体"/>
          <w:color w:val="auto"/>
          <w:sz w:val="24"/>
          <w:szCs w:val="24"/>
          <w:highlight w:val="none"/>
          <w:lang w:val="en-US" w:eastAsia="zh-CN" w:bidi="zh-CN"/>
        </w:rPr>
        <w:t>本项目招磋商文件中投标总价单必须由投标单位注册造价工程师签字并盖专用章</w:t>
      </w:r>
    </w:p>
    <w:p w14:paraId="2742C93F">
      <w:pPr>
        <w:rPr>
          <w:rFonts w:hint="eastAsia" w:ascii="宋体" w:hAnsi="宋体" w:eastAsia="宋体" w:cs="宋体"/>
          <w:color w:val="auto"/>
          <w:sz w:val="24"/>
          <w:szCs w:val="24"/>
          <w:highlight w:val="none"/>
        </w:rPr>
      </w:pPr>
    </w:p>
    <w:p w14:paraId="373CA20E">
      <w:pPr>
        <w:pStyle w:val="6"/>
        <w:rPr>
          <w:rFonts w:hint="eastAsia"/>
          <w:color w:val="auto"/>
          <w:highlight w:val="none"/>
        </w:rPr>
      </w:pPr>
    </w:p>
    <w:p w14:paraId="3A399DB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5EEE54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48087E">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22F0A27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EE1E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BEFA1F">
      <w:pPr>
        <w:pStyle w:val="5"/>
        <w:rPr>
          <w:rFonts w:hint="eastAsia" w:ascii="宋体" w:hAnsi="宋体" w:eastAsia="宋体" w:cs="宋体"/>
          <w:color w:val="auto"/>
          <w:sz w:val="24"/>
          <w:szCs w:val="24"/>
          <w:highlight w:val="none"/>
        </w:rPr>
      </w:pPr>
    </w:p>
    <w:p w14:paraId="4C32D058">
      <w:pPr>
        <w:rPr>
          <w:rFonts w:hint="eastAsia" w:ascii="宋体" w:hAnsi="宋体" w:eastAsia="宋体" w:cs="宋体"/>
          <w:color w:val="auto"/>
          <w:sz w:val="24"/>
          <w:szCs w:val="24"/>
          <w:highlight w:val="none"/>
        </w:rPr>
      </w:pPr>
    </w:p>
    <w:p w14:paraId="79CE4AFF">
      <w:pPr>
        <w:pStyle w:val="5"/>
        <w:rPr>
          <w:rFonts w:hint="eastAsia" w:ascii="宋体" w:hAnsi="宋体" w:eastAsia="宋体" w:cs="宋体"/>
          <w:color w:val="auto"/>
          <w:sz w:val="24"/>
          <w:szCs w:val="24"/>
          <w:highlight w:val="none"/>
        </w:rPr>
      </w:pPr>
    </w:p>
    <w:p w14:paraId="5E091711">
      <w:pPr>
        <w:rPr>
          <w:rFonts w:hint="eastAsia" w:ascii="宋体" w:hAnsi="宋体" w:eastAsia="宋体" w:cs="宋体"/>
          <w:color w:val="auto"/>
          <w:sz w:val="24"/>
          <w:szCs w:val="24"/>
          <w:highlight w:val="none"/>
        </w:rPr>
      </w:pPr>
    </w:p>
    <w:p w14:paraId="0348E8E8">
      <w:pPr>
        <w:pStyle w:val="5"/>
        <w:rPr>
          <w:rFonts w:hint="eastAsia" w:ascii="宋体" w:hAnsi="宋体" w:eastAsia="宋体" w:cs="宋体"/>
          <w:color w:val="auto"/>
          <w:sz w:val="24"/>
          <w:szCs w:val="24"/>
          <w:highlight w:val="none"/>
        </w:rPr>
      </w:pPr>
    </w:p>
    <w:p w14:paraId="4F20936E">
      <w:pPr>
        <w:rPr>
          <w:rFonts w:hint="eastAsia" w:ascii="宋体" w:hAnsi="宋体" w:eastAsia="宋体" w:cs="宋体"/>
          <w:color w:val="auto"/>
          <w:sz w:val="24"/>
          <w:szCs w:val="24"/>
          <w:highlight w:val="none"/>
        </w:rPr>
      </w:pPr>
    </w:p>
    <w:p w14:paraId="2CC2DA3E">
      <w:pPr>
        <w:pStyle w:val="5"/>
        <w:rPr>
          <w:rFonts w:hint="eastAsia" w:ascii="宋体" w:hAnsi="宋体" w:eastAsia="宋体" w:cs="宋体"/>
          <w:color w:val="auto"/>
          <w:sz w:val="24"/>
          <w:szCs w:val="24"/>
          <w:highlight w:val="none"/>
        </w:rPr>
      </w:pPr>
    </w:p>
    <w:p w14:paraId="15A52DBF">
      <w:pPr>
        <w:rPr>
          <w:rFonts w:hint="eastAsia" w:ascii="宋体" w:hAnsi="宋体" w:eastAsia="宋体" w:cs="宋体"/>
          <w:color w:val="auto"/>
          <w:sz w:val="24"/>
          <w:szCs w:val="24"/>
          <w:highlight w:val="none"/>
        </w:rPr>
      </w:pPr>
    </w:p>
    <w:p w14:paraId="00DE99D7">
      <w:pPr>
        <w:pStyle w:val="5"/>
        <w:rPr>
          <w:rFonts w:hint="eastAsia" w:ascii="宋体" w:hAnsi="宋体" w:eastAsia="宋体" w:cs="宋体"/>
          <w:color w:val="auto"/>
          <w:sz w:val="24"/>
          <w:szCs w:val="24"/>
          <w:highlight w:val="none"/>
        </w:rPr>
      </w:pPr>
    </w:p>
    <w:p w14:paraId="3BF7A3EF">
      <w:pPr>
        <w:rPr>
          <w:rFonts w:hint="eastAsia" w:ascii="宋体" w:hAnsi="宋体" w:eastAsia="宋体" w:cs="宋体"/>
          <w:color w:val="auto"/>
          <w:sz w:val="24"/>
          <w:szCs w:val="24"/>
          <w:highlight w:val="none"/>
        </w:rPr>
      </w:pPr>
    </w:p>
    <w:p w14:paraId="5CA522FE">
      <w:pPr>
        <w:jc w:val="center"/>
        <w:rPr>
          <w:rFonts w:hint="eastAsia"/>
          <w:sz w:val="48"/>
          <w:szCs w:val="56"/>
          <w:lang w:val="en-US" w:eastAsia="zh-CN"/>
        </w:rPr>
      </w:pPr>
      <w:r>
        <w:rPr>
          <w:rFonts w:hint="eastAsia"/>
          <w:sz w:val="48"/>
          <w:szCs w:val="56"/>
          <w:lang w:val="en-US" w:eastAsia="zh-CN"/>
        </w:rPr>
        <w:t>投标总价单</w:t>
      </w:r>
    </w:p>
    <w:p w14:paraId="18488C18">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w:t>
      </w:r>
      <w:r>
        <w:rPr>
          <w:rFonts w:hint="eastAsia"/>
          <w:sz w:val="24"/>
          <w:szCs w:val="32"/>
          <w:u w:val="single"/>
          <w:lang w:val="en-US" w:eastAsia="zh-CN"/>
        </w:rPr>
        <w:t xml:space="preserve">                                              </w:t>
      </w:r>
    </w:p>
    <w:p w14:paraId="62CC766F">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招标人：</w:t>
      </w:r>
      <w:r>
        <w:rPr>
          <w:rFonts w:hint="eastAsia"/>
          <w:sz w:val="24"/>
          <w:szCs w:val="32"/>
          <w:u w:val="single"/>
          <w:lang w:val="en-US" w:eastAsia="zh-CN"/>
        </w:rPr>
        <w:t xml:space="preserve">                                                 </w:t>
      </w:r>
    </w:p>
    <w:p w14:paraId="58158476">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工程名称：</w:t>
      </w:r>
      <w:r>
        <w:rPr>
          <w:rFonts w:hint="eastAsia"/>
          <w:sz w:val="24"/>
          <w:szCs w:val="32"/>
          <w:u w:val="single"/>
          <w:lang w:val="en-US" w:eastAsia="zh-CN"/>
        </w:rPr>
        <w:t xml:space="preserve">                                               </w:t>
      </w:r>
    </w:p>
    <w:p w14:paraId="2163AA27">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投标总价：（小写）</w:t>
      </w:r>
      <w:r>
        <w:rPr>
          <w:rFonts w:hint="eastAsia"/>
          <w:sz w:val="24"/>
          <w:szCs w:val="32"/>
          <w:u w:val="single"/>
          <w:lang w:val="en-US" w:eastAsia="zh-CN"/>
        </w:rPr>
        <w:t xml:space="preserve">                                        </w:t>
      </w:r>
    </w:p>
    <w:p w14:paraId="130E11E7">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sz w:val="24"/>
          <w:szCs w:val="32"/>
          <w:u w:val="single"/>
          <w:lang w:val="en-US" w:eastAsia="zh-CN"/>
        </w:rPr>
      </w:pPr>
      <w:r>
        <w:rPr>
          <w:rFonts w:hint="eastAsia"/>
          <w:sz w:val="24"/>
          <w:szCs w:val="32"/>
          <w:lang w:val="en-US" w:eastAsia="zh-CN"/>
        </w:rPr>
        <w:t xml:space="preserve">             （大写） </w:t>
      </w:r>
      <w:r>
        <w:rPr>
          <w:rFonts w:hint="eastAsia"/>
          <w:sz w:val="24"/>
          <w:szCs w:val="32"/>
          <w:u w:val="single"/>
          <w:lang w:val="en-US" w:eastAsia="zh-CN"/>
        </w:rPr>
        <w:t xml:space="preserve">                                        </w:t>
      </w:r>
    </w:p>
    <w:p w14:paraId="5DC75C39">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投标人：</w:t>
      </w:r>
      <w:r>
        <w:rPr>
          <w:rFonts w:hint="eastAsia"/>
          <w:sz w:val="24"/>
          <w:szCs w:val="32"/>
          <w:u w:val="single"/>
          <w:lang w:val="en-US" w:eastAsia="zh-CN"/>
        </w:rPr>
        <w:t xml:space="preserve">                                                 </w:t>
      </w:r>
    </w:p>
    <w:p w14:paraId="68D51CD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（单位盖章）</w:t>
      </w:r>
    </w:p>
    <w:p w14:paraId="00EF6873">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法定代表人：</w:t>
      </w:r>
      <w:r>
        <w:rPr>
          <w:rFonts w:hint="eastAsia"/>
          <w:sz w:val="24"/>
          <w:szCs w:val="32"/>
          <w:u w:val="single"/>
          <w:lang w:val="en-US" w:eastAsia="zh-CN"/>
        </w:rPr>
        <w:t xml:space="preserve">                                             </w:t>
      </w:r>
    </w:p>
    <w:p w14:paraId="3EE1A8C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（盖章）</w:t>
      </w:r>
    </w:p>
    <w:p w14:paraId="3497ABBE">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编制人：</w:t>
      </w:r>
      <w:r>
        <w:rPr>
          <w:rFonts w:hint="eastAsia"/>
          <w:sz w:val="24"/>
          <w:szCs w:val="32"/>
          <w:u w:val="single"/>
          <w:lang w:val="en-US" w:eastAsia="zh-CN"/>
        </w:rPr>
        <w:t xml:space="preserve">                                                  </w:t>
      </w:r>
    </w:p>
    <w:p w14:paraId="6B86DA2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（注册造价师盖专业章）</w:t>
      </w:r>
    </w:p>
    <w:p w14:paraId="4B4FA34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9675D0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207CBE0">
      <w:pPr>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rFonts w:hint="default"/>
          <w:sz w:val="24"/>
          <w:szCs w:val="32"/>
          <w:lang w:val="en-US" w:eastAsia="zh-CN"/>
        </w:rPr>
      </w:pPr>
      <w:r>
        <w:rPr>
          <w:rFonts w:hint="eastAsia"/>
          <w:sz w:val="24"/>
          <w:szCs w:val="32"/>
          <w:lang w:val="en-US" w:eastAsia="zh-CN"/>
        </w:rPr>
        <w:t>时间：   年   月    日</w:t>
      </w:r>
    </w:p>
    <w:p w14:paraId="34598AAA">
      <w:pPr>
        <w:pStyle w:val="5"/>
        <w:rPr>
          <w:rFonts w:hint="eastAsia"/>
        </w:rPr>
        <w:sectPr>
          <w:pgSz w:w="11910" w:h="16840"/>
          <w:pgMar w:top="1984" w:right="1531" w:bottom="2098" w:left="1531" w:header="670" w:footer="1041" w:gutter="0"/>
          <w:pgNumType w:fmt="decimal"/>
          <w:cols w:space="720" w:num="1"/>
          <w:rtlGutter w:val="0"/>
          <w:docGrid w:linePitch="1" w:charSpace="0"/>
        </w:sectPr>
      </w:pPr>
    </w:p>
    <w:p w14:paraId="0DC5A51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199" w:name="_Toc10107_WPSOffice_Level1"/>
      <w:r>
        <w:rPr>
          <w:rFonts w:hint="eastAsia"/>
          <w:b/>
          <w:bCs/>
          <w:color w:val="auto"/>
          <w:sz w:val="36"/>
          <w:szCs w:val="36"/>
          <w:highlight w:val="none"/>
          <w:lang w:val="en-US" w:eastAsia="zh-CN"/>
        </w:rPr>
        <w:t>五、供应商认为需要提供的其他资料</w:t>
      </w:r>
      <w:bookmarkEnd w:id="199"/>
    </w:p>
    <w:p w14:paraId="7233B2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C1EBA1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EA9ED35">
      <w:pPr>
        <w:keepNext w:val="0"/>
        <w:keepLines w:val="0"/>
        <w:widowControl/>
        <w:suppressLineNumbers w:val="0"/>
        <w:jc w:val="left"/>
        <w:rPr>
          <w:color w:val="auto"/>
          <w:highlight w:val="none"/>
        </w:rPr>
      </w:pPr>
      <w:r>
        <w:rPr>
          <w:rFonts w:hint="eastAsia" w:ascii="宋体" w:hAnsi="宋体" w:eastAsia="宋体" w:cs="宋体"/>
          <w:b/>
          <w:bCs/>
          <w:color w:val="auto"/>
          <w:kern w:val="0"/>
          <w:sz w:val="28"/>
          <w:szCs w:val="28"/>
          <w:highlight w:val="none"/>
          <w:lang w:val="en-US" w:eastAsia="zh-CN" w:bidi="ar"/>
        </w:rPr>
        <w:t xml:space="preserve"> </w:t>
      </w:r>
    </w:p>
    <w:p w14:paraId="215E495D">
      <w:pPr>
        <w:keepNext w:val="0"/>
        <w:keepLines w:val="0"/>
        <w:widowControl/>
        <w:suppressLineNumbers w:val="0"/>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供应商认为需要提供的其他证明文件或图片、文字说明等其他资料。 </w:t>
      </w:r>
    </w:p>
    <w:p w14:paraId="46953306">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注：本项内容由供应商根据本磋商文件的内容自行决定。 </w:t>
      </w:r>
    </w:p>
    <w:p w14:paraId="17825A3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496234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02DB2A6">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B0389E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028C04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A768A8E">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供应商法定代表人（或法定代表人授权代表）签字或签章： </w:t>
      </w:r>
    </w:p>
    <w:p w14:paraId="2B4F05EE">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供应商名称（盖公章）： </w:t>
      </w:r>
    </w:p>
    <w:p w14:paraId="64F4E45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2A2B36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6B085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285D4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6AEE3C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CFC3A3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02E686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B87F63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387510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19DD4E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522954B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FA0623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23620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4C4A29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262AEB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C616C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90C54B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779F28B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99221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2AA9E8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FCA28A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200" w:name="_Toc27321_WPSOffice_Level1"/>
      <w:r>
        <w:rPr>
          <w:rFonts w:hint="eastAsia"/>
          <w:b/>
          <w:bCs/>
          <w:color w:val="auto"/>
          <w:sz w:val="36"/>
          <w:szCs w:val="36"/>
          <w:highlight w:val="none"/>
          <w:lang w:val="en-US" w:eastAsia="zh-CN"/>
        </w:rPr>
        <w:t>六、其他文件格式</w:t>
      </w:r>
      <w:bookmarkEnd w:id="200"/>
    </w:p>
    <w:p w14:paraId="3328B9B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5E026C8">
      <w:pPr>
        <w:pStyle w:val="14"/>
        <w:rPr>
          <w:rFonts w:hint="eastAsia" w:ascii="宋体" w:hAnsi="宋体" w:eastAsia="宋体" w:cs="宋体"/>
          <w:color w:val="auto"/>
          <w:sz w:val="24"/>
          <w:szCs w:val="24"/>
          <w:highlight w:val="none"/>
        </w:rPr>
      </w:pPr>
    </w:p>
    <w:p w14:paraId="2039AA95">
      <w:pPr>
        <w:pStyle w:val="26"/>
        <w:bidi w:val="0"/>
        <w:jc w:val="center"/>
        <w:rPr>
          <w:rFonts w:hint="eastAsia" w:ascii="宋体" w:hAnsi="宋体" w:eastAsia="宋体" w:cs="宋体"/>
          <w:b/>
          <w:bCs/>
          <w:color w:val="auto"/>
          <w:sz w:val="30"/>
          <w:szCs w:val="30"/>
          <w:highlight w:val="none"/>
          <w:lang w:val="en-US" w:eastAsia="zh-CN"/>
        </w:rPr>
      </w:pPr>
      <w:r>
        <w:rPr>
          <w:rFonts w:hint="eastAsia" w:cs="宋体"/>
          <w:b/>
          <w:color w:val="auto"/>
          <w:kern w:val="0"/>
          <w:sz w:val="30"/>
          <w:szCs w:val="30"/>
          <w:highlight w:val="none"/>
          <w:lang w:val="en-US" w:eastAsia="zh-CN" w:bidi="zh-CN"/>
        </w:rPr>
        <w:t>6</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1</w:t>
      </w:r>
      <w:r>
        <w:rPr>
          <w:rFonts w:hint="eastAsia" w:ascii="宋体" w:hAnsi="宋体" w:eastAsia="宋体" w:cs="宋体"/>
          <w:b/>
          <w:color w:val="auto"/>
          <w:kern w:val="0"/>
          <w:sz w:val="30"/>
          <w:szCs w:val="30"/>
          <w:highlight w:val="none"/>
          <w:lang w:val="en-US" w:eastAsia="zh-CN" w:bidi="zh-CN"/>
        </w:rPr>
        <w:t xml:space="preserve"> 法定代表人授权委托书</w:t>
      </w:r>
      <w:r>
        <w:rPr>
          <w:rFonts w:hint="eastAsia" w:ascii="宋体" w:hAnsi="宋体" w:eastAsia="宋体" w:cs="宋体"/>
          <w:b/>
          <w:bCs/>
          <w:color w:val="auto"/>
          <w:sz w:val="30"/>
          <w:szCs w:val="30"/>
          <w:highlight w:val="none"/>
          <w:lang w:val="en-US" w:eastAsia="zh-CN"/>
        </w:rPr>
        <w:t xml:space="preserve"> </w:t>
      </w:r>
    </w:p>
    <w:p w14:paraId="680EE1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0A24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（供应商地址） </w:t>
      </w:r>
      <w:r>
        <w:rPr>
          <w:rFonts w:hint="eastAsia" w:ascii="宋体" w:hAnsi="宋体" w:eastAsia="宋体" w:cs="宋体"/>
          <w:color w:val="auto"/>
          <w:sz w:val="24"/>
          <w:szCs w:val="24"/>
          <w:highlight w:val="none"/>
        </w:rPr>
        <w:t xml:space="preserve"> 的 </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采购项目名称、采购项目编号</w:t>
      </w:r>
      <w:r>
        <w:rPr>
          <w:rFonts w:hint="eastAsia" w:ascii="宋体" w:hAnsi="宋体" w:eastAsia="宋体" w:cs="宋体"/>
          <w:color w:val="auto"/>
          <w:sz w:val="24"/>
          <w:szCs w:val="24"/>
          <w:highlight w:val="none"/>
        </w:rPr>
        <w:t>）采购活动相关的响应、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、合同执行，以我公司的名义处理一切与之有关的事务。 </w:t>
      </w:r>
    </w:p>
    <w:p w14:paraId="55218D0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被授权人（供应商授权代表）无转委托权限。 </w:t>
      </w:r>
    </w:p>
    <w:p w14:paraId="7D6FD71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69D293B8">
                            <w:pPr>
                              <w:pStyle w:val="7"/>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6192;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QMvo2QAAAAsBAAAPAAAAAAAAAAEAIAAAACIAAABkcnMvZG93bnJldi54bWxQSwEC&#10;FAAUAAAACACHTuJAR+xR1LoBAAByAwAADgAAAAAAAAABACAAAAAoAQAAZHJzL2Uyb0RvYy54bWxQ&#10;SwUGAAAAAAYABgBZAQAAVAUAAAAA&#10;">
                <v:fill on="f" focussize="0,0"/>
                <v:stroke on="f"/>
                <v:imagedata o:title=""/>
                <o:lock v:ext="edit" aspectratio="f"/>
                <v:textbox inset="0mm,0mm,0mm,0mm">
                  <w:txbxContent>
                    <w:p w14:paraId="69D293B8">
                      <w:pPr>
                        <w:pStyle w:val="7"/>
                        <w:spacing w:line="211"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26" name="文本框 26"/>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126ACE3E">
                            <w:pPr>
                              <w:pStyle w:val="7"/>
                              <w:rPr>
                                <w:sz w:val="20"/>
                              </w:rPr>
                            </w:pPr>
                          </w:p>
                          <w:p w14:paraId="7D941862">
                            <w:pPr>
                              <w:pStyle w:val="7"/>
                              <w:rPr>
                                <w:sz w:val="20"/>
                              </w:rPr>
                            </w:pPr>
                          </w:p>
                          <w:p w14:paraId="114ED667">
                            <w:pPr>
                              <w:pStyle w:val="7"/>
                              <w:spacing w:before="1"/>
                              <w:rPr>
                                <w:sz w:val="16"/>
                              </w:rPr>
                            </w:pPr>
                          </w:p>
                          <w:p w14:paraId="040E651D">
                            <w:pPr>
                              <w:pStyle w:val="7"/>
                              <w:spacing w:line="278" w:lineRule="auto"/>
                              <w:ind w:left="1091" w:right="1498" w:firstLine="314"/>
                            </w:pPr>
                            <w:r>
                              <w:rPr>
                                <w:spacing w:val="-1"/>
                              </w:rPr>
                              <w:t xml:space="preserve">法定代表人  </w:t>
                            </w:r>
                            <w:r>
                              <w:rPr>
                                <w:spacing w:val="-5"/>
                              </w:rPr>
                              <w:t>居民身份证复印件</w:t>
                            </w:r>
                          </w:p>
                          <w:p w14:paraId="13BAE7E4">
                            <w:pPr>
                              <w:pStyle w:val="7"/>
                              <w:spacing w:before="4"/>
                              <w:rPr>
                                <w:sz w:val="24"/>
                              </w:rPr>
                            </w:pPr>
                          </w:p>
                          <w:p w14:paraId="5B29944B">
                            <w:pPr>
                              <w:pStyle w:val="7"/>
                              <w:spacing w:before="1"/>
                              <w:ind w:left="1405"/>
                            </w:pPr>
                            <w:r>
                              <w:t>（反面）</w:t>
                            </w:r>
                          </w:p>
                        </w:txbxContent>
                      </wps:txbx>
                      <wps:bodyPr lIns="0" tIns="0" rIns="0" bIns="0" upright="1"/>
                    </wps:wsp>
                  </a:graphicData>
                </a:graphic>
              </wp:anchor>
            </w:drawing>
          </mc:Choice>
          <mc:Fallback>
            <w:pict>
              <v:shape id="_x0000_s1026" o:spid="_x0000_s1026" o:spt="202" type="#_x0000_t202" style="position:absolute;left:0pt;margin-left:283.85pt;margin-top:44.8pt;height:119pt;width:214.45pt;mso-position-horizontal-relative:page;z-index:-251653120;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UC1l2gAAAAoBAAAP&#10;AAAAAAAAAAEAIAAAACIAAABkcnMvZG93bnJldi54bWxQSwECFAAUAAAACACHTuJA5GGz7hYCAAA0&#10;BAAADgAAAAAAAAABACAAAAApAQAAZHJzL2Uyb0RvYy54bWxQSwUGAAAAAAYABgBZAQAAsQUAAAAA&#10;">
                <v:fill on="f" focussize="0,0"/>
                <v:stroke color="#000000" joinstyle="miter"/>
                <v:imagedata o:title=""/>
                <o:lock v:ext="edit" aspectratio="f"/>
                <v:textbox inset="0mm,0mm,0mm,0mm">
                  <w:txbxContent>
                    <w:p w14:paraId="126ACE3E">
                      <w:pPr>
                        <w:pStyle w:val="7"/>
                        <w:rPr>
                          <w:sz w:val="20"/>
                        </w:rPr>
                      </w:pPr>
                    </w:p>
                    <w:p w14:paraId="7D941862">
                      <w:pPr>
                        <w:pStyle w:val="7"/>
                        <w:rPr>
                          <w:sz w:val="20"/>
                        </w:rPr>
                      </w:pPr>
                    </w:p>
                    <w:p w14:paraId="114ED667">
                      <w:pPr>
                        <w:pStyle w:val="7"/>
                        <w:spacing w:before="1"/>
                        <w:rPr>
                          <w:sz w:val="16"/>
                        </w:rPr>
                      </w:pPr>
                    </w:p>
                    <w:p w14:paraId="040E651D">
                      <w:pPr>
                        <w:pStyle w:val="7"/>
                        <w:spacing w:line="278" w:lineRule="auto"/>
                        <w:ind w:left="1091" w:right="1498" w:firstLine="314"/>
                      </w:pPr>
                      <w:r>
                        <w:rPr>
                          <w:spacing w:val="-1"/>
                        </w:rPr>
                        <w:t xml:space="preserve">法定代表人  </w:t>
                      </w:r>
                      <w:r>
                        <w:rPr>
                          <w:spacing w:val="-5"/>
                        </w:rPr>
                        <w:t>居民身份证复印件</w:t>
                      </w:r>
                    </w:p>
                    <w:p w14:paraId="13BAE7E4">
                      <w:pPr>
                        <w:pStyle w:val="7"/>
                        <w:spacing w:before="4"/>
                        <w:rPr>
                          <w:sz w:val="24"/>
                        </w:rPr>
                      </w:pPr>
                    </w:p>
                    <w:p w14:paraId="5B29944B">
                      <w:pPr>
                        <w:pStyle w:val="7"/>
                        <w:spacing w:before="1"/>
                        <w:ind w:left="1405"/>
                      </w:pPr>
                      <w:r>
                        <w:t>（反面）</w:t>
                      </w:r>
                    </w:p>
                  </w:txbxContent>
                </v:textbox>
              </v:shape>
            </w:pict>
          </mc:Fallback>
        </mc:AlternateContent>
      </w:r>
      <w:r>
        <w:rPr>
          <w:rFonts w:hint="eastAsia" w:ascii="宋体" w:hAnsi="宋体" w:eastAsia="宋体" w:cs="宋体"/>
          <w:color w:val="auto"/>
          <w:sz w:val="24"/>
          <w:szCs w:val="24"/>
          <w:highlight w:val="none"/>
        </w:rPr>
        <w:t>本授权书自法定代表人签字之日起生效，特此声明。</w:t>
      </w:r>
    </w:p>
    <w:p w14:paraId="59B9BE2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2336"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10" name="组合 10"/>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8" name="矩形 8"/>
                        <wps:cNvSpPr/>
                        <wps:spPr>
                          <a:xfrm>
                            <a:off x="1222" y="896"/>
                            <a:ext cx="4275" cy="2754"/>
                          </a:xfrm>
                          <a:prstGeom prst="rect">
                            <a:avLst/>
                          </a:prstGeom>
                          <a:solidFill>
                            <a:srgbClr val="FFFFFF"/>
                          </a:solidFill>
                          <a:ln>
                            <a:noFill/>
                          </a:ln>
                        </wps:spPr>
                        <wps:bodyPr upright="1"/>
                      </wps:wsp>
                      <wps:wsp>
                        <wps:cNvPr id="9" name="文本框 9"/>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5469E859">
                              <w:pPr>
                                <w:spacing w:before="0" w:line="240" w:lineRule="auto"/>
                                <w:rPr>
                                  <w:sz w:val="20"/>
                                </w:rPr>
                              </w:pPr>
                            </w:p>
                            <w:p w14:paraId="088E2B70">
                              <w:pPr>
                                <w:spacing w:before="0" w:line="240" w:lineRule="auto"/>
                                <w:rPr>
                                  <w:sz w:val="20"/>
                                </w:rPr>
                              </w:pPr>
                            </w:p>
                            <w:p w14:paraId="695300DA">
                              <w:pPr>
                                <w:spacing w:before="1" w:line="240" w:lineRule="auto"/>
                                <w:rPr>
                                  <w:sz w:val="16"/>
                                </w:rPr>
                              </w:pPr>
                            </w:p>
                            <w:p w14:paraId="07DF4F0D">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14:paraId="4E1C90A3">
                              <w:pPr>
                                <w:spacing w:before="4" w:line="240" w:lineRule="auto"/>
                                <w:rPr>
                                  <w:sz w:val="24"/>
                                </w:rPr>
                              </w:pPr>
                            </w:p>
                            <w:p w14:paraId="7993E60A">
                              <w:pPr>
                                <w:spacing w:before="1"/>
                                <w:ind w:left="1491" w:right="1888" w:firstLine="0"/>
                                <w:jc w:val="center"/>
                                <w:rPr>
                                  <w:sz w:val="21"/>
                                </w:rPr>
                              </w:pPr>
                              <w:r>
                                <w:rPr>
                                  <w:sz w:val="21"/>
                                </w:rPr>
                                <w:t>（</w:t>
                              </w:r>
                              <w:r>
                                <w:rPr>
                                  <w:spacing w:val="-2"/>
                                  <w:sz w:val="21"/>
                                </w:rPr>
                                <w:t>正面</w:t>
                              </w:r>
                              <w:r>
                                <w:rPr>
                                  <w:sz w:val="21"/>
                                </w:rPr>
                                <w:t>）</w:t>
                              </w:r>
                            </w:p>
                          </w:txbxContent>
                        </wps:txbx>
                        <wps:bodyPr lIns="0" tIns="0" rIns="0" bIns="0" upright="1"/>
                      </wps:wsp>
                    </wpg:wgp>
                  </a:graphicData>
                </a:graphic>
              </wp:anchor>
            </w:drawing>
          </mc:Choice>
          <mc:Fallback>
            <w:pict>
              <v:group id="_x0000_s1026" o:spid="_x0000_s1026" o:spt="203" style="position:absolute;left:0pt;margin-left:62.2pt;margin-top:21.65pt;height:121.2pt;width:214.5pt;mso-position-horizontal-relative:page;z-index:-251654144;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ShMiwdkAAAAK&#10;AQAADwAAAAAAAAABACAAAAAiAAAAZHJzL2Rvd25yZXYueG1sUEsBAhQAFAAAAAgAh07iQKU+DaHG&#10;AgAA5AYAAA4AAAAAAAAAAQAgAAAAKAEAAGRycy9lMm9Eb2MueG1sUEsFBgAAAAAGAAYAWQEAAGAG&#10;AAAAAA==&#10;">
                <o:lock v:ext="edit" aspectratio="f"/>
                <v:rect id="_x0000_s1026" o:spid="_x0000_s1026" o:spt="1" style="position:absolute;left:1222;top:896;height:2754;width:4275;" fillcolor="#FFFFFF" filled="t" stroked="f" coordsize="21600,21600" o:gfxdata="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5217+5AAAA2gAA&#10;AA8AAAAAAAAAAQAgAAAAIgAAAGRycy9kb3ducmV2LnhtbFBLAQIUABQAAAAIAIdO4kAzLwWeOwAA&#10;ADkAAAAQAAAAAAAAAAEAIAAAAAgBAABkcnMvc2hhcGV4bWwueG1sUEsFBgAAAAAGAAYAWwEAALID&#10;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HmeZe7wAAADa&#10;AAAADwAAAGRycy9kb3ducmV2LnhtbEWPQWsCMRSE74L/ITyhF6mJHkS3Rg+i4EGK2oo9Pjavm2U3&#10;L8smuvrvjVDocZiZb5jF6u5qcaM2lJ41jEcKBHHuTcmFhu+v7fsMRIjIBmvPpOFBAVbLfm+BmfEd&#10;H+l2ioVIEA4ZarAxNpmUIbfkMIx8Q5y8X986jEm2hTQtdgnuajlRaiodlpwWLDa0tpRXp6vTUH3a&#10;w/GyX//kQ0lV0Z3VZfbYaP02GKsPEJHu8T/8194ZDXN4XUk3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nmXu8AAAA&#10;2g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14:paraId="5469E859">
                        <w:pPr>
                          <w:spacing w:before="0" w:line="240" w:lineRule="auto"/>
                          <w:rPr>
                            <w:sz w:val="20"/>
                          </w:rPr>
                        </w:pPr>
                      </w:p>
                      <w:p w14:paraId="088E2B70">
                        <w:pPr>
                          <w:spacing w:before="0" w:line="240" w:lineRule="auto"/>
                          <w:rPr>
                            <w:sz w:val="20"/>
                          </w:rPr>
                        </w:pPr>
                      </w:p>
                      <w:p w14:paraId="695300DA">
                        <w:pPr>
                          <w:spacing w:before="1" w:line="240" w:lineRule="auto"/>
                          <w:rPr>
                            <w:sz w:val="16"/>
                          </w:rPr>
                        </w:pPr>
                      </w:p>
                      <w:p w14:paraId="07DF4F0D">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14:paraId="4E1C90A3">
                        <w:pPr>
                          <w:spacing w:before="4" w:line="240" w:lineRule="auto"/>
                          <w:rPr>
                            <w:sz w:val="24"/>
                          </w:rPr>
                        </w:pPr>
                      </w:p>
                      <w:p w14:paraId="7993E60A">
                        <w:pPr>
                          <w:spacing w:before="1"/>
                          <w:ind w:left="1491" w:right="1888" w:firstLine="0"/>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hAnsi="宋体" w:eastAsia="宋体" w:cs="宋体"/>
          <w:b/>
          <w:bCs/>
          <w:color w:val="auto"/>
          <w:sz w:val="24"/>
          <w:szCs w:val="24"/>
          <w:highlight w:val="none"/>
        </w:rPr>
        <w:t>附：法定代表人身份证复印件</w:t>
      </w:r>
      <w:r>
        <w:rPr>
          <w:rFonts w:hint="eastAsia" w:ascii="宋体" w:hAnsi="宋体" w:eastAsia="宋体" w:cs="宋体"/>
          <w:color w:val="auto"/>
          <w:sz w:val="24"/>
          <w:szCs w:val="24"/>
          <w:highlight w:val="none"/>
        </w:rPr>
        <w:t xml:space="preserve"> </w:t>
      </w:r>
    </w:p>
    <w:p w14:paraId="73E0D3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F3F89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5EDFB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C034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C554BF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C7E47D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22E1A07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8480" behindDoc="1" locked="0" layoutInCell="1" allowOverlap="1">
                <wp:simplePos x="0" y="0"/>
                <wp:positionH relativeFrom="page">
                  <wp:posOffset>695960</wp:posOffset>
                </wp:positionH>
                <wp:positionV relativeFrom="paragraph">
                  <wp:posOffset>293370</wp:posOffset>
                </wp:positionV>
                <wp:extent cx="2834005" cy="1572260"/>
                <wp:effectExtent l="635" t="635" r="3810" b="8255"/>
                <wp:wrapTopAndBottom/>
                <wp:docPr id="13" name="组合 13"/>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11" name="矩形 11"/>
                        <wps:cNvSpPr/>
                        <wps:spPr>
                          <a:xfrm>
                            <a:off x="1104" y="469"/>
                            <a:ext cx="4448" cy="2775"/>
                          </a:xfrm>
                          <a:prstGeom prst="rect">
                            <a:avLst/>
                          </a:prstGeom>
                          <a:solidFill>
                            <a:srgbClr val="FFFFFF"/>
                          </a:solidFill>
                          <a:ln>
                            <a:noFill/>
                          </a:ln>
                        </wps:spPr>
                        <wps:bodyPr upright="1"/>
                      </wps:wsp>
                      <wps:wsp>
                        <wps:cNvPr id="12" name="文本框 12"/>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49E67486">
                              <w:pPr>
                                <w:spacing w:before="0" w:line="240" w:lineRule="auto"/>
                                <w:rPr>
                                  <w:rFonts w:ascii="微软雅黑"/>
                                  <w:b/>
                                  <w:sz w:val="20"/>
                                </w:rPr>
                              </w:pPr>
                            </w:p>
                            <w:p w14:paraId="6D80EE3F">
                              <w:pPr>
                                <w:spacing w:before="1" w:line="240" w:lineRule="auto"/>
                                <w:rPr>
                                  <w:rFonts w:ascii="微软雅黑"/>
                                  <w:b/>
                                  <w:sz w:val="19"/>
                                </w:rPr>
                              </w:pPr>
                            </w:p>
                            <w:p w14:paraId="28EF255E">
                              <w:pPr>
                                <w:spacing w:before="0" w:line="278" w:lineRule="auto"/>
                                <w:ind w:left="1166" w:right="1161" w:firstLine="0"/>
                                <w:jc w:val="center"/>
                                <w:rPr>
                                  <w:sz w:val="21"/>
                                </w:rPr>
                              </w:pPr>
                              <w:r>
                                <w:rPr>
                                  <w:sz w:val="21"/>
                                </w:rPr>
                                <w:t>被授权人（授权代表） 居民身份证复印件</w:t>
                              </w:r>
                            </w:p>
                            <w:p w14:paraId="0DE6E62D">
                              <w:pPr>
                                <w:spacing w:before="16" w:line="240" w:lineRule="auto"/>
                                <w:rPr>
                                  <w:rFonts w:ascii="微软雅黑"/>
                                  <w:b/>
                                  <w:sz w:val="16"/>
                                </w:rPr>
                              </w:pPr>
                            </w:p>
                            <w:p w14:paraId="08947DCB">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23.8pt;width:223.15pt;mso-position-horizontal-relative:page;mso-wrap-distance-bottom:0pt;mso-wrap-distance-top:0pt;z-index:-25164800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Pbevwna&#10;AAAACgEAAA8AAAAAAAAAAQAgAAAAIgAAAGRycy9kb3ducmV2LnhtbFBLAQIUABQAAAAIAIdO4kDd&#10;IPs2yQIAAOgGAAAOAAAAAAAAAAEAIAAAACkBAABkcnMvZTJvRG9jLnhtbFBLBQYAAAAABgAGAFkB&#10;AABkBgAAAAA=&#10;">
                <o:lock v:ext="edit" aspectratio="f"/>
                <v:rect id="_x0000_s1026" o:spid="_x0000_s1026" o:spt="1" style="position:absolute;left:1104;top:469;height:2775;width:4448;" fillcolor="#FFFFFF" filled="t" stroked="f" coordsize="21600,21600" o:gfxdata="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dtsrsAAADb&#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RXF3zroAAADb&#10;AAAADwAAAGRycy9kb3ducmV2LnhtbEVPS4vCMBC+C/sfwizsRTTRg0jX6EF2wYPI+sI9Ds3YlDaT&#10;0kSr/94Igrf5+J4zW9xcLa7UhtKzhtFQgSDOvSm50HDY/w6mIEJENlh7Jg13CrCYf/RmmBnf8Zau&#10;u1iIFMIhQw02xiaTMuSWHIahb4gTd/atw5hgW0jTYpfCXS3HSk2kw5JTg8WGlpbyandxGqqN/due&#10;1sv/vC+pKrqjOk3vP1p/fY7UN4hIt/gWv9wrk+aP4flLOk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cXfO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9E67486">
                        <w:pPr>
                          <w:spacing w:before="0" w:line="240" w:lineRule="auto"/>
                          <w:rPr>
                            <w:rFonts w:ascii="微软雅黑"/>
                            <w:b/>
                            <w:sz w:val="20"/>
                          </w:rPr>
                        </w:pPr>
                      </w:p>
                      <w:p w14:paraId="6D80EE3F">
                        <w:pPr>
                          <w:spacing w:before="1" w:line="240" w:lineRule="auto"/>
                          <w:rPr>
                            <w:rFonts w:ascii="微软雅黑"/>
                            <w:b/>
                            <w:sz w:val="19"/>
                          </w:rPr>
                        </w:pPr>
                      </w:p>
                      <w:p w14:paraId="28EF255E">
                        <w:pPr>
                          <w:spacing w:before="0" w:line="278" w:lineRule="auto"/>
                          <w:ind w:left="1166" w:right="1161" w:firstLine="0"/>
                          <w:jc w:val="center"/>
                          <w:rPr>
                            <w:sz w:val="21"/>
                          </w:rPr>
                        </w:pPr>
                        <w:r>
                          <w:rPr>
                            <w:sz w:val="21"/>
                          </w:rPr>
                          <w:t>被授权人（授权代表） 居民身份证复印件</w:t>
                        </w:r>
                      </w:p>
                      <w:p w14:paraId="0DE6E62D">
                        <w:pPr>
                          <w:spacing w:before="16" w:line="240" w:lineRule="auto"/>
                          <w:rPr>
                            <w:rFonts w:ascii="微软雅黑"/>
                            <w:b/>
                            <w:sz w:val="16"/>
                          </w:rPr>
                        </w:pPr>
                      </w:p>
                      <w:p w14:paraId="08947DCB">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9504"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23" name="文本框 23"/>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255A6F10">
                            <w:pPr>
                              <w:pStyle w:val="7"/>
                              <w:rPr>
                                <w:rFonts w:ascii="微软雅黑"/>
                                <w:b/>
                                <w:sz w:val="20"/>
                              </w:rPr>
                            </w:pPr>
                          </w:p>
                          <w:p w14:paraId="6806FD79">
                            <w:pPr>
                              <w:pStyle w:val="7"/>
                              <w:spacing w:before="1"/>
                              <w:rPr>
                                <w:rFonts w:ascii="微软雅黑"/>
                                <w:b/>
                                <w:sz w:val="19"/>
                              </w:rPr>
                            </w:pPr>
                          </w:p>
                          <w:p w14:paraId="6536B9D8">
                            <w:pPr>
                              <w:pStyle w:val="7"/>
                              <w:spacing w:line="278" w:lineRule="auto"/>
                              <w:ind w:left="1168" w:right="1159"/>
                              <w:jc w:val="center"/>
                            </w:pPr>
                            <w:r>
                              <w:t>被授权人（授权代表） 居民身份证复印件</w:t>
                            </w:r>
                          </w:p>
                          <w:p w14:paraId="12070B9E">
                            <w:pPr>
                              <w:pStyle w:val="7"/>
                              <w:spacing w:before="16"/>
                              <w:rPr>
                                <w:rFonts w:ascii="微软雅黑"/>
                                <w:b/>
                                <w:sz w:val="16"/>
                              </w:rPr>
                            </w:pPr>
                          </w:p>
                          <w:p w14:paraId="2FC62FA1">
                            <w:pPr>
                              <w:pStyle w:val="7"/>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4697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ecGnDbAAAACwEA&#10;AA8AAAAAAAAAAQAgAAAAIgAAAGRycy9kb3ducmV2LnhtbFBLAQIUABQAAAAIAIdO4kDS/2uYFwIA&#10;ADQEAAAOAAAAAAAAAAEAIAAAACoBAABkcnMvZTJvRG9jLnhtbFBLBQYAAAAABgAGAFkBAACzBQAA&#10;AAA=&#10;">
                <v:fill on="f" focussize="0,0"/>
                <v:stroke color="#000000" joinstyle="miter"/>
                <v:imagedata o:title=""/>
                <o:lock v:ext="edit" aspectratio="f"/>
                <v:textbox inset="0mm,0mm,0mm,0mm">
                  <w:txbxContent>
                    <w:p w14:paraId="255A6F10">
                      <w:pPr>
                        <w:pStyle w:val="7"/>
                        <w:rPr>
                          <w:rFonts w:ascii="微软雅黑"/>
                          <w:b/>
                          <w:sz w:val="20"/>
                        </w:rPr>
                      </w:pPr>
                    </w:p>
                    <w:p w14:paraId="6806FD79">
                      <w:pPr>
                        <w:pStyle w:val="7"/>
                        <w:spacing w:before="1"/>
                        <w:rPr>
                          <w:rFonts w:ascii="微软雅黑"/>
                          <w:b/>
                          <w:sz w:val="19"/>
                        </w:rPr>
                      </w:pPr>
                    </w:p>
                    <w:p w14:paraId="6536B9D8">
                      <w:pPr>
                        <w:pStyle w:val="7"/>
                        <w:spacing w:line="278" w:lineRule="auto"/>
                        <w:ind w:left="1168" w:right="1159"/>
                        <w:jc w:val="center"/>
                      </w:pPr>
                      <w:r>
                        <w:t>被授权人（授权代表） 居民身份证复印件</w:t>
                      </w:r>
                    </w:p>
                    <w:p w14:paraId="12070B9E">
                      <w:pPr>
                        <w:pStyle w:val="7"/>
                        <w:spacing w:before="16"/>
                        <w:rPr>
                          <w:rFonts w:ascii="微软雅黑"/>
                          <w:b/>
                          <w:sz w:val="16"/>
                        </w:rPr>
                      </w:pPr>
                    </w:p>
                    <w:p w14:paraId="2FC62FA1">
                      <w:pPr>
                        <w:pStyle w:val="7"/>
                        <w:spacing w:before="1"/>
                        <w:ind w:left="1165" w:right="1161"/>
                        <w:jc w:val="center"/>
                      </w:pPr>
                      <w:r>
                        <w:t>（反面）</w:t>
                      </w:r>
                    </w:p>
                  </w:txbxContent>
                </v:textbox>
                <w10:wrap type="topAndBottom"/>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51304615">
                            <w:pPr>
                              <w:pStyle w:val="7"/>
                              <w:spacing w:line="241" w:lineRule="exact"/>
                            </w:pPr>
                            <w:r>
                              <w:rPr>
                                <w:w w:val="100"/>
                              </w:rPr>
                              <w:t xml:space="preserve"> </w:t>
                            </w:r>
                          </w:p>
                          <w:p w14:paraId="21461EF3">
                            <w:pPr>
                              <w:pStyle w:val="7"/>
                              <w:spacing w:before="6"/>
                              <w:rPr>
                                <w:sz w:val="15"/>
                              </w:rPr>
                            </w:pPr>
                          </w:p>
                          <w:p w14:paraId="47ECF93A">
                            <w:pPr>
                              <w:pStyle w:val="7"/>
                            </w:pPr>
                            <w:r>
                              <w:rPr>
                                <w:w w:val="100"/>
                              </w:rPr>
                              <w:t xml:space="preserve"> </w:t>
                            </w:r>
                          </w:p>
                          <w:p w14:paraId="04E0CDE0">
                            <w:pPr>
                              <w:pStyle w:val="7"/>
                              <w:spacing w:before="7"/>
                              <w:rPr>
                                <w:sz w:val="15"/>
                              </w:rPr>
                            </w:pPr>
                          </w:p>
                          <w:p w14:paraId="7FFEE848">
                            <w:pPr>
                              <w:pStyle w:val="7"/>
                            </w:pPr>
                            <w:r>
                              <w:rPr>
                                <w:w w:val="100"/>
                              </w:rPr>
                              <w:t xml:space="preserve"> </w:t>
                            </w:r>
                          </w:p>
                          <w:p w14:paraId="6F309BE4">
                            <w:pPr>
                              <w:pStyle w:val="7"/>
                              <w:spacing w:before="7"/>
                              <w:rPr>
                                <w:sz w:val="15"/>
                              </w:rPr>
                            </w:pPr>
                          </w:p>
                          <w:p w14:paraId="5AA2775D">
                            <w:pPr>
                              <w:pStyle w:val="7"/>
                            </w:pPr>
                            <w:r>
                              <w:rPr>
                                <w:w w:val="100"/>
                              </w:rPr>
                              <w:t xml:space="preserve"> </w:t>
                            </w:r>
                          </w:p>
                          <w:p w14:paraId="058D6FB8">
                            <w:pPr>
                              <w:pStyle w:val="7"/>
                              <w:spacing w:before="7"/>
                              <w:rPr>
                                <w:sz w:val="15"/>
                              </w:rPr>
                            </w:pPr>
                          </w:p>
                          <w:p w14:paraId="085DDECD">
                            <w:pPr>
                              <w:pStyle w:val="7"/>
                            </w:pPr>
                            <w:r>
                              <w:rPr>
                                <w:w w:val="100"/>
                              </w:rPr>
                              <w:t xml:space="preserve"> </w:t>
                            </w:r>
                          </w:p>
                          <w:p w14:paraId="42E23067">
                            <w:pPr>
                              <w:pStyle w:val="7"/>
                              <w:spacing w:before="6"/>
                              <w:rPr>
                                <w:sz w:val="15"/>
                              </w:rPr>
                            </w:pPr>
                          </w:p>
                          <w:p w14:paraId="40874BFA">
                            <w:pPr>
                              <w:pStyle w:val="7"/>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5168;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5VDH1wAAAAoBAAAPAAAAAAAAAAEAIAAAACIAAABkcnMvZG93bnJldi54bWxQSwECFAAU&#10;AAAACACHTuJAygahZbkBAABzAwAADgAAAAAAAAABACAAAAAmAQAAZHJzL2Uyb0RvYy54bWxQSwUG&#10;AAAAAAYABgBZAQAAUQUAAAAA&#10;">
                <v:fill on="f" focussize="0,0"/>
                <v:stroke on="f"/>
                <v:imagedata o:title=""/>
                <o:lock v:ext="edit" aspectratio="f"/>
                <v:textbox inset="0mm,0mm,0mm,0mm">
                  <w:txbxContent>
                    <w:p w14:paraId="51304615">
                      <w:pPr>
                        <w:pStyle w:val="7"/>
                        <w:spacing w:line="241" w:lineRule="exact"/>
                      </w:pPr>
                      <w:r>
                        <w:rPr>
                          <w:w w:val="100"/>
                        </w:rPr>
                        <w:t xml:space="preserve"> </w:t>
                      </w:r>
                    </w:p>
                    <w:p w14:paraId="21461EF3">
                      <w:pPr>
                        <w:pStyle w:val="7"/>
                        <w:spacing w:before="6"/>
                        <w:rPr>
                          <w:sz w:val="15"/>
                        </w:rPr>
                      </w:pPr>
                    </w:p>
                    <w:p w14:paraId="47ECF93A">
                      <w:pPr>
                        <w:pStyle w:val="7"/>
                      </w:pPr>
                      <w:r>
                        <w:rPr>
                          <w:w w:val="100"/>
                        </w:rPr>
                        <w:t xml:space="preserve"> </w:t>
                      </w:r>
                    </w:p>
                    <w:p w14:paraId="04E0CDE0">
                      <w:pPr>
                        <w:pStyle w:val="7"/>
                        <w:spacing w:before="7"/>
                        <w:rPr>
                          <w:sz w:val="15"/>
                        </w:rPr>
                      </w:pPr>
                    </w:p>
                    <w:p w14:paraId="7FFEE848">
                      <w:pPr>
                        <w:pStyle w:val="7"/>
                      </w:pPr>
                      <w:r>
                        <w:rPr>
                          <w:w w:val="100"/>
                        </w:rPr>
                        <w:t xml:space="preserve"> </w:t>
                      </w:r>
                    </w:p>
                    <w:p w14:paraId="6F309BE4">
                      <w:pPr>
                        <w:pStyle w:val="7"/>
                        <w:spacing w:before="7"/>
                        <w:rPr>
                          <w:sz w:val="15"/>
                        </w:rPr>
                      </w:pPr>
                    </w:p>
                    <w:p w14:paraId="5AA2775D">
                      <w:pPr>
                        <w:pStyle w:val="7"/>
                      </w:pPr>
                      <w:r>
                        <w:rPr>
                          <w:w w:val="100"/>
                        </w:rPr>
                        <w:t xml:space="preserve"> </w:t>
                      </w:r>
                    </w:p>
                    <w:p w14:paraId="058D6FB8">
                      <w:pPr>
                        <w:pStyle w:val="7"/>
                        <w:spacing w:before="7"/>
                        <w:rPr>
                          <w:sz w:val="15"/>
                        </w:rPr>
                      </w:pPr>
                    </w:p>
                    <w:p w14:paraId="085DDECD">
                      <w:pPr>
                        <w:pStyle w:val="7"/>
                      </w:pPr>
                      <w:r>
                        <w:rPr>
                          <w:w w:val="100"/>
                        </w:rPr>
                        <w:t xml:space="preserve"> </w:t>
                      </w:r>
                    </w:p>
                    <w:p w14:paraId="42E23067">
                      <w:pPr>
                        <w:pStyle w:val="7"/>
                        <w:spacing w:before="6"/>
                        <w:rPr>
                          <w:sz w:val="15"/>
                        </w:rPr>
                      </w:pPr>
                    </w:p>
                    <w:p w14:paraId="40874BFA">
                      <w:pPr>
                        <w:pStyle w:val="7"/>
                        <w:spacing w:line="240"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w:t xml:space="preserve">附：被授权代表人身份证复印件 </w:t>
      </w:r>
    </w:p>
    <w:p w14:paraId="7BEC8B9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B65B45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职务：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2D958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FADED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74D90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5AF338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23" w:type="default"/>
          <w:pgSz w:w="11910" w:h="16840"/>
          <w:pgMar w:top="1984" w:right="1531" w:bottom="2098" w:left="1531" w:header="670" w:footer="1041" w:gutter="0"/>
          <w:pgNumType w:fmt="decimal"/>
          <w:cols w:space="720" w:num="1"/>
          <w:rtlGutter w:val="0"/>
          <w:docGrid w:linePitch="1" w:charSpace="0"/>
        </w:sectPr>
      </w:pPr>
    </w:p>
    <w:p w14:paraId="1BA0A768">
      <w:pPr>
        <w:pStyle w:val="14"/>
        <w:rPr>
          <w:rFonts w:hint="eastAsia" w:ascii="宋体" w:hAnsi="宋体" w:eastAsia="宋体" w:cs="宋体"/>
          <w:color w:val="auto"/>
          <w:sz w:val="24"/>
          <w:szCs w:val="24"/>
          <w:highlight w:val="none"/>
        </w:rPr>
      </w:pPr>
    </w:p>
    <w:p w14:paraId="72443539">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6.2 供应商</w:t>
      </w:r>
      <w:r>
        <w:rPr>
          <w:rFonts w:hint="eastAsia" w:ascii="宋体" w:hAnsi="宋体" w:eastAsia="宋体" w:cs="宋体"/>
          <w:b/>
          <w:bCs/>
          <w:color w:val="auto"/>
          <w:sz w:val="30"/>
          <w:szCs w:val="30"/>
          <w:highlight w:val="none"/>
          <w:lang w:val="en-US" w:eastAsia="zh-CN"/>
        </w:rPr>
        <w:t>资格声明函</w:t>
      </w:r>
    </w:p>
    <w:p w14:paraId="198434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456B0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1F51E1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）的磋商公告，本公司（企业）愿意参加磋商，并声明： </w:t>
      </w:r>
    </w:p>
    <w:p w14:paraId="41F08E9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本公司（企业）具备下列《中华人民共和国政府采购法》第二十二条资格条件，并已清楚磋商文件的要求及有关文件规定。 </w:t>
      </w:r>
    </w:p>
    <w:p w14:paraId="3B5AC59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（一）具有独立承担民事责任的能力； </w:t>
      </w:r>
    </w:p>
    <w:p w14:paraId="04AEE0E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（二）具有良好的商业信誉和健全的财务会计制度； </w:t>
      </w:r>
    </w:p>
    <w:p w14:paraId="42ACF79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（三）具有履行合同所必需的设备和专业技术能力； </w:t>
      </w:r>
    </w:p>
    <w:p w14:paraId="1DAEF80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（四）有依法缴纳税收和社会保障资金的良好记录； </w:t>
      </w:r>
    </w:p>
    <w:p w14:paraId="692C854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（五）参加政府采购活动前三年内，在经营活动中没有重大违法记录； </w:t>
      </w:r>
    </w:p>
    <w:p w14:paraId="419AC63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（六）法律、行政法规规定的其他条件。 </w:t>
      </w:r>
    </w:p>
    <w:p w14:paraId="57DE53F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本公司（企业）已清楚磋商文件的要求及有关文件规定。 </w:t>
      </w:r>
    </w:p>
    <w:p w14:paraId="0DEA551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本公司（企业）的法定代表人或单位负责人与本项目其他供应商的法定代表人或单位负责人不为同一人且与其他供应商之间不存在直接控股、管理关系。 </w:t>
      </w:r>
    </w:p>
    <w:p w14:paraId="11ACE0D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本公司（企业）承诺：若为本采购项目提供整体设计、规范编制或者项目管理、监理、检测等服务的供应商，将不再参加该采购项目的其他采购活动。 </w:t>
      </w:r>
    </w:p>
    <w:p w14:paraId="0E4DC7D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本公司（企业）承诺：参加本次采购活动前 3 年内，我公司（企业）在经营活动中没有重大违法记录。本公司（企业）承诺：本项目标的的所有权和该作品的使用权归采购人所有，知识产权（含该作品的著作权及版权）或专利归作者我公司（企业）所有。本项目我公司（企业）所提供的服务不侵犯任何第三方的专利、商标或版权。否则，我公司（企业）承担对第三方的知识产权（含该作品的著作权及版权）或专利的侵权责任，以及由此产生的后果由我司负责。 </w:t>
      </w:r>
    </w:p>
    <w:p w14:paraId="4FCD12D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本公司（企业）承诺在本次采购活动中，如有违法、违规、弄虚作假行为，所造成的损失、不良后果及法律责任，一律由我公司（企业）承担。 </w:t>
      </w:r>
    </w:p>
    <w:p w14:paraId="328FA0A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14:paraId="285A74A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C15BC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492F8C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02902B0F">
      <w:pPr>
        <w:pStyle w:val="4"/>
        <w:ind w:firstLine="0"/>
        <w:jc w:val="center"/>
        <w:rPr>
          <w:rFonts w:hint="eastAsia" w:ascii="黑体" w:hAnsi="宋体" w:eastAsia="黑体"/>
          <w:b/>
          <w:bCs/>
          <w:color w:val="auto"/>
          <w:sz w:val="30"/>
          <w:szCs w:val="30"/>
          <w:highlight w:val="none"/>
        </w:rPr>
      </w:pPr>
      <w:r>
        <w:rPr>
          <w:rFonts w:hint="eastAsia" w:cs="宋体"/>
          <w:b/>
          <w:bCs/>
          <w:color w:val="auto"/>
          <w:sz w:val="30"/>
          <w:szCs w:val="30"/>
          <w:highlight w:val="none"/>
          <w:lang w:val="en-US" w:eastAsia="zh-CN"/>
        </w:rPr>
        <w:t xml:space="preserve">6.3 </w:t>
      </w:r>
      <w:r>
        <w:rPr>
          <w:rFonts w:hint="eastAsia" w:ascii="黑体" w:hAnsi="宋体" w:eastAsia="黑体"/>
          <w:b/>
          <w:bCs/>
          <w:color w:val="auto"/>
          <w:sz w:val="30"/>
          <w:szCs w:val="30"/>
          <w:highlight w:val="none"/>
        </w:rPr>
        <w:t>具备履行合同所必需的设备和专业技术能力的书面声明</w:t>
      </w:r>
    </w:p>
    <w:p w14:paraId="2312B634">
      <w:pPr>
        <w:pStyle w:val="4"/>
        <w:ind w:firstLine="0"/>
        <w:jc w:val="center"/>
        <w:rPr>
          <w:rFonts w:hint="eastAsia" w:ascii="黑体" w:hAnsi="宋体" w:eastAsia="黑体"/>
          <w:b/>
          <w:bCs/>
          <w:color w:val="auto"/>
          <w:sz w:val="30"/>
          <w:szCs w:val="30"/>
          <w:highlight w:val="none"/>
        </w:rPr>
      </w:pPr>
    </w:p>
    <w:p w14:paraId="1C024605">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我单位郑重声明：我单位具备履行本项采购合同所必需的设备和专业技术能力，为履行本项采购合同我公司具备如下主要设备和主要专业技术能力：</w:t>
      </w:r>
    </w:p>
    <w:p w14:paraId="1B57EB9E">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主要设备有：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14:paraId="1B6163AC">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主要专业技术能力有：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14:paraId="2FA9D14D">
      <w:pPr>
        <w:pStyle w:val="36"/>
        <w:spacing w:before="145" w:beforeLines="50" w:after="145" w:afterLines="50" w:line="300" w:lineRule="auto"/>
        <w:ind w:left="6000" w:leftChars="2400" w:hanging="720" w:hangingChars="300"/>
        <w:rPr>
          <w:rFonts w:hint="eastAsia" w:ascii="宋体" w:hAnsi="宋体"/>
          <w:color w:val="auto"/>
          <w:kern w:val="2"/>
          <w:szCs w:val="21"/>
          <w:highlight w:val="none"/>
        </w:rPr>
      </w:pPr>
      <w:r>
        <w:rPr>
          <w:rFonts w:hint="eastAsia" w:ascii="宋体" w:hAnsi="宋体"/>
          <w:bCs/>
          <w:color w:val="auto"/>
          <w:highlight w:val="none"/>
        </w:rPr>
        <w:t xml:space="preserve">                                     </w:t>
      </w:r>
      <w:r>
        <w:rPr>
          <w:rFonts w:hint="eastAsia" w:ascii="宋体" w:hAnsi="宋体"/>
          <w:color w:val="auto"/>
          <w:kern w:val="2"/>
          <w:szCs w:val="21"/>
          <w:highlight w:val="none"/>
        </w:rPr>
        <w:t xml:space="preserve">投标人名称（盖章）： </w:t>
      </w:r>
    </w:p>
    <w:p w14:paraId="6B23912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color w:val="auto"/>
          <w:highlight w:val="none"/>
        </w:rPr>
      </w:pPr>
      <w:r>
        <w:rPr>
          <w:rFonts w:hint="eastAsia"/>
          <w:color w:val="auto"/>
          <w:highlight w:val="none"/>
          <w:lang w:val="en-US" w:eastAsia="zh-CN"/>
        </w:rPr>
        <w:t xml:space="preserve">                                             </w:t>
      </w:r>
      <w:r>
        <w:rPr>
          <w:rFonts w:hint="eastAsia" w:ascii="宋体" w:hAnsi="宋体"/>
          <w:color w:val="auto"/>
          <w:highlight w:val="none"/>
        </w:rPr>
        <w:t>______年____月____日</w:t>
      </w:r>
    </w:p>
    <w:p w14:paraId="0AFF0103">
      <w:pPr>
        <w:pStyle w:val="6"/>
        <w:rPr>
          <w:rFonts w:hint="eastAsia" w:ascii="宋体" w:hAnsi="宋体"/>
          <w:color w:val="auto"/>
          <w:highlight w:val="none"/>
        </w:rPr>
      </w:pPr>
    </w:p>
    <w:p w14:paraId="5EE8E017">
      <w:pPr>
        <w:rPr>
          <w:rFonts w:hint="eastAsia" w:ascii="宋体" w:hAnsi="宋体"/>
          <w:color w:val="auto"/>
          <w:highlight w:val="none"/>
        </w:rPr>
      </w:pPr>
    </w:p>
    <w:p w14:paraId="06BE36D7">
      <w:pPr>
        <w:pStyle w:val="6"/>
        <w:rPr>
          <w:rFonts w:hint="eastAsia" w:ascii="宋体" w:hAnsi="宋体"/>
          <w:color w:val="auto"/>
          <w:highlight w:val="none"/>
        </w:rPr>
      </w:pPr>
    </w:p>
    <w:p w14:paraId="19AEBC9E">
      <w:pPr>
        <w:rPr>
          <w:rFonts w:hint="eastAsia" w:ascii="宋体" w:hAnsi="宋体"/>
          <w:color w:val="auto"/>
          <w:highlight w:val="none"/>
        </w:rPr>
      </w:pPr>
    </w:p>
    <w:p w14:paraId="68FA4E99">
      <w:pPr>
        <w:pStyle w:val="6"/>
        <w:rPr>
          <w:rFonts w:hint="eastAsia" w:ascii="宋体" w:hAnsi="宋体"/>
          <w:color w:val="auto"/>
          <w:highlight w:val="none"/>
        </w:rPr>
      </w:pPr>
    </w:p>
    <w:p w14:paraId="1A424991">
      <w:pPr>
        <w:rPr>
          <w:rFonts w:hint="eastAsia" w:ascii="宋体" w:hAnsi="宋体"/>
          <w:color w:val="auto"/>
          <w:highlight w:val="none"/>
        </w:rPr>
      </w:pPr>
    </w:p>
    <w:p w14:paraId="710619E9">
      <w:pPr>
        <w:pStyle w:val="6"/>
        <w:rPr>
          <w:rFonts w:hint="eastAsia" w:ascii="宋体" w:hAnsi="宋体"/>
          <w:color w:val="auto"/>
          <w:highlight w:val="none"/>
        </w:rPr>
      </w:pPr>
    </w:p>
    <w:p w14:paraId="426A7540">
      <w:pPr>
        <w:rPr>
          <w:rFonts w:hint="eastAsia" w:ascii="宋体" w:hAnsi="宋体"/>
          <w:color w:val="auto"/>
          <w:highlight w:val="none"/>
        </w:rPr>
      </w:pPr>
    </w:p>
    <w:p w14:paraId="4C650515">
      <w:pPr>
        <w:pStyle w:val="6"/>
        <w:rPr>
          <w:rFonts w:hint="eastAsia" w:ascii="宋体" w:hAnsi="宋体"/>
          <w:color w:val="auto"/>
          <w:highlight w:val="none"/>
        </w:rPr>
      </w:pPr>
    </w:p>
    <w:p w14:paraId="197BE870">
      <w:pPr>
        <w:rPr>
          <w:rFonts w:hint="eastAsia" w:ascii="宋体" w:hAnsi="宋体"/>
          <w:color w:val="auto"/>
          <w:highlight w:val="none"/>
        </w:rPr>
      </w:pPr>
    </w:p>
    <w:p w14:paraId="78A4676A">
      <w:pPr>
        <w:pStyle w:val="6"/>
        <w:rPr>
          <w:rFonts w:hint="eastAsia" w:ascii="宋体" w:hAnsi="宋体"/>
          <w:color w:val="auto"/>
          <w:highlight w:val="none"/>
        </w:rPr>
      </w:pPr>
    </w:p>
    <w:p w14:paraId="54C78AE4">
      <w:pPr>
        <w:rPr>
          <w:rFonts w:hint="eastAsia" w:ascii="宋体" w:hAnsi="宋体"/>
          <w:color w:val="auto"/>
          <w:highlight w:val="none"/>
        </w:rPr>
      </w:pPr>
    </w:p>
    <w:p w14:paraId="3F67EC25">
      <w:pPr>
        <w:pStyle w:val="6"/>
        <w:rPr>
          <w:rFonts w:hint="eastAsia" w:ascii="宋体" w:hAnsi="宋体"/>
          <w:color w:val="auto"/>
          <w:highlight w:val="none"/>
        </w:rPr>
      </w:pPr>
    </w:p>
    <w:p w14:paraId="232BF60C">
      <w:pPr>
        <w:rPr>
          <w:rFonts w:hint="eastAsia" w:ascii="宋体" w:hAnsi="宋体"/>
          <w:color w:val="auto"/>
          <w:highlight w:val="none"/>
        </w:rPr>
      </w:pPr>
    </w:p>
    <w:p w14:paraId="48DA9699">
      <w:pPr>
        <w:pStyle w:val="6"/>
        <w:rPr>
          <w:rFonts w:hint="eastAsia" w:ascii="宋体" w:hAnsi="宋体"/>
          <w:color w:val="auto"/>
          <w:highlight w:val="none"/>
        </w:rPr>
      </w:pPr>
    </w:p>
    <w:p w14:paraId="2CBCEA34">
      <w:pPr>
        <w:rPr>
          <w:rFonts w:hint="eastAsia" w:ascii="宋体" w:hAnsi="宋体"/>
          <w:color w:val="auto"/>
          <w:highlight w:val="none"/>
        </w:rPr>
      </w:pPr>
    </w:p>
    <w:p w14:paraId="6EB11A4F">
      <w:pPr>
        <w:pStyle w:val="6"/>
        <w:rPr>
          <w:rFonts w:hint="eastAsia" w:ascii="宋体" w:hAnsi="宋体"/>
          <w:color w:val="auto"/>
          <w:highlight w:val="none"/>
        </w:rPr>
      </w:pPr>
    </w:p>
    <w:p w14:paraId="452E0B85">
      <w:pPr>
        <w:rPr>
          <w:rFonts w:hint="eastAsia" w:ascii="宋体" w:hAnsi="宋体"/>
          <w:color w:val="auto"/>
          <w:highlight w:val="none"/>
        </w:rPr>
      </w:pPr>
    </w:p>
    <w:p w14:paraId="65426E55">
      <w:pPr>
        <w:pStyle w:val="6"/>
        <w:rPr>
          <w:rFonts w:hint="eastAsia" w:ascii="宋体" w:hAnsi="宋体"/>
          <w:color w:val="auto"/>
          <w:highlight w:val="none"/>
        </w:rPr>
      </w:pPr>
    </w:p>
    <w:p w14:paraId="0A11059C">
      <w:pPr>
        <w:rPr>
          <w:rFonts w:hint="eastAsia" w:ascii="宋体" w:hAnsi="宋体"/>
          <w:color w:val="auto"/>
          <w:highlight w:val="none"/>
        </w:rPr>
      </w:pPr>
    </w:p>
    <w:p w14:paraId="0D527EAA">
      <w:pPr>
        <w:pStyle w:val="6"/>
        <w:rPr>
          <w:rFonts w:hint="eastAsia" w:ascii="宋体" w:hAnsi="宋体"/>
          <w:color w:val="auto"/>
          <w:highlight w:val="none"/>
        </w:rPr>
      </w:pPr>
    </w:p>
    <w:p w14:paraId="7E5C276E">
      <w:pPr>
        <w:rPr>
          <w:rFonts w:hint="eastAsia" w:ascii="宋体" w:hAnsi="宋体"/>
          <w:color w:val="auto"/>
          <w:highlight w:val="none"/>
        </w:rPr>
      </w:pPr>
    </w:p>
    <w:p w14:paraId="2ABF07F6">
      <w:pPr>
        <w:pStyle w:val="6"/>
        <w:rPr>
          <w:rFonts w:hint="eastAsia" w:ascii="宋体" w:hAnsi="宋体"/>
          <w:color w:val="auto"/>
          <w:highlight w:val="none"/>
        </w:rPr>
      </w:pPr>
    </w:p>
    <w:p w14:paraId="6A745496">
      <w:pPr>
        <w:rPr>
          <w:rFonts w:hint="eastAsia" w:ascii="宋体" w:hAnsi="宋体"/>
          <w:color w:val="auto"/>
          <w:highlight w:val="none"/>
        </w:rPr>
      </w:pPr>
    </w:p>
    <w:p w14:paraId="0E2B16B0">
      <w:pPr>
        <w:pStyle w:val="6"/>
        <w:rPr>
          <w:rFonts w:hint="eastAsia" w:ascii="宋体" w:hAnsi="宋体"/>
          <w:color w:val="auto"/>
          <w:highlight w:val="none"/>
        </w:rPr>
      </w:pPr>
    </w:p>
    <w:p w14:paraId="7E49EA9B">
      <w:pPr>
        <w:rPr>
          <w:rFonts w:hint="eastAsia" w:ascii="宋体" w:hAnsi="宋体"/>
          <w:color w:val="auto"/>
          <w:highlight w:val="none"/>
        </w:rPr>
      </w:pPr>
    </w:p>
    <w:p w14:paraId="7DFD232D">
      <w:pPr>
        <w:pStyle w:val="6"/>
        <w:rPr>
          <w:rFonts w:hint="eastAsia" w:ascii="宋体" w:hAnsi="宋体"/>
          <w:color w:val="auto"/>
          <w:highlight w:val="none"/>
        </w:rPr>
      </w:pPr>
    </w:p>
    <w:p w14:paraId="5180328F">
      <w:pPr>
        <w:rPr>
          <w:rFonts w:hint="eastAsia" w:ascii="宋体" w:hAnsi="宋体"/>
          <w:color w:val="auto"/>
          <w:highlight w:val="none"/>
        </w:rPr>
      </w:pPr>
    </w:p>
    <w:p w14:paraId="7D0516C2">
      <w:pPr>
        <w:pStyle w:val="6"/>
        <w:rPr>
          <w:rFonts w:hint="eastAsia"/>
          <w:color w:val="auto"/>
          <w:highlight w:val="none"/>
        </w:rPr>
      </w:pPr>
    </w:p>
    <w:p w14:paraId="72142C2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6.4</w:t>
      </w:r>
      <w:r>
        <w:rPr>
          <w:rFonts w:hint="eastAsia" w:ascii="宋体" w:hAnsi="宋体" w:eastAsia="宋体" w:cs="宋体"/>
          <w:b/>
          <w:bCs/>
          <w:color w:val="auto"/>
          <w:sz w:val="30"/>
          <w:szCs w:val="30"/>
          <w:highlight w:val="none"/>
          <w:lang w:val="en-US" w:eastAsia="zh-CN"/>
        </w:rPr>
        <w:t xml:space="preserve"> 参加政府采购活动前 3 年内在经营活动中没有重大违法记录的书面声明</w:t>
      </w:r>
    </w:p>
    <w:p w14:paraId="2F29921F">
      <w:pPr>
        <w:pStyle w:val="7"/>
        <w:rPr>
          <w:rFonts w:hint="eastAsia"/>
          <w:color w:val="auto"/>
          <w:highlight w:val="none"/>
          <w:lang w:val="en-US" w:eastAsia="zh-CN"/>
        </w:rPr>
      </w:pPr>
    </w:p>
    <w:p w14:paraId="595D8E8F">
      <w:pPr>
        <w:spacing w:before="145" w:beforeLines="50" w:after="145" w:afterLines="50" w:line="300" w:lineRule="auto"/>
        <w:rPr>
          <w:rFonts w:hint="eastAsia" w:ascii="宋体" w:hAnsi="宋体"/>
          <w:bCs/>
          <w:color w:val="auto"/>
          <w:sz w:val="24"/>
          <w:highlight w:val="none"/>
        </w:rPr>
      </w:pPr>
      <w:r>
        <w:rPr>
          <w:rFonts w:hint="eastAsia" w:ascii="宋体" w:hAnsi="宋体"/>
          <w:b/>
          <w:bCs/>
          <w:color w:val="auto"/>
          <w:sz w:val="24"/>
          <w:highlight w:val="none"/>
        </w:rPr>
        <w:t xml:space="preserve">    </w:t>
      </w:r>
      <w:r>
        <w:rPr>
          <w:rFonts w:hint="eastAsia" w:ascii="宋体" w:hAnsi="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14:paraId="73E41D2F">
      <w:pPr>
        <w:spacing w:before="145" w:beforeLines="50" w:after="145" w:afterLines="50" w:line="300" w:lineRule="auto"/>
        <w:rPr>
          <w:rFonts w:hint="eastAsia" w:ascii="宋体" w:hAnsi="宋体"/>
          <w:bCs/>
          <w:color w:val="auto"/>
          <w:sz w:val="24"/>
          <w:highlight w:val="none"/>
        </w:rPr>
      </w:pPr>
    </w:p>
    <w:p w14:paraId="1D25A6EE">
      <w:pPr>
        <w:pStyle w:val="36"/>
        <w:spacing w:before="145" w:beforeLines="50" w:after="145" w:afterLines="50" w:line="300" w:lineRule="auto"/>
        <w:ind w:left="440" w:leftChars="200" w:firstLine="5280" w:firstLineChars="2200"/>
        <w:rPr>
          <w:rFonts w:hint="eastAsia" w:ascii="宋体" w:hAnsi="宋体"/>
          <w:color w:val="auto"/>
          <w:kern w:val="2"/>
          <w:szCs w:val="21"/>
          <w:highlight w:val="none"/>
        </w:rPr>
      </w:pPr>
      <w:r>
        <w:rPr>
          <w:rFonts w:hint="eastAsia" w:ascii="宋体" w:hAnsi="宋体"/>
          <w:color w:val="auto"/>
          <w:kern w:val="2"/>
          <w:szCs w:val="21"/>
          <w:highlight w:val="none"/>
        </w:rPr>
        <w:t xml:space="preserve">投标人名称（盖章）： </w:t>
      </w:r>
    </w:p>
    <w:p w14:paraId="254CA565">
      <w:pPr>
        <w:spacing w:before="145" w:beforeLines="50" w:after="145" w:afterLines="50" w:line="300" w:lineRule="auto"/>
        <w:ind w:firstLine="5720" w:firstLineChars="2600"/>
        <w:rPr>
          <w:rFonts w:hint="eastAsia" w:ascii="宋体" w:hAnsi="宋体"/>
          <w:bCs/>
          <w:color w:val="auto"/>
          <w:sz w:val="24"/>
          <w:highlight w:val="none"/>
        </w:rPr>
      </w:pPr>
      <w:r>
        <w:rPr>
          <w:rFonts w:hint="eastAsia" w:ascii="宋体" w:hAnsi="宋体"/>
          <w:color w:val="auto"/>
          <w:highlight w:val="none"/>
        </w:rPr>
        <w:t>______年____月____日</w:t>
      </w:r>
    </w:p>
    <w:p w14:paraId="1C3468A4">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1058C855">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4"/>
          <w:szCs w:val="24"/>
          <w:highlight w:val="none"/>
        </w:rPr>
      </w:pPr>
    </w:p>
    <w:p w14:paraId="6333E9AA">
      <w:pPr>
        <w:pStyle w:val="6"/>
        <w:rPr>
          <w:rFonts w:hint="eastAsia" w:ascii="宋体" w:hAnsi="宋体" w:eastAsia="宋体" w:cs="宋体"/>
          <w:color w:val="auto"/>
          <w:sz w:val="24"/>
          <w:szCs w:val="24"/>
          <w:highlight w:val="none"/>
        </w:rPr>
      </w:pPr>
    </w:p>
    <w:p w14:paraId="72236D50">
      <w:pPr>
        <w:rPr>
          <w:rFonts w:hint="eastAsia" w:ascii="宋体" w:hAnsi="宋体" w:eastAsia="宋体" w:cs="宋体"/>
          <w:color w:val="auto"/>
          <w:sz w:val="24"/>
          <w:szCs w:val="24"/>
          <w:highlight w:val="none"/>
        </w:rPr>
      </w:pPr>
    </w:p>
    <w:p w14:paraId="4E1EAC04">
      <w:pPr>
        <w:pStyle w:val="6"/>
        <w:rPr>
          <w:rFonts w:hint="eastAsia" w:ascii="宋体" w:hAnsi="宋体" w:eastAsia="宋体" w:cs="宋体"/>
          <w:color w:val="auto"/>
          <w:sz w:val="24"/>
          <w:szCs w:val="24"/>
          <w:highlight w:val="none"/>
        </w:rPr>
      </w:pPr>
    </w:p>
    <w:p w14:paraId="738AC67D">
      <w:pPr>
        <w:rPr>
          <w:rFonts w:hint="eastAsia" w:ascii="宋体" w:hAnsi="宋体" w:eastAsia="宋体" w:cs="宋体"/>
          <w:color w:val="auto"/>
          <w:sz w:val="24"/>
          <w:szCs w:val="24"/>
          <w:highlight w:val="none"/>
        </w:rPr>
      </w:pPr>
    </w:p>
    <w:p w14:paraId="6AE84C24">
      <w:pPr>
        <w:pStyle w:val="6"/>
        <w:rPr>
          <w:rFonts w:hint="eastAsia" w:ascii="宋体" w:hAnsi="宋体" w:eastAsia="宋体" w:cs="宋体"/>
          <w:color w:val="auto"/>
          <w:sz w:val="24"/>
          <w:szCs w:val="24"/>
          <w:highlight w:val="none"/>
        </w:rPr>
      </w:pPr>
    </w:p>
    <w:p w14:paraId="402EDE1B">
      <w:pPr>
        <w:rPr>
          <w:rFonts w:hint="eastAsia" w:ascii="宋体" w:hAnsi="宋体" w:eastAsia="宋体" w:cs="宋体"/>
          <w:color w:val="auto"/>
          <w:sz w:val="24"/>
          <w:szCs w:val="24"/>
          <w:highlight w:val="none"/>
        </w:rPr>
      </w:pPr>
    </w:p>
    <w:p w14:paraId="3A0F4CF6">
      <w:pPr>
        <w:pStyle w:val="6"/>
        <w:rPr>
          <w:rFonts w:hint="eastAsia" w:ascii="宋体" w:hAnsi="宋体" w:eastAsia="宋体" w:cs="宋体"/>
          <w:color w:val="auto"/>
          <w:sz w:val="24"/>
          <w:szCs w:val="24"/>
          <w:highlight w:val="none"/>
        </w:rPr>
      </w:pPr>
    </w:p>
    <w:p w14:paraId="22874DE2">
      <w:pPr>
        <w:rPr>
          <w:rFonts w:hint="eastAsia" w:ascii="宋体" w:hAnsi="宋体" w:eastAsia="宋体" w:cs="宋体"/>
          <w:color w:val="auto"/>
          <w:sz w:val="24"/>
          <w:szCs w:val="24"/>
          <w:highlight w:val="none"/>
        </w:rPr>
      </w:pPr>
    </w:p>
    <w:p w14:paraId="4A71C1A7">
      <w:pPr>
        <w:pStyle w:val="6"/>
        <w:rPr>
          <w:rFonts w:hint="eastAsia" w:ascii="宋体" w:hAnsi="宋体" w:eastAsia="宋体" w:cs="宋体"/>
          <w:color w:val="auto"/>
          <w:sz w:val="24"/>
          <w:szCs w:val="24"/>
          <w:highlight w:val="none"/>
        </w:rPr>
      </w:pPr>
    </w:p>
    <w:p w14:paraId="4FD89000">
      <w:pPr>
        <w:rPr>
          <w:rFonts w:hint="eastAsia" w:ascii="宋体" w:hAnsi="宋体" w:eastAsia="宋体" w:cs="宋体"/>
          <w:color w:val="auto"/>
          <w:sz w:val="24"/>
          <w:szCs w:val="24"/>
          <w:highlight w:val="none"/>
        </w:rPr>
      </w:pPr>
    </w:p>
    <w:p w14:paraId="044E9819">
      <w:pPr>
        <w:pStyle w:val="6"/>
        <w:rPr>
          <w:rFonts w:hint="eastAsia" w:ascii="宋体" w:hAnsi="宋体" w:eastAsia="宋体" w:cs="宋体"/>
          <w:color w:val="auto"/>
          <w:sz w:val="24"/>
          <w:szCs w:val="24"/>
          <w:highlight w:val="none"/>
        </w:rPr>
      </w:pPr>
    </w:p>
    <w:p w14:paraId="17875EC7">
      <w:pPr>
        <w:rPr>
          <w:rFonts w:hint="eastAsia" w:ascii="宋体" w:hAnsi="宋体" w:eastAsia="宋体" w:cs="宋体"/>
          <w:color w:val="auto"/>
          <w:sz w:val="24"/>
          <w:szCs w:val="24"/>
          <w:highlight w:val="none"/>
        </w:rPr>
      </w:pPr>
    </w:p>
    <w:p w14:paraId="7B9D8E91">
      <w:pPr>
        <w:pStyle w:val="6"/>
        <w:rPr>
          <w:rFonts w:hint="eastAsia" w:ascii="宋体" w:hAnsi="宋体" w:eastAsia="宋体" w:cs="宋体"/>
          <w:color w:val="auto"/>
          <w:sz w:val="24"/>
          <w:szCs w:val="24"/>
          <w:highlight w:val="none"/>
        </w:rPr>
      </w:pPr>
    </w:p>
    <w:p w14:paraId="4F51DE1F">
      <w:pPr>
        <w:rPr>
          <w:rFonts w:hint="eastAsia" w:ascii="宋体" w:hAnsi="宋体" w:eastAsia="宋体" w:cs="宋体"/>
          <w:color w:val="auto"/>
          <w:sz w:val="24"/>
          <w:szCs w:val="24"/>
          <w:highlight w:val="none"/>
        </w:rPr>
      </w:pPr>
    </w:p>
    <w:p w14:paraId="4FA9BAB1">
      <w:pPr>
        <w:pStyle w:val="6"/>
        <w:rPr>
          <w:rFonts w:hint="eastAsia" w:ascii="宋体" w:hAnsi="宋体" w:eastAsia="宋体" w:cs="宋体"/>
          <w:color w:val="auto"/>
          <w:sz w:val="24"/>
          <w:szCs w:val="24"/>
          <w:highlight w:val="none"/>
        </w:rPr>
      </w:pPr>
    </w:p>
    <w:p w14:paraId="635DCB8E">
      <w:pPr>
        <w:rPr>
          <w:rFonts w:hint="eastAsia" w:ascii="宋体" w:hAnsi="宋体" w:eastAsia="宋体" w:cs="宋体"/>
          <w:color w:val="auto"/>
          <w:sz w:val="24"/>
          <w:szCs w:val="24"/>
          <w:highlight w:val="none"/>
        </w:rPr>
      </w:pPr>
    </w:p>
    <w:p w14:paraId="06951040">
      <w:pPr>
        <w:pStyle w:val="6"/>
        <w:rPr>
          <w:rFonts w:hint="eastAsia" w:ascii="宋体" w:hAnsi="宋体" w:eastAsia="宋体" w:cs="宋体"/>
          <w:color w:val="auto"/>
          <w:sz w:val="24"/>
          <w:szCs w:val="24"/>
          <w:highlight w:val="none"/>
        </w:rPr>
      </w:pPr>
    </w:p>
    <w:p w14:paraId="24FB6144">
      <w:pPr>
        <w:rPr>
          <w:rFonts w:hint="eastAsia" w:ascii="宋体" w:hAnsi="宋体" w:eastAsia="宋体" w:cs="宋体"/>
          <w:color w:val="auto"/>
          <w:sz w:val="24"/>
          <w:szCs w:val="24"/>
          <w:highlight w:val="none"/>
        </w:rPr>
      </w:pPr>
    </w:p>
    <w:p w14:paraId="5768A74C">
      <w:pPr>
        <w:pStyle w:val="6"/>
        <w:rPr>
          <w:rFonts w:hint="eastAsia" w:ascii="宋体" w:hAnsi="宋体" w:eastAsia="宋体" w:cs="宋体"/>
          <w:color w:val="auto"/>
          <w:sz w:val="24"/>
          <w:szCs w:val="24"/>
          <w:highlight w:val="none"/>
        </w:rPr>
      </w:pPr>
    </w:p>
    <w:p w14:paraId="454B0F37">
      <w:pPr>
        <w:rPr>
          <w:rFonts w:hint="eastAsia" w:ascii="宋体" w:hAnsi="宋体" w:eastAsia="宋体" w:cs="宋体"/>
          <w:color w:val="auto"/>
          <w:sz w:val="24"/>
          <w:szCs w:val="24"/>
          <w:highlight w:val="none"/>
        </w:rPr>
      </w:pPr>
    </w:p>
    <w:p w14:paraId="70FD95FE">
      <w:pPr>
        <w:pStyle w:val="6"/>
        <w:rPr>
          <w:rFonts w:hint="eastAsia" w:ascii="宋体" w:hAnsi="宋体" w:eastAsia="宋体" w:cs="宋体"/>
          <w:color w:val="auto"/>
          <w:sz w:val="24"/>
          <w:szCs w:val="24"/>
          <w:highlight w:val="none"/>
        </w:rPr>
      </w:pPr>
    </w:p>
    <w:p w14:paraId="6DA9F736">
      <w:pPr>
        <w:rPr>
          <w:rFonts w:hint="eastAsia" w:ascii="宋体" w:hAnsi="宋体" w:eastAsia="宋体" w:cs="宋体"/>
          <w:color w:val="auto"/>
          <w:sz w:val="24"/>
          <w:szCs w:val="24"/>
          <w:highlight w:val="none"/>
        </w:rPr>
      </w:pPr>
    </w:p>
    <w:p w14:paraId="754480CF">
      <w:pPr>
        <w:pStyle w:val="6"/>
        <w:rPr>
          <w:rFonts w:hint="eastAsia" w:ascii="宋体" w:hAnsi="宋体" w:eastAsia="宋体" w:cs="宋体"/>
          <w:color w:val="auto"/>
          <w:sz w:val="24"/>
          <w:szCs w:val="24"/>
          <w:highlight w:val="none"/>
        </w:rPr>
      </w:pPr>
    </w:p>
    <w:p w14:paraId="2692D9D6">
      <w:pPr>
        <w:rPr>
          <w:rFonts w:hint="eastAsia" w:ascii="宋体" w:hAnsi="宋体" w:eastAsia="宋体" w:cs="宋体"/>
          <w:color w:val="auto"/>
          <w:sz w:val="24"/>
          <w:szCs w:val="24"/>
          <w:highlight w:val="none"/>
        </w:rPr>
      </w:pPr>
    </w:p>
    <w:p w14:paraId="6C4AFDA0">
      <w:pPr>
        <w:pStyle w:val="6"/>
        <w:rPr>
          <w:rFonts w:hint="eastAsia" w:ascii="宋体" w:hAnsi="宋体" w:eastAsia="宋体" w:cs="宋体"/>
          <w:color w:val="auto"/>
          <w:sz w:val="24"/>
          <w:szCs w:val="24"/>
          <w:highlight w:val="none"/>
        </w:rPr>
      </w:pPr>
    </w:p>
    <w:p w14:paraId="16273FB7">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方正小标宋简体" w:cs="宋体"/>
          <w:i w:val="0"/>
          <w:iCs w:val="0"/>
          <w:caps w:val="0"/>
          <w:color w:val="auto"/>
          <w:spacing w:val="0"/>
          <w:sz w:val="21"/>
          <w:szCs w:val="21"/>
          <w:highlight w:val="none"/>
          <w:lang w:val="en-US" w:eastAsia="zh-CN"/>
        </w:rPr>
      </w:pPr>
      <w:r>
        <w:rPr>
          <w:rFonts w:hint="eastAsia" w:ascii="宋体" w:hAnsi="宋体" w:eastAsia="宋体" w:cs="宋体"/>
          <w:b/>
          <w:bCs/>
          <w:color w:val="auto"/>
          <w:sz w:val="30"/>
          <w:szCs w:val="30"/>
          <w:highlight w:val="none"/>
          <w:lang w:val="en-US" w:eastAsia="zh-CN"/>
        </w:rPr>
        <w:t>6.</w:t>
      </w:r>
      <w:r>
        <w:rPr>
          <w:rFonts w:hint="eastAsia" w:cs="宋体"/>
          <w:b/>
          <w:bCs/>
          <w:color w:val="auto"/>
          <w:sz w:val="30"/>
          <w:szCs w:val="30"/>
          <w:highlight w:val="none"/>
          <w:lang w:val="en-US" w:eastAsia="zh-CN"/>
        </w:rPr>
        <w:t>5</w:t>
      </w:r>
      <w:r>
        <w:rPr>
          <w:rFonts w:hint="eastAsia" w:ascii="宋体" w:hAnsi="宋体" w:eastAsia="宋体" w:cs="宋体"/>
          <w:b/>
          <w:bCs/>
          <w:color w:val="auto"/>
          <w:sz w:val="30"/>
          <w:szCs w:val="30"/>
          <w:highlight w:val="none"/>
          <w:lang w:val="en-US" w:eastAsia="zh-CN"/>
        </w:rPr>
        <w:t xml:space="preserve"> 政府采购供应商质疑函范本</w:t>
      </w:r>
    </w:p>
    <w:tbl>
      <w:tblPr>
        <w:tblStyle w:val="19"/>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83"/>
        <w:gridCol w:w="1215"/>
        <w:gridCol w:w="687"/>
        <w:gridCol w:w="1388"/>
        <w:gridCol w:w="2163"/>
        <w:gridCol w:w="1196"/>
        <w:gridCol w:w="1526"/>
      </w:tblGrid>
      <w:tr w14:paraId="64F8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7979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ascii="方正仿宋简体" w:hAnsi="方正仿宋简体" w:eastAsia="方正仿宋简体" w:cs="方正仿宋简体"/>
                <w:i w:val="0"/>
                <w:iCs w:val="0"/>
                <w:caps w:val="0"/>
                <w:color w:val="auto"/>
                <w:spacing w:val="0"/>
                <w:sz w:val="21"/>
                <w:szCs w:val="21"/>
                <w:highlight w:val="none"/>
              </w:rPr>
              <w:t>质疑项目</w:t>
            </w:r>
          </w:p>
          <w:p w14:paraId="58BAEC0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基本情况</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840E3C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项目名称</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DF8CB0B">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94A58D4">
            <w:pPr>
              <w:rPr>
                <w:rFonts w:hint="eastAsia" w:ascii="宋体" w:hAnsi="宋体" w:eastAsia="宋体" w:cs="宋体"/>
                <w:i w:val="0"/>
                <w:iCs w:val="0"/>
                <w:caps w:val="0"/>
                <w:color w:val="auto"/>
                <w:spacing w:val="0"/>
                <w:sz w:val="21"/>
                <w:szCs w:val="21"/>
                <w:highlight w:val="none"/>
              </w:rPr>
            </w:pP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3C72913">
            <w:pPr>
              <w:rPr>
                <w:rFonts w:hint="eastAsia" w:ascii="宋体" w:hAnsi="宋体" w:eastAsia="宋体" w:cs="宋体"/>
                <w:i w:val="0"/>
                <w:iCs w:val="0"/>
                <w:caps w:val="0"/>
                <w:color w:val="auto"/>
                <w:spacing w:val="0"/>
                <w:sz w:val="21"/>
                <w:szCs w:val="21"/>
                <w:highlight w:val="none"/>
              </w:rPr>
            </w:pPr>
          </w:p>
        </w:tc>
      </w:tr>
      <w:tr w14:paraId="3A3A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B251FD6">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5514C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项目编号</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E02AA9">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CE3CD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  号</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A0807A4">
            <w:pPr>
              <w:rPr>
                <w:rFonts w:hint="eastAsia" w:ascii="宋体" w:hAnsi="宋体" w:eastAsia="宋体" w:cs="宋体"/>
                <w:i w:val="0"/>
                <w:iCs w:val="0"/>
                <w:caps w:val="0"/>
                <w:color w:val="auto"/>
                <w:spacing w:val="0"/>
                <w:sz w:val="21"/>
                <w:szCs w:val="21"/>
                <w:highlight w:val="none"/>
              </w:rPr>
            </w:pPr>
          </w:p>
        </w:tc>
      </w:tr>
      <w:tr w14:paraId="5A0D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3653C4">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B3CB1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采购人名称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3C8C73">
            <w:pPr>
              <w:rPr>
                <w:rFonts w:hint="eastAsia" w:ascii="宋体" w:hAnsi="宋体" w:eastAsia="宋体" w:cs="宋体"/>
                <w:i w:val="0"/>
                <w:iCs w:val="0"/>
                <w:caps w:val="0"/>
                <w:color w:val="auto"/>
                <w:spacing w:val="0"/>
                <w:sz w:val="21"/>
                <w:szCs w:val="21"/>
                <w:highlight w:val="none"/>
              </w:rPr>
            </w:pPr>
          </w:p>
        </w:tc>
      </w:tr>
      <w:tr w14:paraId="195A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AE9D2AB">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60DEC1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采购公告时间</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BAB1D7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ECD48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中标（成交）公告时间</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A0CE8E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4598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11A20DA">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FBF2C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更正公告时间</w:t>
            </w:r>
          </w:p>
          <w:p w14:paraId="2268320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（包含采购文件和采购结果更正公告）</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F04CAF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8D5CF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终止公告时间（包含废标和采购任务取消）</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37E68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6EEE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AE359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质疑供应商基本信息</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83BD84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单位名称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9A07E5E">
            <w:pPr>
              <w:rPr>
                <w:rFonts w:hint="eastAsia" w:ascii="宋体" w:hAnsi="宋体" w:eastAsia="宋体" w:cs="宋体"/>
                <w:i w:val="0"/>
                <w:iCs w:val="0"/>
                <w:caps w:val="0"/>
                <w:color w:val="auto"/>
                <w:spacing w:val="0"/>
                <w:sz w:val="21"/>
                <w:szCs w:val="21"/>
                <w:highlight w:val="none"/>
              </w:rPr>
            </w:pPr>
          </w:p>
        </w:tc>
      </w:tr>
      <w:tr w14:paraId="768E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511EA4">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6E8922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地址</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9739A3">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92890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邮编</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C26DB11">
            <w:pPr>
              <w:rPr>
                <w:rFonts w:hint="eastAsia" w:ascii="宋体" w:hAnsi="宋体" w:eastAsia="宋体" w:cs="宋体"/>
                <w:i w:val="0"/>
                <w:iCs w:val="0"/>
                <w:caps w:val="0"/>
                <w:color w:val="auto"/>
                <w:spacing w:val="0"/>
                <w:sz w:val="21"/>
                <w:szCs w:val="21"/>
                <w:highlight w:val="none"/>
              </w:rPr>
            </w:pPr>
          </w:p>
        </w:tc>
      </w:tr>
      <w:tr w14:paraId="6B7A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616DB9F">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8D5BDB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联系人</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F4EFBA">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C14E90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FF1EC0">
            <w:pPr>
              <w:rPr>
                <w:rFonts w:hint="eastAsia" w:ascii="宋体" w:hAnsi="宋体" w:eastAsia="宋体" w:cs="宋体"/>
                <w:i w:val="0"/>
                <w:iCs w:val="0"/>
                <w:caps w:val="0"/>
                <w:color w:val="auto"/>
                <w:spacing w:val="0"/>
                <w:sz w:val="21"/>
                <w:szCs w:val="21"/>
                <w:highlight w:val="none"/>
              </w:rPr>
            </w:pPr>
          </w:p>
        </w:tc>
      </w:tr>
      <w:tr w14:paraId="19BC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CDF24C">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88C8F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授权代表</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8CDE0D7">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ECAE0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3FC9D8F">
            <w:pPr>
              <w:rPr>
                <w:rFonts w:hint="eastAsia" w:ascii="宋体" w:hAnsi="宋体" w:eastAsia="宋体" w:cs="宋体"/>
                <w:i w:val="0"/>
                <w:iCs w:val="0"/>
                <w:caps w:val="0"/>
                <w:color w:val="auto"/>
                <w:spacing w:val="0"/>
                <w:sz w:val="21"/>
                <w:szCs w:val="21"/>
                <w:highlight w:val="none"/>
              </w:rPr>
            </w:pPr>
          </w:p>
        </w:tc>
      </w:tr>
      <w:tr w14:paraId="1A79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181549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质疑事项及相关请求（纸张不够另附）</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317357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分    类</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3209920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 采购文件 □ 采购过程 □ 中标或成交结果</w:t>
            </w:r>
          </w:p>
        </w:tc>
      </w:tr>
      <w:tr w14:paraId="0FAF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102166A">
            <w:pPr>
              <w:rPr>
                <w:rFonts w:hint="eastAsia" w:ascii="宋体" w:hAnsi="宋体" w:eastAsia="宋体" w:cs="宋体"/>
                <w:i w:val="0"/>
                <w:iCs w:val="0"/>
                <w:caps w:val="0"/>
                <w:color w:val="auto"/>
                <w:spacing w:val="0"/>
                <w:sz w:val="21"/>
                <w:szCs w:val="21"/>
                <w:highlight w:val="none"/>
              </w:rPr>
            </w:pPr>
          </w:p>
        </w:tc>
        <w:tc>
          <w:tcPr>
            <w:tcW w:w="8175"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6A5E3BC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请逐条列明质疑事项、事实依据和法律依据，并提供必要的证明材料。</w:t>
            </w:r>
          </w:p>
          <w:p w14:paraId="67A1F58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1</w:t>
            </w:r>
            <w:r>
              <w:rPr>
                <w:rFonts w:hint="default" w:ascii="方正仿宋简体" w:hAnsi="方正仿宋简体" w:eastAsia="方正仿宋简体" w:cs="方正仿宋简体"/>
                <w:i w:val="0"/>
                <w:iCs w:val="0"/>
                <w:caps w:val="0"/>
                <w:color w:val="auto"/>
                <w:spacing w:val="0"/>
                <w:sz w:val="21"/>
                <w:szCs w:val="21"/>
                <w:highlight w:val="none"/>
              </w:rPr>
              <w:t>：</w:t>
            </w:r>
          </w:p>
          <w:p w14:paraId="434726C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事实依据：</w:t>
            </w:r>
          </w:p>
          <w:p w14:paraId="2ABCC9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法律依据：</w:t>
            </w:r>
          </w:p>
          <w:p w14:paraId="0F6777A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相关请求：</w:t>
            </w:r>
          </w:p>
          <w:p w14:paraId="041B135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2</w:t>
            </w:r>
          </w:p>
          <w:p w14:paraId="7605E1E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w:t>
            </w:r>
          </w:p>
        </w:tc>
      </w:tr>
      <w:tr w14:paraId="09B3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5186B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签字</w:t>
            </w:r>
          </w:p>
          <w:p w14:paraId="7D05117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或盖人名章</w:t>
            </w:r>
          </w:p>
        </w:tc>
        <w:tc>
          <w:tcPr>
            <w:tcW w:w="1902"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41A6579">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7000E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公章</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4DE0CBB7">
            <w:pPr>
              <w:rPr>
                <w:rFonts w:hint="eastAsia" w:ascii="宋体" w:hAnsi="宋体" w:eastAsia="宋体" w:cs="宋体"/>
                <w:i w:val="0"/>
                <w:iCs w:val="0"/>
                <w:caps w:val="0"/>
                <w:color w:val="auto"/>
                <w:spacing w:val="0"/>
                <w:sz w:val="21"/>
                <w:szCs w:val="21"/>
                <w:highlight w:val="none"/>
              </w:rPr>
            </w:pPr>
          </w:p>
        </w:tc>
      </w:tr>
      <w:tr w14:paraId="421D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AE21E4C">
            <w:pPr>
              <w:rPr>
                <w:rFonts w:hint="eastAsia" w:ascii="宋体" w:hAnsi="宋体" w:eastAsia="宋体" w:cs="宋体"/>
                <w:i w:val="0"/>
                <w:iCs w:val="0"/>
                <w:caps w:val="0"/>
                <w:color w:val="auto"/>
                <w:spacing w:val="0"/>
                <w:sz w:val="21"/>
                <w:szCs w:val="21"/>
                <w:highlight w:val="none"/>
              </w:rPr>
            </w:pPr>
          </w:p>
        </w:tc>
        <w:tc>
          <w:tcPr>
            <w:tcW w:w="1902"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4CE1F43">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BB0C3B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日期</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F62E4F0">
            <w:pPr>
              <w:rPr>
                <w:rFonts w:hint="eastAsia" w:ascii="宋体" w:hAnsi="宋体" w:eastAsia="宋体" w:cs="宋体"/>
                <w:i w:val="0"/>
                <w:iCs w:val="0"/>
                <w:caps w:val="0"/>
                <w:color w:val="auto"/>
                <w:spacing w:val="0"/>
                <w:sz w:val="21"/>
                <w:szCs w:val="21"/>
                <w:highlight w:val="none"/>
              </w:rPr>
            </w:pPr>
          </w:p>
        </w:tc>
      </w:tr>
      <w:tr w14:paraId="03E6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9058"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206E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质疑函制作说明：</w:t>
            </w:r>
          </w:p>
          <w:p w14:paraId="634B8BF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1.</w:t>
            </w:r>
            <w:r>
              <w:rPr>
                <w:rFonts w:hint="default" w:ascii="方正仿宋简体" w:hAnsi="方正仿宋简体" w:eastAsia="方正仿宋简体" w:cs="方正仿宋简体"/>
                <w:i w:val="0"/>
                <w:iCs w:val="0"/>
                <w:caps w:val="0"/>
                <w:color w:val="auto"/>
                <w:spacing w:val="0"/>
                <w:sz w:val="21"/>
                <w:szCs w:val="21"/>
                <w:highlight w:val="none"/>
                <w:lang w:val="en-US" w:eastAsia="zh-CN"/>
              </w:rPr>
              <w:t>供应商提出质疑时，应提交质疑函和必要的证明材料</w:t>
            </w:r>
            <w:r>
              <w:rPr>
                <w:rFonts w:hint="eastAsia" w:ascii="方正仿宋简体" w:hAnsi="方正仿宋简体" w:eastAsia="方正仿宋简体" w:cs="方正仿宋简体"/>
                <w:i w:val="0"/>
                <w:iCs w:val="0"/>
                <w:caps w:val="0"/>
                <w:color w:val="auto"/>
                <w:spacing w:val="0"/>
                <w:sz w:val="21"/>
                <w:szCs w:val="21"/>
                <w:highlight w:val="none"/>
                <w:lang w:eastAsia="zh-CN"/>
              </w:rPr>
              <w:t>或有效线索</w:t>
            </w:r>
            <w:r>
              <w:rPr>
                <w:rFonts w:hint="default" w:ascii="方正仿宋简体" w:hAnsi="方正仿宋简体" w:eastAsia="方正仿宋简体" w:cs="方正仿宋简体"/>
                <w:i w:val="0"/>
                <w:iCs w:val="0"/>
                <w:caps w:val="0"/>
                <w:color w:val="auto"/>
                <w:spacing w:val="0"/>
                <w:sz w:val="21"/>
                <w:szCs w:val="21"/>
                <w:highlight w:val="none"/>
                <w:lang w:val="en-US" w:eastAsia="zh-CN"/>
              </w:rPr>
              <w:t>；质疑函存在《</w:t>
            </w:r>
            <w:r>
              <w:rPr>
                <w:rFonts w:hint="eastAsia" w:ascii="方正仿宋简体" w:hAnsi="方正仿宋简体" w:eastAsia="方正仿宋简体" w:cs="方正仿宋简体"/>
                <w:i w:val="0"/>
                <w:iCs w:val="0"/>
                <w:caps w:val="0"/>
                <w:color w:val="auto"/>
                <w:spacing w:val="0"/>
                <w:sz w:val="21"/>
                <w:szCs w:val="21"/>
                <w:highlight w:val="none"/>
                <w:lang w:val="en-US" w:eastAsia="zh-CN"/>
              </w:rPr>
              <w:t>质疑异议投诉举报处理实施细则</w:t>
            </w:r>
            <w:r>
              <w:rPr>
                <w:rFonts w:hint="default" w:ascii="方正仿宋简体" w:hAnsi="方正仿宋简体" w:eastAsia="方正仿宋简体" w:cs="方正仿宋简体"/>
                <w:i w:val="0"/>
                <w:iCs w:val="0"/>
                <w:caps w:val="0"/>
                <w:color w:val="auto"/>
                <w:spacing w:val="0"/>
                <w:sz w:val="21"/>
                <w:szCs w:val="21"/>
                <w:highlight w:val="none"/>
                <w:lang w:val="en-US" w:eastAsia="zh-CN"/>
              </w:rPr>
              <w:t>》（新政资内发〔202</w:t>
            </w:r>
            <w:r>
              <w:rPr>
                <w:rFonts w:hint="eastAsia" w:ascii="方正仿宋简体" w:hAnsi="方正仿宋简体" w:eastAsia="方正仿宋简体" w:cs="方正仿宋简体"/>
                <w:i w:val="0"/>
                <w:iCs w:val="0"/>
                <w:caps w:val="0"/>
                <w:color w:val="auto"/>
                <w:spacing w:val="0"/>
                <w:sz w:val="21"/>
                <w:szCs w:val="21"/>
                <w:highlight w:val="none"/>
                <w:lang w:val="en-US" w:eastAsia="zh-CN"/>
              </w:rPr>
              <w:t>2</w:t>
            </w:r>
            <w:r>
              <w:rPr>
                <w:rFonts w:hint="default" w:ascii="方正仿宋简体" w:hAnsi="方正仿宋简体" w:eastAsia="方正仿宋简体" w:cs="方正仿宋简体"/>
                <w:i w:val="0"/>
                <w:iCs w:val="0"/>
                <w:caps w:val="0"/>
                <w:color w:val="auto"/>
                <w:spacing w:val="0"/>
                <w:sz w:val="21"/>
                <w:szCs w:val="21"/>
                <w:highlight w:val="none"/>
                <w:lang w:val="en-US"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12</w:t>
            </w:r>
            <w:r>
              <w:rPr>
                <w:rFonts w:hint="default" w:ascii="方正仿宋简体" w:hAnsi="方正仿宋简体" w:eastAsia="方正仿宋简体" w:cs="方正仿宋简体"/>
                <w:i w:val="0"/>
                <w:iCs w:val="0"/>
                <w:caps w:val="0"/>
                <w:color w:val="auto"/>
                <w:spacing w:val="0"/>
                <w:sz w:val="21"/>
                <w:szCs w:val="21"/>
                <w:highlight w:val="none"/>
                <w:lang w:val="en-US" w:eastAsia="zh-CN"/>
              </w:rPr>
              <w:t>号）第十七条所列情形的，</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招标代理</w:t>
            </w:r>
            <w:r>
              <w:rPr>
                <w:rFonts w:hint="default" w:ascii="方正仿宋简体" w:hAnsi="方正仿宋简体" w:eastAsia="方正仿宋简体" w:cs="方正仿宋简体"/>
                <w:i w:val="0"/>
                <w:iCs w:val="0"/>
                <w:caps w:val="0"/>
                <w:color w:val="auto"/>
                <w:spacing w:val="0"/>
                <w:sz w:val="21"/>
                <w:szCs w:val="21"/>
                <w:highlight w:val="none"/>
                <w:lang w:val="en-US" w:eastAsia="zh-CN"/>
              </w:rPr>
              <w:t>不予受理。</w:t>
            </w:r>
          </w:p>
          <w:p w14:paraId="6FC48C0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auto"/>
                <w:spacing w:val="0"/>
                <w:sz w:val="21"/>
                <w:szCs w:val="21"/>
                <w:highlight w:val="none"/>
                <w:lang w:eastAsia="zh-CN"/>
              </w:rPr>
            </w:pPr>
            <w:r>
              <w:rPr>
                <w:rFonts w:hint="eastAsia" w:ascii="方正仿宋简体" w:hAnsi="方正仿宋简体" w:eastAsia="方正仿宋简体" w:cs="方正仿宋简体"/>
                <w:i w:val="0"/>
                <w:iCs w:val="0"/>
                <w:caps w:val="0"/>
                <w:color w:val="auto"/>
                <w:spacing w:val="0"/>
                <w:sz w:val="21"/>
                <w:szCs w:val="21"/>
                <w:highlight w:val="none"/>
              </w:rPr>
              <w:t>2.</w:t>
            </w:r>
            <w:r>
              <w:rPr>
                <w:rFonts w:hint="default" w:ascii="方正仿宋简体" w:hAnsi="方正仿宋简体" w:eastAsia="方正仿宋简体" w:cs="方正仿宋简体"/>
                <w:i w:val="0"/>
                <w:iCs w:val="0"/>
                <w:caps w:val="0"/>
                <w:color w:val="auto"/>
                <w:spacing w:val="0"/>
                <w:sz w:val="21"/>
                <w:szCs w:val="21"/>
                <w:highlight w:val="none"/>
              </w:rPr>
              <w:t>质疑函的质疑事项应具体、明确，并有必要的事实依据和法律依据</w:t>
            </w:r>
            <w:r>
              <w:rPr>
                <w:rFonts w:hint="eastAsia" w:ascii="方正仿宋简体" w:hAnsi="方正仿宋简体" w:eastAsia="方正仿宋简体" w:cs="方正仿宋简体"/>
                <w:i w:val="0"/>
                <w:iCs w:val="0"/>
                <w:caps w:val="0"/>
                <w:color w:val="auto"/>
                <w:spacing w:val="0"/>
                <w:sz w:val="21"/>
                <w:szCs w:val="21"/>
                <w:highlight w:val="none"/>
                <w:lang w:eastAsia="zh-CN"/>
              </w:rPr>
              <w:t>。</w:t>
            </w:r>
          </w:p>
          <w:p w14:paraId="08192F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3.</w:t>
            </w:r>
            <w:r>
              <w:rPr>
                <w:rFonts w:hint="default" w:ascii="方正仿宋简体" w:hAnsi="方正仿宋简体" w:eastAsia="方正仿宋简体" w:cs="方正仿宋简体"/>
                <w:i w:val="0"/>
                <w:iCs w:val="0"/>
                <w:caps w:val="0"/>
                <w:color w:val="auto"/>
                <w:spacing w:val="0"/>
                <w:sz w:val="21"/>
                <w:szCs w:val="21"/>
                <w:highlight w:val="none"/>
              </w:rPr>
              <w:t>质疑函的质疑请求应与质疑事项相关。</w:t>
            </w:r>
          </w:p>
          <w:p w14:paraId="72532C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4</w:t>
            </w:r>
            <w:r>
              <w:rPr>
                <w:rFonts w:hint="eastAsia" w:ascii="方正仿宋简体" w:hAnsi="方正仿宋简体" w:eastAsia="方正仿宋简体" w:cs="方正仿宋简体"/>
                <w:i w:val="0"/>
                <w:iCs w:val="0"/>
                <w:caps w:val="0"/>
                <w:color w:val="auto"/>
                <w:spacing w:val="0"/>
                <w:sz w:val="21"/>
                <w:szCs w:val="21"/>
                <w:highlight w:val="none"/>
              </w:rPr>
              <w:t>.</w:t>
            </w:r>
            <w:r>
              <w:rPr>
                <w:rFonts w:hint="eastAsia" w:ascii="方正仿宋简体" w:hAnsi="方正仿宋简体" w:eastAsia="方正仿宋简体" w:cs="方正仿宋简体"/>
                <w:i w:val="0"/>
                <w:iCs w:val="0"/>
                <w:caps w:val="0"/>
                <w:color w:val="auto"/>
                <w:spacing w:val="0"/>
                <w:sz w:val="21"/>
                <w:szCs w:val="21"/>
                <w:highlight w:val="none"/>
                <w:lang w:eastAsia="zh-CN"/>
              </w:rPr>
              <w:t>一份质疑函只能针对一个项目提出质疑，且针对同一</w:t>
            </w:r>
            <w:r>
              <w:rPr>
                <w:rFonts w:hint="eastAsia" w:ascii="方正仿宋简体" w:hAnsi="方正仿宋简体" w:eastAsia="方正仿宋简体" w:cs="方正仿宋简体"/>
                <w:i w:val="0"/>
                <w:iCs w:val="0"/>
                <w:caps w:val="0"/>
                <w:color w:val="auto"/>
                <w:spacing w:val="0"/>
                <w:sz w:val="21"/>
                <w:szCs w:val="21"/>
                <w:highlight w:val="none"/>
                <w:lang w:val="en-US" w:eastAsia="zh-CN"/>
              </w:rPr>
              <w:t>交易</w:t>
            </w:r>
            <w:r>
              <w:rPr>
                <w:rFonts w:hint="eastAsia" w:ascii="方正仿宋简体" w:hAnsi="方正仿宋简体" w:eastAsia="方正仿宋简体" w:cs="方正仿宋简体"/>
                <w:i w:val="0"/>
                <w:iCs w:val="0"/>
                <w:caps w:val="0"/>
                <w:color w:val="auto"/>
                <w:spacing w:val="0"/>
                <w:sz w:val="21"/>
                <w:szCs w:val="21"/>
                <w:highlight w:val="none"/>
                <w:lang w:eastAsia="zh-CN"/>
              </w:rPr>
              <w:t>程序环节的质疑应当一次性提出。</w:t>
            </w:r>
            <w:r>
              <w:rPr>
                <w:rFonts w:hint="eastAsia" w:ascii="方正仿宋简体" w:hAnsi="方正仿宋简体" w:eastAsia="方正仿宋简体" w:cs="方正仿宋简体"/>
                <w:i w:val="0"/>
                <w:iCs w:val="0"/>
                <w:caps w:val="0"/>
                <w:color w:val="auto"/>
                <w:spacing w:val="0"/>
                <w:sz w:val="21"/>
                <w:szCs w:val="21"/>
                <w:highlight w:val="none"/>
              </w:rPr>
              <w:t>质疑对一个项目的不同包提出质疑的</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rPr>
              <w:t>应当将各包质疑</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异议</w:t>
            </w:r>
            <w:r>
              <w:rPr>
                <w:rFonts w:hint="eastAsia" w:ascii="方正仿宋简体" w:hAnsi="方正仿宋简体" w:eastAsia="方正仿宋简体" w:cs="方正仿宋简体"/>
                <w:i w:val="0"/>
                <w:iCs w:val="0"/>
                <w:caps w:val="0"/>
                <w:color w:val="auto"/>
                <w:spacing w:val="0"/>
                <w:sz w:val="21"/>
                <w:szCs w:val="21"/>
                <w:highlight w:val="none"/>
              </w:rPr>
              <w:t>事项集中在一份质疑函中提出</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并在</w:t>
            </w:r>
            <w:r>
              <w:rPr>
                <w:rFonts w:hint="eastAsia" w:ascii="方正仿宋简体" w:hAnsi="方正仿宋简体" w:eastAsia="方正仿宋简体" w:cs="方正仿宋简体"/>
                <w:i w:val="0"/>
                <w:iCs w:val="0"/>
                <w:caps w:val="0"/>
                <w:color w:val="auto"/>
                <w:spacing w:val="0"/>
                <w:sz w:val="21"/>
                <w:szCs w:val="21"/>
                <w:highlight w:val="none"/>
              </w:rPr>
              <w:t>质疑函中列明具体分包号。</w:t>
            </w:r>
          </w:p>
          <w:p w14:paraId="606A27E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5</w:t>
            </w:r>
            <w:r>
              <w:rPr>
                <w:rFonts w:hint="eastAsia" w:ascii="方正仿宋简体" w:hAnsi="方正仿宋简体" w:eastAsia="方正仿宋简体" w:cs="方正仿宋简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46235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质疑供应商为自然人的，质疑函应由本人签字</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提供本人及代理人身份证复印件，并在复印件上签字</w:t>
            </w:r>
            <w:r>
              <w:rPr>
                <w:rFonts w:hint="default" w:ascii="方正仿宋简体" w:hAnsi="方正仿宋简体" w:eastAsia="方正仿宋简体" w:cs="方正仿宋简体"/>
                <w:i w:val="0"/>
                <w:iCs w:val="0"/>
                <w:caps w:val="0"/>
                <w:color w:val="auto"/>
                <w:spacing w:val="0"/>
                <w:sz w:val="21"/>
                <w:szCs w:val="21"/>
                <w:highlight w:val="none"/>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同时提供法人证书复印件、代理人身份证复印件并加盖法人公章</w:t>
            </w:r>
            <w:r>
              <w:rPr>
                <w:rFonts w:hint="default" w:ascii="方正仿宋简体" w:hAnsi="方正仿宋简体" w:eastAsia="方正仿宋简体" w:cs="方正仿宋简体"/>
                <w:i w:val="0"/>
                <w:iCs w:val="0"/>
                <w:caps w:val="0"/>
                <w:color w:val="auto"/>
                <w:spacing w:val="0"/>
                <w:sz w:val="21"/>
                <w:szCs w:val="21"/>
                <w:highlight w:val="none"/>
              </w:rPr>
              <w:t>。</w:t>
            </w:r>
          </w:p>
          <w:p w14:paraId="1976F2BA">
            <w:pPr>
              <w:widowControl/>
              <w:spacing w:line="400" w:lineRule="exact"/>
              <w:ind w:firstLine="420" w:firstLineChars="200"/>
              <w:jc w:val="left"/>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b/>
                <w:bCs/>
                <w:i w:val="0"/>
                <w:iCs w:val="0"/>
                <w:caps w:val="0"/>
                <w:color w:val="auto"/>
                <w:spacing w:val="0"/>
                <w:kern w:val="0"/>
                <w:sz w:val="21"/>
                <w:szCs w:val="21"/>
                <w:highlight w:val="none"/>
                <w:lang w:val="en-US" w:eastAsia="zh-CN" w:bidi="ar-SA"/>
              </w:rPr>
              <w:t>7.质疑函份数要求：一式四份</w:t>
            </w:r>
            <w:r>
              <w:rPr>
                <w:rFonts w:hint="eastAsia" w:ascii="方正仿宋简体" w:hAnsi="方正仿宋简体" w:eastAsia="方正仿宋简体" w:cs="方正仿宋简体"/>
                <w:i w:val="0"/>
                <w:iCs w:val="0"/>
                <w:caps w:val="0"/>
                <w:color w:val="auto"/>
                <w:spacing w:val="0"/>
                <w:kern w:val="0"/>
                <w:sz w:val="21"/>
                <w:szCs w:val="21"/>
                <w:highlight w:val="none"/>
                <w:lang w:val="en-US" w:eastAsia="zh-CN" w:bidi="ar-SA"/>
              </w:rPr>
              <w:t>。</w:t>
            </w:r>
          </w:p>
        </w:tc>
      </w:tr>
    </w:tbl>
    <w:p w14:paraId="1092F15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rPr>
          <w:rFonts w:hint="eastAsia" w:ascii="宋体" w:hAnsi="宋体" w:eastAsia="宋体" w:cs="宋体"/>
          <w:i w:val="0"/>
          <w:iCs w:val="0"/>
          <w:caps w:val="0"/>
          <w:color w:val="auto"/>
          <w:spacing w:val="0"/>
          <w:sz w:val="21"/>
          <w:szCs w:val="21"/>
          <w:highlight w:val="none"/>
        </w:rPr>
      </w:pPr>
      <w:r>
        <w:rPr>
          <w:rFonts w:ascii="方正黑体简体" w:hAnsi="方正黑体简体" w:eastAsia="方正黑体简体" w:cs="方正黑体简体"/>
          <w:i w:val="0"/>
          <w:iCs w:val="0"/>
          <w:caps w:val="0"/>
          <w:color w:val="auto"/>
          <w:spacing w:val="0"/>
          <w:sz w:val="31"/>
          <w:szCs w:val="31"/>
          <w:highlight w:val="none"/>
          <w:shd w:val="clear" w:color="auto" w:fill="FFFFFF"/>
        </w:rPr>
        <w:t> </w:t>
      </w:r>
    </w:p>
    <w:p w14:paraId="6F6637ED">
      <w:pPr>
        <w:jc w:val="center"/>
        <w:rPr>
          <w:rFonts w:hint="eastAsia" w:ascii="宋体" w:hAnsi="宋体" w:cs="仿宋"/>
          <w:b/>
          <w:bCs/>
          <w:color w:val="auto"/>
          <w:sz w:val="32"/>
          <w:szCs w:val="32"/>
          <w:highlight w:val="none"/>
        </w:rPr>
      </w:pPr>
    </w:p>
    <w:p w14:paraId="6E7E4D44">
      <w:pPr>
        <w:jc w:val="center"/>
        <w:rPr>
          <w:rFonts w:hint="eastAsia" w:ascii="宋体" w:hAnsi="宋体" w:cs="仿宋"/>
          <w:b/>
          <w:bCs/>
          <w:color w:val="auto"/>
          <w:sz w:val="32"/>
          <w:szCs w:val="32"/>
          <w:highlight w:val="none"/>
        </w:rPr>
      </w:pPr>
    </w:p>
    <w:p w14:paraId="74488602">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p>
    <w:p w14:paraId="1525D50D">
      <w:pPr>
        <w:pStyle w:val="17"/>
        <w:rPr>
          <w:rFonts w:hint="eastAsia" w:ascii="宋体" w:hAnsi="宋体" w:eastAsia="宋体" w:cs="宋体"/>
          <w:b/>
          <w:bCs/>
          <w:color w:val="auto"/>
          <w:sz w:val="32"/>
          <w:szCs w:val="32"/>
          <w:highlight w:val="none"/>
          <w:lang w:val="en-US" w:eastAsia="zh-CN"/>
        </w:rPr>
      </w:pPr>
    </w:p>
    <w:p w14:paraId="7DE26559">
      <w:pPr>
        <w:pStyle w:val="17"/>
        <w:rPr>
          <w:rFonts w:hint="eastAsia" w:ascii="宋体" w:hAnsi="宋体" w:eastAsia="宋体" w:cs="宋体"/>
          <w:b/>
          <w:bCs/>
          <w:color w:val="auto"/>
          <w:sz w:val="32"/>
          <w:szCs w:val="32"/>
          <w:highlight w:val="none"/>
          <w:lang w:val="en-US" w:eastAsia="zh-CN"/>
        </w:rPr>
      </w:pPr>
    </w:p>
    <w:p w14:paraId="662313FF">
      <w:pPr>
        <w:pStyle w:val="17"/>
        <w:rPr>
          <w:rFonts w:hint="eastAsia" w:ascii="宋体" w:hAnsi="宋体" w:eastAsia="宋体" w:cs="宋体"/>
          <w:b/>
          <w:bCs/>
          <w:color w:val="auto"/>
          <w:sz w:val="32"/>
          <w:szCs w:val="32"/>
          <w:highlight w:val="none"/>
          <w:lang w:val="en-US" w:eastAsia="zh-CN"/>
        </w:rPr>
      </w:pPr>
    </w:p>
    <w:p w14:paraId="0B8C2E7A">
      <w:pPr>
        <w:pStyle w:val="17"/>
        <w:rPr>
          <w:rFonts w:hint="eastAsia" w:ascii="宋体" w:hAnsi="宋体" w:eastAsia="宋体" w:cs="宋体"/>
          <w:b/>
          <w:bCs/>
          <w:color w:val="auto"/>
          <w:sz w:val="32"/>
          <w:szCs w:val="32"/>
          <w:highlight w:val="none"/>
          <w:lang w:val="en-US" w:eastAsia="zh-CN"/>
        </w:rPr>
      </w:pPr>
    </w:p>
    <w:p w14:paraId="593B1694">
      <w:pPr>
        <w:pStyle w:val="17"/>
        <w:rPr>
          <w:rFonts w:hint="eastAsia" w:ascii="宋体" w:hAnsi="宋体" w:eastAsia="宋体" w:cs="宋体"/>
          <w:b/>
          <w:bCs/>
          <w:color w:val="auto"/>
          <w:sz w:val="32"/>
          <w:szCs w:val="32"/>
          <w:highlight w:val="none"/>
          <w:lang w:val="en-US" w:eastAsia="zh-CN"/>
        </w:rPr>
      </w:pPr>
    </w:p>
    <w:p w14:paraId="2B226E8D">
      <w:pPr>
        <w:pStyle w:val="17"/>
        <w:rPr>
          <w:rFonts w:hint="eastAsia" w:ascii="宋体" w:hAnsi="宋体" w:eastAsia="宋体" w:cs="宋体"/>
          <w:b/>
          <w:bCs/>
          <w:color w:val="auto"/>
          <w:sz w:val="32"/>
          <w:szCs w:val="32"/>
          <w:highlight w:val="none"/>
          <w:lang w:val="en-US" w:eastAsia="zh-CN"/>
        </w:rPr>
      </w:pPr>
    </w:p>
    <w:p w14:paraId="6E1E9F71">
      <w:pPr>
        <w:pStyle w:val="17"/>
        <w:rPr>
          <w:rFonts w:hint="eastAsia" w:ascii="宋体" w:hAnsi="宋体" w:eastAsia="宋体" w:cs="宋体"/>
          <w:b/>
          <w:bCs/>
          <w:color w:val="auto"/>
          <w:sz w:val="32"/>
          <w:szCs w:val="32"/>
          <w:highlight w:val="none"/>
          <w:lang w:val="en-US" w:eastAsia="zh-CN"/>
        </w:rPr>
      </w:pPr>
    </w:p>
    <w:p w14:paraId="5BA7F285">
      <w:pPr>
        <w:pStyle w:val="17"/>
        <w:rPr>
          <w:rFonts w:hint="eastAsia" w:ascii="宋体" w:hAnsi="宋体" w:eastAsia="宋体" w:cs="宋体"/>
          <w:b/>
          <w:bCs/>
          <w:color w:val="auto"/>
          <w:sz w:val="32"/>
          <w:szCs w:val="32"/>
          <w:highlight w:val="none"/>
          <w:lang w:val="en-US" w:eastAsia="zh-CN"/>
        </w:rPr>
      </w:pPr>
    </w:p>
    <w:p w14:paraId="453DA435">
      <w:pPr>
        <w:pStyle w:val="17"/>
        <w:rPr>
          <w:rFonts w:hint="eastAsia" w:ascii="宋体" w:hAnsi="宋体" w:eastAsia="宋体" w:cs="宋体"/>
          <w:b/>
          <w:bCs/>
          <w:color w:val="auto"/>
          <w:sz w:val="32"/>
          <w:szCs w:val="32"/>
          <w:highlight w:val="none"/>
          <w:lang w:val="en-US" w:eastAsia="zh-CN"/>
        </w:rPr>
      </w:pPr>
    </w:p>
    <w:p w14:paraId="49B09B38"/>
    <w:sectPr>
      <w:headerReference r:id="rId24" w:type="default"/>
      <w:pgSz w:w="11910" w:h="16840"/>
      <w:pgMar w:top="1984" w:right="1531" w:bottom="2098" w:left="1531" w:header="670" w:footer="1041" w:gutter="0"/>
      <w:pgNumType w:fmt="decimal"/>
      <w:cols w:space="72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3ADD26-2EC3-46DD-89EE-A25DDDE27C15}"/>
  </w:font>
  <w:font w:name="黑体">
    <w:panose1 w:val="02010609060101010101"/>
    <w:charset w:val="86"/>
    <w:family w:val="auto"/>
    <w:pitch w:val="default"/>
    <w:sig w:usb0="800002BF" w:usb1="38CF7CFA" w:usb2="00000016" w:usb3="00000000" w:csb0="00040001" w:csb1="00000000"/>
    <w:embedRegular r:id="rId2" w:fontKey="{6914911D-FD0C-4851-BFCB-9B766AB650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1BCFEB5-E31D-41C1-947E-60CD8304D277}"/>
  </w:font>
  <w:font w:name="微软雅黑">
    <w:panose1 w:val="020B0503020204020204"/>
    <w:charset w:val="86"/>
    <w:family w:val="swiss"/>
    <w:pitch w:val="default"/>
    <w:sig w:usb0="80000287" w:usb1="2ACF3C50" w:usb2="00000016" w:usb3="00000000" w:csb0="0004001F" w:csb1="00000000"/>
    <w:embedRegular r:id="rId4" w:fontKey="{985B1BD9-45BB-4098-B743-00CA32CD7749}"/>
  </w:font>
  <w:font w:name="Garamond">
    <w:panose1 w:val="02020502050306020203"/>
    <w:charset w:val="00"/>
    <w:family w:val="roman"/>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5" w:fontKey="{2E6FA3CF-D561-443F-A84D-DDE2FEB36DB2}"/>
  </w:font>
  <w:font w:name="Courier">
    <w:panose1 w:val="02060409020205020404"/>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6" w:fontKey="{CE7E860C-5556-464D-95E7-C203A21B55D5}"/>
  </w:font>
  <w:font w:name="Adobe 仿宋 Std R">
    <w:altName w:val="微软雅黑"/>
    <w:panose1 w:val="00000000000000000000"/>
    <w:charset w:val="7A"/>
    <w:family w:val="roman"/>
    <w:pitch w:val="default"/>
    <w:sig w:usb0="00000000" w:usb1="00000000" w:usb2="00000016" w:usb3="00000000" w:csb0="00060007" w:csb1="00000000"/>
  </w:font>
  <w:font w:name="方正小标宋简体">
    <w:panose1 w:val="02000000000000000000"/>
    <w:charset w:val="86"/>
    <w:family w:val="auto"/>
    <w:pitch w:val="default"/>
    <w:sig w:usb0="00000001" w:usb1="08000000" w:usb2="00000000" w:usb3="00000000" w:csb0="00040000" w:csb1="00000000"/>
    <w:embedRegular r:id="rId7" w:fontKey="{96508169-7383-4818-8F8E-D04DF62708B5}"/>
  </w:font>
  <w:font w:name="方正仿宋简体">
    <w:altName w:val="微软雅黑"/>
    <w:panose1 w:val="02010601030101010101"/>
    <w:charset w:val="86"/>
    <w:family w:val="auto"/>
    <w:pitch w:val="default"/>
    <w:sig w:usb0="00000000" w:usb1="00000000" w:usb2="00000000" w:usb3="00000000" w:csb0="00040000" w:csb1="00000000"/>
    <w:embedRegular r:id="rId8" w:fontKey="{5022DF97-4EF6-43AB-9121-8B87FCCF12F5}"/>
  </w:font>
  <w:font w:name="方正黑体简体">
    <w:altName w:val="微软雅黑"/>
    <w:panose1 w:val="00000000000000000000"/>
    <w:charset w:val="00"/>
    <w:family w:val="auto"/>
    <w:pitch w:val="default"/>
    <w:sig w:usb0="00000000" w:usb1="00000000" w:usb2="00000000" w:usb3="00000000" w:csb0="00040001" w:csb1="00000000"/>
    <w:embedRegular r:id="rId9" w:fontKey="{E56433F1-E434-481D-92DE-0C58531BAEF7}"/>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9BE1">
    <w:pPr>
      <w:pStyle w:val="12"/>
      <w:ind w:right="36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BD7D">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C8BD7D">
                    <w:pPr>
                      <w:pStyle w:val="12"/>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posOffset>2535555</wp:posOffset>
              </wp:positionH>
              <wp:positionV relativeFrom="paragraph">
                <wp:posOffset>0</wp:posOffset>
              </wp:positionV>
              <wp:extent cx="114935" cy="1530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55A9534F"/>
                      </w:txbxContent>
                    </wps:txbx>
                    <wps:bodyPr wrap="none" lIns="0" tIns="0" rIns="0" bIns="0" upright="1">
                      <a:spAutoFit/>
                    </wps:bodyPr>
                  </wps:wsp>
                </a:graphicData>
              </a:graphic>
            </wp:anchor>
          </w:drawing>
        </mc:Choice>
        <mc:Fallback>
          <w:pict>
            <v:shape id="_x0000_s1026" o:spid="_x0000_s1026" o:spt="202" type="#_x0000_t202" style="position:absolute;left:0pt;margin-left:199.65pt;margin-top:0pt;height:12.05pt;width:9.05pt;mso-position-horizontal-relative:margin;mso-wrap-style:none;z-index:251671552;mso-width-relative:page;mso-height-relative:page;" filled="f" stroked="f" coordsize="21600,21600" o:gfxdata="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BKzybXAAAABwEAAA8AAAAAAAAAAQAg&#10;AAAAIgAAAGRycy9kb3ducmV2LnhtbFBLAQIUABQAAAAIAIdO4kBWvlH41gEAAKMDAAAOAAAAAAAA&#10;AAEAIAAAACYBAABkcnMvZTJvRG9jLnhtbFBLBQYAAAAABgAGAFkBAABuBQAAAAA=&#10;">
              <v:fill on="f" focussize="0,0"/>
              <v:stroke on="f" weight="1.25pt"/>
              <v:imagedata o:title=""/>
              <o:lock v:ext="edit" aspectratio="f"/>
              <v:textbox inset="0mm,0mm,0mm,0mm" style="mso-fit-shape-to-text:t;">
                <w:txbxContent>
                  <w:p w14:paraId="55A9534F"/>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0AE1">
                          <w:pPr>
                            <w:pStyle w:val="12"/>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BBF0AE1">
                    <w:pPr>
                      <w:pStyle w:val="12"/>
                      <w:rPr>
                        <w:rFonts w:hint="default" w:eastAsia="宋体"/>
                        <w:lang w:val="en-US"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301">
    <w:pPr>
      <w:pStyle w:val="12"/>
      <w:framePr w:wrap="around" w:vAnchor="text" w:hAnchor="margin" w:xAlign="center" w:y="1"/>
      <w:rPr>
        <w:rStyle w:val="23"/>
      </w:rPr>
    </w:pPr>
    <w:r>
      <w:fldChar w:fldCharType="begin"/>
    </w:r>
    <w:r>
      <w:rPr>
        <w:rStyle w:val="23"/>
      </w:rPr>
      <w:instrText xml:space="preserve">PAGE  </w:instrText>
    </w:r>
    <w:r>
      <w:fldChar w:fldCharType="end"/>
    </w:r>
  </w:p>
  <w:p w14:paraId="7E29AF90">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88B7">
    <w:pPr>
      <w:pStyle w:val="12"/>
      <w:tabs>
        <w:tab w:val="center" w:pos="4479"/>
        <w:tab w:val="clear" w:pos="4153"/>
      </w:tabs>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ABF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CDFABFA">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7E89C">
                          <w:pPr>
                            <w:pStyle w:val="12"/>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C7E89C">
                    <w:pPr>
                      <w:pStyle w:val="12"/>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530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1A5DD4A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72576;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rs9lPUAAAAAwEAAA8AAAAAAAAAAQAgAAAA&#10;IgAAAGRycy9kb3ducmV2LnhtbFBLAQIUABQAAAAIAIdO4kAYy/2Z1gEAAKMDAAAOAAAAAAAAAAEA&#10;IAAAACMBAABkcnMvZTJvRG9jLnhtbFBLBQYAAAAABgAGAFkBAABrBQAAAAA=&#10;">
              <v:fill on="f" focussize="0,0"/>
              <v:stroke on="f" weight="1.25pt"/>
              <v:imagedata o:title=""/>
              <o:lock v:ext="edit" aspectratio="f"/>
              <v:textbox inset="0mm,0mm,0mm,0mm" style="mso-fit-shape-to-text:t;">
                <w:txbxContent>
                  <w:p w14:paraId="1A5DD4A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1DA">
    <w:pPr>
      <w:pStyle w:val="7"/>
      <w:spacing w:line="14" w:lineRule="auto"/>
      <w:rPr>
        <w:sz w:val="20"/>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35A7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335A7D">
                    <w:pPr>
                      <w:pStyle w:val="12"/>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14:paraId="18AD1F3E"/>
                      </w:txbxContent>
                    </wps:txbx>
                    <wps:bodyPr lIns="0" tIns="0" rIns="0" bIns="0" upright="1"/>
                  </wps:wsp>
                </a:graphicData>
              </a:graphic>
            </wp:anchor>
          </w:drawing>
        </mc:Choice>
        <mc:Fallback>
          <w:pict>
            <v:shape id="_x0000_s1026" o:spid="_x0000_s1026" o:spt="202" type="#_x0000_t202" style="position:absolute;left:0pt;margin-left:254.85pt;margin-top:778.85pt;height:12pt;width:85.7pt;mso-position-horizontal-relative:page;mso-position-vertical-relative:page;z-index:-251643904;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67VQ2gAAAA0BAAAPAAAAAAAAAAEAIAAAACIAAABkcnMvZG93bnJldi54bWxQ&#10;SwECFAAUAAAACACHTuJANoP5ELwBAAB0AwAADgAAAAAAAAABACAAAAApAQAAZHJzL2Uyb0RvYy54&#10;bWxQSwUGAAAAAAYABgBZAQAAVwUAAAAA&#10;">
              <v:fill on="f" focussize="0,0"/>
              <v:stroke on="f"/>
              <v:imagedata o:title=""/>
              <o:lock v:ext="edit" aspectratio="f"/>
              <v:textbox inset="0mm,0mm,0mm,0mm">
                <w:txbxContent>
                  <w:p w14:paraId="18AD1F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7048">
    <w:pPr>
      <w:spacing w:line="176" w:lineRule="auto"/>
      <w:ind w:left="48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56AE">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26156AE">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6895">
    <w:pPr>
      <w:pStyle w:val="12"/>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860D">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978860D">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8334">
    <w:pPr>
      <w:pStyle w:val="12"/>
      <w:jc w:val="cente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51CE2">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AC51CE2">
                    <w:pPr>
                      <w:pStyle w:val="12"/>
                    </w:pPr>
                    <w:r>
                      <w:fldChar w:fldCharType="begin"/>
                    </w:r>
                    <w:r>
                      <w:instrText xml:space="preserve"> PAGE  \* MERGEFORMAT </w:instrText>
                    </w:r>
                    <w:r>
                      <w:fldChar w:fldCharType="separate"/>
                    </w:r>
                    <w:r>
                      <w:t>56</w:t>
                    </w:r>
                    <w:r>
                      <w:fldChar w:fldCharType="end"/>
                    </w:r>
                  </w:p>
                </w:txbxContent>
              </v:textbox>
            </v:shape>
          </w:pict>
        </mc:Fallback>
      </mc:AlternateContent>
    </w:r>
  </w:p>
  <w:p w14:paraId="658208CF">
    <w:pPr>
      <w:pStyle w:val="12"/>
      <w:jc w:val="center"/>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FB81">
    <w:pPr>
      <w:pStyle w:val="12"/>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480B">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19C480B">
                    <w:pPr>
                      <w:pStyle w:val="12"/>
                    </w:pPr>
                    <w:r>
                      <w:fldChar w:fldCharType="begin"/>
                    </w:r>
                    <w:r>
                      <w:instrText xml:space="preserve"> PAGE  \* MERGEFORMAT </w:instrText>
                    </w:r>
                    <w:r>
                      <w:fldChar w:fldCharType="separate"/>
                    </w:r>
                    <w:r>
                      <w:t>62</w:t>
                    </w:r>
                    <w:r>
                      <w:fldChar w:fldCharType="end"/>
                    </w:r>
                  </w:p>
                </w:txbxContent>
              </v:textbox>
            </v:shape>
          </w:pict>
        </mc:Fallback>
      </mc:AlternateContent>
    </w:r>
  </w:p>
  <w:p w14:paraId="08E2AB6A">
    <w:pPr>
      <w:pStyle w:val="12"/>
      <w:jc w:val="center"/>
      <w:rPr>
        <w:rFonts w:ascii="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D4C6">
    <w:pPr>
      <w:pStyle w:val="12"/>
      <w:framePr w:wrap="around" w:vAnchor="text" w:hAnchor="margin" w:xAlign="center" w:y="1"/>
      <w:rPr>
        <w:rStyle w:val="23"/>
      </w:rPr>
    </w:pPr>
    <w:r>
      <w:fldChar w:fldCharType="begin"/>
    </w:r>
    <w:r>
      <w:rPr>
        <w:rStyle w:val="23"/>
      </w:rPr>
      <w:instrText xml:space="preserve"> PAGE </w:instrText>
    </w:r>
    <w:r>
      <w:fldChar w:fldCharType="end"/>
    </w:r>
  </w:p>
  <w:p w14:paraId="78EAB4A7">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68E7">
    <w:pPr>
      <w:pStyle w:val="1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5D8F">
    <w:pPr>
      <w:pStyle w:val="7"/>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CE212FB"/>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800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vxF+LsBAAB0AwAADgAAAAAAAAABACAAAAAnAQAAZHJzL2Uyb0RvYy54bWxQ&#10;SwUGAAAAAAYABgBZAQAAVAUAAAAA&#10;">
              <v:fill on="f" focussize="0,0"/>
              <v:stroke on="f"/>
              <v:imagedata o:title=""/>
              <o:lock v:ext="edit" aspectratio="f"/>
              <v:textbox inset="0mm,0mm,0mm,0mm">
                <w:txbxContent>
                  <w:p w14:paraId="6CE212FB"/>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F011">
    <w:pPr>
      <w:pStyle w:val="7"/>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E413B35">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ah7OdgAAAAJAQAADwAAAAAAAAABACAAAAAiAAAAZHJzL2Rvd25yZXYueG1sUEsB&#10;AhQAFAAAAAgAh07iQDPZKQq8AQAAdAMAAA4AAAAAAAAAAQAgAAAAJwEAAGRycy9lMm9Eb2MueG1s&#10;UEsFBgAAAAAGAAYAWQEAAFUFAAAAAA==&#10;">
              <v:fill on="f" focussize="0,0"/>
              <v:stroke on="f"/>
              <v:imagedata o:title=""/>
              <o:lock v:ext="edit" aspectratio="f"/>
              <v:textbox inset="0mm,0mm,0mm,0mm">
                <w:txbxContent>
                  <w:p w14:paraId="6E413B35">
                    <w:pPr>
                      <w:rPr>
                        <w:rFonts w:hint="eastAsia"/>
                        <w:lang w:eastAsia="zh-CN"/>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352DCC0">
                          <w:pPr>
                            <w:pStyle w:val="7"/>
                            <w:spacing w:line="251" w:lineRule="exact"/>
                            <w:ind w:left="20"/>
                          </w:pPr>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pnwQ8LsBAAB0AwAADgAAAAAAAAABACAAAAAnAQAAZHJzL2Uyb0RvYy54bWxQ&#10;SwUGAAAAAAYABgBZAQAAVAUAAAAA&#10;">
              <v:fill on="f" focussize="0,0"/>
              <v:stroke on="f"/>
              <v:imagedata o:title=""/>
              <o:lock v:ext="edit" aspectratio="f"/>
              <v:textbox inset="0mm,0mm,0mm,0mm">
                <w:txbxContent>
                  <w:p w14:paraId="6352DCC0">
                    <w:pPr>
                      <w:pStyle w:val="7"/>
                      <w:spacing w:line="251" w:lineRule="exact"/>
                      <w:ind w:left="2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5AA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8584">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CFCA">
    <w:pPr>
      <w:pStyle w:val="7"/>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FD5BB51"/>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492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nzKt/LsBAAB0AwAADgAAAAAAAAABACAAAAAnAQAAZHJzL2Uyb0RvYy54bWxQ&#10;SwUGAAAAAAYABgBZAQAAVAUAAAAA&#10;">
              <v:fill on="f" focussize="0,0"/>
              <v:stroke on="f"/>
              <v:imagedata o:title=""/>
              <o:lock v:ext="edit" aspectratio="f"/>
              <v:textbox inset="0mm,0mm,0mm,0mm">
                <w:txbxContent>
                  <w:p w14:paraId="2FD5BB51"/>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11BF">
    <w:pPr>
      <w:pStyle w:val="7"/>
      <w:spacing w:line="14" w:lineRule="auto"/>
      <w:rPr>
        <w:sz w:val="20"/>
      </w:rPr>
    </w:pPr>
    <w:r>
      <mc:AlternateContent>
        <mc:Choice Requires="wps">
          <w:drawing>
            <wp:anchor distT="0" distB="0" distL="114300" distR="114300" simplePos="0" relativeHeight="25166950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14:paraId="33B5D5A7">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697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Hs52AAAAAkBAAAPAAAAAAAAAAEAIAAAACIAAABkcnMvZG93bnJldi54bWxQ&#10;SwECFAAUAAAACACHTuJAgbVPxL4BAACCAwAADgAAAAAAAAABACAAAAAnAQAAZHJzL2Uyb0RvYy54&#10;bWxQSwUGAAAAAAYABgBZAQAAVwUAAAAA&#10;">
              <v:fill on="f" focussize="0,0"/>
              <v:stroke on="f"/>
              <v:imagedata o:title=""/>
              <o:lock v:ext="edit" aspectratio="f"/>
              <v:textbox inset="0mm,0mm,0mm,0mm">
                <w:txbxContent>
                  <w:p w14:paraId="33B5D5A7">
                    <w:pPr>
                      <w:rPr>
                        <w:rFonts w:hint="eastAsia"/>
                        <w:lang w:eastAsia="zh-CN"/>
                      </w:rPr>
                    </w:pP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14:paraId="44205FB5"/>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595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rmlA2AAAAAoBAAAPAAAAAAAAAAEAIAAAACIAAABkcnMvZG93bnJldi54bWxQ&#10;SwECFAAUAAAACACHTuJAzDwivr4BAACCAwAADgAAAAAAAAABACAAAAAnAQAAZHJzL2Uyb0RvYy54&#10;bWxQSwUGAAAAAAYABgBZAQAAVwUAAAAA&#10;">
              <v:fill on="f" focussize="0,0"/>
              <v:stroke on="f"/>
              <v:imagedata o:title=""/>
              <o:lock v:ext="edit" aspectratio="f"/>
              <v:textbox inset="0mm,0mm,0mm,0mm">
                <w:txbxContent>
                  <w:p w14:paraId="44205FB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E351">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07F119E3">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4144;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2oeznYAAAACQEAAA8AAAAAAAAAAQAgAAAAIgAAAGRycy9kb3ducmV2LnhtbFBLAQIU&#10;ABQAAAAIAIdO4kBdrnz1ugEAAHQDAAAOAAAAAAAAAAEAIAAAACcBAABkcnMvZTJvRG9jLnhtbFBL&#10;BQYAAAAABgAGAFkBAABTBQAAAAA=&#10;">
              <v:fill on="f" focussize="0,0"/>
              <v:stroke on="f"/>
              <v:imagedata o:title=""/>
              <o:lock v:ext="edit" aspectratio="f"/>
              <v:textbox inset="0mm,0mm,0mm,0mm">
                <w:txbxContent>
                  <w:p w14:paraId="07F119E3">
                    <w:pPr>
                      <w:rPr>
                        <w:rFonts w:hint="eastAsia"/>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79A99479"/>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3120;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q5pQNgAAAAKAQAADwAAAAAAAAABACAAAAAiAAAAZHJzL2Rvd25yZXYueG1sUEsB&#10;AhQAFAAAAAgAh07iQM2BSQq8AQAAdAMAAA4AAAAAAAAAAQAgAAAAJwEAAGRycy9lMm9Eb2MueG1s&#10;UEsFBgAAAAAGAAYAWQEAAFUFAAAAAA==&#10;">
              <v:fill on="f" focussize="0,0"/>
              <v:stroke on="f"/>
              <v:imagedata o:title=""/>
              <o:lock v:ext="edit" aspectratio="f"/>
              <v:textbox inset="0mm,0mm,0mm,0mm">
                <w:txbxContent>
                  <w:p w14:paraId="79A99479"/>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0720">
    <w:pPr>
      <w:pStyle w:val="13"/>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83E5">
    <w:pPr>
      <w:pStyle w:val="13"/>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2D82">
    <w:pPr>
      <w:pStyle w:val="7"/>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3C5DE13A"/>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004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3C5DE13A"/>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509E9D8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9024;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E0bsMLsBAAB0AwAADgAAAAAAAAABACAAAAAnAQAAZHJzL2Uyb0RvYy54bWxQ&#10;SwUGAAAAAAYABgBZAQAAVAUAAAAA&#10;">
              <v:fill on="f" focussize="0,0"/>
              <v:stroke on="f"/>
              <v:imagedata o:title=""/>
              <o:lock v:ext="edit" aspectratio="f"/>
              <v:textbox inset="0mm,0mm,0mm,0mm">
                <w:txbxContent>
                  <w:p w14:paraId="509E9D8D"/>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02"/>
    <w:multiLevelType w:val="singleLevel"/>
    <w:tmpl w:val="968E1102"/>
    <w:lvl w:ilvl="0" w:tentative="0">
      <w:start w:val="2"/>
      <w:numFmt w:val="chineseCounting"/>
      <w:suff w:val="nothing"/>
      <w:lvlText w:val="（%1）"/>
      <w:lvlJc w:val="left"/>
      <w:rPr>
        <w:rFonts w:hint="eastAsia"/>
      </w:rPr>
    </w:lvl>
  </w:abstractNum>
  <w:abstractNum w:abstractNumId="1">
    <w:nsid w:val="C00C9C33"/>
    <w:multiLevelType w:val="singleLevel"/>
    <w:tmpl w:val="C00C9C33"/>
    <w:lvl w:ilvl="0" w:tentative="0">
      <w:start w:val="1"/>
      <w:numFmt w:val="chineseCounting"/>
      <w:suff w:val="nothing"/>
      <w:lvlText w:val="%1、"/>
      <w:lvlJc w:val="left"/>
      <w:rPr>
        <w:rFonts w:hint="eastAsia"/>
      </w:rPr>
    </w:lvl>
  </w:abstractNum>
  <w:abstractNum w:abstractNumId="2">
    <w:nsid w:val="10078ABF"/>
    <w:multiLevelType w:val="singleLevel"/>
    <w:tmpl w:val="10078ABF"/>
    <w:lvl w:ilvl="0" w:tentative="0">
      <w:start w:val="4"/>
      <w:numFmt w:val="chineseCounting"/>
      <w:suff w:val="space"/>
      <w:lvlText w:val="第%1部分"/>
      <w:lvlJc w:val="left"/>
      <w:rPr>
        <w:rFonts w:hint="eastAsia"/>
      </w:rPr>
    </w:lvl>
  </w:abstractNum>
  <w:abstractNum w:abstractNumId="3">
    <w:nsid w:val="166B6D96"/>
    <w:multiLevelType w:val="singleLevel"/>
    <w:tmpl w:val="166B6D96"/>
    <w:lvl w:ilvl="0" w:tentative="0">
      <w:start w:val="1"/>
      <w:numFmt w:val="chineseCounting"/>
      <w:suff w:val="nothing"/>
      <w:lvlText w:val="（%1）"/>
      <w:lvlJc w:val="left"/>
      <w:rPr>
        <w:rFonts w:hint="eastAsia"/>
      </w:rPr>
    </w:lvl>
  </w:abstractNum>
  <w:abstractNum w:abstractNumId="4">
    <w:nsid w:val="2E16D48F"/>
    <w:multiLevelType w:val="singleLevel"/>
    <w:tmpl w:val="2E16D48F"/>
    <w:lvl w:ilvl="0" w:tentative="0">
      <w:start w:val="2"/>
      <w:numFmt w:val="decimal"/>
      <w:suff w:val="nothing"/>
      <w:lvlText w:val="（%1）"/>
      <w:lvlJc w:val="left"/>
    </w:lvl>
  </w:abstractNum>
  <w:abstractNum w:abstractNumId="5">
    <w:nsid w:val="3D55D76B"/>
    <w:multiLevelType w:val="singleLevel"/>
    <w:tmpl w:val="3D55D76B"/>
    <w:lvl w:ilvl="0" w:tentative="0">
      <w:start w:val="1"/>
      <w:numFmt w:val="chineseCounting"/>
      <w:suff w:val="space"/>
      <w:lvlText w:val="第%1章"/>
      <w:lvlJc w:val="left"/>
      <w:rPr>
        <w:rFonts w:hint="eastAsia"/>
      </w:rPr>
    </w:lvl>
  </w:abstractNum>
  <w:abstractNum w:abstractNumId="6">
    <w:nsid w:val="68FC6059"/>
    <w:multiLevelType w:val="singleLevel"/>
    <w:tmpl w:val="68FC6059"/>
    <w:lvl w:ilvl="0" w:tentative="0">
      <w:start w:val="5"/>
      <w:numFmt w:val="chineseCounting"/>
      <w:suff w:val="space"/>
      <w:lvlText w:val="%1、"/>
      <w:lvlJc w:val="left"/>
      <w:rPr>
        <w:rFonts w:hint="eastAsia"/>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32F7A"/>
    <w:rsid w:val="00082185"/>
    <w:rsid w:val="00092509"/>
    <w:rsid w:val="000B7DB2"/>
    <w:rsid w:val="001D6501"/>
    <w:rsid w:val="002235CA"/>
    <w:rsid w:val="00265E98"/>
    <w:rsid w:val="00286F66"/>
    <w:rsid w:val="00294959"/>
    <w:rsid w:val="003D0404"/>
    <w:rsid w:val="00460EDD"/>
    <w:rsid w:val="004D4AEB"/>
    <w:rsid w:val="004E773E"/>
    <w:rsid w:val="00563274"/>
    <w:rsid w:val="00584EE4"/>
    <w:rsid w:val="005D6E36"/>
    <w:rsid w:val="00655C7F"/>
    <w:rsid w:val="00906967"/>
    <w:rsid w:val="00A21A66"/>
    <w:rsid w:val="00A81D22"/>
    <w:rsid w:val="00AD7338"/>
    <w:rsid w:val="00B24BB6"/>
    <w:rsid w:val="00B52D29"/>
    <w:rsid w:val="00B62819"/>
    <w:rsid w:val="00BF186E"/>
    <w:rsid w:val="00C91C98"/>
    <w:rsid w:val="00D5688F"/>
    <w:rsid w:val="00D816E8"/>
    <w:rsid w:val="00DA4B91"/>
    <w:rsid w:val="00DC19CB"/>
    <w:rsid w:val="00E02D21"/>
    <w:rsid w:val="00F26BE8"/>
    <w:rsid w:val="00F8365B"/>
    <w:rsid w:val="00FC206D"/>
    <w:rsid w:val="01052BEB"/>
    <w:rsid w:val="010F4EFF"/>
    <w:rsid w:val="01140146"/>
    <w:rsid w:val="01347A59"/>
    <w:rsid w:val="013B0DE8"/>
    <w:rsid w:val="015A57AA"/>
    <w:rsid w:val="01657CDA"/>
    <w:rsid w:val="01802C9E"/>
    <w:rsid w:val="0199766D"/>
    <w:rsid w:val="019F0A8C"/>
    <w:rsid w:val="01A71FD9"/>
    <w:rsid w:val="01A72B23"/>
    <w:rsid w:val="01A97D30"/>
    <w:rsid w:val="01AD0BB8"/>
    <w:rsid w:val="01B237A8"/>
    <w:rsid w:val="01B3097E"/>
    <w:rsid w:val="01BC39A2"/>
    <w:rsid w:val="01C25065"/>
    <w:rsid w:val="01C42B8B"/>
    <w:rsid w:val="01C63438"/>
    <w:rsid w:val="01C7267B"/>
    <w:rsid w:val="01DB6127"/>
    <w:rsid w:val="01DB7ED5"/>
    <w:rsid w:val="01DE409E"/>
    <w:rsid w:val="01E21263"/>
    <w:rsid w:val="01E65414"/>
    <w:rsid w:val="01F3521E"/>
    <w:rsid w:val="01F65FA9"/>
    <w:rsid w:val="01FF3C6A"/>
    <w:rsid w:val="02012E78"/>
    <w:rsid w:val="021A2CC9"/>
    <w:rsid w:val="02201D8C"/>
    <w:rsid w:val="02277B3E"/>
    <w:rsid w:val="02353A89"/>
    <w:rsid w:val="02380E83"/>
    <w:rsid w:val="02397C41"/>
    <w:rsid w:val="023A6EAE"/>
    <w:rsid w:val="02476461"/>
    <w:rsid w:val="025018CE"/>
    <w:rsid w:val="0255083C"/>
    <w:rsid w:val="02693733"/>
    <w:rsid w:val="026F56AC"/>
    <w:rsid w:val="027E6E6D"/>
    <w:rsid w:val="027F2F56"/>
    <w:rsid w:val="028140C9"/>
    <w:rsid w:val="028429F3"/>
    <w:rsid w:val="0288005D"/>
    <w:rsid w:val="02913644"/>
    <w:rsid w:val="02922A98"/>
    <w:rsid w:val="029E2AB3"/>
    <w:rsid w:val="029F4A63"/>
    <w:rsid w:val="02AA5533"/>
    <w:rsid w:val="02B32C00"/>
    <w:rsid w:val="02BA21E0"/>
    <w:rsid w:val="02BC2F91"/>
    <w:rsid w:val="02C44E0D"/>
    <w:rsid w:val="02C6389C"/>
    <w:rsid w:val="02C80459"/>
    <w:rsid w:val="02DC5CB3"/>
    <w:rsid w:val="0303579F"/>
    <w:rsid w:val="0307783A"/>
    <w:rsid w:val="031D766C"/>
    <w:rsid w:val="03314FB5"/>
    <w:rsid w:val="03345B70"/>
    <w:rsid w:val="03411FB9"/>
    <w:rsid w:val="034D4D51"/>
    <w:rsid w:val="034F2928"/>
    <w:rsid w:val="03521CBA"/>
    <w:rsid w:val="035531F3"/>
    <w:rsid w:val="03600EDC"/>
    <w:rsid w:val="036068E4"/>
    <w:rsid w:val="037264B7"/>
    <w:rsid w:val="0374413D"/>
    <w:rsid w:val="03874574"/>
    <w:rsid w:val="038A7E04"/>
    <w:rsid w:val="039736D3"/>
    <w:rsid w:val="03AA4CBA"/>
    <w:rsid w:val="03BD3D36"/>
    <w:rsid w:val="03D177E1"/>
    <w:rsid w:val="03F15374"/>
    <w:rsid w:val="03FD3713"/>
    <w:rsid w:val="040D6B8B"/>
    <w:rsid w:val="041F28ED"/>
    <w:rsid w:val="042E1A95"/>
    <w:rsid w:val="0433526B"/>
    <w:rsid w:val="04390031"/>
    <w:rsid w:val="043D74D7"/>
    <w:rsid w:val="04477832"/>
    <w:rsid w:val="04486DF4"/>
    <w:rsid w:val="0458580D"/>
    <w:rsid w:val="045905E0"/>
    <w:rsid w:val="045F4DED"/>
    <w:rsid w:val="04781A0B"/>
    <w:rsid w:val="047E0F77"/>
    <w:rsid w:val="047F723D"/>
    <w:rsid w:val="04854128"/>
    <w:rsid w:val="048C5A1D"/>
    <w:rsid w:val="049031F8"/>
    <w:rsid w:val="04983E5B"/>
    <w:rsid w:val="04A077F1"/>
    <w:rsid w:val="04AB0032"/>
    <w:rsid w:val="04AC145E"/>
    <w:rsid w:val="04B36EE7"/>
    <w:rsid w:val="04BC2297"/>
    <w:rsid w:val="04C66C1A"/>
    <w:rsid w:val="04CF2673"/>
    <w:rsid w:val="04D94D69"/>
    <w:rsid w:val="04DC0AA0"/>
    <w:rsid w:val="04DC34A1"/>
    <w:rsid w:val="04E34662"/>
    <w:rsid w:val="04E62E18"/>
    <w:rsid w:val="04EB5A6E"/>
    <w:rsid w:val="04F16EF3"/>
    <w:rsid w:val="05151950"/>
    <w:rsid w:val="051D19FB"/>
    <w:rsid w:val="052B1173"/>
    <w:rsid w:val="05346DD3"/>
    <w:rsid w:val="053E79FB"/>
    <w:rsid w:val="055F1D2B"/>
    <w:rsid w:val="05607726"/>
    <w:rsid w:val="056106F1"/>
    <w:rsid w:val="05634C69"/>
    <w:rsid w:val="05654685"/>
    <w:rsid w:val="05691B27"/>
    <w:rsid w:val="05757C03"/>
    <w:rsid w:val="05A351AD"/>
    <w:rsid w:val="05A502AD"/>
    <w:rsid w:val="05A50F26"/>
    <w:rsid w:val="05AA7D89"/>
    <w:rsid w:val="05B178CA"/>
    <w:rsid w:val="05B23DFE"/>
    <w:rsid w:val="05B57C30"/>
    <w:rsid w:val="05B90175"/>
    <w:rsid w:val="05BB1A9E"/>
    <w:rsid w:val="05BD4F8F"/>
    <w:rsid w:val="05C1471D"/>
    <w:rsid w:val="05D516F0"/>
    <w:rsid w:val="05DA380E"/>
    <w:rsid w:val="05DD39A8"/>
    <w:rsid w:val="05E00652"/>
    <w:rsid w:val="05EA6F2B"/>
    <w:rsid w:val="05EF03F3"/>
    <w:rsid w:val="05F20275"/>
    <w:rsid w:val="05F6195E"/>
    <w:rsid w:val="05FB58E4"/>
    <w:rsid w:val="06060AA7"/>
    <w:rsid w:val="061906A3"/>
    <w:rsid w:val="061A14F7"/>
    <w:rsid w:val="062260D2"/>
    <w:rsid w:val="06233BF8"/>
    <w:rsid w:val="063539E9"/>
    <w:rsid w:val="063B7B7F"/>
    <w:rsid w:val="063D115E"/>
    <w:rsid w:val="064A2E72"/>
    <w:rsid w:val="06500E91"/>
    <w:rsid w:val="06546E1C"/>
    <w:rsid w:val="065564A8"/>
    <w:rsid w:val="06595D01"/>
    <w:rsid w:val="06707752"/>
    <w:rsid w:val="06707908"/>
    <w:rsid w:val="06735AF3"/>
    <w:rsid w:val="06764670"/>
    <w:rsid w:val="06774D69"/>
    <w:rsid w:val="068A6A28"/>
    <w:rsid w:val="068C109B"/>
    <w:rsid w:val="068D6BD2"/>
    <w:rsid w:val="06974875"/>
    <w:rsid w:val="06A64F55"/>
    <w:rsid w:val="06B01054"/>
    <w:rsid w:val="06B225CD"/>
    <w:rsid w:val="06B56F46"/>
    <w:rsid w:val="06B66DD1"/>
    <w:rsid w:val="06C13B3D"/>
    <w:rsid w:val="06CC603E"/>
    <w:rsid w:val="06E03262"/>
    <w:rsid w:val="06E174A3"/>
    <w:rsid w:val="06E45A7E"/>
    <w:rsid w:val="06EB2968"/>
    <w:rsid w:val="06F35C7C"/>
    <w:rsid w:val="06F8666A"/>
    <w:rsid w:val="0701092B"/>
    <w:rsid w:val="070C0865"/>
    <w:rsid w:val="071271C7"/>
    <w:rsid w:val="07267E44"/>
    <w:rsid w:val="07354E8A"/>
    <w:rsid w:val="07397B77"/>
    <w:rsid w:val="073B2573"/>
    <w:rsid w:val="073D5C7F"/>
    <w:rsid w:val="073E6F3C"/>
    <w:rsid w:val="07401BC0"/>
    <w:rsid w:val="07585B24"/>
    <w:rsid w:val="075A0111"/>
    <w:rsid w:val="076512BF"/>
    <w:rsid w:val="076B041E"/>
    <w:rsid w:val="077237F0"/>
    <w:rsid w:val="07726BE5"/>
    <w:rsid w:val="077946F5"/>
    <w:rsid w:val="07964D17"/>
    <w:rsid w:val="07967E0E"/>
    <w:rsid w:val="079923C4"/>
    <w:rsid w:val="07B0770E"/>
    <w:rsid w:val="07B13BB2"/>
    <w:rsid w:val="07B6484E"/>
    <w:rsid w:val="07BB5CE1"/>
    <w:rsid w:val="07C02047"/>
    <w:rsid w:val="07C63AEF"/>
    <w:rsid w:val="07C92C47"/>
    <w:rsid w:val="07D36C9F"/>
    <w:rsid w:val="07DD49A7"/>
    <w:rsid w:val="07F12200"/>
    <w:rsid w:val="07F7156F"/>
    <w:rsid w:val="07F95559"/>
    <w:rsid w:val="07FC7C73"/>
    <w:rsid w:val="08057A5A"/>
    <w:rsid w:val="08122176"/>
    <w:rsid w:val="082750D8"/>
    <w:rsid w:val="08332819"/>
    <w:rsid w:val="083802A9"/>
    <w:rsid w:val="08391C14"/>
    <w:rsid w:val="083D5469"/>
    <w:rsid w:val="083E11BD"/>
    <w:rsid w:val="083E7A3A"/>
    <w:rsid w:val="0840356C"/>
    <w:rsid w:val="08406CE4"/>
    <w:rsid w:val="08465CCC"/>
    <w:rsid w:val="085414A0"/>
    <w:rsid w:val="085D27D6"/>
    <w:rsid w:val="085E716A"/>
    <w:rsid w:val="08607386"/>
    <w:rsid w:val="086A3D60"/>
    <w:rsid w:val="087370B9"/>
    <w:rsid w:val="08761107"/>
    <w:rsid w:val="08823A87"/>
    <w:rsid w:val="088A4403"/>
    <w:rsid w:val="088A61B1"/>
    <w:rsid w:val="088C017B"/>
    <w:rsid w:val="089D3FDB"/>
    <w:rsid w:val="089F76E9"/>
    <w:rsid w:val="08A07782"/>
    <w:rsid w:val="08A220F9"/>
    <w:rsid w:val="08A917A9"/>
    <w:rsid w:val="08AE6343"/>
    <w:rsid w:val="08B65A87"/>
    <w:rsid w:val="08BA0970"/>
    <w:rsid w:val="08C77405"/>
    <w:rsid w:val="08D03166"/>
    <w:rsid w:val="08D2262C"/>
    <w:rsid w:val="08DF64FD"/>
    <w:rsid w:val="08E75201"/>
    <w:rsid w:val="08F0070A"/>
    <w:rsid w:val="08F655F4"/>
    <w:rsid w:val="08FA3336"/>
    <w:rsid w:val="08FC70AE"/>
    <w:rsid w:val="08FD4BD5"/>
    <w:rsid w:val="08FE0BC9"/>
    <w:rsid w:val="08FF201E"/>
    <w:rsid w:val="090709EE"/>
    <w:rsid w:val="09072556"/>
    <w:rsid w:val="09160835"/>
    <w:rsid w:val="091627B4"/>
    <w:rsid w:val="09173EE8"/>
    <w:rsid w:val="09175C96"/>
    <w:rsid w:val="091F0FEF"/>
    <w:rsid w:val="093525C0"/>
    <w:rsid w:val="096168DE"/>
    <w:rsid w:val="09664528"/>
    <w:rsid w:val="097A7FD3"/>
    <w:rsid w:val="09842C00"/>
    <w:rsid w:val="09A06F3D"/>
    <w:rsid w:val="09A45050"/>
    <w:rsid w:val="09AD2157"/>
    <w:rsid w:val="09B31CB9"/>
    <w:rsid w:val="09DE5F99"/>
    <w:rsid w:val="09E0585C"/>
    <w:rsid w:val="09E71B0D"/>
    <w:rsid w:val="09E97995"/>
    <w:rsid w:val="09EC23D5"/>
    <w:rsid w:val="09EC6100"/>
    <w:rsid w:val="09F47D86"/>
    <w:rsid w:val="0A133CD2"/>
    <w:rsid w:val="0A182626"/>
    <w:rsid w:val="0A1A760F"/>
    <w:rsid w:val="0A2A37A7"/>
    <w:rsid w:val="0A3F06D3"/>
    <w:rsid w:val="0A436837"/>
    <w:rsid w:val="0A48619C"/>
    <w:rsid w:val="0A540824"/>
    <w:rsid w:val="0A5627EE"/>
    <w:rsid w:val="0A690FE3"/>
    <w:rsid w:val="0A6F38B0"/>
    <w:rsid w:val="0A7333A0"/>
    <w:rsid w:val="0A782765"/>
    <w:rsid w:val="0A93759F"/>
    <w:rsid w:val="0AA34D2A"/>
    <w:rsid w:val="0AAA44D8"/>
    <w:rsid w:val="0AAC78F4"/>
    <w:rsid w:val="0AB5060E"/>
    <w:rsid w:val="0AC63129"/>
    <w:rsid w:val="0AD0339C"/>
    <w:rsid w:val="0AD7590D"/>
    <w:rsid w:val="0ADA1283"/>
    <w:rsid w:val="0AE04FBF"/>
    <w:rsid w:val="0AE147AE"/>
    <w:rsid w:val="0AE4173B"/>
    <w:rsid w:val="0AE41BA8"/>
    <w:rsid w:val="0AEC344C"/>
    <w:rsid w:val="0B006B17"/>
    <w:rsid w:val="0B043FF8"/>
    <w:rsid w:val="0B0E0664"/>
    <w:rsid w:val="0B0F299D"/>
    <w:rsid w:val="0B2D6466"/>
    <w:rsid w:val="0B387E5F"/>
    <w:rsid w:val="0B397676"/>
    <w:rsid w:val="0B40739E"/>
    <w:rsid w:val="0B460A68"/>
    <w:rsid w:val="0B482EAB"/>
    <w:rsid w:val="0B4B7B71"/>
    <w:rsid w:val="0B561090"/>
    <w:rsid w:val="0B5A084B"/>
    <w:rsid w:val="0B5F3925"/>
    <w:rsid w:val="0B64718D"/>
    <w:rsid w:val="0B667E81"/>
    <w:rsid w:val="0B721DFD"/>
    <w:rsid w:val="0B73741B"/>
    <w:rsid w:val="0B7476CC"/>
    <w:rsid w:val="0B7D4C0D"/>
    <w:rsid w:val="0B84338B"/>
    <w:rsid w:val="0B851AE6"/>
    <w:rsid w:val="0B971310"/>
    <w:rsid w:val="0B996E37"/>
    <w:rsid w:val="0BAB2C6B"/>
    <w:rsid w:val="0BB01070"/>
    <w:rsid w:val="0BB11ECA"/>
    <w:rsid w:val="0BBB2B6B"/>
    <w:rsid w:val="0BC76569"/>
    <w:rsid w:val="0BD6109F"/>
    <w:rsid w:val="0BED7182"/>
    <w:rsid w:val="0BF24799"/>
    <w:rsid w:val="0BFA003D"/>
    <w:rsid w:val="0C142961"/>
    <w:rsid w:val="0C1E0271"/>
    <w:rsid w:val="0C1E5797"/>
    <w:rsid w:val="0C2B15D0"/>
    <w:rsid w:val="0C2E444A"/>
    <w:rsid w:val="0C392E6B"/>
    <w:rsid w:val="0C5C7E64"/>
    <w:rsid w:val="0C646F22"/>
    <w:rsid w:val="0C684A5B"/>
    <w:rsid w:val="0C6A5728"/>
    <w:rsid w:val="0C6C00A7"/>
    <w:rsid w:val="0C733E10"/>
    <w:rsid w:val="0C752CF5"/>
    <w:rsid w:val="0C77474B"/>
    <w:rsid w:val="0C990DB5"/>
    <w:rsid w:val="0C9A3825"/>
    <w:rsid w:val="0C9D4705"/>
    <w:rsid w:val="0CA43CE5"/>
    <w:rsid w:val="0CAA7342"/>
    <w:rsid w:val="0CAE6912"/>
    <w:rsid w:val="0CAF4438"/>
    <w:rsid w:val="0CB16402"/>
    <w:rsid w:val="0CB97065"/>
    <w:rsid w:val="0CC25F19"/>
    <w:rsid w:val="0CC31C91"/>
    <w:rsid w:val="0CC53C5B"/>
    <w:rsid w:val="0CD01864"/>
    <w:rsid w:val="0CD36378"/>
    <w:rsid w:val="0CD520F0"/>
    <w:rsid w:val="0CDB522D"/>
    <w:rsid w:val="0CE42333"/>
    <w:rsid w:val="0CE560AB"/>
    <w:rsid w:val="0CF25247"/>
    <w:rsid w:val="0CF462EF"/>
    <w:rsid w:val="0CFA3905"/>
    <w:rsid w:val="0CFF587E"/>
    <w:rsid w:val="0D0C188A"/>
    <w:rsid w:val="0D115134"/>
    <w:rsid w:val="0D19439F"/>
    <w:rsid w:val="0D197199"/>
    <w:rsid w:val="0D1F524B"/>
    <w:rsid w:val="0D200E92"/>
    <w:rsid w:val="0D29243C"/>
    <w:rsid w:val="0D31309F"/>
    <w:rsid w:val="0D3A01A5"/>
    <w:rsid w:val="0D3A1F53"/>
    <w:rsid w:val="0D5509C8"/>
    <w:rsid w:val="0D646FD0"/>
    <w:rsid w:val="0D741A71"/>
    <w:rsid w:val="0D742730"/>
    <w:rsid w:val="0D755621"/>
    <w:rsid w:val="0D8038E0"/>
    <w:rsid w:val="0D883FB7"/>
    <w:rsid w:val="0D957835"/>
    <w:rsid w:val="0D993335"/>
    <w:rsid w:val="0DA1474E"/>
    <w:rsid w:val="0DB80411"/>
    <w:rsid w:val="0DC702B4"/>
    <w:rsid w:val="0DD164B1"/>
    <w:rsid w:val="0DD208C8"/>
    <w:rsid w:val="0DD664A8"/>
    <w:rsid w:val="0DDA1988"/>
    <w:rsid w:val="0DDB6EB4"/>
    <w:rsid w:val="0DDD3F20"/>
    <w:rsid w:val="0DDE0C5B"/>
    <w:rsid w:val="0DE105E0"/>
    <w:rsid w:val="0DE85E53"/>
    <w:rsid w:val="0DEA1BCB"/>
    <w:rsid w:val="0DED346A"/>
    <w:rsid w:val="0DEE649A"/>
    <w:rsid w:val="0DEF5BD8"/>
    <w:rsid w:val="0DF963A9"/>
    <w:rsid w:val="0DFA5954"/>
    <w:rsid w:val="0DFC07C5"/>
    <w:rsid w:val="0DFC36AD"/>
    <w:rsid w:val="0DFE11D3"/>
    <w:rsid w:val="0E056A05"/>
    <w:rsid w:val="0E1B6F89"/>
    <w:rsid w:val="0E1E1875"/>
    <w:rsid w:val="0E2622F8"/>
    <w:rsid w:val="0E2C2B37"/>
    <w:rsid w:val="0E3A76D7"/>
    <w:rsid w:val="0E461AE8"/>
    <w:rsid w:val="0E4B0190"/>
    <w:rsid w:val="0E555731"/>
    <w:rsid w:val="0E5700C1"/>
    <w:rsid w:val="0E6360AE"/>
    <w:rsid w:val="0E682AF0"/>
    <w:rsid w:val="0E6B438E"/>
    <w:rsid w:val="0E7B6CC7"/>
    <w:rsid w:val="0E975183"/>
    <w:rsid w:val="0EA87BA9"/>
    <w:rsid w:val="0EAB73B7"/>
    <w:rsid w:val="0EC06C77"/>
    <w:rsid w:val="0EC56195"/>
    <w:rsid w:val="0ECC307F"/>
    <w:rsid w:val="0ECF1A84"/>
    <w:rsid w:val="0ECF1BBF"/>
    <w:rsid w:val="0EDB32C2"/>
    <w:rsid w:val="0EDF6FFF"/>
    <w:rsid w:val="0EE24651"/>
    <w:rsid w:val="0EE934BB"/>
    <w:rsid w:val="0EF8535A"/>
    <w:rsid w:val="0F056591"/>
    <w:rsid w:val="0F1756DE"/>
    <w:rsid w:val="0F182B40"/>
    <w:rsid w:val="0F246858"/>
    <w:rsid w:val="0F3330FE"/>
    <w:rsid w:val="0F340C24"/>
    <w:rsid w:val="0F360E40"/>
    <w:rsid w:val="0F476BAA"/>
    <w:rsid w:val="0F5B3692"/>
    <w:rsid w:val="0F6611A1"/>
    <w:rsid w:val="0F683902"/>
    <w:rsid w:val="0F7202A9"/>
    <w:rsid w:val="0F7A3F46"/>
    <w:rsid w:val="0F873B4A"/>
    <w:rsid w:val="0F8A773F"/>
    <w:rsid w:val="0F957915"/>
    <w:rsid w:val="0FA26AF6"/>
    <w:rsid w:val="0FA44814"/>
    <w:rsid w:val="0FA65982"/>
    <w:rsid w:val="0FB002FE"/>
    <w:rsid w:val="0FBE77CA"/>
    <w:rsid w:val="0FBF2BE4"/>
    <w:rsid w:val="0FC14EC7"/>
    <w:rsid w:val="0FC30926"/>
    <w:rsid w:val="0FCD238F"/>
    <w:rsid w:val="0FD32213"/>
    <w:rsid w:val="0FD665BD"/>
    <w:rsid w:val="0FD947AA"/>
    <w:rsid w:val="0FDE750E"/>
    <w:rsid w:val="0FF00514"/>
    <w:rsid w:val="0FF40AC1"/>
    <w:rsid w:val="10044A9B"/>
    <w:rsid w:val="100B407B"/>
    <w:rsid w:val="10125409"/>
    <w:rsid w:val="10130B2C"/>
    <w:rsid w:val="101744CC"/>
    <w:rsid w:val="101918CB"/>
    <w:rsid w:val="10196798"/>
    <w:rsid w:val="101A42BE"/>
    <w:rsid w:val="101F063D"/>
    <w:rsid w:val="10246EEB"/>
    <w:rsid w:val="1033518C"/>
    <w:rsid w:val="103B1BF6"/>
    <w:rsid w:val="104322BF"/>
    <w:rsid w:val="10452AC2"/>
    <w:rsid w:val="104C66F9"/>
    <w:rsid w:val="104E486C"/>
    <w:rsid w:val="10651960"/>
    <w:rsid w:val="10675755"/>
    <w:rsid w:val="106D43EE"/>
    <w:rsid w:val="10725EA8"/>
    <w:rsid w:val="10832CF8"/>
    <w:rsid w:val="108D208B"/>
    <w:rsid w:val="10A057E3"/>
    <w:rsid w:val="10A63015"/>
    <w:rsid w:val="10A87B1C"/>
    <w:rsid w:val="10B14C22"/>
    <w:rsid w:val="10C304B2"/>
    <w:rsid w:val="10C97BB0"/>
    <w:rsid w:val="10ED61CF"/>
    <w:rsid w:val="10F350A1"/>
    <w:rsid w:val="10F867B5"/>
    <w:rsid w:val="11041F12"/>
    <w:rsid w:val="110E0877"/>
    <w:rsid w:val="111B6540"/>
    <w:rsid w:val="111F7DDE"/>
    <w:rsid w:val="113349F9"/>
    <w:rsid w:val="1134315E"/>
    <w:rsid w:val="114535BD"/>
    <w:rsid w:val="11567578"/>
    <w:rsid w:val="11712F94"/>
    <w:rsid w:val="117874EE"/>
    <w:rsid w:val="117973F2"/>
    <w:rsid w:val="118045F5"/>
    <w:rsid w:val="1182211B"/>
    <w:rsid w:val="11844488"/>
    <w:rsid w:val="118F2EA3"/>
    <w:rsid w:val="1191235E"/>
    <w:rsid w:val="11AD363C"/>
    <w:rsid w:val="11B438D4"/>
    <w:rsid w:val="11C42512"/>
    <w:rsid w:val="11C664AC"/>
    <w:rsid w:val="11CE451F"/>
    <w:rsid w:val="11CF5C40"/>
    <w:rsid w:val="11D17C89"/>
    <w:rsid w:val="11D24983"/>
    <w:rsid w:val="11E507BB"/>
    <w:rsid w:val="11E60D6E"/>
    <w:rsid w:val="11F1104F"/>
    <w:rsid w:val="11F34CE7"/>
    <w:rsid w:val="11F744EE"/>
    <w:rsid w:val="120668A8"/>
    <w:rsid w:val="120951C1"/>
    <w:rsid w:val="12183532"/>
    <w:rsid w:val="122961D3"/>
    <w:rsid w:val="122B3CDA"/>
    <w:rsid w:val="122B6A2F"/>
    <w:rsid w:val="123A016F"/>
    <w:rsid w:val="12413D84"/>
    <w:rsid w:val="12425DA3"/>
    <w:rsid w:val="124318AA"/>
    <w:rsid w:val="124473D0"/>
    <w:rsid w:val="124A70DD"/>
    <w:rsid w:val="124D7FD1"/>
    <w:rsid w:val="125406D3"/>
    <w:rsid w:val="12564F25"/>
    <w:rsid w:val="126164D5"/>
    <w:rsid w:val="126179CF"/>
    <w:rsid w:val="12704669"/>
    <w:rsid w:val="12746430"/>
    <w:rsid w:val="128A572B"/>
    <w:rsid w:val="12942106"/>
    <w:rsid w:val="12973749"/>
    <w:rsid w:val="129F0AAB"/>
    <w:rsid w:val="12A21CDF"/>
    <w:rsid w:val="12A51D70"/>
    <w:rsid w:val="12A7253B"/>
    <w:rsid w:val="12A90848"/>
    <w:rsid w:val="12AF0CEE"/>
    <w:rsid w:val="12B44556"/>
    <w:rsid w:val="12B46304"/>
    <w:rsid w:val="12B75844"/>
    <w:rsid w:val="12CE3384"/>
    <w:rsid w:val="12D47D70"/>
    <w:rsid w:val="12DB7D35"/>
    <w:rsid w:val="12E319F0"/>
    <w:rsid w:val="12E45CE5"/>
    <w:rsid w:val="12E6610F"/>
    <w:rsid w:val="12F947F6"/>
    <w:rsid w:val="12FC7CAB"/>
    <w:rsid w:val="1306003F"/>
    <w:rsid w:val="131814E4"/>
    <w:rsid w:val="131D2882"/>
    <w:rsid w:val="132F4B0D"/>
    <w:rsid w:val="13370CE3"/>
    <w:rsid w:val="133B47E7"/>
    <w:rsid w:val="133C2C8E"/>
    <w:rsid w:val="1343350F"/>
    <w:rsid w:val="134578A4"/>
    <w:rsid w:val="135075BB"/>
    <w:rsid w:val="13586E4A"/>
    <w:rsid w:val="135B2C24"/>
    <w:rsid w:val="13637D2A"/>
    <w:rsid w:val="13665051"/>
    <w:rsid w:val="13782D35"/>
    <w:rsid w:val="13830445"/>
    <w:rsid w:val="138A5483"/>
    <w:rsid w:val="139E0D62"/>
    <w:rsid w:val="13A04ADA"/>
    <w:rsid w:val="13A41DB9"/>
    <w:rsid w:val="13A50343"/>
    <w:rsid w:val="13A8055F"/>
    <w:rsid w:val="13A947E6"/>
    <w:rsid w:val="13B127AE"/>
    <w:rsid w:val="13B32A60"/>
    <w:rsid w:val="13DC21E9"/>
    <w:rsid w:val="13DD188A"/>
    <w:rsid w:val="13E636CA"/>
    <w:rsid w:val="13EE4B21"/>
    <w:rsid w:val="13F55502"/>
    <w:rsid w:val="13F56BD4"/>
    <w:rsid w:val="13FB5FCE"/>
    <w:rsid w:val="14013E3D"/>
    <w:rsid w:val="1403612A"/>
    <w:rsid w:val="14045069"/>
    <w:rsid w:val="141310A4"/>
    <w:rsid w:val="14213E6D"/>
    <w:rsid w:val="142859F2"/>
    <w:rsid w:val="14302302"/>
    <w:rsid w:val="14321BD6"/>
    <w:rsid w:val="1455586C"/>
    <w:rsid w:val="145A2EDB"/>
    <w:rsid w:val="146143A3"/>
    <w:rsid w:val="14665D24"/>
    <w:rsid w:val="14685425"/>
    <w:rsid w:val="147409B1"/>
    <w:rsid w:val="14863CD0"/>
    <w:rsid w:val="148D3668"/>
    <w:rsid w:val="149B4E68"/>
    <w:rsid w:val="149C7998"/>
    <w:rsid w:val="149D24D2"/>
    <w:rsid w:val="14D20FD1"/>
    <w:rsid w:val="14EB3016"/>
    <w:rsid w:val="150177FB"/>
    <w:rsid w:val="150D43F1"/>
    <w:rsid w:val="15101EBC"/>
    <w:rsid w:val="1516245E"/>
    <w:rsid w:val="151B1DC7"/>
    <w:rsid w:val="15214850"/>
    <w:rsid w:val="152F63E2"/>
    <w:rsid w:val="153876C0"/>
    <w:rsid w:val="153B4ABB"/>
    <w:rsid w:val="15455939"/>
    <w:rsid w:val="154F4A0A"/>
    <w:rsid w:val="15525150"/>
    <w:rsid w:val="155B33AF"/>
    <w:rsid w:val="155D7127"/>
    <w:rsid w:val="155E2E9F"/>
    <w:rsid w:val="15610299"/>
    <w:rsid w:val="156E30E2"/>
    <w:rsid w:val="156E3637"/>
    <w:rsid w:val="15791F29"/>
    <w:rsid w:val="157B6A9C"/>
    <w:rsid w:val="157E709D"/>
    <w:rsid w:val="15806971"/>
    <w:rsid w:val="158E72E0"/>
    <w:rsid w:val="159324ED"/>
    <w:rsid w:val="15995C85"/>
    <w:rsid w:val="15A20FDE"/>
    <w:rsid w:val="15A21D2D"/>
    <w:rsid w:val="15C22611"/>
    <w:rsid w:val="15C70A44"/>
    <w:rsid w:val="15D44723"/>
    <w:rsid w:val="15D53161"/>
    <w:rsid w:val="15DB4978"/>
    <w:rsid w:val="15E960C6"/>
    <w:rsid w:val="15FD7867"/>
    <w:rsid w:val="160457F4"/>
    <w:rsid w:val="16090798"/>
    <w:rsid w:val="160D6A7E"/>
    <w:rsid w:val="160E4620"/>
    <w:rsid w:val="1626576B"/>
    <w:rsid w:val="162B6996"/>
    <w:rsid w:val="162C7FB8"/>
    <w:rsid w:val="16300BF3"/>
    <w:rsid w:val="163C1C7F"/>
    <w:rsid w:val="164976AB"/>
    <w:rsid w:val="164D0F49"/>
    <w:rsid w:val="164F5113"/>
    <w:rsid w:val="165703C5"/>
    <w:rsid w:val="165E67CE"/>
    <w:rsid w:val="166221AA"/>
    <w:rsid w:val="16663DB9"/>
    <w:rsid w:val="16667696"/>
    <w:rsid w:val="16704C38"/>
    <w:rsid w:val="16747C94"/>
    <w:rsid w:val="167E55A7"/>
    <w:rsid w:val="16850115"/>
    <w:rsid w:val="168D7D9B"/>
    <w:rsid w:val="169052DA"/>
    <w:rsid w:val="16A843D2"/>
    <w:rsid w:val="16B014D8"/>
    <w:rsid w:val="16B07251"/>
    <w:rsid w:val="16B70AB9"/>
    <w:rsid w:val="16BB694C"/>
    <w:rsid w:val="16C531D6"/>
    <w:rsid w:val="16C84A74"/>
    <w:rsid w:val="16CB3B19"/>
    <w:rsid w:val="16DA0303"/>
    <w:rsid w:val="16DB6903"/>
    <w:rsid w:val="16E573D4"/>
    <w:rsid w:val="16E96798"/>
    <w:rsid w:val="16EA144D"/>
    <w:rsid w:val="16F94C2D"/>
    <w:rsid w:val="16FF6BC8"/>
    <w:rsid w:val="1700420E"/>
    <w:rsid w:val="170E3E60"/>
    <w:rsid w:val="17107A6F"/>
    <w:rsid w:val="17284B30"/>
    <w:rsid w:val="173018D4"/>
    <w:rsid w:val="173D75F4"/>
    <w:rsid w:val="17407CA5"/>
    <w:rsid w:val="174722BD"/>
    <w:rsid w:val="17475592"/>
    <w:rsid w:val="174979EB"/>
    <w:rsid w:val="175207E1"/>
    <w:rsid w:val="17526B24"/>
    <w:rsid w:val="176906DA"/>
    <w:rsid w:val="177D360F"/>
    <w:rsid w:val="1783099B"/>
    <w:rsid w:val="178D3846"/>
    <w:rsid w:val="17B96D57"/>
    <w:rsid w:val="17BC521D"/>
    <w:rsid w:val="17BF5E29"/>
    <w:rsid w:val="17C40390"/>
    <w:rsid w:val="17D336D0"/>
    <w:rsid w:val="17D529A7"/>
    <w:rsid w:val="17EA64CC"/>
    <w:rsid w:val="17F36543"/>
    <w:rsid w:val="17F6116D"/>
    <w:rsid w:val="18023FB5"/>
    <w:rsid w:val="18175F69"/>
    <w:rsid w:val="182201B4"/>
    <w:rsid w:val="183879D7"/>
    <w:rsid w:val="1839691D"/>
    <w:rsid w:val="183D3240"/>
    <w:rsid w:val="183F0D66"/>
    <w:rsid w:val="18482D61"/>
    <w:rsid w:val="184867AE"/>
    <w:rsid w:val="18491BE4"/>
    <w:rsid w:val="184C3483"/>
    <w:rsid w:val="18602A8A"/>
    <w:rsid w:val="18615A30"/>
    <w:rsid w:val="18636D79"/>
    <w:rsid w:val="18650227"/>
    <w:rsid w:val="1869476C"/>
    <w:rsid w:val="186B1B5B"/>
    <w:rsid w:val="187F70FF"/>
    <w:rsid w:val="18803922"/>
    <w:rsid w:val="188067E8"/>
    <w:rsid w:val="1881312C"/>
    <w:rsid w:val="18876000"/>
    <w:rsid w:val="188B535B"/>
    <w:rsid w:val="188D7D23"/>
    <w:rsid w:val="188E5849"/>
    <w:rsid w:val="18932754"/>
    <w:rsid w:val="18A1557C"/>
    <w:rsid w:val="18A75CFC"/>
    <w:rsid w:val="18AD0A0F"/>
    <w:rsid w:val="18AF6F04"/>
    <w:rsid w:val="18C75010"/>
    <w:rsid w:val="18D05E62"/>
    <w:rsid w:val="18DA283C"/>
    <w:rsid w:val="18DB660E"/>
    <w:rsid w:val="18ED431E"/>
    <w:rsid w:val="18F27B86"/>
    <w:rsid w:val="18FD7E22"/>
    <w:rsid w:val="190F7A28"/>
    <w:rsid w:val="19120228"/>
    <w:rsid w:val="1912647A"/>
    <w:rsid w:val="191904C5"/>
    <w:rsid w:val="192A63E1"/>
    <w:rsid w:val="192D0BBE"/>
    <w:rsid w:val="195025C6"/>
    <w:rsid w:val="19643CB5"/>
    <w:rsid w:val="196640D0"/>
    <w:rsid w:val="196B2ACF"/>
    <w:rsid w:val="196C71BF"/>
    <w:rsid w:val="197762DD"/>
    <w:rsid w:val="197902A7"/>
    <w:rsid w:val="198033E4"/>
    <w:rsid w:val="19810F0A"/>
    <w:rsid w:val="198F1879"/>
    <w:rsid w:val="199436A0"/>
    <w:rsid w:val="19A1335A"/>
    <w:rsid w:val="19AB6542"/>
    <w:rsid w:val="19BD0194"/>
    <w:rsid w:val="19D35A3A"/>
    <w:rsid w:val="19D40979"/>
    <w:rsid w:val="19D61256"/>
    <w:rsid w:val="19D674A8"/>
    <w:rsid w:val="19DD0836"/>
    <w:rsid w:val="19E241C1"/>
    <w:rsid w:val="19E27BFB"/>
    <w:rsid w:val="19E65789"/>
    <w:rsid w:val="19EE2A43"/>
    <w:rsid w:val="19F37AC0"/>
    <w:rsid w:val="19F90A68"/>
    <w:rsid w:val="19FC3D38"/>
    <w:rsid w:val="1A023DF9"/>
    <w:rsid w:val="1A0933D9"/>
    <w:rsid w:val="1A162D24"/>
    <w:rsid w:val="1A174BE2"/>
    <w:rsid w:val="1A19303F"/>
    <w:rsid w:val="1A2778AC"/>
    <w:rsid w:val="1A3266E5"/>
    <w:rsid w:val="1A457830"/>
    <w:rsid w:val="1A473F02"/>
    <w:rsid w:val="1A4C32C6"/>
    <w:rsid w:val="1A4E2B62"/>
    <w:rsid w:val="1A5F2FF9"/>
    <w:rsid w:val="1A6E76E0"/>
    <w:rsid w:val="1A7740EA"/>
    <w:rsid w:val="1A7D5B75"/>
    <w:rsid w:val="1A7F18ED"/>
    <w:rsid w:val="1A824F3A"/>
    <w:rsid w:val="1A963400"/>
    <w:rsid w:val="1A9D2F62"/>
    <w:rsid w:val="1AAA49AC"/>
    <w:rsid w:val="1AE84512"/>
    <w:rsid w:val="1AE87581"/>
    <w:rsid w:val="1AFF2903"/>
    <w:rsid w:val="1B135931"/>
    <w:rsid w:val="1B1805B2"/>
    <w:rsid w:val="1B1E5751"/>
    <w:rsid w:val="1B25202A"/>
    <w:rsid w:val="1B2A59D4"/>
    <w:rsid w:val="1B3741AC"/>
    <w:rsid w:val="1B401D7A"/>
    <w:rsid w:val="1B425BD7"/>
    <w:rsid w:val="1B462E07"/>
    <w:rsid w:val="1B4E4DE8"/>
    <w:rsid w:val="1B556F15"/>
    <w:rsid w:val="1B62397B"/>
    <w:rsid w:val="1B65257F"/>
    <w:rsid w:val="1B6D5BEA"/>
    <w:rsid w:val="1B7538EE"/>
    <w:rsid w:val="1B776A68"/>
    <w:rsid w:val="1BA333BA"/>
    <w:rsid w:val="1BA84E74"/>
    <w:rsid w:val="1BBA0D32"/>
    <w:rsid w:val="1BD47A17"/>
    <w:rsid w:val="1BDE1D8E"/>
    <w:rsid w:val="1BE3448B"/>
    <w:rsid w:val="1BF34341"/>
    <w:rsid w:val="1C0F0A4F"/>
    <w:rsid w:val="1C255AA5"/>
    <w:rsid w:val="1C333A07"/>
    <w:rsid w:val="1C3E5C55"/>
    <w:rsid w:val="1C3F7586"/>
    <w:rsid w:val="1C58705C"/>
    <w:rsid w:val="1C782A98"/>
    <w:rsid w:val="1C821221"/>
    <w:rsid w:val="1C850D11"/>
    <w:rsid w:val="1C874A89"/>
    <w:rsid w:val="1C8A3CC9"/>
    <w:rsid w:val="1C8B50F3"/>
    <w:rsid w:val="1C8C20A0"/>
    <w:rsid w:val="1C8C6B54"/>
    <w:rsid w:val="1C9172AC"/>
    <w:rsid w:val="1C940F54"/>
    <w:rsid w:val="1C981374"/>
    <w:rsid w:val="1C9A47BD"/>
    <w:rsid w:val="1CAA6909"/>
    <w:rsid w:val="1CBB2985"/>
    <w:rsid w:val="1CBC0BD7"/>
    <w:rsid w:val="1CBC49E7"/>
    <w:rsid w:val="1CBD04AB"/>
    <w:rsid w:val="1CBD34DD"/>
    <w:rsid w:val="1CBF36E0"/>
    <w:rsid w:val="1CC31397"/>
    <w:rsid w:val="1CC45CDD"/>
    <w:rsid w:val="1CCE4466"/>
    <w:rsid w:val="1CD35ABE"/>
    <w:rsid w:val="1CD50AFC"/>
    <w:rsid w:val="1CDD0B4D"/>
    <w:rsid w:val="1CF245F9"/>
    <w:rsid w:val="1CF55E97"/>
    <w:rsid w:val="1CF827B6"/>
    <w:rsid w:val="1D0D3A6E"/>
    <w:rsid w:val="1D102896"/>
    <w:rsid w:val="1D2A34AD"/>
    <w:rsid w:val="1D3616DE"/>
    <w:rsid w:val="1D382FD7"/>
    <w:rsid w:val="1D3A341D"/>
    <w:rsid w:val="1D4604A0"/>
    <w:rsid w:val="1D4C1905"/>
    <w:rsid w:val="1D594678"/>
    <w:rsid w:val="1D59519E"/>
    <w:rsid w:val="1D602818"/>
    <w:rsid w:val="1D615880"/>
    <w:rsid w:val="1D65063C"/>
    <w:rsid w:val="1D765700"/>
    <w:rsid w:val="1D7A639C"/>
    <w:rsid w:val="1D7D6213"/>
    <w:rsid w:val="1D807D15"/>
    <w:rsid w:val="1D8E3BF5"/>
    <w:rsid w:val="1D940A38"/>
    <w:rsid w:val="1DB251AA"/>
    <w:rsid w:val="1DB30D23"/>
    <w:rsid w:val="1DB414DB"/>
    <w:rsid w:val="1DBF2E37"/>
    <w:rsid w:val="1DC35F95"/>
    <w:rsid w:val="1DCC0440"/>
    <w:rsid w:val="1DD005F3"/>
    <w:rsid w:val="1DD12460"/>
    <w:rsid w:val="1DE1641B"/>
    <w:rsid w:val="1DE859FC"/>
    <w:rsid w:val="1DF32F8C"/>
    <w:rsid w:val="1E0D29FC"/>
    <w:rsid w:val="1E334EC9"/>
    <w:rsid w:val="1E4D0B27"/>
    <w:rsid w:val="1E54775C"/>
    <w:rsid w:val="1E5B152D"/>
    <w:rsid w:val="1E605592"/>
    <w:rsid w:val="1E687019"/>
    <w:rsid w:val="1E696B3C"/>
    <w:rsid w:val="1E6A3B55"/>
    <w:rsid w:val="1E71154D"/>
    <w:rsid w:val="1E754291"/>
    <w:rsid w:val="1E7558D1"/>
    <w:rsid w:val="1E7D6144"/>
    <w:rsid w:val="1E8F40C9"/>
    <w:rsid w:val="1E913EE8"/>
    <w:rsid w:val="1E9B67FD"/>
    <w:rsid w:val="1EB0458E"/>
    <w:rsid w:val="1EB53B30"/>
    <w:rsid w:val="1EC10726"/>
    <w:rsid w:val="1EC41FC5"/>
    <w:rsid w:val="1EDD6794"/>
    <w:rsid w:val="1EE52434"/>
    <w:rsid w:val="1EE52A42"/>
    <w:rsid w:val="1EE95587"/>
    <w:rsid w:val="1F0942B3"/>
    <w:rsid w:val="1F0960BD"/>
    <w:rsid w:val="1F0C4279"/>
    <w:rsid w:val="1F0F3C1E"/>
    <w:rsid w:val="1F1545CE"/>
    <w:rsid w:val="1F221709"/>
    <w:rsid w:val="1F242A63"/>
    <w:rsid w:val="1F35015D"/>
    <w:rsid w:val="1F3537A6"/>
    <w:rsid w:val="1F43738D"/>
    <w:rsid w:val="1F51312D"/>
    <w:rsid w:val="1F5B4119"/>
    <w:rsid w:val="1F5C044F"/>
    <w:rsid w:val="1F602B3B"/>
    <w:rsid w:val="1F616A4A"/>
    <w:rsid w:val="1F775289"/>
    <w:rsid w:val="1F7E03C6"/>
    <w:rsid w:val="1F843502"/>
    <w:rsid w:val="1F8751BA"/>
    <w:rsid w:val="1F9000F9"/>
    <w:rsid w:val="1F934DDE"/>
    <w:rsid w:val="1FA21DE0"/>
    <w:rsid w:val="1FAA11BB"/>
    <w:rsid w:val="1FB262C1"/>
    <w:rsid w:val="1FBE0C9C"/>
    <w:rsid w:val="1FC5594A"/>
    <w:rsid w:val="1FC5779C"/>
    <w:rsid w:val="1FD224BF"/>
    <w:rsid w:val="1FDF6D29"/>
    <w:rsid w:val="1FE86AA5"/>
    <w:rsid w:val="1FFC12EA"/>
    <w:rsid w:val="201204B5"/>
    <w:rsid w:val="201C7BDE"/>
    <w:rsid w:val="2022125E"/>
    <w:rsid w:val="20250841"/>
    <w:rsid w:val="20295BFF"/>
    <w:rsid w:val="204204F5"/>
    <w:rsid w:val="20453D48"/>
    <w:rsid w:val="20476D9D"/>
    <w:rsid w:val="204E3AFA"/>
    <w:rsid w:val="20515FF4"/>
    <w:rsid w:val="20582A63"/>
    <w:rsid w:val="20597EB3"/>
    <w:rsid w:val="208A4B48"/>
    <w:rsid w:val="208A63D5"/>
    <w:rsid w:val="208D377B"/>
    <w:rsid w:val="208F215E"/>
    <w:rsid w:val="20937EA1"/>
    <w:rsid w:val="209B0B03"/>
    <w:rsid w:val="20A268F0"/>
    <w:rsid w:val="20A43E5C"/>
    <w:rsid w:val="20B41BC5"/>
    <w:rsid w:val="20B45481"/>
    <w:rsid w:val="20BA367F"/>
    <w:rsid w:val="20BE2B36"/>
    <w:rsid w:val="20C66F34"/>
    <w:rsid w:val="20D40166"/>
    <w:rsid w:val="20D93EFA"/>
    <w:rsid w:val="20F052F3"/>
    <w:rsid w:val="21027314"/>
    <w:rsid w:val="21042B4C"/>
    <w:rsid w:val="210743EB"/>
    <w:rsid w:val="211803A6"/>
    <w:rsid w:val="21191CC6"/>
    <w:rsid w:val="2120368E"/>
    <w:rsid w:val="21260D15"/>
    <w:rsid w:val="212B5596"/>
    <w:rsid w:val="213827F6"/>
    <w:rsid w:val="213845A4"/>
    <w:rsid w:val="2152200F"/>
    <w:rsid w:val="216A16BA"/>
    <w:rsid w:val="216D06F2"/>
    <w:rsid w:val="216D47FE"/>
    <w:rsid w:val="2178448A"/>
    <w:rsid w:val="218625F5"/>
    <w:rsid w:val="218847E3"/>
    <w:rsid w:val="218872DA"/>
    <w:rsid w:val="218A3047"/>
    <w:rsid w:val="218C5659"/>
    <w:rsid w:val="21917E66"/>
    <w:rsid w:val="21A729A7"/>
    <w:rsid w:val="21AC2EBA"/>
    <w:rsid w:val="21B52099"/>
    <w:rsid w:val="21B67509"/>
    <w:rsid w:val="21D569EF"/>
    <w:rsid w:val="21DC18CD"/>
    <w:rsid w:val="21E00BD6"/>
    <w:rsid w:val="21E32762"/>
    <w:rsid w:val="21E94084"/>
    <w:rsid w:val="21F032CF"/>
    <w:rsid w:val="21F20677"/>
    <w:rsid w:val="220B18C2"/>
    <w:rsid w:val="220C594D"/>
    <w:rsid w:val="222521E6"/>
    <w:rsid w:val="222A213F"/>
    <w:rsid w:val="222F0AD7"/>
    <w:rsid w:val="22353CCB"/>
    <w:rsid w:val="224F0636"/>
    <w:rsid w:val="2250591D"/>
    <w:rsid w:val="225278E7"/>
    <w:rsid w:val="225673D8"/>
    <w:rsid w:val="22604F03"/>
    <w:rsid w:val="226F3FF6"/>
    <w:rsid w:val="22745AB0"/>
    <w:rsid w:val="228026A7"/>
    <w:rsid w:val="22854F87"/>
    <w:rsid w:val="228850B7"/>
    <w:rsid w:val="228928AA"/>
    <w:rsid w:val="22A136A4"/>
    <w:rsid w:val="22A2109D"/>
    <w:rsid w:val="22A46395"/>
    <w:rsid w:val="22AA3E2A"/>
    <w:rsid w:val="22AD02C3"/>
    <w:rsid w:val="22AD2D70"/>
    <w:rsid w:val="22AD4C06"/>
    <w:rsid w:val="22B10AB2"/>
    <w:rsid w:val="22BF54A3"/>
    <w:rsid w:val="22C629FC"/>
    <w:rsid w:val="22CD4172"/>
    <w:rsid w:val="22D622C7"/>
    <w:rsid w:val="22D629CA"/>
    <w:rsid w:val="22D7047E"/>
    <w:rsid w:val="22EC3898"/>
    <w:rsid w:val="23007343"/>
    <w:rsid w:val="23027505"/>
    <w:rsid w:val="230B683A"/>
    <w:rsid w:val="23130E25"/>
    <w:rsid w:val="2322550C"/>
    <w:rsid w:val="23360FB7"/>
    <w:rsid w:val="233C3B2A"/>
    <w:rsid w:val="23483118"/>
    <w:rsid w:val="23566FBD"/>
    <w:rsid w:val="2359387E"/>
    <w:rsid w:val="23612282"/>
    <w:rsid w:val="23677E76"/>
    <w:rsid w:val="23753F08"/>
    <w:rsid w:val="237A70F6"/>
    <w:rsid w:val="239006C7"/>
    <w:rsid w:val="239406FE"/>
    <w:rsid w:val="23A57662"/>
    <w:rsid w:val="23A93537"/>
    <w:rsid w:val="23C16AD3"/>
    <w:rsid w:val="23CB5346"/>
    <w:rsid w:val="23CC6936"/>
    <w:rsid w:val="23CD5478"/>
    <w:rsid w:val="23DE5C34"/>
    <w:rsid w:val="23E66539"/>
    <w:rsid w:val="23E91248"/>
    <w:rsid w:val="23EA7531"/>
    <w:rsid w:val="23EB1259"/>
    <w:rsid w:val="23F46EA8"/>
    <w:rsid w:val="23F52C20"/>
    <w:rsid w:val="240E783E"/>
    <w:rsid w:val="24125580"/>
    <w:rsid w:val="24262DDA"/>
    <w:rsid w:val="243472A5"/>
    <w:rsid w:val="24440291"/>
    <w:rsid w:val="244D480A"/>
    <w:rsid w:val="24561810"/>
    <w:rsid w:val="245A2A83"/>
    <w:rsid w:val="245E3385"/>
    <w:rsid w:val="246519F2"/>
    <w:rsid w:val="246D27B7"/>
    <w:rsid w:val="24701892"/>
    <w:rsid w:val="24910720"/>
    <w:rsid w:val="24922AD7"/>
    <w:rsid w:val="24AD2733"/>
    <w:rsid w:val="24BD6CC4"/>
    <w:rsid w:val="24BE4D5C"/>
    <w:rsid w:val="24C22B02"/>
    <w:rsid w:val="24C6321B"/>
    <w:rsid w:val="24C77539"/>
    <w:rsid w:val="24C968FF"/>
    <w:rsid w:val="24CC0DB6"/>
    <w:rsid w:val="24CC4C52"/>
    <w:rsid w:val="24CD76F9"/>
    <w:rsid w:val="24D4056B"/>
    <w:rsid w:val="24D467CB"/>
    <w:rsid w:val="24D92020"/>
    <w:rsid w:val="24DC1868"/>
    <w:rsid w:val="24DD11D5"/>
    <w:rsid w:val="24E214E5"/>
    <w:rsid w:val="24E74595"/>
    <w:rsid w:val="2502577D"/>
    <w:rsid w:val="250B4FC2"/>
    <w:rsid w:val="251C753A"/>
    <w:rsid w:val="251E5686"/>
    <w:rsid w:val="252A06A8"/>
    <w:rsid w:val="253A4D8F"/>
    <w:rsid w:val="25416C61"/>
    <w:rsid w:val="25465472"/>
    <w:rsid w:val="2549505A"/>
    <w:rsid w:val="25561959"/>
    <w:rsid w:val="257139A1"/>
    <w:rsid w:val="257629DE"/>
    <w:rsid w:val="258B4A59"/>
    <w:rsid w:val="258E50DA"/>
    <w:rsid w:val="25904372"/>
    <w:rsid w:val="25932412"/>
    <w:rsid w:val="25A14E0E"/>
    <w:rsid w:val="25A22934"/>
    <w:rsid w:val="25A92037"/>
    <w:rsid w:val="25AC4869"/>
    <w:rsid w:val="25AF7916"/>
    <w:rsid w:val="25B12B77"/>
    <w:rsid w:val="25B54415"/>
    <w:rsid w:val="25BB6185"/>
    <w:rsid w:val="25C40AFC"/>
    <w:rsid w:val="25C64874"/>
    <w:rsid w:val="25C805EC"/>
    <w:rsid w:val="25CB28DB"/>
    <w:rsid w:val="25D11374"/>
    <w:rsid w:val="25D246D4"/>
    <w:rsid w:val="25E35426"/>
    <w:rsid w:val="25E652E2"/>
    <w:rsid w:val="25F4209D"/>
    <w:rsid w:val="25FF3590"/>
    <w:rsid w:val="260357AC"/>
    <w:rsid w:val="26105AEF"/>
    <w:rsid w:val="2610789E"/>
    <w:rsid w:val="26235823"/>
    <w:rsid w:val="26246161"/>
    <w:rsid w:val="26252385"/>
    <w:rsid w:val="263D0A01"/>
    <w:rsid w:val="264973C7"/>
    <w:rsid w:val="26535483"/>
    <w:rsid w:val="265C2AE3"/>
    <w:rsid w:val="26794CD9"/>
    <w:rsid w:val="267F0C45"/>
    <w:rsid w:val="26887D7C"/>
    <w:rsid w:val="268E17FC"/>
    <w:rsid w:val="269C7383"/>
    <w:rsid w:val="26AC1C2D"/>
    <w:rsid w:val="26AC213A"/>
    <w:rsid w:val="26AF355A"/>
    <w:rsid w:val="26BE554B"/>
    <w:rsid w:val="26CF59AB"/>
    <w:rsid w:val="26D329F4"/>
    <w:rsid w:val="26D40F41"/>
    <w:rsid w:val="26DB7EAB"/>
    <w:rsid w:val="26E8614E"/>
    <w:rsid w:val="26EA6341"/>
    <w:rsid w:val="27001741"/>
    <w:rsid w:val="270311B0"/>
    <w:rsid w:val="270F3FF9"/>
    <w:rsid w:val="2714160F"/>
    <w:rsid w:val="271D04C4"/>
    <w:rsid w:val="27204934"/>
    <w:rsid w:val="272A498F"/>
    <w:rsid w:val="27321A96"/>
    <w:rsid w:val="27363334"/>
    <w:rsid w:val="274C2C9A"/>
    <w:rsid w:val="277F1439"/>
    <w:rsid w:val="27820665"/>
    <w:rsid w:val="279810BC"/>
    <w:rsid w:val="279B38AB"/>
    <w:rsid w:val="279C2D49"/>
    <w:rsid w:val="27A95FEA"/>
    <w:rsid w:val="27AC6324"/>
    <w:rsid w:val="27AF22E7"/>
    <w:rsid w:val="27C9064C"/>
    <w:rsid w:val="27CF123F"/>
    <w:rsid w:val="27D019DA"/>
    <w:rsid w:val="27E35835"/>
    <w:rsid w:val="27E83FCC"/>
    <w:rsid w:val="27F12988"/>
    <w:rsid w:val="28004179"/>
    <w:rsid w:val="28063286"/>
    <w:rsid w:val="28100562"/>
    <w:rsid w:val="28123DA1"/>
    <w:rsid w:val="28132417"/>
    <w:rsid w:val="28237D5C"/>
    <w:rsid w:val="282C4737"/>
    <w:rsid w:val="282D04C8"/>
    <w:rsid w:val="28334B09"/>
    <w:rsid w:val="28341F69"/>
    <w:rsid w:val="28342BC9"/>
    <w:rsid w:val="283D593F"/>
    <w:rsid w:val="283D6944"/>
    <w:rsid w:val="28426737"/>
    <w:rsid w:val="285A367B"/>
    <w:rsid w:val="28702875"/>
    <w:rsid w:val="287C56BE"/>
    <w:rsid w:val="2884619D"/>
    <w:rsid w:val="28856053"/>
    <w:rsid w:val="288A3814"/>
    <w:rsid w:val="289357A5"/>
    <w:rsid w:val="289C366A"/>
    <w:rsid w:val="28B616CA"/>
    <w:rsid w:val="28C370BC"/>
    <w:rsid w:val="28CB21A2"/>
    <w:rsid w:val="28CF31F3"/>
    <w:rsid w:val="28EC2844"/>
    <w:rsid w:val="28EF5261"/>
    <w:rsid w:val="28F01837"/>
    <w:rsid w:val="28F24ED1"/>
    <w:rsid w:val="28F341AD"/>
    <w:rsid w:val="28FA7D08"/>
    <w:rsid w:val="29000280"/>
    <w:rsid w:val="29080516"/>
    <w:rsid w:val="290A3CD5"/>
    <w:rsid w:val="291E69B1"/>
    <w:rsid w:val="29241437"/>
    <w:rsid w:val="2927562A"/>
    <w:rsid w:val="293F1838"/>
    <w:rsid w:val="294039D2"/>
    <w:rsid w:val="2940493E"/>
    <w:rsid w:val="294E705B"/>
    <w:rsid w:val="29542197"/>
    <w:rsid w:val="29567CBD"/>
    <w:rsid w:val="295C6C72"/>
    <w:rsid w:val="29655320"/>
    <w:rsid w:val="29670025"/>
    <w:rsid w:val="296E789C"/>
    <w:rsid w:val="2977326A"/>
    <w:rsid w:val="297A76C4"/>
    <w:rsid w:val="2989519F"/>
    <w:rsid w:val="2996455E"/>
    <w:rsid w:val="29A15975"/>
    <w:rsid w:val="29A922F1"/>
    <w:rsid w:val="29BA010B"/>
    <w:rsid w:val="29BB5D72"/>
    <w:rsid w:val="29C76E0D"/>
    <w:rsid w:val="29C968BF"/>
    <w:rsid w:val="29CA4207"/>
    <w:rsid w:val="29D64538"/>
    <w:rsid w:val="29E40B13"/>
    <w:rsid w:val="29E55DC8"/>
    <w:rsid w:val="29F14AF4"/>
    <w:rsid w:val="29F770DD"/>
    <w:rsid w:val="29FB1396"/>
    <w:rsid w:val="29FC6AB7"/>
    <w:rsid w:val="2A045C55"/>
    <w:rsid w:val="2A141EEF"/>
    <w:rsid w:val="2A190AA4"/>
    <w:rsid w:val="2A1E2567"/>
    <w:rsid w:val="2A282DB1"/>
    <w:rsid w:val="2A2B40D9"/>
    <w:rsid w:val="2A375D41"/>
    <w:rsid w:val="2A3A313B"/>
    <w:rsid w:val="2A457487"/>
    <w:rsid w:val="2A4B5348"/>
    <w:rsid w:val="2A64606A"/>
    <w:rsid w:val="2A6D401C"/>
    <w:rsid w:val="2A7538D0"/>
    <w:rsid w:val="2A87476C"/>
    <w:rsid w:val="2A914EE7"/>
    <w:rsid w:val="2A96180B"/>
    <w:rsid w:val="2AAF3B29"/>
    <w:rsid w:val="2AB00660"/>
    <w:rsid w:val="2ABE3801"/>
    <w:rsid w:val="2AC85EFF"/>
    <w:rsid w:val="2AD96DF8"/>
    <w:rsid w:val="2ADA2CD5"/>
    <w:rsid w:val="2ADF3CE2"/>
    <w:rsid w:val="2AF12DEA"/>
    <w:rsid w:val="2AF8771E"/>
    <w:rsid w:val="2B0175C8"/>
    <w:rsid w:val="2B027BD8"/>
    <w:rsid w:val="2B0C0F7B"/>
    <w:rsid w:val="2B0F45C8"/>
    <w:rsid w:val="2B114BA4"/>
    <w:rsid w:val="2B12230A"/>
    <w:rsid w:val="2B2251B9"/>
    <w:rsid w:val="2B243C3F"/>
    <w:rsid w:val="2B2E419E"/>
    <w:rsid w:val="2B396C5B"/>
    <w:rsid w:val="2B3A5713"/>
    <w:rsid w:val="2B3B6C3E"/>
    <w:rsid w:val="2B5029F7"/>
    <w:rsid w:val="2B5215A8"/>
    <w:rsid w:val="2B5953D5"/>
    <w:rsid w:val="2B595843"/>
    <w:rsid w:val="2B5D1EB0"/>
    <w:rsid w:val="2B613648"/>
    <w:rsid w:val="2B620B9B"/>
    <w:rsid w:val="2B6A7A50"/>
    <w:rsid w:val="2B896C48"/>
    <w:rsid w:val="2B8C3E6A"/>
    <w:rsid w:val="2B97311C"/>
    <w:rsid w:val="2B9952AB"/>
    <w:rsid w:val="2B9B40AD"/>
    <w:rsid w:val="2B9C2452"/>
    <w:rsid w:val="2BA006EC"/>
    <w:rsid w:val="2BA21A80"/>
    <w:rsid w:val="2BA718D6"/>
    <w:rsid w:val="2BB12452"/>
    <w:rsid w:val="2BB14068"/>
    <w:rsid w:val="2BBD2276"/>
    <w:rsid w:val="2BC10346"/>
    <w:rsid w:val="2BC13F57"/>
    <w:rsid w:val="2BD96984"/>
    <w:rsid w:val="2BEF5160"/>
    <w:rsid w:val="2C056896"/>
    <w:rsid w:val="2C4934E1"/>
    <w:rsid w:val="2C4B71C7"/>
    <w:rsid w:val="2C5C366B"/>
    <w:rsid w:val="2C6426F1"/>
    <w:rsid w:val="2C671545"/>
    <w:rsid w:val="2C723BD5"/>
    <w:rsid w:val="2C78134A"/>
    <w:rsid w:val="2C7C109E"/>
    <w:rsid w:val="2C8044FE"/>
    <w:rsid w:val="2C8C3B52"/>
    <w:rsid w:val="2C8E776E"/>
    <w:rsid w:val="2C956D4E"/>
    <w:rsid w:val="2C9840B4"/>
    <w:rsid w:val="2CA72D41"/>
    <w:rsid w:val="2CB35427"/>
    <w:rsid w:val="2CB43679"/>
    <w:rsid w:val="2CB46496"/>
    <w:rsid w:val="2CB9668D"/>
    <w:rsid w:val="2CBA4A07"/>
    <w:rsid w:val="2CC15482"/>
    <w:rsid w:val="2CC96292"/>
    <w:rsid w:val="2CD1317B"/>
    <w:rsid w:val="2CD848D8"/>
    <w:rsid w:val="2CE90E48"/>
    <w:rsid w:val="2CEB696E"/>
    <w:rsid w:val="2CED0939"/>
    <w:rsid w:val="2CF3064F"/>
    <w:rsid w:val="2D1074CC"/>
    <w:rsid w:val="2D147D79"/>
    <w:rsid w:val="2D183F3B"/>
    <w:rsid w:val="2D1D47A5"/>
    <w:rsid w:val="2D3376D8"/>
    <w:rsid w:val="2D3C773F"/>
    <w:rsid w:val="2D417641"/>
    <w:rsid w:val="2D486857"/>
    <w:rsid w:val="2D55028C"/>
    <w:rsid w:val="2D57771E"/>
    <w:rsid w:val="2D594220"/>
    <w:rsid w:val="2D5C786C"/>
    <w:rsid w:val="2D6173D3"/>
    <w:rsid w:val="2D6E52E4"/>
    <w:rsid w:val="2D9D50A1"/>
    <w:rsid w:val="2DAC4350"/>
    <w:rsid w:val="2DB56D45"/>
    <w:rsid w:val="2DB933F0"/>
    <w:rsid w:val="2DC25921"/>
    <w:rsid w:val="2DC662C7"/>
    <w:rsid w:val="2DCD054A"/>
    <w:rsid w:val="2DCD48CC"/>
    <w:rsid w:val="2DDC528E"/>
    <w:rsid w:val="2DE105B7"/>
    <w:rsid w:val="2DEC5BA7"/>
    <w:rsid w:val="2E165C6D"/>
    <w:rsid w:val="2E184226"/>
    <w:rsid w:val="2E1F51D1"/>
    <w:rsid w:val="2E2465DC"/>
    <w:rsid w:val="2E3440DF"/>
    <w:rsid w:val="2E3B51C6"/>
    <w:rsid w:val="2E3D1B0D"/>
    <w:rsid w:val="2E3D58F0"/>
    <w:rsid w:val="2E5D564A"/>
    <w:rsid w:val="2E66596B"/>
    <w:rsid w:val="2E694025"/>
    <w:rsid w:val="2E725599"/>
    <w:rsid w:val="2E764C99"/>
    <w:rsid w:val="2E8B0409"/>
    <w:rsid w:val="2E8E2F84"/>
    <w:rsid w:val="2E94741A"/>
    <w:rsid w:val="2E975000"/>
    <w:rsid w:val="2E980D78"/>
    <w:rsid w:val="2EC55694"/>
    <w:rsid w:val="2EC76F67"/>
    <w:rsid w:val="2EC90F31"/>
    <w:rsid w:val="2ED26038"/>
    <w:rsid w:val="2ED55B28"/>
    <w:rsid w:val="2EDA199F"/>
    <w:rsid w:val="2EDE3AB9"/>
    <w:rsid w:val="2EE541E3"/>
    <w:rsid w:val="2EE82738"/>
    <w:rsid w:val="2EF20488"/>
    <w:rsid w:val="2EF6443C"/>
    <w:rsid w:val="2EF865E7"/>
    <w:rsid w:val="2EFA48E6"/>
    <w:rsid w:val="2F0245FB"/>
    <w:rsid w:val="2F062DC8"/>
    <w:rsid w:val="2F0C1427"/>
    <w:rsid w:val="2F1C3757"/>
    <w:rsid w:val="2F1D70ED"/>
    <w:rsid w:val="2F210D6D"/>
    <w:rsid w:val="2F3F6EC9"/>
    <w:rsid w:val="2F460C75"/>
    <w:rsid w:val="2F4B7B98"/>
    <w:rsid w:val="2F6166D8"/>
    <w:rsid w:val="2F6F3887"/>
    <w:rsid w:val="2F7215C9"/>
    <w:rsid w:val="2F794B22"/>
    <w:rsid w:val="2F7A2842"/>
    <w:rsid w:val="2F7D1AFE"/>
    <w:rsid w:val="2F8A6913"/>
    <w:rsid w:val="2F990904"/>
    <w:rsid w:val="2F994DA8"/>
    <w:rsid w:val="2FA17D86"/>
    <w:rsid w:val="2FC531BC"/>
    <w:rsid w:val="2FC7536F"/>
    <w:rsid w:val="2FCB323B"/>
    <w:rsid w:val="2FCC3367"/>
    <w:rsid w:val="2FCD67FF"/>
    <w:rsid w:val="2FD22068"/>
    <w:rsid w:val="2FF95846"/>
    <w:rsid w:val="301D6290"/>
    <w:rsid w:val="30226B4B"/>
    <w:rsid w:val="30240B15"/>
    <w:rsid w:val="30316D8E"/>
    <w:rsid w:val="30330D58"/>
    <w:rsid w:val="303F76FD"/>
    <w:rsid w:val="30466D45"/>
    <w:rsid w:val="30542A7D"/>
    <w:rsid w:val="30585BF6"/>
    <w:rsid w:val="305D7B83"/>
    <w:rsid w:val="30696528"/>
    <w:rsid w:val="306A63AC"/>
    <w:rsid w:val="30744ECD"/>
    <w:rsid w:val="307B7C0B"/>
    <w:rsid w:val="307E06D4"/>
    <w:rsid w:val="30AA49AD"/>
    <w:rsid w:val="30AF4D9B"/>
    <w:rsid w:val="30B57CC4"/>
    <w:rsid w:val="30B604B5"/>
    <w:rsid w:val="30C164BB"/>
    <w:rsid w:val="30C5120B"/>
    <w:rsid w:val="30D009FB"/>
    <w:rsid w:val="30D05BE1"/>
    <w:rsid w:val="30D46A2B"/>
    <w:rsid w:val="30E3277E"/>
    <w:rsid w:val="30ED53AB"/>
    <w:rsid w:val="30EF6ABD"/>
    <w:rsid w:val="30F3703E"/>
    <w:rsid w:val="310A0554"/>
    <w:rsid w:val="310B518B"/>
    <w:rsid w:val="310B6F5E"/>
    <w:rsid w:val="310C524F"/>
    <w:rsid w:val="31197BCE"/>
    <w:rsid w:val="31327BBC"/>
    <w:rsid w:val="313C1E8F"/>
    <w:rsid w:val="313F09DB"/>
    <w:rsid w:val="314A1D01"/>
    <w:rsid w:val="31531F49"/>
    <w:rsid w:val="316F4012"/>
    <w:rsid w:val="317701A2"/>
    <w:rsid w:val="318C7F18"/>
    <w:rsid w:val="3193190E"/>
    <w:rsid w:val="3196590E"/>
    <w:rsid w:val="319677F1"/>
    <w:rsid w:val="319959BA"/>
    <w:rsid w:val="319C0B7F"/>
    <w:rsid w:val="31A1229A"/>
    <w:rsid w:val="31AB40A0"/>
    <w:rsid w:val="31B03840"/>
    <w:rsid w:val="31BB1005"/>
    <w:rsid w:val="31C3610C"/>
    <w:rsid w:val="31C6519A"/>
    <w:rsid w:val="31CA1248"/>
    <w:rsid w:val="31EA2753"/>
    <w:rsid w:val="31F36419"/>
    <w:rsid w:val="31F369F1"/>
    <w:rsid w:val="31F661EA"/>
    <w:rsid w:val="320504D2"/>
    <w:rsid w:val="32086C90"/>
    <w:rsid w:val="32096434"/>
    <w:rsid w:val="32230959"/>
    <w:rsid w:val="32380BAE"/>
    <w:rsid w:val="326071AE"/>
    <w:rsid w:val="326276D3"/>
    <w:rsid w:val="3268508C"/>
    <w:rsid w:val="32750DD6"/>
    <w:rsid w:val="32843928"/>
    <w:rsid w:val="32847649"/>
    <w:rsid w:val="32892EB1"/>
    <w:rsid w:val="328C29A2"/>
    <w:rsid w:val="328F3A80"/>
    <w:rsid w:val="32A060A9"/>
    <w:rsid w:val="32A25D21"/>
    <w:rsid w:val="32A73338"/>
    <w:rsid w:val="32AD19F6"/>
    <w:rsid w:val="32B02D54"/>
    <w:rsid w:val="32BF4B25"/>
    <w:rsid w:val="32C1089D"/>
    <w:rsid w:val="32CD0517"/>
    <w:rsid w:val="32CD4003"/>
    <w:rsid w:val="32D44088"/>
    <w:rsid w:val="32D63C1D"/>
    <w:rsid w:val="32D81743"/>
    <w:rsid w:val="32DD6DE5"/>
    <w:rsid w:val="32DE2C7F"/>
    <w:rsid w:val="32DF2AD1"/>
    <w:rsid w:val="32E26351"/>
    <w:rsid w:val="32EB591A"/>
    <w:rsid w:val="32EF1395"/>
    <w:rsid w:val="33114C55"/>
    <w:rsid w:val="33146D34"/>
    <w:rsid w:val="332D4643"/>
    <w:rsid w:val="333450F4"/>
    <w:rsid w:val="333948D8"/>
    <w:rsid w:val="333B38C4"/>
    <w:rsid w:val="334A7AF9"/>
    <w:rsid w:val="334B460B"/>
    <w:rsid w:val="334B63B9"/>
    <w:rsid w:val="335334BF"/>
    <w:rsid w:val="335E433E"/>
    <w:rsid w:val="33722D11"/>
    <w:rsid w:val="33745910"/>
    <w:rsid w:val="33780B7D"/>
    <w:rsid w:val="337C76E9"/>
    <w:rsid w:val="33900270"/>
    <w:rsid w:val="33927FA5"/>
    <w:rsid w:val="33A23C03"/>
    <w:rsid w:val="33A978E7"/>
    <w:rsid w:val="33AA0994"/>
    <w:rsid w:val="33B201E6"/>
    <w:rsid w:val="33B51A84"/>
    <w:rsid w:val="33BB353F"/>
    <w:rsid w:val="33BB77BD"/>
    <w:rsid w:val="33D91C17"/>
    <w:rsid w:val="33DC1707"/>
    <w:rsid w:val="33DF4544"/>
    <w:rsid w:val="33F1366C"/>
    <w:rsid w:val="33F97BC3"/>
    <w:rsid w:val="33FC6915"/>
    <w:rsid w:val="34013C3D"/>
    <w:rsid w:val="341A2462"/>
    <w:rsid w:val="341D5FA7"/>
    <w:rsid w:val="342A402B"/>
    <w:rsid w:val="342C78BE"/>
    <w:rsid w:val="34316F99"/>
    <w:rsid w:val="344057F2"/>
    <w:rsid w:val="34425A0E"/>
    <w:rsid w:val="344E1E9C"/>
    <w:rsid w:val="34532913"/>
    <w:rsid w:val="34560914"/>
    <w:rsid w:val="345C31CC"/>
    <w:rsid w:val="34777446"/>
    <w:rsid w:val="347E7C30"/>
    <w:rsid w:val="348144F0"/>
    <w:rsid w:val="348953EB"/>
    <w:rsid w:val="348D3C27"/>
    <w:rsid w:val="348E2A01"/>
    <w:rsid w:val="349439BA"/>
    <w:rsid w:val="34A16844"/>
    <w:rsid w:val="34A2025B"/>
    <w:rsid w:val="34B17E94"/>
    <w:rsid w:val="34B34216"/>
    <w:rsid w:val="34C3033B"/>
    <w:rsid w:val="34CC3529"/>
    <w:rsid w:val="34DA2504"/>
    <w:rsid w:val="34DC2B4A"/>
    <w:rsid w:val="34E1239D"/>
    <w:rsid w:val="34F30AB6"/>
    <w:rsid w:val="34FD36E3"/>
    <w:rsid w:val="350A7F97"/>
    <w:rsid w:val="350C1B78"/>
    <w:rsid w:val="3511718E"/>
    <w:rsid w:val="351D0610"/>
    <w:rsid w:val="35234E2B"/>
    <w:rsid w:val="35364743"/>
    <w:rsid w:val="354E03E2"/>
    <w:rsid w:val="3566572C"/>
    <w:rsid w:val="35671771"/>
    <w:rsid w:val="35735BFE"/>
    <w:rsid w:val="357D24BC"/>
    <w:rsid w:val="35832C49"/>
    <w:rsid w:val="358838F4"/>
    <w:rsid w:val="358B5193"/>
    <w:rsid w:val="35A428FB"/>
    <w:rsid w:val="35AF4BCA"/>
    <w:rsid w:val="35B31528"/>
    <w:rsid w:val="35BF6BEA"/>
    <w:rsid w:val="35C05896"/>
    <w:rsid w:val="35C97A69"/>
    <w:rsid w:val="35CE6467"/>
    <w:rsid w:val="35D74A1E"/>
    <w:rsid w:val="35DA1C76"/>
    <w:rsid w:val="35F03248"/>
    <w:rsid w:val="36062A6B"/>
    <w:rsid w:val="36146F36"/>
    <w:rsid w:val="36162CAE"/>
    <w:rsid w:val="362A5559"/>
    <w:rsid w:val="362C089A"/>
    <w:rsid w:val="362F1FC2"/>
    <w:rsid w:val="36356EAC"/>
    <w:rsid w:val="36394BEF"/>
    <w:rsid w:val="3639699D"/>
    <w:rsid w:val="36511F38"/>
    <w:rsid w:val="365979C0"/>
    <w:rsid w:val="366D4898"/>
    <w:rsid w:val="36783969"/>
    <w:rsid w:val="367E5B21"/>
    <w:rsid w:val="36873BAC"/>
    <w:rsid w:val="368A71F8"/>
    <w:rsid w:val="36A42101"/>
    <w:rsid w:val="36A93B22"/>
    <w:rsid w:val="36AA1648"/>
    <w:rsid w:val="36AE720F"/>
    <w:rsid w:val="36BD195D"/>
    <w:rsid w:val="36C50171"/>
    <w:rsid w:val="36C56376"/>
    <w:rsid w:val="36DF0319"/>
    <w:rsid w:val="36EB6901"/>
    <w:rsid w:val="36FD79CA"/>
    <w:rsid w:val="371177BA"/>
    <w:rsid w:val="3721531B"/>
    <w:rsid w:val="3721591F"/>
    <w:rsid w:val="372F7F47"/>
    <w:rsid w:val="373158C6"/>
    <w:rsid w:val="373553B6"/>
    <w:rsid w:val="37384221"/>
    <w:rsid w:val="37386C54"/>
    <w:rsid w:val="374101FF"/>
    <w:rsid w:val="37465815"/>
    <w:rsid w:val="37466EB1"/>
    <w:rsid w:val="37476E97"/>
    <w:rsid w:val="374C4F01"/>
    <w:rsid w:val="375C6DE7"/>
    <w:rsid w:val="375F0685"/>
    <w:rsid w:val="37623CD1"/>
    <w:rsid w:val="37637E81"/>
    <w:rsid w:val="3768578B"/>
    <w:rsid w:val="37691503"/>
    <w:rsid w:val="376E1C50"/>
    <w:rsid w:val="377243F9"/>
    <w:rsid w:val="37751C56"/>
    <w:rsid w:val="37767A90"/>
    <w:rsid w:val="3778356C"/>
    <w:rsid w:val="377C7CB3"/>
    <w:rsid w:val="37865C12"/>
    <w:rsid w:val="37945CB7"/>
    <w:rsid w:val="37962D89"/>
    <w:rsid w:val="37A14A27"/>
    <w:rsid w:val="37A565BA"/>
    <w:rsid w:val="37B147FE"/>
    <w:rsid w:val="37B704C1"/>
    <w:rsid w:val="37BA43A1"/>
    <w:rsid w:val="37BB3CBF"/>
    <w:rsid w:val="37C555CA"/>
    <w:rsid w:val="37CB7AC8"/>
    <w:rsid w:val="37D44BCF"/>
    <w:rsid w:val="37EA5A2E"/>
    <w:rsid w:val="37FC4126"/>
    <w:rsid w:val="3800556D"/>
    <w:rsid w:val="3801798E"/>
    <w:rsid w:val="38305B7D"/>
    <w:rsid w:val="383250E7"/>
    <w:rsid w:val="38482EC7"/>
    <w:rsid w:val="38602906"/>
    <w:rsid w:val="38684865"/>
    <w:rsid w:val="38690043"/>
    <w:rsid w:val="386A72E1"/>
    <w:rsid w:val="386F33DE"/>
    <w:rsid w:val="387E56CB"/>
    <w:rsid w:val="38926838"/>
    <w:rsid w:val="38A72689"/>
    <w:rsid w:val="38C93326"/>
    <w:rsid w:val="38CC0810"/>
    <w:rsid w:val="38CD3EB4"/>
    <w:rsid w:val="38D1259E"/>
    <w:rsid w:val="38E01351"/>
    <w:rsid w:val="38F27A29"/>
    <w:rsid w:val="390607A4"/>
    <w:rsid w:val="390E5946"/>
    <w:rsid w:val="391478AF"/>
    <w:rsid w:val="39283E9C"/>
    <w:rsid w:val="392C3443"/>
    <w:rsid w:val="39307BB7"/>
    <w:rsid w:val="39322AC2"/>
    <w:rsid w:val="39395293"/>
    <w:rsid w:val="393B2A2C"/>
    <w:rsid w:val="39423DBA"/>
    <w:rsid w:val="395E172B"/>
    <w:rsid w:val="395E6A65"/>
    <w:rsid w:val="397321C6"/>
    <w:rsid w:val="39736669"/>
    <w:rsid w:val="39783C80"/>
    <w:rsid w:val="39810D86"/>
    <w:rsid w:val="399C796E"/>
    <w:rsid w:val="39A42A1E"/>
    <w:rsid w:val="39A95F2D"/>
    <w:rsid w:val="39AB2FFD"/>
    <w:rsid w:val="39AB7112"/>
    <w:rsid w:val="39AE6F4B"/>
    <w:rsid w:val="39CB4271"/>
    <w:rsid w:val="39D445BF"/>
    <w:rsid w:val="39D63BC2"/>
    <w:rsid w:val="39D93FBE"/>
    <w:rsid w:val="39E03BCC"/>
    <w:rsid w:val="39F01A68"/>
    <w:rsid w:val="39F96B6F"/>
    <w:rsid w:val="3A045513"/>
    <w:rsid w:val="3A071B65"/>
    <w:rsid w:val="3A073E00"/>
    <w:rsid w:val="3A1922C0"/>
    <w:rsid w:val="3A1F234D"/>
    <w:rsid w:val="3A2E4DC8"/>
    <w:rsid w:val="3A386EB0"/>
    <w:rsid w:val="3A405B16"/>
    <w:rsid w:val="3A48135C"/>
    <w:rsid w:val="3A704957"/>
    <w:rsid w:val="3A8242BD"/>
    <w:rsid w:val="3A8C79E3"/>
    <w:rsid w:val="3AA97735"/>
    <w:rsid w:val="3AB26D1E"/>
    <w:rsid w:val="3ABF721B"/>
    <w:rsid w:val="3AD66EB0"/>
    <w:rsid w:val="3ADE3FB6"/>
    <w:rsid w:val="3AE16AEE"/>
    <w:rsid w:val="3AE7148B"/>
    <w:rsid w:val="3AFD4A0A"/>
    <w:rsid w:val="3AFE01B5"/>
    <w:rsid w:val="3B0A1D66"/>
    <w:rsid w:val="3B1D430B"/>
    <w:rsid w:val="3B1F0465"/>
    <w:rsid w:val="3B3D33BB"/>
    <w:rsid w:val="3B3E51B9"/>
    <w:rsid w:val="3B412635"/>
    <w:rsid w:val="3B497BE3"/>
    <w:rsid w:val="3B587CED"/>
    <w:rsid w:val="3B7D31C1"/>
    <w:rsid w:val="3B8E1539"/>
    <w:rsid w:val="3B9017EB"/>
    <w:rsid w:val="3BA174BE"/>
    <w:rsid w:val="3BAB3438"/>
    <w:rsid w:val="3BAC19BF"/>
    <w:rsid w:val="3BB4439D"/>
    <w:rsid w:val="3BB536CB"/>
    <w:rsid w:val="3BC36E9D"/>
    <w:rsid w:val="3BD86C58"/>
    <w:rsid w:val="3BDB6E6E"/>
    <w:rsid w:val="3BE7032B"/>
    <w:rsid w:val="3BE759A6"/>
    <w:rsid w:val="3BEE0229"/>
    <w:rsid w:val="3BF50822"/>
    <w:rsid w:val="3BFD56A0"/>
    <w:rsid w:val="3C045F61"/>
    <w:rsid w:val="3C167BDD"/>
    <w:rsid w:val="3C1A2B8D"/>
    <w:rsid w:val="3C1E1CA2"/>
    <w:rsid w:val="3C211DCF"/>
    <w:rsid w:val="3C236125"/>
    <w:rsid w:val="3C241E9D"/>
    <w:rsid w:val="3C291261"/>
    <w:rsid w:val="3C557447"/>
    <w:rsid w:val="3C6373B8"/>
    <w:rsid w:val="3C6F136A"/>
    <w:rsid w:val="3C7659A0"/>
    <w:rsid w:val="3C830972"/>
    <w:rsid w:val="3C8D359E"/>
    <w:rsid w:val="3C926889"/>
    <w:rsid w:val="3C9506A5"/>
    <w:rsid w:val="3CA02CAD"/>
    <w:rsid w:val="3CA31014"/>
    <w:rsid w:val="3CA46AF1"/>
    <w:rsid w:val="3CA52FDE"/>
    <w:rsid w:val="3CA87FC1"/>
    <w:rsid w:val="3CB27B2D"/>
    <w:rsid w:val="3CBE0051"/>
    <w:rsid w:val="3CC35212"/>
    <w:rsid w:val="3CCA7E7E"/>
    <w:rsid w:val="3CD230C6"/>
    <w:rsid w:val="3CEB09D4"/>
    <w:rsid w:val="3CEC5F7B"/>
    <w:rsid w:val="3CF0423F"/>
    <w:rsid w:val="3CF4720D"/>
    <w:rsid w:val="3D05582A"/>
    <w:rsid w:val="3D073351"/>
    <w:rsid w:val="3D115F7D"/>
    <w:rsid w:val="3D197C5D"/>
    <w:rsid w:val="3D2832C7"/>
    <w:rsid w:val="3D321D80"/>
    <w:rsid w:val="3D347271"/>
    <w:rsid w:val="3D53179E"/>
    <w:rsid w:val="3D6327DD"/>
    <w:rsid w:val="3D803103"/>
    <w:rsid w:val="3D806841"/>
    <w:rsid w:val="3D842BF3"/>
    <w:rsid w:val="3D89020A"/>
    <w:rsid w:val="3D995500"/>
    <w:rsid w:val="3D9B4727"/>
    <w:rsid w:val="3D9F17DB"/>
    <w:rsid w:val="3DA838FF"/>
    <w:rsid w:val="3DB57251"/>
    <w:rsid w:val="3DB83FC5"/>
    <w:rsid w:val="3DC46238"/>
    <w:rsid w:val="3DC65D7B"/>
    <w:rsid w:val="3DCB25D0"/>
    <w:rsid w:val="3DD31485"/>
    <w:rsid w:val="3DD42C95"/>
    <w:rsid w:val="3DEB0EC4"/>
    <w:rsid w:val="3DFB62D0"/>
    <w:rsid w:val="3E023DB1"/>
    <w:rsid w:val="3E0D0E3B"/>
    <w:rsid w:val="3E104AC7"/>
    <w:rsid w:val="3E233163"/>
    <w:rsid w:val="3E344619"/>
    <w:rsid w:val="3E497595"/>
    <w:rsid w:val="3E546A69"/>
    <w:rsid w:val="3E547794"/>
    <w:rsid w:val="3E617929"/>
    <w:rsid w:val="3E6E73FF"/>
    <w:rsid w:val="3E8433D8"/>
    <w:rsid w:val="3E9A6FAE"/>
    <w:rsid w:val="3EAC674E"/>
    <w:rsid w:val="3EB047EF"/>
    <w:rsid w:val="3EC534C3"/>
    <w:rsid w:val="3EC764A6"/>
    <w:rsid w:val="3ED01E68"/>
    <w:rsid w:val="3EDE4585"/>
    <w:rsid w:val="3EE17BD1"/>
    <w:rsid w:val="3EE33FDE"/>
    <w:rsid w:val="3EE64576"/>
    <w:rsid w:val="3EE67CEA"/>
    <w:rsid w:val="3EEE50D8"/>
    <w:rsid w:val="3EF26D09"/>
    <w:rsid w:val="3EF8323F"/>
    <w:rsid w:val="3EFA14EE"/>
    <w:rsid w:val="3F004999"/>
    <w:rsid w:val="3F083E58"/>
    <w:rsid w:val="3F0C1EF1"/>
    <w:rsid w:val="3F112089"/>
    <w:rsid w:val="3F155427"/>
    <w:rsid w:val="3F1E7077"/>
    <w:rsid w:val="3F253F62"/>
    <w:rsid w:val="3F261961"/>
    <w:rsid w:val="3F2B709E"/>
    <w:rsid w:val="3F2D72BA"/>
    <w:rsid w:val="3F4635A2"/>
    <w:rsid w:val="3F475F7D"/>
    <w:rsid w:val="3F4F5483"/>
    <w:rsid w:val="3F5F313B"/>
    <w:rsid w:val="3F713B15"/>
    <w:rsid w:val="3F836EDA"/>
    <w:rsid w:val="3F872CE1"/>
    <w:rsid w:val="3F8E57DE"/>
    <w:rsid w:val="3F955D9F"/>
    <w:rsid w:val="3FAE21A9"/>
    <w:rsid w:val="3FB84EEE"/>
    <w:rsid w:val="3FBA0DAF"/>
    <w:rsid w:val="3FC20213"/>
    <w:rsid w:val="3FC37237"/>
    <w:rsid w:val="3FC65AEC"/>
    <w:rsid w:val="3FCE0156"/>
    <w:rsid w:val="3FDE447A"/>
    <w:rsid w:val="40070A53"/>
    <w:rsid w:val="40175665"/>
    <w:rsid w:val="40377B31"/>
    <w:rsid w:val="403B42BF"/>
    <w:rsid w:val="406B3BF6"/>
    <w:rsid w:val="407451A1"/>
    <w:rsid w:val="407D65A6"/>
    <w:rsid w:val="40825072"/>
    <w:rsid w:val="40890521"/>
    <w:rsid w:val="409B3943"/>
    <w:rsid w:val="40A3710B"/>
    <w:rsid w:val="40B76E3C"/>
    <w:rsid w:val="40EA5463"/>
    <w:rsid w:val="40EE65D6"/>
    <w:rsid w:val="41095CC0"/>
    <w:rsid w:val="410A1661"/>
    <w:rsid w:val="411570A6"/>
    <w:rsid w:val="41163E57"/>
    <w:rsid w:val="411F7A6D"/>
    <w:rsid w:val="41214BFD"/>
    <w:rsid w:val="412D35A2"/>
    <w:rsid w:val="413967CE"/>
    <w:rsid w:val="414601C0"/>
    <w:rsid w:val="4148394F"/>
    <w:rsid w:val="4155536A"/>
    <w:rsid w:val="416D399E"/>
    <w:rsid w:val="417337A3"/>
    <w:rsid w:val="41734511"/>
    <w:rsid w:val="41756760"/>
    <w:rsid w:val="41795897"/>
    <w:rsid w:val="41881862"/>
    <w:rsid w:val="41884265"/>
    <w:rsid w:val="418D3932"/>
    <w:rsid w:val="41A25E91"/>
    <w:rsid w:val="41A53138"/>
    <w:rsid w:val="41AD023F"/>
    <w:rsid w:val="41B415CD"/>
    <w:rsid w:val="41BC45CF"/>
    <w:rsid w:val="41D35EF7"/>
    <w:rsid w:val="41D7745E"/>
    <w:rsid w:val="41DE4E43"/>
    <w:rsid w:val="41DE664A"/>
    <w:rsid w:val="41EC59B9"/>
    <w:rsid w:val="41EF37D2"/>
    <w:rsid w:val="41F40B49"/>
    <w:rsid w:val="420F2CA7"/>
    <w:rsid w:val="42134767"/>
    <w:rsid w:val="42176B1E"/>
    <w:rsid w:val="42187DAE"/>
    <w:rsid w:val="42396C33"/>
    <w:rsid w:val="423E1303"/>
    <w:rsid w:val="424A292D"/>
    <w:rsid w:val="424C3C39"/>
    <w:rsid w:val="424E1A22"/>
    <w:rsid w:val="42530DE6"/>
    <w:rsid w:val="42733236"/>
    <w:rsid w:val="428C60A6"/>
    <w:rsid w:val="428D254A"/>
    <w:rsid w:val="42945242"/>
    <w:rsid w:val="4294732F"/>
    <w:rsid w:val="429A5DEF"/>
    <w:rsid w:val="42AB29D0"/>
    <w:rsid w:val="42AD3612"/>
    <w:rsid w:val="42B6123C"/>
    <w:rsid w:val="42B71375"/>
    <w:rsid w:val="42B75819"/>
    <w:rsid w:val="42BB2E6C"/>
    <w:rsid w:val="42BE6BA7"/>
    <w:rsid w:val="42C9430A"/>
    <w:rsid w:val="42CF2B62"/>
    <w:rsid w:val="42E068D9"/>
    <w:rsid w:val="42E102FD"/>
    <w:rsid w:val="42E14644"/>
    <w:rsid w:val="42E40883"/>
    <w:rsid w:val="42F01311"/>
    <w:rsid w:val="42FC5EFD"/>
    <w:rsid w:val="430218B4"/>
    <w:rsid w:val="43087A30"/>
    <w:rsid w:val="430E701E"/>
    <w:rsid w:val="43193DDE"/>
    <w:rsid w:val="431E7670"/>
    <w:rsid w:val="432D6C45"/>
    <w:rsid w:val="432F2A9F"/>
    <w:rsid w:val="433C187A"/>
    <w:rsid w:val="433E035F"/>
    <w:rsid w:val="43515CE6"/>
    <w:rsid w:val="436037BB"/>
    <w:rsid w:val="43663CEB"/>
    <w:rsid w:val="43664B49"/>
    <w:rsid w:val="43853221"/>
    <w:rsid w:val="43882D11"/>
    <w:rsid w:val="438C0A54"/>
    <w:rsid w:val="43975501"/>
    <w:rsid w:val="439E0787"/>
    <w:rsid w:val="43A075B7"/>
    <w:rsid w:val="43A13C0B"/>
    <w:rsid w:val="43AB10E1"/>
    <w:rsid w:val="43B65AD0"/>
    <w:rsid w:val="43B835F7"/>
    <w:rsid w:val="43BC023E"/>
    <w:rsid w:val="43C006FD"/>
    <w:rsid w:val="43CA157C"/>
    <w:rsid w:val="43CD4BC8"/>
    <w:rsid w:val="43DE1C6F"/>
    <w:rsid w:val="43F400B3"/>
    <w:rsid w:val="43F478B8"/>
    <w:rsid w:val="44020D16"/>
    <w:rsid w:val="44022AC4"/>
    <w:rsid w:val="44041B52"/>
    <w:rsid w:val="440709DF"/>
    <w:rsid w:val="44071A17"/>
    <w:rsid w:val="440F3111"/>
    <w:rsid w:val="441E3989"/>
    <w:rsid w:val="442347E8"/>
    <w:rsid w:val="4439400C"/>
    <w:rsid w:val="44483D85"/>
    <w:rsid w:val="445F529F"/>
    <w:rsid w:val="447A3488"/>
    <w:rsid w:val="44882599"/>
    <w:rsid w:val="44900E56"/>
    <w:rsid w:val="44A57770"/>
    <w:rsid w:val="44A7469E"/>
    <w:rsid w:val="44B53A55"/>
    <w:rsid w:val="44BA514C"/>
    <w:rsid w:val="44BC2C73"/>
    <w:rsid w:val="44C028D3"/>
    <w:rsid w:val="44D37FBC"/>
    <w:rsid w:val="44D43AC2"/>
    <w:rsid w:val="44DA759D"/>
    <w:rsid w:val="44DB6E6E"/>
    <w:rsid w:val="44DF1057"/>
    <w:rsid w:val="44E35950"/>
    <w:rsid w:val="44E421C9"/>
    <w:rsid w:val="44EA3A8A"/>
    <w:rsid w:val="44FB6637"/>
    <w:rsid w:val="44FF0DF9"/>
    <w:rsid w:val="450534B4"/>
    <w:rsid w:val="45142781"/>
    <w:rsid w:val="45202DCD"/>
    <w:rsid w:val="45234EE5"/>
    <w:rsid w:val="45280575"/>
    <w:rsid w:val="4540575D"/>
    <w:rsid w:val="454A2AF9"/>
    <w:rsid w:val="455C4456"/>
    <w:rsid w:val="455E66DB"/>
    <w:rsid w:val="455F57C9"/>
    <w:rsid w:val="456B4E17"/>
    <w:rsid w:val="45796B3B"/>
    <w:rsid w:val="457A11A2"/>
    <w:rsid w:val="458A316C"/>
    <w:rsid w:val="4592661E"/>
    <w:rsid w:val="45934E1E"/>
    <w:rsid w:val="45990EFA"/>
    <w:rsid w:val="45AB3E07"/>
    <w:rsid w:val="45C67B21"/>
    <w:rsid w:val="45CA3FB8"/>
    <w:rsid w:val="45CE5353"/>
    <w:rsid w:val="45D64EE0"/>
    <w:rsid w:val="45E71F71"/>
    <w:rsid w:val="45EF7078"/>
    <w:rsid w:val="4606307C"/>
    <w:rsid w:val="46101FCC"/>
    <w:rsid w:val="46113D93"/>
    <w:rsid w:val="4614088C"/>
    <w:rsid w:val="462036D5"/>
    <w:rsid w:val="462A06D3"/>
    <w:rsid w:val="462A6302"/>
    <w:rsid w:val="463A4797"/>
    <w:rsid w:val="463B050F"/>
    <w:rsid w:val="465B5DCE"/>
    <w:rsid w:val="467A1461"/>
    <w:rsid w:val="467E386E"/>
    <w:rsid w:val="46841EB6"/>
    <w:rsid w:val="468E4AE3"/>
    <w:rsid w:val="469556DD"/>
    <w:rsid w:val="46957C1F"/>
    <w:rsid w:val="469D4D26"/>
    <w:rsid w:val="46A77952"/>
    <w:rsid w:val="46B34549"/>
    <w:rsid w:val="46CC1167"/>
    <w:rsid w:val="46D405B4"/>
    <w:rsid w:val="46D834D4"/>
    <w:rsid w:val="46DF52CB"/>
    <w:rsid w:val="46F14C34"/>
    <w:rsid w:val="46F5246C"/>
    <w:rsid w:val="46FB7DC6"/>
    <w:rsid w:val="47013507"/>
    <w:rsid w:val="470E1780"/>
    <w:rsid w:val="47255DED"/>
    <w:rsid w:val="47297420"/>
    <w:rsid w:val="472A1390"/>
    <w:rsid w:val="47482EE3"/>
    <w:rsid w:val="475E6263"/>
    <w:rsid w:val="475E752D"/>
    <w:rsid w:val="47621D4A"/>
    <w:rsid w:val="47633879"/>
    <w:rsid w:val="47655843"/>
    <w:rsid w:val="477C0DDF"/>
    <w:rsid w:val="47860E2F"/>
    <w:rsid w:val="47981849"/>
    <w:rsid w:val="47A03D38"/>
    <w:rsid w:val="47CC58C3"/>
    <w:rsid w:val="47D26C51"/>
    <w:rsid w:val="47D50476"/>
    <w:rsid w:val="47DE0E2A"/>
    <w:rsid w:val="47DF3D79"/>
    <w:rsid w:val="47E2206A"/>
    <w:rsid w:val="47E30E5E"/>
    <w:rsid w:val="47E86474"/>
    <w:rsid w:val="47F40975"/>
    <w:rsid w:val="47FE76D7"/>
    <w:rsid w:val="482B7039"/>
    <w:rsid w:val="4833327D"/>
    <w:rsid w:val="483D2F80"/>
    <w:rsid w:val="48403BBB"/>
    <w:rsid w:val="484E7138"/>
    <w:rsid w:val="48566EA7"/>
    <w:rsid w:val="485805A6"/>
    <w:rsid w:val="48693111"/>
    <w:rsid w:val="48713324"/>
    <w:rsid w:val="48724537"/>
    <w:rsid w:val="4878361E"/>
    <w:rsid w:val="487C1E4D"/>
    <w:rsid w:val="487F2F7D"/>
    <w:rsid w:val="48802209"/>
    <w:rsid w:val="48961A2D"/>
    <w:rsid w:val="489F5472"/>
    <w:rsid w:val="48AE6D76"/>
    <w:rsid w:val="48B62DBE"/>
    <w:rsid w:val="48C95384"/>
    <w:rsid w:val="48CE7418"/>
    <w:rsid w:val="48D204B0"/>
    <w:rsid w:val="48E45D61"/>
    <w:rsid w:val="48F1069A"/>
    <w:rsid w:val="4900165A"/>
    <w:rsid w:val="49047674"/>
    <w:rsid w:val="49060F7A"/>
    <w:rsid w:val="49097142"/>
    <w:rsid w:val="490B115C"/>
    <w:rsid w:val="491357D2"/>
    <w:rsid w:val="49303C2F"/>
    <w:rsid w:val="49311755"/>
    <w:rsid w:val="49377BA2"/>
    <w:rsid w:val="493D5006"/>
    <w:rsid w:val="495C4A24"/>
    <w:rsid w:val="495D72B2"/>
    <w:rsid w:val="496B110B"/>
    <w:rsid w:val="497D499A"/>
    <w:rsid w:val="497E1814"/>
    <w:rsid w:val="498C0651"/>
    <w:rsid w:val="499D49C4"/>
    <w:rsid w:val="49A5461D"/>
    <w:rsid w:val="49AB775A"/>
    <w:rsid w:val="49AD62D6"/>
    <w:rsid w:val="49B4660E"/>
    <w:rsid w:val="49C32CF5"/>
    <w:rsid w:val="49C8030C"/>
    <w:rsid w:val="49C83A47"/>
    <w:rsid w:val="49C9141A"/>
    <w:rsid w:val="49DE7F41"/>
    <w:rsid w:val="49E84E4C"/>
    <w:rsid w:val="49F05721"/>
    <w:rsid w:val="4A1C05B0"/>
    <w:rsid w:val="4A323C2B"/>
    <w:rsid w:val="4A392FB7"/>
    <w:rsid w:val="4A3E05CE"/>
    <w:rsid w:val="4A4A5D6B"/>
    <w:rsid w:val="4A5D56A3"/>
    <w:rsid w:val="4A6242BC"/>
    <w:rsid w:val="4A694FB8"/>
    <w:rsid w:val="4A772A2A"/>
    <w:rsid w:val="4A7E749E"/>
    <w:rsid w:val="4A8A1057"/>
    <w:rsid w:val="4A8D13EF"/>
    <w:rsid w:val="4A8E4F9A"/>
    <w:rsid w:val="4A946146"/>
    <w:rsid w:val="4A993A56"/>
    <w:rsid w:val="4AA541A9"/>
    <w:rsid w:val="4AA76173"/>
    <w:rsid w:val="4AB10DA0"/>
    <w:rsid w:val="4AB332C5"/>
    <w:rsid w:val="4AC07235"/>
    <w:rsid w:val="4AD54A8E"/>
    <w:rsid w:val="4AE20F59"/>
    <w:rsid w:val="4AE61A22"/>
    <w:rsid w:val="4AEE3DA2"/>
    <w:rsid w:val="4AF60EA8"/>
    <w:rsid w:val="4B01056E"/>
    <w:rsid w:val="4B054C48"/>
    <w:rsid w:val="4B166E55"/>
    <w:rsid w:val="4B1A6E45"/>
    <w:rsid w:val="4B233370"/>
    <w:rsid w:val="4B2E2886"/>
    <w:rsid w:val="4B3A0D95"/>
    <w:rsid w:val="4B4340EE"/>
    <w:rsid w:val="4B491DE2"/>
    <w:rsid w:val="4B4C2876"/>
    <w:rsid w:val="4B4E2A92"/>
    <w:rsid w:val="4B505EBD"/>
    <w:rsid w:val="4B581FEE"/>
    <w:rsid w:val="4B5B0D64"/>
    <w:rsid w:val="4B5D4A84"/>
    <w:rsid w:val="4B645E12"/>
    <w:rsid w:val="4B6469EB"/>
    <w:rsid w:val="4B6936F9"/>
    <w:rsid w:val="4B6D2F19"/>
    <w:rsid w:val="4B771FE9"/>
    <w:rsid w:val="4B867A5E"/>
    <w:rsid w:val="4B8B15F1"/>
    <w:rsid w:val="4B923F4B"/>
    <w:rsid w:val="4B924E71"/>
    <w:rsid w:val="4BA3418D"/>
    <w:rsid w:val="4BB513C0"/>
    <w:rsid w:val="4BC71DDA"/>
    <w:rsid w:val="4BCE14DD"/>
    <w:rsid w:val="4BD411EA"/>
    <w:rsid w:val="4BD623FF"/>
    <w:rsid w:val="4BD765E4"/>
    <w:rsid w:val="4BDD6412"/>
    <w:rsid w:val="4BEB540D"/>
    <w:rsid w:val="4BF76373"/>
    <w:rsid w:val="4BF944CE"/>
    <w:rsid w:val="4BFA737C"/>
    <w:rsid w:val="4C001587"/>
    <w:rsid w:val="4C0118B3"/>
    <w:rsid w:val="4C0B2731"/>
    <w:rsid w:val="4C101AF6"/>
    <w:rsid w:val="4C2D2F51"/>
    <w:rsid w:val="4C371B6A"/>
    <w:rsid w:val="4C53424A"/>
    <w:rsid w:val="4C716A38"/>
    <w:rsid w:val="4C802EE8"/>
    <w:rsid w:val="4C94384C"/>
    <w:rsid w:val="4C975D73"/>
    <w:rsid w:val="4C9D15DC"/>
    <w:rsid w:val="4CA778DF"/>
    <w:rsid w:val="4CBD1C7E"/>
    <w:rsid w:val="4CC36B68"/>
    <w:rsid w:val="4CD43BFB"/>
    <w:rsid w:val="4CDD5E7C"/>
    <w:rsid w:val="4CDE6982"/>
    <w:rsid w:val="4CE30926"/>
    <w:rsid w:val="4CE629A2"/>
    <w:rsid w:val="4CE85D46"/>
    <w:rsid w:val="4CE90CC5"/>
    <w:rsid w:val="4CF029F8"/>
    <w:rsid w:val="4CF46F71"/>
    <w:rsid w:val="4D0C31CE"/>
    <w:rsid w:val="4D0F224C"/>
    <w:rsid w:val="4D1D2513"/>
    <w:rsid w:val="4D2461B3"/>
    <w:rsid w:val="4D2515D1"/>
    <w:rsid w:val="4D2970E7"/>
    <w:rsid w:val="4D312395"/>
    <w:rsid w:val="4D330192"/>
    <w:rsid w:val="4D397978"/>
    <w:rsid w:val="4D437429"/>
    <w:rsid w:val="4D471771"/>
    <w:rsid w:val="4D4B1874"/>
    <w:rsid w:val="4D5048A0"/>
    <w:rsid w:val="4D613EB0"/>
    <w:rsid w:val="4D7165FB"/>
    <w:rsid w:val="4D7D140D"/>
    <w:rsid w:val="4D8A7823"/>
    <w:rsid w:val="4D8F5636"/>
    <w:rsid w:val="4D986247"/>
    <w:rsid w:val="4DA1334D"/>
    <w:rsid w:val="4DB6336C"/>
    <w:rsid w:val="4DC71A91"/>
    <w:rsid w:val="4DCC30F3"/>
    <w:rsid w:val="4DD43D1E"/>
    <w:rsid w:val="4DD97D0D"/>
    <w:rsid w:val="4DDB7025"/>
    <w:rsid w:val="4DDE62FD"/>
    <w:rsid w:val="4DDF7E5A"/>
    <w:rsid w:val="4DF10658"/>
    <w:rsid w:val="4DF25957"/>
    <w:rsid w:val="4DF50769"/>
    <w:rsid w:val="4DF62F44"/>
    <w:rsid w:val="4DFC4A28"/>
    <w:rsid w:val="4E035269"/>
    <w:rsid w:val="4E2448D3"/>
    <w:rsid w:val="4E3D7DA9"/>
    <w:rsid w:val="4E490870"/>
    <w:rsid w:val="4E4F4B57"/>
    <w:rsid w:val="4E534F9B"/>
    <w:rsid w:val="4E57517D"/>
    <w:rsid w:val="4E821D07"/>
    <w:rsid w:val="4E8D6674"/>
    <w:rsid w:val="4E947510"/>
    <w:rsid w:val="4E96204B"/>
    <w:rsid w:val="4EA12ED9"/>
    <w:rsid w:val="4EA330F5"/>
    <w:rsid w:val="4EAB5EB9"/>
    <w:rsid w:val="4EAB740D"/>
    <w:rsid w:val="4EAD5D22"/>
    <w:rsid w:val="4EB5120D"/>
    <w:rsid w:val="4EC015B1"/>
    <w:rsid w:val="4EC049F7"/>
    <w:rsid w:val="4EC15329"/>
    <w:rsid w:val="4EC24D34"/>
    <w:rsid w:val="4ECA68D4"/>
    <w:rsid w:val="4EDB0584"/>
    <w:rsid w:val="4EE03A01"/>
    <w:rsid w:val="4EE638C8"/>
    <w:rsid w:val="4EF179BD"/>
    <w:rsid w:val="4EF460F6"/>
    <w:rsid w:val="4EFB0B2C"/>
    <w:rsid w:val="4EFD45B3"/>
    <w:rsid w:val="4EFD4C50"/>
    <w:rsid w:val="4F073684"/>
    <w:rsid w:val="4F0A1380"/>
    <w:rsid w:val="4F0D33ED"/>
    <w:rsid w:val="4F1277CD"/>
    <w:rsid w:val="4F1D6A04"/>
    <w:rsid w:val="4F2149B4"/>
    <w:rsid w:val="4F224B62"/>
    <w:rsid w:val="4F261C03"/>
    <w:rsid w:val="4F2A2ECF"/>
    <w:rsid w:val="4F2A522D"/>
    <w:rsid w:val="4F2C30EB"/>
    <w:rsid w:val="4F344CB1"/>
    <w:rsid w:val="4F351F9F"/>
    <w:rsid w:val="4F4C50C9"/>
    <w:rsid w:val="4F5543EF"/>
    <w:rsid w:val="4F587A3C"/>
    <w:rsid w:val="4F7725B8"/>
    <w:rsid w:val="4F792398"/>
    <w:rsid w:val="4F7A5C04"/>
    <w:rsid w:val="4F7D7C5D"/>
    <w:rsid w:val="4F890E35"/>
    <w:rsid w:val="4F8E75F4"/>
    <w:rsid w:val="4F8F375E"/>
    <w:rsid w:val="4FA16E5C"/>
    <w:rsid w:val="4FA17635"/>
    <w:rsid w:val="4FB76E58"/>
    <w:rsid w:val="4FBD67D3"/>
    <w:rsid w:val="4FBF7ABB"/>
    <w:rsid w:val="4FC10DCD"/>
    <w:rsid w:val="4FD316E2"/>
    <w:rsid w:val="4FDC68BF"/>
    <w:rsid w:val="4FDD43E5"/>
    <w:rsid w:val="4FDD5236"/>
    <w:rsid w:val="4FDE2637"/>
    <w:rsid w:val="4FE13ED5"/>
    <w:rsid w:val="4FFE26B9"/>
    <w:rsid w:val="50001490"/>
    <w:rsid w:val="50003DB9"/>
    <w:rsid w:val="50020B50"/>
    <w:rsid w:val="500A2BAF"/>
    <w:rsid w:val="500C68AE"/>
    <w:rsid w:val="500D49E0"/>
    <w:rsid w:val="50210776"/>
    <w:rsid w:val="5024194A"/>
    <w:rsid w:val="50292D83"/>
    <w:rsid w:val="50355FCF"/>
    <w:rsid w:val="503E65F8"/>
    <w:rsid w:val="504D156B"/>
    <w:rsid w:val="50502E09"/>
    <w:rsid w:val="50586D12"/>
    <w:rsid w:val="506F328F"/>
    <w:rsid w:val="5075461D"/>
    <w:rsid w:val="507879EC"/>
    <w:rsid w:val="508A1DA5"/>
    <w:rsid w:val="50966A6E"/>
    <w:rsid w:val="509727E6"/>
    <w:rsid w:val="50976EA9"/>
    <w:rsid w:val="50A55251"/>
    <w:rsid w:val="50AA2C30"/>
    <w:rsid w:val="50AF18DD"/>
    <w:rsid w:val="50AF5D81"/>
    <w:rsid w:val="50BB24F7"/>
    <w:rsid w:val="50C13E5A"/>
    <w:rsid w:val="50C22140"/>
    <w:rsid w:val="50C730CB"/>
    <w:rsid w:val="50C85885"/>
    <w:rsid w:val="50D50B7A"/>
    <w:rsid w:val="50D91537"/>
    <w:rsid w:val="50E0427C"/>
    <w:rsid w:val="50E45AA3"/>
    <w:rsid w:val="50E6470E"/>
    <w:rsid w:val="50FE67E5"/>
    <w:rsid w:val="510E3A2C"/>
    <w:rsid w:val="5113532F"/>
    <w:rsid w:val="51145BE4"/>
    <w:rsid w:val="51183927"/>
    <w:rsid w:val="512E3501"/>
    <w:rsid w:val="5133250E"/>
    <w:rsid w:val="51363DAD"/>
    <w:rsid w:val="51401D53"/>
    <w:rsid w:val="51453FF0"/>
    <w:rsid w:val="5147420C"/>
    <w:rsid w:val="514D7E89"/>
    <w:rsid w:val="51502B40"/>
    <w:rsid w:val="5153670D"/>
    <w:rsid w:val="516052FD"/>
    <w:rsid w:val="517143AC"/>
    <w:rsid w:val="517E5F26"/>
    <w:rsid w:val="518C1C1F"/>
    <w:rsid w:val="518D03E1"/>
    <w:rsid w:val="518E3BE9"/>
    <w:rsid w:val="51987CBC"/>
    <w:rsid w:val="519D5616"/>
    <w:rsid w:val="51A927D1"/>
    <w:rsid w:val="51BF4278"/>
    <w:rsid w:val="51CC64BF"/>
    <w:rsid w:val="51CD67EE"/>
    <w:rsid w:val="51D31ABF"/>
    <w:rsid w:val="51D47AA9"/>
    <w:rsid w:val="51E43809"/>
    <w:rsid w:val="51E46461"/>
    <w:rsid w:val="51E87E4E"/>
    <w:rsid w:val="51EC063D"/>
    <w:rsid w:val="51F2795F"/>
    <w:rsid w:val="51F85506"/>
    <w:rsid w:val="52075B24"/>
    <w:rsid w:val="52097713"/>
    <w:rsid w:val="520D445E"/>
    <w:rsid w:val="52140592"/>
    <w:rsid w:val="5221680B"/>
    <w:rsid w:val="52284795"/>
    <w:rsid w:val="522D1654"/>
    <w:rsid w:val="52305AAC"/>
    <w:rsid w:val="523816F1"/>
    <w:rsid w:val="52383964"/>
    <w:rsid w:val="52475700"/>
    <w:rsid w:val="52490CB4"/>
    <w:rsid w:val="524A1396"/>
    <w:rsid w:val="5252421B"/>
    <w:rsid w:val="525272B0"/>
    <w:rsid w:val="5253098E"/>
    <w:rsid w:val="5257047F"/>
    <w:rsid w:val="526E6E3E"/>
    <w:rsid w:val="5273095F"/>
    <w:rsid w:val="527A6550"/>
    <w:rsid w:val="527C2294"/>
    <w:rsid w:val="527E3FC2"/>
    <w:rsid w:val="52860582"/>
    <w:rsid w:val="528B1ED6"/>
    <w:rsid w:val="528E48AC"/>
    <w:rsid w:val="529D3EE4"/>
    <w:rsid w:val="529F214D"/>
    <w:rsid w:val="52AD2D5C"/>
    <w:rsid w:val="52B61649"/>
    <w:rsid w:val="52BA4AFD"/>
    <w:rsid w:val="52BE405A"/>
    <w:rsid w:val="52C33D66"/>
    <w:rsid w:val="52C76A5D"/>
    <w:rsid w:val="52C7716E"/>
    <w:rsid w:val="52D46648"/>
    <w:rsid w:val="52D90E94"/>
    <w:rsid w:val="52E30ED8"/>
    <w:rsid w:val="52E359E2"/>
    <w:rsid w:val="52E87329"/>
    <w:rsid w:val="52ED0DE3"/>
    <w:rsid w:val="52ED493F"/>
    <w:rsid w:val="52EF1C4A"/>
    <w:rsid w:val="52F6132D"/>
    <w:rsid w:val="5303259D"/>
    <w:rsid w:val="53096FE2"/>
    <w:rsid w:val="530E3233"/>
    <w:rsid w:val="5311062D"/>
    <w:rsid w:val="531E71EE"/>
    <w:rsid w:val="53242390"/>
    <w:rsid w:val="533B3627"/>
    <w:rsid w:val="536212FA"/>
    <w:rsid w:val="536A5F90"/>
    <w:rsid w:val="537266F4"/>
    <w:rsid w:val="53777E6D"/>
    <w:rsid w:val="538F45EA"/>
    <w:rsid w:val="53957C99"/>
    <w:rsid w:val="539F3E8B"/>
    <w:rsid w:val="53AA020A"/>
    <w:rsid w:val="53AC050C"/>
    <w:rsid w:val="53BC50A8"/>
    <w:rsid w:val="53C265C7"/>
    <w:rsid w:val="53CB1FF1"/>
    <w:rsid w:val="53DA223D"/>
    <w:rsid w:val="53DF5431"/>
    <w:rsid w:val="53E90A53"/>
    <w:rsid w:val="53EA064B"/>
    <w:rsid w:val="53EB4926"/>
    <w:rsid w:val="53FD7AB8"/>
    <w:rsid w:val="54065CB8"/>
    <w:rsid w:val="540A502D"/>
    <w:rsid w:val="540D6224"/>
    <w:rsid w:val="540E2DBF"/>
    <w:rsid w:val="54105BC6"/>
    <w:rsid w:val="54135959"/>
    <w:rsid w:val="54181E8F"/>
    <w:rsid w:val="5429409D"/>
    <w:rsid w:val="542E4D21"/>
    <w:rsid w:val="542E5629"/>
    <w:rsid w:val="5430022A"/>
    <w:rsid w:val="543625A5"/>
    <w:rsid w:val="54363A17"/>
    <w:rsid w:val="54370568"/>
    <w:rsid w:val="543C792C"/>
    <w:rsid w:val="544225A6"/>
    <w:rsid w:val="54482775"/>
    <w:rsid w:val="544C5423"/>
    <w:rsid w:val="544D6010"/>
    <w:rsid w:val="54546517"/>
    <w:rsid w:val="54560490"/>
    <w:rsid w:val="54582A29"/>
    <w:rsid w:val="545D7674"/>
    <w:rsid w:val="547C0E3C"/>
    <w:rsid w:val="547E4657"/>
    <w:rsid w:val="54817A35"/>
    <w:rsid w:val="54845F1A"/>
    <w:rsid w:val="548C0A01"/>
    <w:rsid w:val="548D20BA"/>
    <w:rsid w:val="54920A3C"/>
    <w:rsid w:val="54A11E85"/>
    <w:rsid w:val="54A327AC"/>
    <w:rsid w:val="54AA3A11"/>
    <w:rsid w:val="54B24092"/>
    <w:rsid w:val="54D00729"/>
    <w:rsid w:val="54D45DB6"/>
    <w:rsid w:val="54F549BE"/>
    <w:rsid w:val="54F63162"/>
    <w:rsid w:val="55020B76"/>
    <w:rsid w:val="550F7668"/>
    <w:rsid w:val="55137725"/>
    <w:rsid w:val="551720FD"/>
    <w:rsid w:val="55173EF5"/>
    <w:rsid w:val="551E5284"/>
    <w:rsid w:val="55255AC7"/>
    <w:rsid w:val="553E5926"/>
    <w:rsid w:val="553F71DB"/>
    <w:rsid w:val="554972D9"/>
    <w:rsid w:val="554C24E5"/>
    <w:rsid w:val="5553279E"/>
    <w:rsid w:val="555B73CE"/>
    <w:rsid w:val="556D1D67"/>
    <w:rsid w:val="558A3956"/>
    <w:rsid w:val="55962A27"/>
    <w:rsid w:val="55B26DA9"/>
    <w:rsid w:val="55B856D8"/>
    <w:rsid w:val="55B86AF9"/>
    <w:rsid w:val="55C24453"/>
    <w:rsid w:val="55C83395"/>
    <w:rsid w:val="55D80A2A"/>
    <w:rsid w:val="55E24503"/>
    <w:rsid w:val="56155ACB"/>
    <w:rsid w:val="56191A4F"/>
    <w:rsid w:val="561F7505"/>
    <w:rsid w:val="562543F0"/>
    <w:rsid w:val="56363D8F"/>
    <w:rsid w:val="56382375"/>
    <w:rsid w:val="563C00B7"/>
    <w:rsid w:val="564778C3"/>
    <w:rsid w:val="564B02FA"/>
    <w:rsid w:val="564C7744"/>
    <w:rsid w:val="565151E5"/>
    <w:rsid w:val="567325C1"/>
    <w:rsid w:val="568339A9"/>
    <w:rsid w:val="56842490"/>
    <w:rsid w:val="568D645B"/>
    <w:rsid w:val="56A46172"/>
    <w:rsid w:val="56C046D1"/>
    <w:rsid w:val="56C124E0"/>
    <w:rsid w:val="56CF2CD9"/>
    <w:rsid w:val="56D06A51"/>
    <w:rsid w:val="56EE6ECE"/>
    <w:rsid w:val="56F27015"/>
    <w:rsid w:val="56F5488D"/>
    <w:rsid w:val="570F633F"/>
    <w:rsid w:val="57123422"/>
    <w:rsid w:val="571701DC"/>
    <w:rsid w:val="571B7CCD"/>
    <w:rsid w:val="572D17AE"/>
    <w:rsid w:val="572D5C52"/>
    <w:rsid w:val="573408D3"/>
    <w:rsid w:val="573E7F16"/>
    <w:rsid w:val="574E5B20"/>
    <w:rsid w:val="57525C4F"/>
    <w:rsid w:val="575D4693"/>
    <w:rsid w:val="575E405D"/>
    <w:rsid w:val="57623B4D"/>
    <w:rsid w:val="576E06D8"/>
    <w:rsid w:val="57910D30"/>
    <w:rsid w:val="57911D3D"/>
    <w:rsid w:val="57914578"/>
    <w:rsid w:val="579B09E0"/>
    <w:rsid w:val="57A4224B"/>
    <w:rsid w:val="57BD26CF"/>
    <w:rsid w:val="57BD54F1"/>
    <w:rsid w:val="57DA0331"/>
    <w:rsid w:val="57DA7B88"/>
    <w:rsid w:val="57DA7C2C"/>
    <w:rsid w:val="57DE0CFA"/>
    <w:rsid w:val="57E9601D"/>
    <w:rsid w:val="57F871FF"/>
    <w:rsid w:val="57F92A7C"/>
    <w:rsid w:val="57F95B34"/>
    <w:rsid w:val="58044368"/>
    <w:rsid w:val="580B4A9B"/>
    <w:rsid w:val="580C03E7"/>
    <w:rsid w:val="5810617A"/>
    <w:rsid w:val="58124FC9"/>
    <w:rsid w:val="58136BF6"/>
    <w:rsid w:val="581B1814"/>
    <w:rsid w:val="58207565"/>
    <w:rsid w:val="58274A78"/>
    <w:rsid w:val="583A23D4"/>
    <w:rsid w:val="584274DB"/>
    <w:rsid w:val="58604841"/>
    <w:rsid w:val="58636BCC"/>
    <w:rsid w:val="586E2E86"/>
    <w:rsid w:val="586F2AEE"/>
    <w:rsid w:val="58814A90"/>
    <w:rsid w:val="58911202"/>
    <w:rsid w:val="58A73CBE"/>
    <w:rsid w:val="58A81A34"/>
    <w:rsid w:val="58B71C77"/>
    <w:rsid w:val="58BA547C"/>
    <w:rsid w:val="58BC07AC"/>
    <w:rsid w:val="58BD4DB3"/>
    <w:rsid w:val="58C16652"/>
    <w:rsid w:val="58CD52E6"/>
    <w:rsid w:val="58D02D39"/>
    <w:rsid w:val="58D45880"/>
    <w:rsid w:val="58D70726"/>
    <w:rsid w:val="58DE20CD"/>
    <w:rsid w:val="58DF121D"/>
    <w:rsid w:val="58E3481A"/>
    <w:rsid w:val="58E95BA9"/>
    <w:rsid w:val="58FA064D"/>
    <w:rsid w:val="590029F6"/>
    <w:rsid w:val="59117203"/>
    <w:rsid w:val="591250FF"/>
    <w:rsid w:val="591C5F7E"/>
    <w:rsid w:val="5920039B"/>
    <w:rsid w:val="59231D05"/>
    <w:rsid w:val="59305585"/>
    <w:rsid w:val="59417793"/>
    <w:rsid w:val="59457D91"/>
    <w:rsid w:val="595474C6"/>
    <w:rsid w:val="59637709"/>
    <w:rsid w:val="59657925"/>
    <w:rsid w:val="596F0ED2"/>
    <w:rsid w:val="59726422"/>
    <w:rsid w:val="598B02F4"/>
    <w:rsid w:val="59943D66"/>
    <w:rsid w:val="59974D87"/>
    <w:rsid w:val="59A87812"/>
    <w:rsid w:val="59B91ACE"/>
    <w:rsid w:val="59BA0072"/>
    <w:rsid w:val="59BB73DF"/>
    <w:rsid w:val="59C068BE"/>
    <w:rsid w:val="59CA7788"/>
    <w:rsid w:val="59D0163F"/>
    <w:rsid w:val="59E92BD6"/>
    <w:rsid w:val="59F369A8"/>
    <w:rsid w:val="59FE43E9"/>
    <w:rsid w:val="5A027D02"/>
    <w:rsid w:val="5A0507C0"/>
    <w:rsid w:val="5A0A04CC"/>
    <w:rsid w:val="5A0F6BEE"/>
    <w:rsid w:val="5A184997"/>
    <w:rsid w:val="5A2A46CB"/>
    <w:rsid w:val="5A316666"/>
    <w:rsid w:val="5A33202B"/>
    <w:rsid w:val="5A37459D"/>
    <w:rsid w:val="5A453A57"/>
    <w:rsid w:val="5A4A001E"/>
    <w:rsid w:val="5A4B3D7D"/>
    <w:rsid w:val="5A4F7C8D"/>
    <w:rsid w:val="5A597F3B"/>
    <w:rsid w:val="5A5A108A"/>
    <w:rsid w:val="5A5D684E"/>
    <w:rsid w:val="5A670EED"/>
    <w:rsid w:val="5A686794"/>
    <w:rsid w:val="5A6A4D3D"/>
    <w:rsid w:val="5A8F0385"/>
    <w:rsid w:val="5A9D5E48"/>
    <w:rsid w:val="5AB7282E"/>
    <w:rsid w:val="5AB741B0"/>
    <w:rsid w:val="5AB75F5E"/>
    <w:rsid w:val="5AC67E38"/>
    <w:rsid w:val="5AD02AFD"/>
    <w:rsid w:val="5ADC379C"/>
    <w:rsid w:val="5AE147BC"/>
    <w:rsid w:val="5AF076C2"/>
    <w:rsid w:val="5AF34ABD"/>
    <w:rsid w:val="5AF97116"/>
    <w:rsid w:val="5AFF7905"/>
    <w:rsid w:val="5B23040F"/>
    <w:rsid w:val="5B4075E1"/>
    <w:rsid w:val="5B44356A"/>
    <w:rsid w:val="5B5B6D1A"/>
    <w:rsid w:val="5B712E03"/>
    <w:rsid w:val="5B89568B"/>
    <w:rsid w:val="5B8F6B42"/>
    <w:rsid w:val="5B9774A3"/>
    <w:rsid w:val="5B993E74"/>
    <w:rsid w:val="5BA01302"/>
    <w:rsid w:val="5BA65FD3"/>
    <w:rsid w:val="5BAE7FE7"/>
    <w:rsid w:val="5BBE43E7"/>
    <w:rsid w:val="5BC00E43"/>
    <w:rsid w:val="5BC30933"/>
    <w:rsid w:val="5BC8419B"/>
    <w:rsid w:val="5BD57899"/>
    <w:rsid w:val="5BDC12DF"/>
    <w:rsid w:val="5BED3C02"/>
    <w:rsid w:val="5BF13B3F"/>
    <w:rsid w:val="5BF40AEC"/>
    <w:rsid w:val="5BFC2FEE"/>
    <w:rsid w:val="5BFF3E21"/>
    <w:rsid w:val="5C3637FE"/>
    <w:rsid w:val="5C38658F"/>
    <w:rsid w:val="5C4A2E02"/>
    <w:rsid w:val="5C4D08B6"/>
    <w:rsid w:val="5C531CB7"/>
    <w:rsid w:val="5C56756F"/>
    <w:rsid w:val="5C583771"/>
    <w:rsid w:val="5C5910DD"/>
    <w:rsid w:val="5C6425D8"/>
    <w:rsid w:val="5C6A7000"/>
    <w:rsid w:val="5C6B0C96"/>
    <w:rsid w:val="5C6B5F84"/>
    <w:rsid w:val="5C757E7F"/>
    <w:rsid w:val="5C7C054B"/>
    <w:rsid w:val="5C86208C"/>
    <w:rsid w:val="5C9522CF"/>
    <w:rsid w:val="5C98591B"/>
    <w:rsid w:val="5CA50CC0"/>
    <w:rsid w:val="5CB5471F"/>
    <w:rsid w:val="5CBB7EA9"/>
    <w:rsid w:val="5CBF40FC"/>
    <w:rsid w:val="5CBF734C"/>
    <w:rsid w:val="5CC6692D"/>
    <w:rsid w:val="5CCB51D1"/>
    <w:rsid w:val="5CCE30DB"/>
    <w:rsid w:val="5CDA46C6"/>
    <w:rsid w:val="5CDC1CAC"/>
    <w:rsid w:val="5CE50C85"/>
    <w:rsid w:val="5CEE53C4"/>
    <w:rsid w:val="5CEF60E5"/>
    <w:rsid w:val="5CF35248"/>
    <w:rsid w:val="5CF80AB0"/>
    <w:rsid w:val="5D046552"/>
    <w:rsid w:val="5D07484F"/>
    <w:rsid w:val="5D086ED8"/>
    <w:rsid w:val="5D0E2082"/>
    <w:rsid w:val="5D174567"/>
    <w:rsid w:val="5D1778D7"/>
    <w:rsid w:val="5D1D78B2"/>
    <w:rsid w:val="5D245401"/>
    <w:rsid w:val="5D283143"/>
    <w:rsid w:val="5D2B49E2"/>
    <w:rsid w:val="5D2E002E"/>
    <w:rsid w:val="5D3120A8"/>
    <w:rsid w:val="5D32527B"/>
    <w:rsid w:val="5D3A2E77"/>
    <w:rsid w:val="5D414205"/>
    <w:rsid w:val="5D4646B0"/>
    <w:rsid w:val="5D551A5E"/>
    <w:rsid w:val="5D5A63AF"/>
    <w:rsid w:val="5D5B019B"/>
    <w:rsid w:val="5D5C0FB3"/>
    <w:rsid w:val="5D640AF7"/>
    <w:rsid w:val="5D665A1A"/>
    <w:rsid w:val="5D714752"/>
    <w:rsid w:val="5D78456B"/>
    <w:rsid w:val="5D784B93"/>
    <w:rsid w:val="5D79399F"/>
    <w:rsid w:val="5D7D676A"/>
    <w:rsid w:val="5DAD189A"/>
    <w:rsid w:val="5DAF73C1"/>
    <w:rsid w:val="5DB20C5F"/>
    <w:rsid w:val="5DB34C90"/>
    <w:rsid w:val="5DC010E3"/>
    <w:rsid w:val="5DCD7847"/>
    <w:rsid w:val="5DD136AD"/>
    <w:rsid w:val="5DDE782E"/>
    <w:rsid w:val="5DE132F2"/>
    <w:rsid w:val="5DE4431B"/>
    <w:rsid w:val="5DEC36B0"/>
    <w:rsid w:val="5DF12E7C"/>
    <w:rsid w:val="5DF37348"/>
    <w:rsid w:val="5DF83001"/>
    <w:rsid w:val="5DFD7092"/>
    <w:rsid w:val="5DFD7C17"/>
    <w:rsid w:val="5E1E66E4"/>
    <w:rsid w:val="5E265FEF"/>
    <w:rsid w:val="5E40270F"/>
    <w:rsid w:val="5E545D2E"/>
    <w:rsid w:val="5E5835B4"/>
    <w:rsid w:val="5E7E6D93"/>
    <w:rsid w:val="5E826883"/>
    <w:rsid w:val="5E92531F"/>
    <w:rsid w:val="5E9860A7"/>
    <w:rsid w:val="5EA031AD"/>
    <w:rsid w:val="5EC65F91"/>
    <w:rsid w:val="5ECA57A0"/>
    <w:rsid w:val="5ED47F94"/>
    <w:rsid w:val="5EDD1D0C"/>
    <w:rsid w:val="5EE969FF"/>
    <w:rsid w:val="5EED6B4B"/>
    <w:rsid w:val="5EF64B7B"/>
    <w:rsid w:val="5F0E7C89"/>
    <w:rsid w:val="5F122981"/>
    <w:rsid w:val="5F161E55"/>
    <w:rsid w:val="5F1871E8"/>
    <w:rsid w:val="5F1C0A86"/>
    <w:rsid w:val="5F2D2C93"/>
    <w:rsid w:val="5F307A57"/>
    <w:rsid w:val="5F345879"/>
    <w:rsid w:val="5F38751B"/>
    <w:rsid w:val="5F3C5F70"/>
    <w:rsid w:val="5F443B39"/>
    <w:rsid w:val="5F56089F"/>
    <w:rsid w:val="5F5E44B8"/>
    <w:rsid w:val="5F772160"/>
    <w:rsid w:val="5F7740DD"/>
    <w:rsid w:val="5FA55B60"/>
    <w:rsid w:val="5FA55D1D"/>
    <w:rsid w:val="5FAF0B65"/>
    <w:rsid w:val="5FB663DC"/>
    <w:rsid w:val="5FB97F54"/>
    <w:rsid w:val="5FD142F6"/>
    <w:rsid w:val="5FDE2AE5"/>
    <w:rsid w:val="5FDF06DF"/>
    <w:rsid w:val="5FEB2206"/>
    <w:rsid w:val="5FF67529"/>
    <w:rsid w:val="5FF67F8B"/>
    <w:rsid w:val="5FFE1F39"/>
    <w:rsid w:val="6005151A"/>
    <w:rsid w:val="60121E89"/>
    <w:rsid w:val="60140FB0"/>
    <w:rsid w:val="601479AF"/>
    <w:rsid w:val="60207483"/>
    <w:rsid w:val="602D1E31"/>
    <w:rsid w:val="602D281F"/>
    <w:rsid w:val="602E618A"/>
    <w:rsid w:val="60403315"/>
    <w:rsid w:val="6060660E"/>
    <w:rsid w:val="608A66C7"/>
    <w:rsid w:val="60927E40"/>
    <w:rsid w:val="60995CEB"/>
    <w:rsid w:val="609D3550"/>
    <w:rsid w:val="609E04DD"/>
    <w:rsid w:val="60A25B71"/>
    <w:rsid w:val="60B335DE"/>
    <w:rsid w:val="60C27AD9"/>
    <w:rsid w:val="60CC2038"/>
    <w:rsid w:val="60D27E15"/>
    <w:rsid w:val="60DC7DF6"/>
    <w:rsid w:val="60EF3731"/>
    <w:rsid w:val="60F33A68"/>
    <w:rsid w:val="60FE7C04"/>
    <w:rsid w:val="61087F2B"/>
    <w:rsid w:val="61185E12"/>
    <w:rsid w:val="61202383"/>
    <w:rsid w:val="612C2AD6"/>
    <w:rsid w:val="613563FB"/>
    <w:rsid w:val="61573966"/>
    <w:rsid w:val="615F0F9F"/>
    <w:rsid w:val="617213B6"/>
    <w:rsid w:val="617D1584"/>
    <w:rsid w:val="61826B9A"/>
    <w:rsid w:val="61831714"/>
    <w:rsid w:val="618359EF"/>
    <w:rsid w:val="61850653"/>
    <w:rsid w:val="618D0081"/>
    <w:rsid w:val="619012B7"/>
    <w:rsid w:val="619C4826"/>
    <w:rsid w:val="619E12DE"/>
    <w:rsid w:val="619F599E"/>
    <w:rsid w:val="61A94E66"/>
    <w:rsid w:val="61AE0914"/>
    <w:rsid w:val="61B171B9"/>
    <w:rsid w:val="61BC3CA7"/>
    <w:rsid w:val="61D05B58"/>
    <w:rsid w:val="61D077E8"/>
    <w:rsid w:val="61D25B5E"/>
    <w:rsid w:val="61D5316E"/>
    <w:rsid w:val="61E1377C"/>
    <w:rsid w:val="61E6665C"/>
    <w:rsid w:val="61E73960"/>
    <w:rsid w:val="61F432E9"/>
    <w:rsid w:val="61FF49E6"/>
    <w:rsid w:val="620D6DAC"/>
    <w:rsid w:val="621109F7"/>
    <w:rsid w:val="621A4BF4"/>
    <w:rsid w:val="6221527E"/>
    <w:rsid w:val="62314848"/>
    <w:rsid w:val="62326CD0"/>
    <w:rsid w:val="62347E94"/>
    <w:rsid w:val="623F0BA1"/>
    <w:rsid w:val="624150E8"/>
    <w:rsid w:val="624445CD"/>
    <w:rsid w:val="627004CB"/>
    <w:rsid w:val="627757F5"/>
    <w:rsid w:val="627841E1"/>
    <w:rsid w:val="627C0BE2"/>
    <w:rsid w:val="62802C81"/>
    <w:rsid w:val="628647C6"/>
    <w:rsid w:val="629570A7"/>
    <w:rsid w:val="62AE3BC9"/>
    <w:rsid w:val="62B66CD9"/>
    <w:rsid w:val="62C76F5B"/>
    <w:rsid w:val="62C91692"/>
    <w:rsid w:val="62D36B7D"/>
    <w:rsid w:val="62D55870"/>
    <w:rsid w:val="62D90A3C"/>
    <w:rsid w:val="62E90032"/>
    <w:rsid w:val="62EF64B1"/>
    <w:rsid w:val="62FB4E56"/>
    <w:rsid w:val="62FC74AA"/>
    <w:rsid w:val="63027F93"/>
    <w:rsid w:val="63047645"/>
    <w:rsid w:val="631023A5"/>
    <w:rsid w:val="631A52DC"/>
    <w:rsid w:val="631F3BDD"/>
    <w:rsid w:val="632501AE"/>
    <w:rsid w:val="63260125"/>
    <w:rsid w:val="632D7850"/>
    <w:rsid w:val="632E0D88"/>
    <w:rsid w:val="63385032"/>
    <w:rsid w:val="633A7B59"/>
    <w:rsid w:val="633F6E8B"/>
    <w:rsid w:val="63564FE9"/>
    <w:rsid w:val="63567918"/>
    <w:rsid w:val="63676048"/>
    <w:rsid w:val="63762FDD"/>
    <w:rsid w:val="637A5D7B"/>
    <w:rsid w:val="637C7D45"/>
    <w:rsid w:val="637F5A87"/>
    <w:rsid w:val="63873431"/>
    <w:rsid w:val="63A70B3A"/>
    <w:rsid w:val="63AE798A"/>
    <w:rsid w:val="63BE65AF"/>
    <w:rsid w:val="63C5490A"/>
    <w:rsid w:val="63E1229E"/>
    <w:rsid w:val="63E81E7E"/>
    <w:rsid w:val="63F035B2"/>
    <w:rsid w:val="63F40352"/>
    <w:rsid w:val="63F5399B"/>
    <w:rsid w:val="64002BE9"/>
    <w:rsid w:val="64002DAD"/>
    <w:rsid w:val="64020EED"/>
    <w:rsid w:val="64073490"/>
    <w:rsid w:val="64255E6C"/>
    <w:rsid w:val="642B3519"/>
    <w:rsid w:val="64310B49"/>
    <w:rsid w:val="643B19AE"/>
    <w:rsid w:val="64432C2F"/>
    <w:rsid w:val="64564E9C"/>
    <w:rsid w:val="646B641E"/>
    <w:rsid w:val="64794C32"/>
    <w:rsid w:val="64811712"/>
    <w:rsid w:val="649760A1"/>
    <w:rsid w:val="64986E00"/>
    <w:rsid w:val="64AE2DFD"/>
    <w:rsid w:val="64B61B71"/>
    <w:rsid w:val="64B96D77"/>
    <w:rsid w:val="64BD0F73"/>
    <w:rsid w:val="64C42DBE"/>
    <w:rsid w:val="64C9644F"/>
    <w:rsid w:val="64D020F2"/>
    <w:rsid w:val="64D1688D"/>
    <w:rsid w:val="64D63DE3"/>
    <w:rsid w:val="64E92B52"/>
    <w:rsid w:val="65021F15"/>
    <w:rsid w:val="65031DA0"/>
    <w:rsid w:val="651C400C"/>
    <w:rsid w:val="652060DB"/>
    <w:rsid w:val="65271E57"/>
    <w:rsid w:val="654523B9"/>
    <w:rsid w:val="6557694F"/>
    <w:rsid w:val="655A36F4"/>
    <w:rsid w:val="6567096C"/>
    <w:rsid w:val="656960A7"/>
    <w:rsid w:val="657A6D9C"/>
    <w:rsid w:val="657C2593"/>
    <w:rsid w:val="658C6239"/>
    <w:rsid w:val="65960E66"/>
    <w:rsid w:val="65982AA7"/>
    <w:rsid w:val="659F5F6D"/>
    <w:rsid w:val="65A47CEF"/>
    <w:rsid w:val="65A65A7A"/>
    <w:rsid w:val="65AB634D"/>
    <w:rsid w:val="65AC068A"/>
    <w:rsid w:val="65DF6369"/>
    <w:rsid w:val="65E21D27"/>
    <w:rsid w:val="65E6594A"/>
    <w:rsid w:val="65E77415"/>
    <w:rsid w:val="65E80116"/>
    <w:rsid w:val="65EB0784"/>
    <w:rsid w:val="65EC2816"/>
    <w:rsid w:val="65ED6CD8"/>
    <w:rsid w:val="65EE2A50"/>
    <w:rsid w:val="65F04A1A"/>
    <w:rsid w:val="65F513EC"/>
    <w:rsid w:val="65FF278F"/>
    <w:rsid w:val="6602276E"/>
    <w:rsid w:val="660E6EB8"/>
    <w:rsid w:val="66140709"/>
    <w:rsid w:val="66252916"/>
    <w:rsid w:val="662D2FA1"/>
    <w:rsid w:val="662D4E23"/>
    <w:rsid w:val="662D6DA8"/>
    <w:rsid w:val="6641012B"/>
    <w:rsid w:val="66415276"/>
    <w:rsid w:val="664B2F13"/>
    <w:rsid w:val="66524D8D"/>
    <w:rsid w:val="665925BF"/>
    <w:rsid w:val="66664513"/>
    <w:rsid w:val="6692588C"/>
    <w:rsid w:val="66984CE5"/>
    <w:rsid w:val="66A20A47"/>
    <w:rsid w:val="66A9090B"/>
    <w:rsid w:val="66BD29F8"/>
    <w:rsid w:val="66C8787B"/>
    <w:rsid w:val="66CA7019"/>
    <w:rsid w:val="66D460EA"/>
    <w:rsid w:val="66FD73EF"/>
    <w:rsid w:val="670118FF"/>
    <w:rsid w:val="67103B55"/>
    <w:rsid w:val="67136C12"/>
    <w:rsid w:val="671C18FE"/>
    <w:rsid w:val="671C260C"/>
    <w:rsid w:val="67206C39"/>
    <w:rsid w:val="67236729"/>
    <w:rsid w:val="672506F4"/>
    <w:rsid w:val="672D0E56"/>
    <w:rsid w:val="67362CD8"/>
    <w:rsid w:val="673E5DDC"/>
    <w:rsid w:val="673F7A07"/>
    <w:rsid w:val="67422A7A"/>
    <w:rsid w:val="674D37A6"/>
    <w:rsid w:val="67650AF0"/>
    <w:rsid w:val="676C04B5"/>
    <w:rsid w:val="676D7292"/>
    <w:rsid w:val="67A45ABC"/>
    <w:rsid w:val="67A55390"/>
    <w:rsid w:val="67A7312F"/>
    <w:rsid w:val="67AC671F"/>
    <w:rsid w:val="67B23308"/>
    <w:rsid w:val="67B8073B"/>
    <w:rsid w:val="67C021CA"/>
    <w:rsid w:val="67C630ED"/>
    <w:rsid w:val="67C85EDA"/>
    <w:rsid w:val="67CA4DF7"/>
    <w:rsid w:val="67D0240D"/>
    <w:rsid w:val="67D04899"/>
    <w:rsid w:val="67D83F5A"/>
    <w:rsid w:val="67FB2B72"/>
    <w:rsid w:val="68085B6E"/>
    <w:rsid w:val="680E73DA"/>
    <w:rsid w:val="681871B6"/>
    <w:rsid w:val="681C38A5"/>
    <w:rsid w:val="681D761D"/>
    <w:rsid w:val="682301B9"/>
    <w:rsid w:val="68235F37"/>
    <w:rsid w:val="68273FF7"/>
    <w:rsid w:val="6837248C"/>
    <w:rsid w:val="6837444B"/>
    <w:rsid w:val="683C1071"/>
    <w:rsid w:val="684921C0"/>
    <w:rsid w:val="684A65EF"/>
    <w:rsid w:val="684F3C7A"/>
    <w:rsid w:val="6856082A"/>
    <w:rsid w:val="686F7E78"/>
    <w:rsid w:val="687A5F1F"/>
    <w:rsid w:val="687C216C"/>
    <w:rsid w:val="688558EE"/>
    <w:rsid w:val="68923B67"/>
    <w:rsid w:val="68987192"/>
    <w:rsid w:val="689A791B"/>
    <w:rsid w:val="689D4A69"/>
    <w:rsid w:val="689F6284"/>
    <w:rsid w:val="68A1024E"/>
    <w:rsid w:val="68A67612"/>
    <w:rsid w:val="68AD0A2C"/>
    <w:rsid w:val="68B8486C"/>
    <w:rsid w:val="68BA785E"/>
    <w:rsid w:val="68BB130F"/>
    <w:rsid w:val="68C301C4"/>
    <w:rsid w:val="68C31F72"/>
    <w:rsid w:val="68D43659"/>
    <w:rsid w:val="68DB3760"/>
    <w:rsid w:val="68E22B8F"/>
    <w:rsid w:val="68E31BD1"/>
    <w:rsid w:val="68EC6070"/>
    <w:rsid w:val="68F55EA4"/>
    <w:rsid w:val="68FB795E"/>
    <w:rsid w:val="68FC200E"/>
    <w:rsid w:val="6903064C"/>
    <w:rsid w:val="690507DD"/>
    <w:rsid w:val="690537AA"/>
    <w:rsid w:val="69187DBC"/>
    <w:rsid w:val="691A35EB"/>
    <w:rsid w:val="691B3B5C"/>
    <w:rsid w:val="69215D0E"/>
    <w:rsid w:val="69274C15"/>
    <w:rsid w:val="692E7D33"/>
    <w:rsid w:val="693004E4"/>
    <w:rsid w:val="693764BC"/>
    <w:rsid w:val="694A2693"/>
    <w:rsid w:val="69510D16"/>
    <w:rsid w:val="69564B94"/>
    <w:rsid w:val="695D5F23"/>
    <w:rsid w:val="695F6EEE"/>
    <w:rsid w:val="69644E17"/>
    <w:rsid w:val="696574CD"/>
    <w:rsid w:val="69672F68"/>
    <w:rsid w:val="696C3DAE"/>
    <w:rsid w:val="696F192A"/>
    <w:rsid w:val="69753738"/>
    <w:rsid w:val="6992402C"/>
    <w:rsid w:val="69951B60"/>
    <w:rsid w:val="699B2EEF"/>
    <w:rsid w:val="69A42E48"/>
    <w:rsid w:val="69B664FD"/>
    <w:rsid w:val="69B90E90"/>
    <w:rsid w:val="69C46096"/>
    <w:rsid w:val="69C560E2"/>
    <w:rsid w:val="69D35793"/>
    <w:rsid w:val="69DA3A17"/>
    <w:rsid w:val="69E42CF5"/>
    <w:rsid w:val="69EA352F"/>
    <w:rsid w:val="69F22218"/>
    <w:rsid w:val="69FD14B4"/>
    <w:rsid w:val="6A0665BA"/>
    <w:rsid w:val="6A0C239A"/>
    <w:rsid w:val="6A164498"/>
    <w:rsid w:val="6A1C2563"/>
    <w:rsid w:val="6A1F4FE5"/>
    <w:rsid w:val="6A22076C"/>
    <w:rsid w:val="6A4470E3"/>
    <w:rsid w:val="6A470B0C"/>
    <w:rsid w:val="6A493E11"/>
    <w:rsid w:val="6A4A2EDA"/>
    <w:rsid w:val="6A5D11DA"/>
    <w:rsid w:val="6A5F4BF7"/>
    <w:rsid w:val="6A620167"/>
    <w:rsid w:val="6A63694A"/>
    <w:rsid w:val="6A840F9A"/>
    <w:rsid w:val="6A85194E"/>
    <w:rsid w:val="6A8676FB"/>
    <w:rsid w:val="6A876FCF"/>
    <w:rsid w:val="6A93078D"/>
    <w:rsid w:val="6A9F3684"/>
    <w:rsid w:val="6AA40160"/>
    <w:rsid w:val="6AB0205E"/>
    <w:rsid w:val="6AB500CB"/>
    <w:rsid w:val="6AB537BB"/>
    <w:rsid w:val="6AB6347D"/>
    <w:rsid w:val="6AB9187F"/>
    <w:rsid w:val="6ABD54CC"/>
    <w:rsid w:val="6AD1795C"/>
    <w:rsid w:val="6AD54632"/>
    <w:rsid w:val="6ADE3093"/>
    <w:rsid w:val="6AEF34F2"/>
    <w:rsid w:val="6AEF52A0"/>
    <w:rsid w:val="6AF5754E"/>
    <w:rsid w:val="6AF64881"/>
    <w:rsid w:val="6AFA4A81"/>
    <w:rsid w:val="6B00125C"/>
    <w:rsid w:val="6B0249A7"/>
    <w:rsid w:val="6B03416C"/>
    <w:rsid w:val="6B0845B4"/>
    <w:rsid w:val="6B0A20DA"/>
    <w:rsid w:val="6B0D1BCA"/>
    <w:rsid w:val="6B0E0825"/>
    <w:rsid w:val="6B1E5B86"/>
    <w:rsid w:val="6B2C02A3"/>
    <w:rsid w:val="6B3037B2"/>
    <w:rsid w:val="6B340F05"/>
    <w:rsid w:val="6B363B66"/>
    <w:rsid w:val="6B4A6E5D"/>
    <w:rsid w:val="6B5A4350"/>
    <w:rsid w:val="6B6F4633"/>
    <w:rsid w:val="6B825C38"/>
    <w:rsid w:val="6B842395"/>
    <w:rsid w:val="6B9D6AAA"/>
    <w:rsid w:val="6BA53000"/>
    <w:rsid w:val="6BAC3191"/>
    <w:rsid w:val="6BAF1A37"/>
    <w:rsid w:val="6BC406D4"/>
    <w:rsid w:val="6BD050D2"/>
    <w:rsid w:val="6BD373D3"/>
    <w:rsid w:val="6BDD21B8"/>
    <w:rsid w:val="6BE070C8"/>
    <w:rsid w:val="6BEB1F0C"/>
    <w:rsid w:val="6BFB59B8"/>
    <w:rsid w:val="6C0B610A"/>
    <w:rsid w:val="6C0E79A8"/>
    <w:rsid w:val="6C1420B3"/>
    <w:rsid w:val="6C1D08E9"/>
    <w:rsid w:val="6C2C4784"/>
    <w:rsid w:val="6C3C5FA7"/>
    <w:rsid w:val="6C4137D9"/>
    <w:rsid w:val="6C47110C"/>
    <w:rsid w:val="6C6121CE"/>
    <w:rsid w:val="6C68212C"/>
    <w:rsid w:val="6C745CB9"/>
    <w:rsid w:val="6C8662B2"/>
    <w:rsid w:val="6C8B0FF9"/>
    <w:rsid w:val="6C8E782C"/>
    <w:rsid w:val="6C9818B5"/>
    <w:rsid w:val="6C9E6322"/>
    <w:rsid w:val="6C9F55AE"/>
    <w:rsid w:val="6CA129BA"/>
    <w:rsid w:val="6CA55910"/>
    <w:rsid w:val="6CAB6374"/>
    <w:rsid w:val="6CAC1B44"/>
    <w:rsid w:val="6CB760A5"/>
    <w:rsid w:val="6CBD4F2A"/>
    <w:rsid w:val="6CCC6017"/>
    <w:rsid w:val="6CD53018"/>
    <w:rsid w:val="6CEA4B62"/>
    <w:rsid w:val="6CED20D5"/>
    <w:rsid w:val="6CF12F16"/>
    <w:rsid w:val="6CF44DF0"/>
    <w:rsid w:val="6CF941B4"/>
    <w:rsid w:val="6D036DE1"/>
    <w:rsid w:val="6D211FB3"/>
    <w:rsid w:val="6D254FA9"/>
    <w:rsid w:val="6D2B5EE8"/>
    <w:rsid w:val="6D387E73"/>
    <w:rsid w:val="6D3E250F"/>
    <w:rsid w:val="6D4D37F6"/>
    <w:rsid w:val="6D5B4E6F"/>
    <w:rsid w:val="6D614340"/>
    <w:rsid w:val="6D6522C5"/>
    <w:rsid w:val="6D725612"/>
    <w:rsid w:val="6D761CA9"/>
    <w:rsid w:val="6D797432"/>
    <w:rsid w:val="6D7D4DE5"/>
    <w:rsid w:val="6D7F1D07"/>
    <w:rsid w:val="6D840DA7"/>
    <w:rsid w:val="6D874D3F"/>
    <w:rsid w:val="6D8A7502"/>
    <w:rsid w:val="6DA22A9E"/>
    <w:rsid w:val="6DAA3BEC"/>
    <w:rsid w:val="6DC63D25"/>
    <w:rsid w:val="6DC742B3"/>
    <w:rsid w:val="6DC9627D"/>
    <w:rsid w:val="6DCC5190"/>
    <w:rsid w:val="6DCE6C51"/>
    <w:rsid w:val="6DEA5240"/>
    <w:rsid w:val="6DEF2231"/>
    <w:rsid w:val="6DF1132F"/>
    <w:rsid w:val="6DFB21AE"/>
    <w:rsid w:val="6E082072"/>
    <w:rsid w:val="6E13574A"/>
    <w:rsid w:val="6E1B3D45"/>
    <w:rsid w:val="6E2551EB"/>
    <w:rsid w:val="6E526272"/>
    <w:rsid w:val="6E572980"/>
    <w:rsid w:val="6E5D4C17"/>
    <w:rsid w:val="6E5D69C5"/>
    <w:rsid w:val="6E71421E"/>
    <w:rsid w:val="6E7D7067"/>
    <w:rsid w:val="6E851D42"/>
    <w:rsid w:val="6E895D4B"/>
    <w:rsid w:val="6EA13894"/>
    <w:rsid w:val="6EA14B04"/>
    <w:rsid w:val="6EA22C9D"/>
    <w:rsid w:val="6EBC36EB"/>
    <w:rsid w:val="6EBF142E"/>
    <w:rsid w:val="6EC15E31"/>
    <w:rsid w:val="6ED05D7B"/>
    <w:rsid w:val="6ED50C51"/>
    <w:rsid w:val="6EE32699"/>
    <w:rsid w:val="6EEA46FD"/>
    <w:rsid w:val="6EEE6378"/>
    <w:rsid w:val="6EFA3B42"/>
    <w:rsid w:val="6EFC6357"/>
    <w:rsid w:val="6F037E5A"/>
    <w:rsid w:val="6F062B1D"/>
    <w:rsid w:val="6F0C7FD5"/>
    <w:rsid w:val="6F1C23DC"/>
    <w:rsid w:val="6F235BB6"/>
    <w:rsid w:val="6F255FBF"/>
    <w:rsid w:val="6F3C5AED"/>
    <w:rsid w:val="6F426FED"/>
    <w:rsid w:val="6F45316F"/>
    <w:rsid w:val="6F453824"/>
    <w:rsid w:val="6F457543"/>
    <w:rsid w:val="6F4E7950"/>
    <w:rsid w:val="6F5E252A"/>
    <w:rsid w:val="6F664401"/>
    <w:rsid w:val="6F7377C1"/>
    <w:rsid w:val="6F7E41E1"/>
    <w:rsid w:val="6F7F02EA"/>
    <w:rsid w:val="6F865AA7"/>
    <w:rsid w:val="6F8929B2"/>
    <w:rsid w:val="6F975F07"/>
    <w:rsid w:val="6F9803CA"/>
    <w:rsid w:val="6F9A2F0D"/>
    <w:rsid w:val="6F9C0A0D"/>
    <w:rsid w:val="6FA7439C"/>
    <w:rsid w:val="6FBA585B"/>
    <w:rsid w:val="6FC04B77"/>
    <w:rsid w:val="6FC860C0"/>
    <w:rsid w:val="6FCD18C6"/>
    <w:rsid w:val="6FD10631"/>
    <w:rsid w:val="6FE50A20"/>
    <w:rsid w:val="6FE56C72"/>
    <w:rsid w:val="6FF17217"/>
    <w:rsid w:val="700215D2"/>
    <w:rsid w:val="70075747"/>
    <w:rsid w:val="70090758"/>
    <w:rsid w:val="701D0E2C"/>
    <w:rsid w:val="701E7C50"/>
    <w:rsid w:val="703025E3"/>
    <w:rsid w:val="70457C69"/>
    <w:rsid w:val="704F233D"/>
    <w:rsid w:val="70531E2E"/>
    <w:rsid w:val="705C33D8"/>
    <w:rsid w:val="705E7870"/>
    <w:rsid w:val="70623260"/>
    <w:rsid w:val="706563DC"/>
    <w:rsid w:val="706758D9"/>
    <w:rsid w:val="706B6565"/>
    <w:rsid w:val="706C3C5F"/>
    <w:rsid w:val="707A1AB0"/>
    <w:rsid w:val="7084648B"/>
    <w:rsid w:val="708E4251"/>
    <w:rsid w:val="709661BE"/>
    <w:rsid w:val="70A72179"/>
    <w:rsid w:val="70A9313E"/>
    <w:rsid w:val="70AE52B6"/>
    <w:rsid w:val="70C034B7"/>
    <w:rsid w:val="70C03E6F"/>
    <w:rsid w:val="70F51137"/>
    <w:rsid w:val="71017ADB"/>
    <w:rsid w:val="710475CC"/>
    <w:rsid w:val="710863D7"/>
    <w:rsid w:val="7113780F"/>
    <w:rsid w:val="7117203C"/>
    <w:rsid w:val="711B78B6"/>
    <w:rsid w:val="7122127C"/>
    <w:rsid w:val="7127397C"/>
    <w:rsid w:val="7137174F"/>
    <w:rsid w:val="71376307"/>
    <w:rsid w:val="71384D7B"/>
    <w:rsid w:val="713A123F"/>
    <w:rsid w:val="71454DFD"/>
    <w:rsid w:val="71485851"/>
    <w:rsid w:val="714B77BC"/>
    <w:rsid w:val="714E77C7"/>
    <w:rsid w:val="714F444D"/>
    <w:rsid w:val="715A4658"/>
    <w:rsid w:val="71A53F32"/>
    <w:rsid w:val="71C07997"/>
    <w:rsid w:val="71C22401"/>
    <w:rsid w:val="71C75A92"/>
    <w:rsid w:val="71C93B41"/>
    <w:rsid w:val="71D90A58"/>
    <w:rsid w:val="71DA5CC7"/>
    <w:rsid w:val="71DF3CE5"/>
    <w:rsid w:val="71EC2F5F"/>
    <w:rsid w:val="71ED1E0E"/>
    <w:rsid w:val="71FE38FC"/>
    <w:rsid w:val="72001B41"/>
    <w:rsid w:val="72113D4E"/>
    <w:rsid w:val="721E4002"/>
    <w:rsid w:val="72323CC5"/>
    <w:rsid w:val="72425427"/>
    <w:rsid w:val="724B2D44"/>
    <w:rsid w:val="7262394B"/>
    <w:rsid w:val="727B38BE"/>
    <w:rsid w:val="727E273B"/>
    <w:rsid w:val="727F515C"/>
    <w:rsid w:val="72A01879"/>
    <w:rsid w:val="72A44BC2"/>
    <w:rsid w:val="72B26270"/>
    <w:rsid w:val="72C62748"/>
    <w:rsid w:val="72CC4119"/>
    <w:rsid w:val="72CC5EC7"/>
    <w:rsid w:val="72DA7105"/>
    <w:rsid w:val="72EA3C3A"/>
    <w:rsid w:val="72ED4F8E"/>
    <w:rsid w:val="72F03865"/>
    <w:rsid w:val="72F27C01"/>
    <w:rsid w:val="72FA6ED8"/>
    <w:rsid w:val="72FD6E6A"/>
    <w:rsid w:val="73005B71"/>
    <w:rsid w:val="73071583"/>
    <w:rsid w:val="73090EC9"/>
    <w:rsid w:val="73133F1E"/>
    <w:rsid w:val="731370ED"/>
    <w:rsid w:val="73155AC0"/>
    <w:rsid w:val="73287602"/>
    <w:rsid w:val="732C5ED6"/>
    <w:rsid w:val="733775DA"/>
    <w:rsid w:val="733D544F"/>
    <w:rsid w:val="734817F7"/>
    <w:rsid w:val="7354206C"/>
    <w:rsid w:val="735F0AE9"/>
    <w:rsid w:val="73663D1E"/>
    <w:rsid w:val="736670D3"/>
    <w:rsid w:val="736764A6"/>
    <w:rsid w:val="73697BBA"/>
    <w:rsid w:val="73727061"/>
    <w:rsid w:val="73754EE7"/>
    <w:rsid w:val="73804C6D"/>
    <w:rsid w:val="73970146"/>
    <w:rsid w:val="73A17354"/>
    <w:rsid w:val="73AF7B5F"/>
    <w:rsid w:val="73B057E9"/>
    <w:rsid w:val="73BB4867"/>
    <w:rsid w:val="73BD2028"/>
    <w:rsid w:val="73C170FD"/>
    <w:rsid w:val="73C361DB"/>
    <w:rsid w:val="73CE4A1F"/>
    <w:rsid w:val="73D94D40"/>
    <w:rsid w:val="73DC0315"/>
    <w:rsid w:val="73E72640"/>
    <w:rsid w:val="73E969AB"/>
    <w:rsid w:val="73EF6311"/>
    <w:rsid w:val="73F11C9A"/>
    <w:rsid w:val="740D1624"/>
    <w:rsid w:val="74220495"/>
    <w:rsid w:val="7422193C"/>
    <w:rsid w:val="743A014A"/>
    <w:rsid w:val="74416441"/>
    <w:rsid w:val="74450BAF"/>
    <w:rsid w:val="744D4DE6"/>
    <w:rsid w:val="74511097"/>
    <w:rsid w:val="745368A0"/>
    <w:rsid w:val="74557DCE"/>
    <w:rsid w:val="74557E99"/>
    <w:rsid w:val="745844B4"/>
    <w:rsid w:val="745939EF"/>
    <w:rsid w:val="745D7787"/>
    <w:rsid w:val="745F3497"/>
    <w:rsid w:val="746133B9"/>
    <w:rsid w:val="746C1710"/>
    <w:rsid w:val="746E5488"/>
    <w:rsid w:val="74742D45"/>
    <w:rsid w:val="74781E72"/>
    <w:rsid w:val="747B5DF7"/>
    <w:rsid w:val="74880582"/>
    <w:rsid w:val="74913239"/>
    <w:rsid w:val="74AD0DE9"/>
    <w:rsid w:val="74DB215F"/>
    <w:rsid w:val="74DC1C15"/>
    <w:rsid w:val="74DE1A70"/>
    <w:rsid w:val="74ED7D0D"/>
    <w:rsid w:val="75025D14"/>
    <w:rsid w:val="75045C97"/>
    <w:rsid w:val="750C2CDE"/>
    <w:rsid w:val="750C6A4F"/>
    <w:rsid w:val="751B2383"/>
    <w:rsid w:val="752042E6"/>
    <w:rsid w:val="752072DC"/>
    <w:rsid w:val="752124FA"/>
    <w:rsid w:val="75236EB8"/>
    <w:rsid w:val="75243D99"/>
    <w:rsid w:val="75250343"/>
    <w:rsid w:val="7537210A"/>
    <w:rsid w:val="753C09DA"/>
    <w:rsid w:val="75581EB0"/>
    <w:rsid w:val="75596138"/>
    <w:rsid w:val="755B67E2"/>
    <w:rsid w:val="755F1275"/>
    <w:rsid w:val="75771AE7"/>
    <w:rsid w:val="757A7C7B"/>
    <w:rsid w:val="75843084"/>
    <w:rsid w:val="758A5266"/>
    <w:rsid w:val="759541D1"/>
    <w:rsid w:val="759C65CD"/>
    <w:rsid w:val="75A2213D"/>
    <w:rsid w:val="75A45F3C"/>
    <w:rsid w:val="75B0028D"/>
    <w:rsid w:val="75B3511C"/>
    <w:rsid w:val="75B82733"/>
    <w:rsid w:val="75BF692C"/>
    <w:rsid w:val="75C13CDD"/>
    <w:rsid w:val="75C50751"/>
    <w:rsid w:val="75CC0F27"/>
    <w:rsid w:val="75E44CC4"/>
    <w:rsid w:val="75F165AD"/>
    <w:rsid w:val="75F35076"/>
    <w:rsid w:val="7601057E"/>
    <w:rsid w:val="760A0B45"/>
    <w:rsid w:val="760B6D06"/>
    <w:rsid w:val="760F2C9B"/>
    <w:rsid w:val="76100DF8"/>
    <w:rsid w:val="76110F29"/>
    <w:rsid w:val="76225E14"/>
    <w:rsid w:val="762C68B4"/>
    <w:rsid w:val="762D4ECF"/>
    <w:rsid w:val="762E5214"/>
    <w:rsid w:val="763E0E8A"/>
    <w:rsid w:val="76404C02"/>
    <w:rsid w:val="76651BD2"/>
    <w:rsid w:val="76654669"/>
    <w:rsid w:val="76675A5D"/>
    <w:rsid w:val="76696660"/>
    <w:rsid w:val="766B0EFF"/>
    <w:rsid w:val="76733229"/>
    <w:rsid w:val="767D5E56"/>
    <w:rsid w:val="767E572A"/>
    <w:rsid w:val="767E730C"/>
    <w:rsid w:val="768014A2"/>
    <w:rsid w:val="76891213"/>
    <w:rsid w:val="76931173"/>
    <w:rsid w:val="76944A39"/>
    <w:rsid w:val="76950FBC"/>
    <w:rsid w:val="76A01B45"/>
    <w:rsid w:val="76A258BD"/>
    <w:rsid w:val="76C27D0D"/>
    <w:rsid w:val="76C32392"/>
    <w:rsid w:val="76CD062C"/>
    <w:rsid w:val="76D4359C"/>
    <w:rsid w:val="76DA1CAD"/>
    <w:rsid w:val="76F33371"/>
    <w:rsid w:val="76F8090B"/>
    <w:rsid w:val="77033710"/>
    <w:rsid w:val="770F4AD6"/>
    <w:rsid w:val="77206AB2"/>
    <w:rsid w:val="772B089E"/>
    <w:rsid w:val="772C076B"/>
    <w:rsid w:val="773B7C13"/>
    <w:rsid w:val="7741313E"/>
    <w:rsid w:val="77525387"/>
    <w:rsid w:val="775766A7"/>
    <w:rsid w:val="775868CA"/>
    <w:rsid w:val="775B1D3E"/>
    <w:rsid w:val="775C1F10"/>
    <w:rsid w:val="776823B8"/>
    <w:rsid w:val="777032C5"/>
    <w:rsid w:val="77846D70"/>
    <w:rsid w:val="77954095"/>
    <w:rsid w:val="779748E5"/>
    <w:rsid w:val="779E47F4"/>
    <w:rsid w:val="779E53EC"/>
    <w:rsid w:val="77AA175A"/>
    <w:rsid w:val="77B070F5"/>
    <w:rsid w:val="77B67AF6"/>
    <w:rsid w:val="77B70EF4"/>
    <w:rsid w:val="77B71080"/>
    <w:rsid w:val="77B855B6"/>
    <w:rsid w:val="77BA4E88"/>
    <w:rsid w:val="77E37F3B"/>
    <w:rsid w:val="780D3330"/>
    <w:rsid w:val="781770A0"/>
    <w:rsid w:val="781C02D3"/>
    <w:rsid w:val="782567A5"/>
    <w:rsid w:val="78283BA0"/>
    <w:rsid w:val="782A0C8C"/>
    <w:rsid w:val="782C253B"/>
    <w:rsid w:val="78393BDC"/>
    <w:rsid w:val="7839732A"/>
    <w:rsid w:val="783B7D77"/>
    <w:rsid w:val="784120E7"/>
    <w:rsid w:val="78632E2A"/>
    <w:rsid w:val="786A6675"/>
    <w:rsid w:val="78886285"/>
    <w:rsid w:val="789F751B"/>
    <w:rsid w:val="78A1455F"/>
    <w:rsid w:val="78A17F99"/>
    <w:rsid w:val="78A96A32"/>
    <w:rsid w:val="78B164B4"/>
    <w:rsid w:val="78B2790D"/>
    <w:rsid w:val="78B44EA3"/>
    <w:rsid w:val="78B95140"/>
    <w:rsid w:val="78BD078C"/>
    <w:rsid w:val="78D42392"/>
    <w:rsid w:val="78DB5727"/>
    <w:rsid w:val="78E214F8"/>
    <w:rsid w:val="78E722A6"/>
    <w:rsid w:val="78EF7E10"/>
    <w:rsid w:val="78F10436"/>
    <w:rsid w:val="79004B1D"/>
    <w:rsid w:val="790463BB"/>
    <w:rsid w:val="79070A72"/>
    <w:rsid w:val="79116E06"/>
    <w:rsid w:val="7916284E"/>
    <w:rsid w:val="7917715F"/>
    <w:rsid w:val="791B3704"/>
    <w:rsid w:val="792C17FD"/>
    <w:rsid w:val="792C3B64"/>
    <w:rsid w:val="793629F7"/>
    <w:rsid w:val="794B3FEA"/>
    <w:rsid w:val="794D31B6"/>
    <w:rsid w:val="795030F2"/>
    <w:rsid w:val="79595022"/>
    <w:rsid w:val="79646E59"/>
    <w:rsid w:val="796B5A23"/>
    <w:rsid w:val="796D676C"/>
    <w:rsid w:val="797C1D3C"/>
    <w:rsid w:val="79870D9A"/>
    <w:rsid w:val="798A2EAF"/>
    <w:rsid w:val="798C6425"/>
    <w:rsid w:val="7999366C"/>
    <w:rsid w:val="799A0BCC"/>
    <w:rsid w:val="79A454A8"/>
    <w:rsid w:val="79A6492F"/>
    <w:rsid w:val="79A85561"/>
    <w:rsid w:val="79B25482"/>
    <w:rsid w:val="79C95DCF"/>
    <w:rsid w:val="79CA1ABB"/>
    <w:rsid w:val="79E166FC"/>
    <w:rsid w:val="79EE4319"/>
    <w:rsid w:val="79F75F20"/>
    <w:rsid w:val="79FC52E4"/>
    <w:rsid w:val="79FF1D67"/>
    <w:rsid w:val="7A274CFC"/>
    <w:rsid w:val="7A2B09D6"/>
    <w:rsid w:val="7A3C3AF7"/>
    <w:rsid w:val="7A49604F"/>
    <w:rsid w:val="7A513882"/>
    <w:rsid w:val="7A552C46"/>
    <w:rsid w:val="7A597291"/>
    <w:rsid w:val="7A760650"/>
    <w:rsid w:val="7A887BF2"/>
    <w:rsid w:val="7A9543A7"/>
    <w:rsid w:val="7A9C6A34"/>
    <w:rsid w:val="7AA24531"/>
    <w:rsid w:val="7AB30E59"/>
    <w:rsid w:val="7ACB3368"/>
    <w:rsid w:val="7AD24297"/>
    <w:rsid w:val="7AEB5324"/>
    <w:rsid w:val="7AF1141E"/>
    <w:rsid w:val="7AF97A75"/>
    <w:rsid w:val="7B063660"/>
    <w:rsid w:val="7B0D644D"/>
    <w:rsid w:val="7B18614D"/>
    <w:rsid w:val="7B1C4F98"/>
    <w:rsid w:val="7B212602"/>
    <w:rsid w:val="7B3311D9"/>
    <w:rsid w:val="7B406C2D"/>
    <w:rsid w:val="7B42766E"/>
    <w:rsid w:val="7B4927AB"/>
    <w:rsid w:val="7B4B2CFB"/>
    <w:rsid w:val="7B503B39"/>
    <w:rsid w:val="7B520CA7"/>
    <w:rsid w:val="7B672C31"/>
    <w:rsid w:val="7B687274"/>
    <w:rsid w:val="7B6E0463"/>
    <w:rsid w:val="7B7B048A"/>
    <w:rsid w:val="7B8657AD"/>
    <w:rsid w:val="7B8A7A76"/>
    <w:rsid w:val="7B8F1963"/>
    <w:rsid w:val="7B95779E"/>
    <w:rsid w:val="7B9713FD"/>
    <w:rsid w:val="7BBC3376"/>
    <w:rsid w:val="7BBD20D4"/>
    <w:rsid w:val="7BC22CA5"/>
    <w:rsid w:val="7BD31429"/>
    <w:rsid w:val="7BDE0A0C"/>
    <w:rsid w:val="7BE20509"/>
    <w:rsid w:val="7BE81DB8"/>
    <w:rsid w:val="7BEC1F58"/>
    <w:rsid w:val="7BFD3595"/>
    <w:rsid w:val="7C1576C6"/>
    <w:rsid w:val="7C1A66F4"/>
    <w:rsid w:val="7C1C1C6D"/>
    <w:rsid w:val="7C3012D4"/>
    <w:rsid w:val="7C307D2D"/>
    <w:rsid w:val="7C54440B"/>
    <w:rsid w:val="7C5B3307"/>
    <w:rsid w:val="7C6747C6"/>
    <w:rsid w:val="7C6E3EFC"/>
    <w:rsid w:val="7C6F1677"/>
    <w:rsid w:val="7C703DFB"/>
    <w:rsid w:val="7C7F10AF"/>
    <w:rsid w:val="7C85377B"/>
    <w:rsid w:val="7C887303"/>
    <w:rsid w:val="7C8F68E3"/>
    <w:rsid w:val="7CA155CE"/>
    <w:rsid w:val="7CAD4FBB"/>
    <w:rsid w:val="7CB93A93"/>
    <w:rsid w:val="7CBE50AF"/>
    <w:rsid w:val="7CBF43FD"/>
    <w:rsid w:val="7CD67ABD"/>
    <w:rsid w:val="7CE002CB"/>
    <w:rsid w:val="7CE81B50"/>
    <w:rsid w:val="7D08662D"/>
    <w:rsid w:val="7D097714"/>
    <w:rsid w:val="7D0F6ECD"/>
    <w:rsid w:val="7D180687"/>
    <w:rsid w:val="7D1C21F6"/>
    <w:rsid w:val="7D1F353E"/>
    <w:rsid w:val="7D2256E0"/>
    <w:rsid w:val="7D2471AE"/>
    <w:rsid w:val="7D384885"/>
    <w:rsid w:val="7D3E470B"/>
    <w:rsid w:val="7D403060"/>
    <w:rsid w:val="7D481BF3"/>
    <w:rsid w:val="7D494CE4"/>
    <w:rsid w:val="7D5919D9"/>
    <w:rsid w:val="7D6A6A08"/>
    <w:rsid w:val="7D7B45CB"/>
    <w:rsid w:val="7D7D4F2C"/>
    <w:rsid w:val="7D845D1C"/>
    <w:rsid w:val="7DA43CC8"/>
    <w:rsid w:val="7DAA4898"/>
    <w:rsid w:val="7DB55ED6"/>
    <w:rsid w:val="7DB60EBE"/>
    <w:rsid w:val="7DB76AA5"/>
    <w:rsid w:val="7DB83C18"/>
    <w:rsid w:val="7DBB54B6"/>
    <w:rsid w:val="7DCE51E9"/>
    <w:rsid w:val="7DD547CA"/>
    <w:rsid w:val="7DDC7906"/>
    <w:rsid w:val="7DDD542C"/>
    <w:rsid w:val="7DDE2EAA"/>
    <w:rsid w:val="7DE247F1"/>
    <w:rsid w:val="7DE844FD"/>
    <w:rsid w:val="7DEA3FF1"/>
    <w:rsid w:val="7DF45FDD"/>
    <w:rsid w:val="7DF76897"/>
    <w:rsid w:val="7E096221"/>
    <w:rsid w:val="7E106A78"/>
    <w:rsid w:val="7E1352F2"/>
    <w:rsid w:val="7E166F02"/>
    <w:rsid w:val="7E176B90"/>
    <w:rsid w:val="7E1E6E06"/>
    <w:rsid w:val="7E244E09"/>
    <w:rsid w:val="7E3C09C0"/>
    <w:rsid w:val="7E3E2A9C"/>
    <w:rsid w:val="7E4807C8"/>
    <w:rsid w:val="7E4A06B1"/>
    <w:rsid w:val="7E6228D9"/>
    <w:rsid w:val="7E630B36"/>
    <w:rsid w:val="7E6873EC"/>
    <w:rsid w:val="7E6F0F4D"/>
    <w:rsid w:val="7E6F570E"/>
    <w:rsid w:val="7E6F5FE6"/>
    <w:rsid w:val="7E7044F2"/>
    <w:rsid w:val="7E751B09"/>
    <w:rsid w:val="7E77762F"/>
    <w:rsid w:val="7E794EEE"/>
    <w:rsid w:val="7E8615CA"/>
    <w:rsid w:val="7E997079"/>
    <w:rsid w:val="7E9975A5"/>
    <w:rsid w:val="7EA67F14"/>
    <w:rsid w:val="7EAC61CE"/>
    <w:rsid w:val="7EAE296C"/>
    <w:rsid w:val="7EAF3E0E"/>
    <w:rsid w:val="7EB6125E"/>
    <w:rsid w:val="7EBD792C"/>
    <w:rsid w:val="7ECA1799"/>
    <w:rsid w:val="7ED24865"/>
    <w:rsid w:val="7ED30AD2"/>
    <w:rsid w:val="7ED600FB"/>
    <w:rsid w:val="7EE43205"/>
    <w:rsid w:val="7EFC5D86"/>
    <w:rsid w:val="7F0A00D7"/>
    <w:rsid w:val="7F1906E6"/>
    <w:rsid w:val="7F250E39"/>
    <w:rsid w:val="7F26384E"/>
    <w:rsid w:val="7F2C13EE"/>
    <w:rsid w:val="7F2D4191"/>
    <w:rsid w:val="7F3E003F"/>
    <w:rsid w:val="7F413799"/>
    <w:rsid w:val="7F556C77"/>
    <w:rsid w:val="7F6E6151"/>
    <w:rsid w:val="7F7555FC"/>
    <w:rsid w:val="7F972415"/>
    <w:rsid w:val="7F982E42"/>
    <w:rsid w:val="7F9F6E3D"/>
    <w:rsid w:val="7FA0738E"/>
    <w:rsid w:val="7FA20C8F"/>
    <w:rsid w:val="7FA53D28"/>
    <w:rsid w:val="7FAF2DF8"/>
    <w:rsid w:val="7FAF431D"/>
    <w:rsid w:val="7FBB79EF"/>
    <w:rsid w:val="7FCD7592"/>
    <w:rsid w:val="7FD34A5A"/>
    <w:rsid w:val="7FDC2445"/>
    <w:rsid w:val="7FDD1714"/>
    <w:rsid w:val="7FF411DF"/>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autoRedefine/>
    <w:qFormat/>
    <w:uiPriority w:val="1"/>
    <w:pPr>
      <w:spacing w:before="12"/>
      <w:ind w:left="3685"/>
      <w:outlineLvl w:val="1"/>
    </w:pPr>
    <w:rPr>
      <w:rFonts w:ascii="微软雅黑" w:hAnsi="微软雅黑" w:eastAsia="微软雅黑" w:cs="微软雅黑"/>
      <w:b/>
      <w:bCs/>
      <w:sz w:val="32"/>
      <w:szCs w:val="32"/>
      <w:lang w:val="zh-CN" w:eastAsia="zh-CN" w:bidi="zh-CN"/>
    </w:rPr>
  </w:style>
  <w:style w:type="paragraph" w:styleId="3">
    <w:name w:val="heading 4"/>
    <w:basedOn w:val="1"/>
    <w:next w:val="1"/>
    <w:autoRedefine/>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pPr>
    <w:rPr>
      <w:sz w:val="21"/>
    </w:rPr>
  </w:style>
  <w:style w:type="paragraph" w:styleId="5">
    <w:name w:val="toa heading"/>
    <w:basedOn w:val="1"/>
    <w:next w:val="1"/>
    <w:autoRedefine/>
    <w:qFormat/>
    <w:uiPriority w:val="0"/>
    <w:pPr>
      <w:spacing w:before="120"/>
    </w:pPr>
    <w:rPr>
      <w:rFonts w:ascii="Arial" w:hAnsi="Arial"/>
      <w:sz w:val="24"/>
      <w:szCs w:val="21"/>
    </w:rPr>
  </w:style>
  <w:style w:type="paragraph" w:styleId="6">
    <w:name w:val="index 6"/>
    <w:basedOn w:val="1"/>
    <w:next w:val="1"/>
    <w:autoRedefine/>
    <w:qFormat/>
    <w:uiPriority w:val="99"/>
    <w:pPr>
      <w:ind w:left="2100"/>
    </w:pPr>
  </w:style>
  <w:style w:type="paragraph" w:styleId="7">
    <w:name w:val="Body Text"/>
    <w:basedOn w:val="1"/>
    <w:next w:val="1"/>
    <w:autoRedefine/>
    <w:qFormat/>
    <w:uiPriority w:val="1"/>
    <w:rPr>
      <w:rFonts w:ascii="宋体" w:hAnsi="宋体" w:eastAsia="宋体" w:cs="宋体"/>
      <w:sz w:val="21"/>
      <w:szCs w:val="21"/>
      <w:lang w:val="zh-CN" w:eastAsia="zh-CN" w:bidi="zh-CN"/>
    </w:rPr>
  </w:style>
  <w:style w:type="paragraph" w:styleId="8">
    <w:name w:val="Body Text Indent"/>
    <w:basedOn w:val="1"/>
    <w:autoRedefine/>
    <w:qFormat/>
    <w:uiPriority w:val="0"/>
    <w:pPr>
      <w:spacing w:line="360" w:lineRule="auto"/>
      <w:ind w:firstLine="560" w:firstLineChars="200"/>
    </w:pPr>
    <w:rPr>
      <w:sz w:val="28"/>
    </w:rPr>
  </w:style>
  <w:style w:type="paragraph" w:styleId="9">
    <w:name w:val="HTML Address"/>
    <w:basedOn w:val="1"/>
    <w:next w:val="7"/>
    <w:unhideWhenUsed/>
    <w:qFormat/>
    <w:uiPriority w:val="99"/>
    <w:pPr>
      <w:topLinePunct/>
    </w:pPr>
  </w:style>
  <w:style w:type="paragraph" w:styleId="10">
    <w:name w:val="Plain Text"/>
    <w:basedOn w:val="1"/>
    <w:autoRedefine/>
    <w:qFormat/>
    <w:uiPriority w:val="0"/>
    <w:rPr>
      <w:rFonts w:ascii="宋体" w:hAnsi="Courier New"/>
      <w:szCs w:val="20"/>
    </w:rPr>
  </w:style>
  <w:style w:type="paragraph" w:styleId="11">
    <w:name w:val="Date"/>
    <w:basedOn w:val="1"/>
    <w:next w:val="1"/>
    <w:autoRedefine/>
    <w:qFormat/>
    <w:uiPriority w:val="0"/>
    <w:rPr>
      <w:szCs w:val="24"/>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autoRedefine/>
    <w:qFormat/>
    <w:uiPriority w:val="0"/>
    <w:pPr>
      <w:snapToGrid w:val="0"/>
      <w:spacing w:line="240" w:lineRule="auto"/>
      <w:jc w:val="left"/>
    </w:pPr>
    <w:rPr>
      <w:kern w:val="0"/>
      <w:sz w:val="18"/>
      <w:szCs w:val="18"/>
    </w:rPr>
  </w:style>
  <w:style w:type="paragraph" w:styleId="15">
    <w:name w:val="Message Header"/>
    <w:basedOn w:val="1"/>
    <w:next w:val="10"/>
    <w:autoRedefine/>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7"/>
    <w:autoRedefine/>
    <w:qFormat/>
    <w:uiPriority w:val="0"/>
    <w:pPr>
      <w:spacing w:line="360" w:lineRule="auto"/>
      <w:ind w:firstLine="200" w:firstLineChars="200"/>
    </w:pPr>
    <w:rPr>
      <w:rFonts w:ascii="仿宋_GB2312" w:eastAsia="仿宋_GB2312"/>
      <w:sz w:val="30"/>
      <w:szCs w:val="30"/>
    </w:rPr>
  </w:style>
  <w:style w:type="paragraph" w:styleId="18">
    <w:name w:val="Body Text First Indent 2"/>
    <w:basedOn w:val="8"/>
    <w:autoRedefine/>
    <w:unhideWhenUsed/>
    <w:qFormat/>
    <w:uiPriority w:val="0"/>
    <w:pPr>
      <w:spacing w:after="120" w:line="240" w:lineRule="auto"/>
      <w:ind w:left="420" w:leftChars="200" w:firstLine="420"/>
    </w:pPr>
    <w:rPr>
      <w:sz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basedOn w:val="21"/>
    <w:autoRedefine/>
    <w:qFormat/>
    <w:uiPriority w:val="99"/>
  </w:style>
  <w:style w:type="character" w:styleId="24">
    <w:name w:val="Emphasis"/>
    <w:basedOn w:val="21"/>
    <w:autoRedefine/>
    <w:qFormat/>
    <w:uiPriority w:val="0"/>
    <w:rPr>
      <w:i/>
    </w:rPr>
  </w:style>
  <w:style w:type="character" w:styleId="25">
    <w:name w:val="HTML Sample"/>
    <w:basedOn w:val="21"/>
    <w:autoRedefine/>
    <w:qFormat/>
    <w:uiPriority w:val="0"/>
    <w:rPr>
      <w:rFonts w:ascii="Courier New" w:hAnsi="Courier New"/>
    </w:rPr>
  </w:style>
  <w:style w:type="paragraph" w:customStyle="1" w:styleId="26">
    <w:name w:val="文档正文"/>
    <w:basedOn w:val="4"/>
    <w:autoRedefine/>
    <w:qFormat/>
    <w:uiPriority w:val="0"/>
    <w:pPr>
      <w:spacing w:line="480" w:lineRule="atLeast"/>
      <w:textAlignment w:val="baseline"/>
    </w:pPr>
    <w:rPr>
      <w:kern w:val="0"/>
      <w:sz w:val="24"/>
    </w:rPr>
  </w:style>
  <w:style w:type="paragraph" w:customStyle="1" w:styleId="27">
    <w:name w:val="Style1"/>
    <w:basedOn w:val="1"/>
    <w:autoRedefine/>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28">
    <w:name w:val="目录 81"/>
    <w:basedOn w:val="1"/>
    <w:next w:val="1"/>
    <w:autoRedefine/>
    <w:qFormat/>
    <w:uiPriority w:val="0"/>
    <w:pPr>
      <w:ind w:left="1470"/>
      <w:jc w:val="left"/>
    </w:pPr>
    <w:rPr>
      <w:rFonts w:ascii="Times New Roman" w:hAnsi="Times New Roman" w:eastAsia="宋体" w:cs="Times New Roman"/>
      <w:szCs w:val="21"/>
    </w:rPr>
  </w:style>
  <w:style w:type="paragraph" w:customStyle="1" w:styleId="29">
    <w:name w:val="Normal_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0">
    <w:name w:val="Normal_1_0"/>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1">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2">
    <w:name w:val="Table Paragraph"/>
    <w:basedOn w:val="1"/>
    <w:autoRedefine/>
    <w:qFormat/>
    <w:uiPriority w:val="1"/>
    <w:rPr>
      <w:rFonts w:ascii="宋体" w:hAnsi="宋体" w:eastAsia="宋体" w:cs="宋体"/>
      <w:lang w:val="zh-CN" w:eastAsia="zh-CN" w:bidi="zh-CN"/>
    </w:rPr>
  </w:style>
  <w:style w:type="paragraph" w:customStyle="1" w:styleId="33">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lang w:bidi="ar-SA"/>
    </w:rPr>
  </w:style>
  <w:style w:type="paragraph" w:customStyle="1" w:styleId="34">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列出段落1"/>
    <w:basedOn w:val="1"/>
    <w:autoRedefine/>
    <w:qFormat/>
    <w:uiPriority w:val="0"/>
    <w:pPr>
      <w:spacing w:line="240" w:lineRule="auto"/>
      <w:ind w:firstLine="420" w:firstLineChars="200"/>
    </w:pPr>
    <w:rPr>
      <w:sz w:val="21"/>
      <w:szCs w:val="24"/>
    </w:rPr>
  </w:style>
  <w:style w:type="paragraph" w:customStyle="1" w:styleId="3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7">
    <w:name w:val="WPSOffice手动目录 1"/>
    <w:autoRedefine/>
    <w:qFormat/>
    <w:uiPriority w:val="0"/>
    <w:pPr>
      <w:ind w:leftChars="0"/>
    </w:pPr>
    <w:rPr>
      <w:rFonts w:ascii="Times New Roman" w:hAnsi="Times New Roman" w:eastAsia="宋体" w:cs="Times New Roman"/>
      <w:sz w:val="20"/>
      <w:szCs w:val="20"/>
    </w:rPr>
  </w:style>
  <w:style w:type="paragraph" w:customStyle="1" w:styleId="38">
    <w:name w:val="样式 首行缩进:  2 字符"/>
    <w:basedOn w:val="1"/>
    <w:autoRedefine/>
    <w:qFormat/>
    <w:uiPriority w:val="99"/>
    <w:pPr>
      <w:spacing w:beforeLines="50" w:afterLines="50"/>
      <w:ind w:firstLine="200" w:firstLineChars="200"/>
    </w:pPr>
    <w:rPr>
      <w:rFonts w:eastAsia="仿宋" w:cs="宋体"/>
      <w:sz w:val="24"/>
      <w:szCs w:val="20"/>
    </w:rPr>
  </w:style>
  <w:style w:type="paragraph" w:customStyle="1" w:styleId="39">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40">
    <w:name w:val="WPS Plain"/>
    <w:autoRedefine/>
    <w:qFormat/>
    <w:uiPriority w:val="99"/>
    <w:rPr>
      <w:rFonts w:ascii="Times New Roman" w:hAnsi="Times New Roman" w:eastAsia="宋体" w:cs="Times New Roman"/>
      <w:sz w:val="21"/>
      <w:szCs w:val="22"/>
      <w:lang w:val="en-US" w:eastAsia="zh-CN" w:bidi="ar-SA"/>
    </w:rPr>
  </w:style>
  <w:style w:type="paragraph" w:customStyle="1" w:styleId="41">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42">
    <w:name w:val="正文缩进1"/>
    <w:basedOn w:val="1"/>
    <w:autoRedefine/>
    <w:qFormat/>
    <w:uiPriority w:val="0"/>
    <w:pPr>
      <w:ind w:firstLine="567"/>
    </w:pPr>
    <w:rPr>
      <w:rFonts w:ascii="Times New Roman" w:hAnsi="Times New Roman" w:eastAsia="宋体" w:cs="Times New Roman"/>
      <w:spacing w:val="20"/>
      <w:sz w:val="24"/>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Table Text"/>
    <w:basedOn w:val="1"/>
    <w:autoRedefine/>
    <w:semiHidden/>
    <w:qFormat/>
    <w:uiPriority w:val="0"/>
    <w:rPr>
      <w:rFonts w:ascii="宋体" w:hAnsi="宋体" w:eastAsia="宋体" w:cs="宋体"/>
      <w:sz w:val="22"/>
      <w:szCs w:val="22"/>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47">
    <w:name w:val="Normal_0"/>
    <w:qFormat/>
    <w:uiPriority w:val="0"/>
    <w:rPr>
      <w:rFonts w:ascii="Times New Roman" w:hAnsi="Times New Roman" w:eastAsia="Times New Roman" w:cs="Times New Roman"/>
      <w:sz w:val="24"/>
      <w:szCs w:val="24"/>
      <w:lang w:val="en-US" w:eastAsia="zh-CN" w:bidi="ar-SA"/>
    </w:rPr>
  </w:style>
  <w:style w:type="paragraph" w:customStyle="1" w:styleId="48">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145</Pages>
  <Words>152</Words>
  <Characters>194</Characters>
  <Lines>0</Lines>
  <Paragraphs>0</Paragraphs>
  <TotalTime>288</TotalTime>
  <ScaleCrop>false</ScaleCrop>
  <LinksUpToDate>false</LinksUpToDate>
  <CharactersWithSpaces>206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2023-05-18T09:27:00Z</dcterms:created>
  <dc:creator>Administrator</dc:creator>
  <cp:lastModifiedBy>Administrator</cp:lastModifiedBy>
  <cp:lastPrinted>2023-05-19T08:51:00Z</cp:lastPrinted>
  <dcterms:modified xsi:type="dcterms:W3CDTF">2026-05-15T04:16:31Z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E1384BB963FE4AEEAD0DB573B423EFED_13</vt:lpwstr>
  </property>
  <property fmtid="{D5CDD505-2E9C-101B-9397-08002B2CF9AE}" pid="4" name="KSOTemplateDocerSaveRecord">
    <vt:lpwstr>eyJoZGlkIjoiOGI2NDIwN2M2ODljYmVjN2ZmM2NiOGFkNDlmMDNhNzQiLCJ1c2VySWQiOiIxNTQ4NTc1Mzk2In0=</vt:lpwstr>
  </property>
</Properties>
</file>