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92B19">
      <w:pPr>
        <w:pStyle w:val="69"/>
        <w:rPr>
          <w:rFonts w:hint="eastAsia" w:hAnsi="宋体" w:eastAsia="宋体"/>
          <w:color w:val="auto"/>
          <w:lang w:eastAsia="zh-CN"/>
        </w:rPr>
      </w:pPr>
      <w:r>
        <w:rPr>
          <w:rFonts w:hint="eastAsia" w:hAnsi="宋体" w:eastAsia="宋体"/>
          <w:color w:val="auto"/>
          <w:lang w:eastAsia="zh-CN"/>
        </w:rPr>
        <w:drawing>
          <wp:inline distT="0" distB="0" distL="114300" distR="114300">
            <wp:extent cx="5920740" cy="8413750"/>
            <wp:effectExtent l="0" t="0" r="7620" b="13970"/>
            <wp:docPr id="1" name="图片 1" descr="dccfef74aeb43185b5e2405a88e6b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cfef74aeb43185b5e2405a88e6b151"/>
                    <pic:cNvPicPr>
                      <a:picLocks noChangeAspect="1"/>
                    </pic:cNvPicPr>
                  </pic:nvPicPr>
                  <pic:blipFill>
                    <a:blip r:embed="rId6"/>
                    <a:stretch>
                      <a:fillRect/>
                    </a:stretch>
                  </pic:blipFill>
                  <pic:spPr>
                    <a:xfrm>
                      <a:off x="0" y="0"/>
                      <a:ext cx="5920740" cy="8413750"/>
                    </a:xfrm>
                    <a:prstGeom prst="rect">
                      <a:avLst/>
                    </a:prstGeom>
                  </pic:spPr>
                </pic:pic>
              </a:graphicData>
            </a:graphic>
          </wp:inline>
        </w:drawing>
      </w:r>
    </w:p>
    <w:p w14:paraId="7AB01D41">
      <w:pPr>
        <w:pStyle w:val="69"/>
        <w:rPr>
          <w:rFonts w:hAnsi="宋体"/>
          <w:color w:val="auto"/>
        </w:rPr>
      </w:pPr>
    </w:p>
    <w:p w14:paraId="0C4AEC9E">
      <w:pPr>
        <w:pStyle w:val="69"/>
        <w:rPr>
          <w:rFonts w:hAnsi="宋体"/>
          <w:color w:val="auto"/>
        </w:rPr>
      </w:pPr>
    </w:p>
    <w:p w14:paraId="69A72AE6">
      <w:pPr>
        <w:pStyle w:val="69"/>
        <w:rPr>
          <w:rFonts w:hAnsi="宋体"/>
          <w:color w:val="auto"/>
        </w:rPr>
      </w:pPr>
    </w:p>
    <w:p w14:paraId="5E9B33ED">
      <w:pPr>
        <w:pStyle w:val="69"/>
        <w:rPr>
          <w:rFonts w:hAnsi="宋体"/>
          <w:color w:val="auto"/>
        </w:rPr>
      </w:pPr>
    </w:p>
    <w:p w14:paraId="1A0A9B34">
      <w:pPr>
        <w:pStyle w:val="69"/>
        <w:rPr>
          <w:rFonts w:hAnsi="宋体"/>
          <w:color w:val="auto"/>
        </w:rPr>
      </w:pPr>
    </w:p>
    <w:p w14:paraId="11100791">
      <w:pPr>
        <w:pStyle w:val="69"/>
        <w:rPr>
          <w:rFonts w:hAnsi="宋体"/>
          <w:color w:val="auto"/>
        </w:rPr>
      </w:pPr>
    </w:p>
    <w:p w14:paraId="4DFA728B">
      <w:pPr>
        <w:pStyle w:val="69"/>
        <w:rPr>
          <w:rFonts w:hAnsi="宋体"/>
          <w:color w:val="auto"/>
        </w:rPr>
      </w:pPr>
    </w:p>
    <w:p w14:paraId="08CC3F7E">
      <w:pPr>
        <w:pStyle w:val="69"/>
        <w:rPr>
          <w:rFonts w:hAnsi="宋体"/>
          <w:color w:val="auto"/>
        </w:rPr>
      </w:pPr>
    </w:p>
    <w:p w14:paraId="3A757D4F">
      <w:pPr>
        <w:pStyle w:val="69"/>
        <w:rPr>
          <w:rFonts w:hAnsi="宋体"/>
          <w:color w:val="auto"/>
        </w:rPr>
      </w:pPr>
    </w:p>
    <w:p w14:paraId="28919145">
      <w:pPr>
        <w:pStyle w:val="69"/>
        <w:rPr>
          <w:rFonts w:hAnsi="宋体"/>
          <w:color w:val="auto"/>
        </w:rPr>
      </w:pPr>
    </w:p>
    <w:p w14:paraId="1440EAA1">
      <w:pPr>
        <w:pStyle w:val="69"/>
        <w:rPr>
          <w:rFonts w:hAnsi="宋体"/>
          <w:b/>
          <w:color w:val="auto"/>
        </w:rPr>
      </w:pPr>
    </w:p>
    <w:p w14:paraId="37229C85">
      <w:pPr>
        <w:widowControl w:val="0"/>
        <w:jc w:val="center"/>
        <w:outlineLvl w:val="0"/>
        <w:rPr>
          <w:rFonts w:ascii="宋体" w:hAnsi="宋体" w:cs="宋体"/>
        </w:rPr>
      </w:pPr>
      <w:bookmarkStart w:id="0" w:name="_Toc508109881"/>
      <w:bookmarkStart w:id="1" w:name="_Toc66736792"/>
      <w:bookmarkStart w:id="2" w:name="_Toc331427646"/>
      <w:bookmarkStart w:id="3" w:name="_Toc13920"/>
      <w:bookmarkStart w:id="4" w:name="_Toc508110170"/>
      <w:bookmarkStart w:id="5" w:name="_Toc331341741"/>
      <w:bookmarkStart w:id="6" w:name="_Toc66457104"/>
      <w:bookmarkStart w:id="7" w:name="_Toc6729"/>
      <w:r>
        <w:rPr>
          <w:rFonts w:hint="eastAsia" w:ascii="宋体" w:hAnsi="宋体" w:cs="宋体"/>
          <w:b/>
          <w:bCs/>
          <w:sz w:val="48"/>
          <w:szCs w:val="48"/>
        </w:rPr>
        <w:t xml:space="preserve">第一章  </w:t>
      </w:r>
      <w:bookmarkEnd w:id="0"/>
      <w:bookmarkEnd w:id="1"/>
      <w:bookmarkEnd w:id="2"/>
      <w:bookmarkEnd w:id="3"/>
      <w:bookmarkEnd w:id="4"/>
      <w:bookmarkEnd w:id="5"/>
      <w:bookmarkEnd w:id="6"/>
      <w:r>
        <w:rPr>
          <w:rFonts w:hint="eastAsia" w:ascii="宋体" w:hAnsi="宋体" w:cs="宋体"/>
          <w:b/>
          <w:bCs/>
          <w:sz w:val="48"/>
          <w:szCs w:val="48"/>
        </w:rPr>
        <w:t>竞争性磋商公告</w:t>
      </w:r>
      <w:bookmarkEnd w:id="7"/>
    </w:p>
    <w:p w14:paraId="5D9A8518">
      <w:pPr>
        <w:jc w:val="center"/>
        <w:rPr>
          <w:rFonts w:ascii="宋体" w:hAnsi="宋体" w:cs="宋体"/>
          <w:sz w:val="44"/>
          <w:szCs w:val="44"/>
        </w:rPr>
      </w:pPr>
      <w:r>
        <w:rPr>
          <w:rFonts w:hint="eastAsia" w:ascii="宋体" w:hAnsi="宋体" w:cs="宋体"/>
        </w:rPr>
        <w:br w:type="page"/>
      </w:r>
      <w:bookmarkStart w:id="8" w:name="_Toc35393789"/>
      <w:bookmarkStart w:id="9" w:name="_Toc28359001"/>
    </w:p>
    <w:bookmarkEnd w:id="8"/>
    <w:bookmarkEnd w:id="9"/>
    <w:p w14:paraId="2053715F">
      <w:pPr>
        <w:pStyle w:val="2"/>
        <w:tabs>
          <w:tab w:val="left" w:pos="0"/>
          <w:tab w:val="left" w:pos="3165"/>
          <w:tab w:val="center" w:pos="4153"/>
        </w:tabs>
        <w:spacing w:line="360" w:lineRule="auto"/>
        <w:rPr>
          <w:rFonts w:ascii="宋体" w:hAnsi="宋体" w:eastAsia="宋体" w:cs="宋体"/>
          <w:sz w:val="44"/>
        </w:rPr>
      </w:pPr>
      <w:bookmarkStart w:id="10" w:name="_Hlk162798357"/>
      <w:r>
        <w:rPr>
          <w:rFonts w:hint="eastAsia" w:ascii="宋体" w:hAnsi="宋体" w:eastAsia="宋体" w:cs="宋体"/>
          <w:sz w:val="44"/>
        </w:rPr>
        <w:t>竞争性磋商公告</w:t>
      </w:r>
    </w:p>
    <w:p w14:paraId="2D79A184">
      <w:pPr>
        <w:pBdr>
          <w:top w:val="single" w:color="auto" w:sz="4" w:space="1"/>
          <w:left w:val="single" w:color="auto" w:sz="4" w:space="4"/>
          <w:bottom w:val="single" w:color="auto" w:sz="4" w:space="1"/>
          <w:right w:val="single" w:color="auto" w:sz="4" w:space="4"/>
        </w:pBdr>
        <w:spacing w:line="4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项目概况</w:t>
      </w:r>
    </w:p>
    <w:p w14:paraId="065A2448">
      <w:pPr>
        <w:keepNext w:val="0"/>
        <w:keepLines w:val="0"/>
        <w:pageBreakBefore w:val="0"/>
        <w:widowControl/>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60" w:lineRule="exact"/>
        <w:ind w:firstLine="480" w:firstLineChars="200"/>
        <w:textAlignment w:val="auto"/>
        <w:rPr>
          <w:rFonts w:ascii="宋体" w:hAnsi="宋体"/>
          <w:color w:val="auto"/>
          <w:sz w:val="24"/>
          <w:szCs w:val="24"/>
          <w:highlight w:val="none"/>
        </w:rPr>
      </w:pPr>
      <w:r>
        <w:rPr>
          <w:rFonts w:hint="eastAsia" w:ascii="宋体" w:hAnsi="宋体" w:cs="宋体"/>
          <w:color w:val="000000"/>
          <w:u w:val="single"/>
          <w:lang w:val="en-US" w:eastAsia="zh-CN"/>
        </w:rPr>
        <w:t>施甸县东山清水沟矿业有限公司尾矿库风险隐患治理项目</w:t>
      </w:r>
      <w:r>
        <w:rPr>
          <w:rFonts w:hint="eastAsia" w:ascii="宋体" w:hAnsi="宋体"/>
          <w:color w:val="auto"/>
          <w:sz w:val="24"/>
          <w:szCs w:val="24"/>
          <w:highlight w:val="none"/>
        </w:rPr>
        <w:t>的潜在</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应在</w:t>
      </w:r>
      <w:r>
        <w:rPr>
          <w:rFonts w:hint="eastAsia" w:ascii="宋体" w:hAnsi="宋体"/>
          <w:color w:val="auto"/>
          <w:sz w:val="24"/>
          <w:szCs w:val="24"/>
          <w:highlight w:val="none"/>
          <w:u w:val="single"/>
          <w:lang w:eastAsia="zh-CN"/>
        </w:rPr>
        <w:t>政府采购云平台（https://www.zcygov.cn）</w:t>
      </w:r>
      <w:r>
        <w:rPr>
          <w:rFonts w:hint="eastAsia" w:ascii="宋体" w:hAnsi="宋体"/>
          <w:color w:val="auto"/>
          <w:sz w:val="24"/>
          <w:szCs w:val="24"/>
          <w:highlight w:val="none"/>
        </w:rPr>
        <w:t>获取磋商文件，并于</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25</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时00分</w:t>
      </w:r>
      <w:r>
        <w:rPr>
          <w:rFonts w:hint="eastAsia" w:ascii="宋体" w:hAnsi="宋体"/>
          <w:bCs/>
          <w:color w:val="auto"/>
          <w:sz w:val="24"/>
          <w:szCs w:val="24"/>
          <w:highlight w:val="none"/>
        </w:rPr>
        <w:t>（北京时间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具体时间以系统为准</w:t>
      </w:r>
      <w:r>
        <w:rPr>
          <w:rFonts w:hint="eastAsia" w:ascii="宋体" w:hAnsi="宋体"/>
          <w:bCs/>
          <w:color w:val="auto"/>
          <w:sz w:val="24"/>
          <w:szCs w:val="24"/>
          <w:highlight w:val="none"/>
        </w:rPr>
        <w:t>）前提交响应</w:t>
      </w:r>
      <w:r>
        <w:rPr>
          <w:rFonts w:ascii="宋体" w:hAnsi="宋体"/>
          <w:bCs/>
          <w:color w:val="auto"/>
          <w:sz w:val="24"/>
          <w:szCs w:val="24"/>
          <w:highlight w:val="none"/>
        </w:rPr>
        <w:t>文件</w:t>
      </w:r>
      <w:r>
        <w:rPr>
          <w:rFonts w:hint="eastAsia" w:ascii="宋体" w:hAnsi="宋体"/>
          <w:color w:val="auto"/>
          <w:sz w:val="24"/>
          <w:szCs w:val="24"/>
          <w:highlight w:val="none"/>
        </w:rPr>
        <w:t>。</w:t>
      </w:r>
    </w:p>
    <w:bookmarkEnd w:id="10"/>
    <w:p w14:paraId="66FC3B36">
      <w:pPr>
        <w:spacing w:line="360" w:lineRule="auto"/>
        <w:rPr>
          <w:rFonts w:ascii="宋体" w:hAnsi="宋体" w:cs="宋体"/>
          <w:b/>
          <w:sz w:val="28"/>
          <w:szCs w:val="28"/>
        </w:rPr>
      </w:pPr>
      <w:r>
        <w:rPr>
          <w:rFonts w:hint="eastAsia" w:ascii="宋体" w:hAnsi="宋体" w:cs="宋体"/>
          <w:b/>
          <w:sz w:val="28"/>
          <w:szCs w:val="28"/>
        </w:rPr>
        <w:t>一、项目基本情况</w:t>
      </w:r>
    </w:p>
    <w:p w14:paraId="6B9B7CA9">
      <w:pPr>
        <w:spacing w:line="360" w:lineRule="auto"/>
        <w:ind w:firstLine="480" w:firstLineChars="200"/>
        <w:rPr>
          <w:rFonts w:hint="eastAsia" w:ascii="宋体" w:hAnsi="宋体" w:cs="宋体"/>
          <w:b w:val="0"/>
          <w:bCs w:val="0"/>
          <w:highlight w:val="none"/>
          <w:lang w:val="en-US" w:eastAsia="zh-CN"/>
        </w:rPr>
      </w:pPr>
      <w:r>
        <w:rPr>
          <w:rFonts w:hint="eastAsia" w:ascii="宋体" w:hAnsi="宋体" w:cs="宋体"/>
        </w:rPr>
        <w:t>1.项目编号：</w:t>
      </w:r>
      <w:r>
        <w:rPr>
          <w:rFonts w:hint="eastAsia" w:ascii="宋体" w:hAnsi="宋体" w:cs="宋体"/>
          <w:b w:val="0"/>
          <w:bCs w:val="0"/>
          <w:highlight w:val="none"/>
          <w:lang w:val="en-US" w:eastAsia="zh-CN"/>
        </w:rPr>
        <w:t>YNBY2026-G05</w:t>
      </w:r>
    </w:p>
    <w:p w14:paraId="4729736A">
      <w:pPr>
        <w:spacing w:line="360" w:lineRule="auto"/>
        <w:ind w:firstLine="480" w:firstLineChars="200"/>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 xml:space="preserve">政采云项目编号：BSZC2026-C2-00430-YNBY-0005 </w:t>
      </w:r>
    </w:p>
    <w:p w14:paraId="62620D87">
      <w:pPr>
        <w:spacing w:line="360" w:lineRule="auto"/>
        <w:ind w:firstLine="480" w:firstLineChars="200"/>
        <w:rPr>
          <w:rFonts w:hint="eastAsia" w:ascii="宋体" w:hAnsi="宋体" w:eastAsia="宋体" w:cs="宋体"/>
          <w:lang w:eastAsia="zh-CN"/>
        </w:rPr>
      </w:pPr>
      <w:r>
        <w:rPr>
          <w:rFonts w:hint="eastAsia" w:ascii="宋体" w:hAnsi="宋体" w:cs="宋体"/>
        </w:rPr>
        <w:t>2.项目名称：</w:t>
      </w:r>
      <w:r>
        <w:rPr>
          <w:rFonts w:hint="eastAsia" w:ascii="宋体" w:hAnsi="宋体" w:cs="宋体"/>
          <w:lang w:eastAsia="zh-CN"/>
        </w:rPr>
        <w:t>施甸县东山清水沟矿业有限公司尾矿库风险隐患治理项目</w:t>
      </w:r>
    </w:p>
    <w:p w14:paraId="72515B98">
      <w:pPr>
        <w:spacing w:line="360" w:lineRule="auto"/>
        <w:ind w:firstLine="480" w:firstLineChars="200"/>
        <w:rPr>
          <w:rFonts w:ascii="宋体" w:hAnsi="宋体" w:cs="宋体"/>
        </w:rPr>
      </w:pPr>
      <w:r>
        <w:rPr>
          <w:rFonts w:hint="eastAsia" w:ascii="宋体" w:hAnsi="宋体" w:cs="宋体"/>
        </w:rPr>
        <w:t>3.采购方式：竞争性磋商</w:t>
      </w:r>
    </w:p>
    <w:p w14:paraId="1E3DBCFA">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default" w:ascii="宋体" w:hAnsi="宋体" w:eastAsia="宋体" w:cs="宋体"/>
          <w:lang w:val="en-US" w:eastAsia="zh-CN"/>
        </w:rPr>
      </w:pPr>
      <w:r>
        <w:rPr>
          <w:rFonts w:hint="eastAsia" w:ascii="宋体" w:hAnsi="宋体" w:cs="宋体"/>
        </w:rPr>
        <w:t>4.预算</w:t>
      </w:r>
      <w:r>
        <w:rPr>
          <w:rFonts w:hint="eastAsia" w:ascii="宋体" w:hAnsi="宋体" w:cs="宋体"/>
          <w:lang w:eastAsia="zh-CN"/>
        </w:rPr>
        <w:t>金额</w:t>
      </w:r>
      <w:r>
        <w:rPr>
          <w:rFonts w:hint="eastAsia" w:ascii="宋体" w:hAnsi="宋体" w:cs="宋体"/>
        </w:rPr>
        <w:t>：¥</w:t>
      </w:r>
      <w:r>
        <w:rPr>
          <w:rFonts w:hint="eastAsia" w:ascii="宋体" w:hAnsi="宋体" w:cs="宋体"/>
          <w:lang w:val="en-US" w:eastAsia="zh-CN"/>
        </w:rPr>
        <w:t>1500</w:t>
      </w:r>
      <w:r>
        <w:rPr>
          <w:rFonts w:hint="eastAsia" w:ascii="宋体" w:hAnsi="宋体" w:cs="宋体"/>
        </w:rPr>
        <w:t>000.00元</w:t>
      </w:r>
    </w:p>
    <w:p w14:paraId="32ED3DF3">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lang w:eastAsia="zh-CN"/>
        </w:rPr>
      </w:pPr>
      <w:r>
        <w:rPr>
          <w:rFonts w:hint="eastAsia" w:ascii="宋体" w:hAnsi="宋体" w:cs="宋体"/>
          <w:lang w:val="en-US" w:eastAsia="zh-CN"/>
        </w:rPr>
        <w:t>5.最高限价：</w:t>
      </w:r>
      <w:r>
        <w:rPr>
          <w:rFonts w:hint="eastAsia" w:ascii="宋体" w:hAnsi="宋体" w:cs="宋体"/>
        </w:rPr>
        <w:t>¥</w:t>
      </w:r>
      <w:r>
        <w:rPr>
          <w:rFonts w:hint="eastAsia" w:ascii="宋体" w:hAnsi="宋体" w:cs="宋体"/>
          <w:lang w:eastAsia="zh-CN"/>
        </w:rPr>
        <w:t>1498901.81元</w:t>
      </w:r>
    </w:p>
    <w:p w14:paraId="220532C8">
      <w:pPr>
        <w:spacing w:line="360" w:lineRule="auto"/>
        <w:ind w:firstLine="480" w:firstLineChars="200"/>
        <w:rPr>
          <w:rFonts w:ascii="宋体" w:hAnsi="宋体" w:cs="宋体"/>
        </w:rPr>
      </w:pPr>
      <w:r>
        <w:rPr>
          <w:rFonts w:hint="eastAsia" w:ascii="宋体" w:hAnsi="宋体" w:cs="宋体"/>
          <w:lang w:val="en-US" w:eastAsia="zh-CN"/>
        </w:rPr>
        <w:t>6</w:t>
      </w:r>
      <w:r>
        <w:rPr>
          <w:rFonts w:hint="eastAsia" w:ascii="宋体" w:hAnsi="宋体" w:cs="宋体"/>
        </w:rPr>
        <w:t>.采购内容 ：</w:t>
      </w:r>
    </w:p>
    <w:p w14:paraId="26AF66A3">
      <w:pPr>
        <w:spacing w:line="360" w:lineRule="auto"/>
        <w:ind w:firstLine="480" w:firstLineChars="200"/>
        <w:rPr>
          <w:rFonts w:hint="eastAsia" w:ascii="宋体" w:hAnsi="宋体" w:eastAsia="宋体" w:cs="宋体"/>
          <w:lang w:eastAsia="zh-CN"/>
        </w:rPr>
      </w:pPr>
      <w:r>
        <w:rPr>
          <w:rFonts w:hint="eastAsia" w:ascii="宋体" w:hAnsi="宋体" w:cs="宋体"/>
          <w:lang w:val="en-US" w:eastAsia="zh-CN"/>
        </w:rPr>
        <w:t>6</w:t>
      </w:r>
      <w:r>
        <w:rPr>
          <w:rFonts w:hint="eastAsia" w:ascii="宋体" w:hAnsi="宋体" w:cs="宋体"/>
        </w:rPr>
        <w:t>.1</w:t>
      </w:r>
      <w:r>
        <w:rPr>
          <w:rFonts w:hint="eastAsia" w:ascii="宋体" w:hAnsi="宋体" w:cs="宋体"/>
          <w:lang w:val="en-US" w:eastAsia="zh-CN"/>
        </w:rPr>
        <w:t>.对尾砂清挖区进行库区回填16200立方米；建截洪沟309 米；建滩面排水沟86 米；回填区域铺设防渗膜3600 平方米、无纺土工布7200 平方米；生态恢复治理等。（具体内容以清单为准）。</w:t>
      </w:r>
    </w:p>
    <w:p w14:paraId="6C881ABA">
      <w:pPr>
        <w:spacing w:line="360" w:lineRule="auto"/>
        <w:ind w:firstLine="480" w:firstLineChars="200"/>
        <w:rPr>
          <w:rFonts w:ascii="宋体" w:hAnsi="宋体" w:cs="宋体"/>
        </w:rPr>
      </w:pPr>
      <w:r>
        <w:rPr>
          <w:rFonts w:hint="eastAsia" w:ascii="宋体" w:hAnsi="宋体" w:cs="宋体"/>
          <w:lang w:val="en-US" w:eastAsia="zh-CN"/>
        </w:rPr>
        <w:t>6</w:t>
      </w:r>
      <w:r>
        <w:rPr>
          <w:rFonts w:hint="eastAsia" w:ascii="宋体" w:hAnsi="宋体" w:cs="宋体"/>
        </w:rPr>
        <w:t>.2</w:t>
      </w:r>
      <w:r>
        <w:rPr>
          <w:rFonts w:hint="eastAsia" w:ascii="宋体" w:hAnsi="宋体" w:cs="宋体"/>
          <w:lang w:val="en-US" w:eastAsia="zh-CN"/>
        </w:rPr>
        <w:t>.</w:t>
      </w:r>
      <w:r>
        <w:rPr>
          <w:rFonts w:hint="eastAsia" w:ascii="宋体" w:hAnsi="宋体" w:cs="宋体"/>
        </w:rPr>
        <w:t>本工程具体内容详见工程量清单，当招标工程量清单与施工图不一致时，以施工图为准，请磋商申请人认真复核。</w:t>
      </w:r>
    </w:p>
    <w:p w14:paraId="396E600F">
      <w:pPr>
        <w:widowControl w:val="0"/>
        <w:spacing w:line="360" w:lineRule="auto"/>
        <w:ind w:firstLine="472" w:firstLineChars="200"/>
        <w:jc w:val="both"/>
        <w:rPr>
          <w:rFonts w:ascii="宋体" w:hAnsi="宋体" w:cs="宋体"/>
        </w:rPr>
      </w:pPr>
      <w:r>
        <w:rPr>
          <w:rFonts w:hint="eastAsia" w:ascii="宋体" w:hAnsi="宋体" w:cs="宋体"/>
          <w:spacing w:val="-2"/>
          <w:lang w:val="en-US" w:eastAsia="zh-CN"/>
        </w:rPr>
        <w:t>6</w:t>
      </w:r>
      <w:r>
        <w:rPr>
          <w:rFonts w:hint="eastAsia" w:ascii="宋体" w:hAnsi="宋体" w:cs="宋体"/>
          <w:spacing w:val="-2"/>
        </w:rPr>
        <w:t>.3标段划分：本次采购共划分为一个标段，磋商申请人须对项目内所有内容进行磋商报价。</w:t>
      </w:r>
    </w:p>
    <w:p w14:paraId="679054F1">
      <w:pPr>
        <w:spacing w:line="360" w:lineRule="auto"/>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.工期：</w:t>
      </w:r>
      <w:r>
        <w:rPr>
          <w:rFonts w:hint="eastAsia" w:ascii="宋体" w:hAnsi="宋体" w:cs="宋体"/>
          <w:lang w:val="en-US" w:eastAsia="zh-CN"/>
        </w:rPr>
        <w:t>6个月</w:t>
      </w:r>
    </w:p>
    <w:p w14:paraId="296FA101">
      <w:pPr>
        <w:spacing w:line="360" w:lineRule="auto"/>
        <w:ind w:firstLine="480" w:firstLineChars="200"/>
        <w:rPr>
          <w:rFonts w:ascii="宋体" w:hAnsi="宋体" w:cs="宋体"/>
        </w:rPr>
      </w:pPr>
      <w:r>
        <w:rPr>
          <w:rFonts w:hint="eastAsia" w:ascii="宋体" w:hAnsi="宋体" w:cs="宋体"/>
          <w:lang w:val="en-US" w:eastAsia="zh-CN"/>
        </w:rPr>
        <w:t>8</w:t>
      </w:r>
      <w:r>
        <w:rPr>
          <w:rFonts w:hint="eastAsia" w:ascii="宋体" w:hAnsi="宋体" w:cs="宋体"/>
        </w:rPr>
        <w:t>.项目地点：施甸县甸阳镇大寨村委会。</w:t>
      </w:r>
    </w:p>
    <w:p w14:paraId="788D5777">
      <w:pPr>
        <w:spacing w:line="360" w:lineRule="auto"/>
        <w:ind w:firstLine="480" w:firstLineChars="200"/>
        <w:rPr>
          <w:rFonts w:ascii="宋体" w:hAnsi="宋体" w:cs="宋体"/>
          <w:bCs/>
        </w:rPr>
      </w:pPr>
      <w:r>
        <w:rPr>
          <w:rFonts w:hint="eastAsia" w:ascii="宋体" w:hAnsi="宋体" w:cs="宋体"/>
          <w:lang w:val="en-US" w:eastAsia="zh-CN"/>
        </w:rPr>
        <w:t>9</w:t>
      </w:r>
      <w:r>
        <w:rPr>
          <w:rFonts w:hint="eastAsia" w:ascii="宋体" w:hAnsi="宋体" w:cs="宋体"/>
        </w:rPr>
        <w:t>.质量要求：符合国家、地方现行相关质量要求及验收规范标准，并一次性验收合格。</w:t>
      </w:r>
    </w:p>
    <w:p w14:paraId="23BA227F">
      <w:pPr>
        <w:spacing w:line="360" w:lineRule="auto"/>
        <w:ind w:firstLine="480" w:firstLineChars="200"/>
        <w:rPr>
          <w:rFonts w:ascii="宋体" w:hAnsi="宋体" w:cs="宋体"/>
        </w:rPr>
      </w:pPr>
      <w:r>
        <w:rPr>
          <w:rFonts w:hint="eastAsia" w:ascii="宋体" w:hAnsi="宋体" w:cs="宋体"/>
          <w:lang w:val="en-US" w:eastAsia="zh-CN"/>
        </w:rPr>
        <w:t>10</w:t>
      </w:r>
      <w:r>
        <w:rPr>
          <w:rFonts w:hint="eastAsia" w:ascii="宋体" w:hAnsi="宋体" w:cs="宋体"/>
        </w:rPr>
        <w:t>.该工程</w:t>
      </w:r>
      <w:r>
        <w:rPr>
          <w:rFonts w:hint="eastAsia" w:ascii="宋体" w:hAnsi="宋体" w:cs="宋体"/>
          <w:lang w:val="en-US" w:eastAsia="zh-CN"/>
        </w:rPr>
        <w:t>不允许</w:t>
      </w:r>
      <w:r>
        <w:rPr>
          <w:rFonts w:hint="eastAsia" w:ascii="宋体" w:hAnsi="宋体" w:cs="宋体"/>
        </w:rPr>
        <w:t>转包分包。</w:t>
      </w:r>
    </w:p>
    <w:p w14:paraId="367463FD">
      <w:pPr>
        <w:spacing w:line="360" w:lineRule="auto"/>
        <w:ind w:firstLine="480" w:firstLineChars="200"/>
        <w:rPr>
          <w:rFonts w:ascii="宋体" w:hAnsi="宋体" w:cs="宋体"/>
        </w:rPr>
      </w:pPr>
      <w:r>
        <w:rPr>
          <w:rFonts w:hint="eastAsia" w:ascii="宋体" w:hAnsi="宋体" w:cs="宋体"/>
        </w:rPr>
        <w:t>1</w:t>
      </w:r>
      <w:r>
        <w:rPr>
          <w:rFonts w:hint="eastAsia" w:ascii="宋体" w:hAnsi="宋体" w:cs="宋体"/>
          <w:lang w:val="en-US" w:eastAsia="zh-CN"/>
        </w:rPr>
        <w:t>1</w:t>
      </w:r>
      <w:r>
        <w:rPr>
          <w:rFonts w:hint="eastAsia" w:ascii="宋体" w:hAnsi="宋体" w:cs="宋体"/>
        </w:rPr>
        <w:t>.资格审查方法：资格后审。</w:t>
      </w:r>
    </w:p>
    <w:p w14:paraId="2CF4CCA1">
      <w:pPr>
        <w:spacing w:line="360" w:lineRule="auto"/>
        <w:ind w:firstLine="480" w:firstLineChars="200"/>
        <w:rPr>
          <w:rFonts w:ascii="宋体" w:hAnsi="宋体" w:cs="宋体"/>
        </w:rPr>
      </w:pPr>
      <w:r>
        <w:rPr>
          <w:rFonts w:hint="eastAsia" w:ascii="宋体" w:hAnsi="宋体" w:cs="宋体"/>
        </w:rPr>
        <w:t>1</w:t>
      </w:r>
      <w:r>
        <w:rPr>
          <w:rFonts w:hint="eastAsia" w:ascii="宋体" w:hAnsi="宋体" w:cs="宋体"/>
          <w:lang w:val="en-US" w:eastAsia="zh-CN"/>
        </w:rPr>
        <w:t>2</w:t>
      </w:r>
      <w:r>
        <w:rPr>
          <w:rFonts w:hint="eastAsia" w:ascii="宋体" w:hAnsi="宋体" w:cs="宋体"/>
        </w:rPr>
        <w:t>.本项目不接受联合体投标。</w:t>
      </w:r>
    </w:p>
    <w:p w14:paraId="1521829E">
      <w:pPr>
        <w:pStyle w:val="11"/>
        <w:ind w:left="480"/>
      </w:pPr>
    </w:p>
    <w:p w14:paraId="74E21A90">
      <w:pPr>
        <w:widowControl w:val="0"/>
        <w:snapToGrid w:val="0"/>
        <w:spacing w:line="360" w:lineRule="auto"/>
        <w:outlineLvl w:val="1"/>
        <w:rPr>
          <w:rFonts w:ascii="宋体" w:hAnsi="宋体" w:cs="宋体"/>
          <w:b/>
          <w:bCs/>
          <w:sz w:val="28"/>
          <w:szCs w:val="28"/>
        </w:rPr>
      </w:pPr>
      <w:bookmarkStart w:id="11" w:name="_Toc27148"/>
      <w:bookmarkStart w:id="12" w:name="_Toc35393635"/>
      <w:bookmarkStart w:id="13" w:name="_Toc35393804"/>
      <w:r>
        <w:rPr>
          <w:rFonts w:hint="eastAsia" w:ascii="宋体" w:hAnsi="宋体" w:cs="宋体"/>
          <w:b/>
          <w:bCs/>
          <w:sz w:val="28"/>
          <w:szCs w:val="28"/>
        </w:rPr>
        <w:t>二、申请人的资格要求：</w:t>
      </w:r>
      <w:bookmarkEnd w:id="11"/>
    </w:p>
    <w:p w14:paraId="18E83BE1">
      <w:pPr>
        <w:widowControl w:val="0"/>
        <w:snapToGrid w:val="0"/>
        <w:spacing w:line="360" w:lineRule="auto"/>
        <w:ind w:firstLine="482" w:firstLineChars="200"/>
        <w:rPr>
          <w:rFonts w:ascii="宋体" w:hAnsi="宋体" w:cs="宋体"/>
          <w:b/>
          <w:bCs/>
        </w:rPr>
      </w:pPr>
      <w:r>
        <w:rPr>
          <w:rFonts w:hint="eastAsia" w:ascii="宋体" w:hAnsi="宋体" w:cs="宋体"/>
          <w:b/>
          <w:bCs/>
        </w:rPr>
        <w:t>1.满足《中华人民共和国政府采购法》第二十二条规定：</w:t>
      </w:r>
    </w:p>
    <w:p w14:paraId="0CB61988">
      <w:pPr>
        <w:widowControl w:val="0"/>
        <w:snapToGrid w:val="0"/>
        <w:spacing w:line="360" w:lineRule="auto"/>
        <w:ind w:firstLine="480" w:firstLineChars="200"/>
        <w:rPr>
          <w:rFonts w:hint="eastAsia" w:ascii="宋体" w:hAnsi="宋体" w:cs="宋体"/>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w:t>
      </w:r>
      <w:r>
        <w:rPr>
          <w:rFonts w:hint="eastAsia" w:ascii="宋体" w:hAnsi="宋体" w:cs="宋体"/>
        </w:rPr>
        <w:t>具有独立承担民事责任的能力（提供有效营业执照）；</w:t>
      </w:r>
    </w:p>
    <w:p w14:paraId="1F39A321">
      <w:pPr>
        <w:widowControl w:val="0"/>
        <w:snapToGrid w:val="0"/>
        <w:spacing w:line="360" w:lineRule="auto"/>
        <w:ind w:firstLine="480" w:firstLineChars="200"/>
        <w:rPr>
          <w:rFonts w:hint="eastAsia" w:ascii="宋体" w:hAnsi="宋体" w:cs="宋体"/>
        </w:rPr>
      </w:pPr>
      <w:r>
        <w:rPr>
          <w:rFonts w:hint="eastAsia" w:ascii="宋体" w:hAnsi="宋体" w:cs="宋体"/>
        </w:rPr>
        <w:t>（2）具有良好的商业信誉和健全的财务会计制度（投标人提供2023年度或2024年度经第三方审计的财务报告及报表或企业自身出具的合法有效的财务报表；投标人成立不足1年的，可提供企业成立至今合法有效的财务资料）；</w:t>
      </w:r>
    </w:p>
    <w:p w14:paraId="6DB94FB0">
      <w:pPr>
        <w:widowControl w:val="0"/>
        <w:snapToGrid w:val="0"/>
        <w:spacing w:line="360" w:lineRule="auto"/>
        <w:ind w:firstLine="480" w:firstLineChars="200"/>
        <w:rPr>
          <w:rFonts w:hint="eastAsia" w:ascii="宋体" w:hAnsi="宋体" w:cs="宋体"/>
        </w:rPr>
      </w:pPr>
      <w:r>
        <w:rPr>
          <w:rFonts w:hint="eastAsia" w:ascii="宋体" w:hAnsi="宋体" w:cs="宋体"/>
        </w:rPr>
        <w:t>（3）</w:t>
      </w:r>
      <w:r>
        <w:rPr>
          <w:rFonts w:hint="eastAsia" w:ascii="宋体" w:hAnsi="宋体" w:cs="宋体"/>
          <w:lang w:eastAsia="zh-CN"/>
        </w:rPr>
        <w:t>具有履行合同所必需的设备和专业技术能力（提供书面声明）</w:t>
      </w:r>
      <w:r>
        <w:rPr>
          <w:rFonts w:hint="eastAsia" w:ascii="宋体" w:hAnsi="宋体" w:cs="宋体"/>
        </w:rPr>
        <w:t>；</w:t>
      </w:r>
    </w:p>
    <w:p w14:paraId="14F07E30">
      <w:pPr>
        <w:widowControl w:val="0"/>
        <w:snapToGrid w:val="0"/>
        <w:spacing w:line="360" w:lineRule="auto"/>
        <w:ind w:firstLine="480" w:firstLineChars="200"/>
        <w:rPr>
          <w:rFonts w:hint="eastAsia" w:ascii="宋体" w:hAnsi="宋体" w:cs="宋体"/>
        </w:rPr>
      </w:pPr>
      <w:r>
        <w:rPr>
          <w:rFonts w:hint="eastAsia" w:ascii="宋体" w:hAnsi="宋体" w:cs="宋体"/>
        </w:rPr>
        <w:t>（4）有依法缴纳税收和社会保障资金的良好记录（投标人提供缴税所属时间在2024年01月至本项目投标响应文件提交截止时间前任意1个月的税务局税收通用缴款书或银行电子缴税（费）凭证或税务局出具纳税情况的相关证明，依法免税的，应提供依法免税的相关证明文件；至开标截止时间投标人成立时间不足1个月的可根据自身情况提供依法缴纳税收相关材料或提供书面情况说明；投标人提供缴费所属时间在2024年01月至本项目投标响应文件提交截止时间前任意1个月的社会保险费缴款书或银行电子缴税（费）凭证或社保管理部门出具的有效的缴款证明，依法免缴的，应提供依法免缴的相关证明文件；至开标截止时间投标人成立时间不足1个月的可根据自身情况提供依法缴纳社会保障资金相关材料或提供书面情况说明。）；</w:t>
      </w:r>
    </w:p>
    <w:p w14:paraId="17E5F5C9">
      <w:pPr>
        <w:widowControl w:val="0"/>
        <w:snapToGrid w:val="0"/>
        <w:spacing w:line="360" w:lineRule="auto"/>
        <w:ind w:firstLine="480" w:firstLineChars="200"/>
        <w:rPr>
          <w:rFonts w:hint="eastAsia" w:ascii="宋体" w:hAnsi="宋体" w:cs="宋体"/>
        </w:rPr>
      </w:pPr>
      <w:r>
        <w:rPr>
          <w:rFonts w:hint="eastAsia" w:ascii="宋体" w:hAnsi="宋体" w:cs="宋体"/>
        </w:rPr>
        <w:t>（5）参加政府采购活动前三年内，在经营活动中没有重大违法记录（自行承诺）；</w:t>
      </w:r>
    </w:p>
    <w:p w14:paraId="17048415">
      <w:pPr>
        <w:widowControl w:val="0"/>
        <w:snapToGrid w:val="0"/>
        <w:spacing w:line="360" w:lineRule="auto"/>
        <w:ind w:firstLine="480" w:firstLineChars="200"/>
        <w:rPr>
          <w:rFonts w:hint="eastAsia" w:ascii="宋体" w:hAnsi="宋体" w:cs="宋体"/>
        </w:rPr>
      </w:pPr>
      <w:r>
        <w:rPr>
          <w:rFonts w:hint="eastAsia" w:ascii="宋体" w:hAnsi="宋体" w:cs="宋体"/>
        </w:rPr>
        <w:t>（6）法律、行政法规规定的其他条件（自行承诺）；</w:t>
      </w:r>
    </w:p>
    <w:p w14:paraId="67DD5D7C">
      <w:pPr>
        <w:widowControl w:val="0"/>
        <w:snapToGrid w:val="0"/>
        <w:spacing w:line="360" w:lineRule="auto"/>
        <w:ind w:firstLine="480" w:firstLineChars="200"/>
        <w:rPr>
          <w:rFonts w:hint="eastAsia" w:ascii="宋体" w:hAnsi="宋体" w:eastAsia="宋体" w:cs="宋体"/>
          <w:lang w:eastAsia="zh-CN"/>
        </w:rPr>
      </w:pPr>
      <w:r>
        <w:rPr>
          <w:rFonts w:hint="eastAsia" w:ascii="宋体" w:hAnsi="宋体" w:cs="宋体"/>
        </w:rPr>
        <w:t>（7）单位负责人为同一人或者存在直接控股、管理关系的不同磋商申请人，不得参加同一合同项下的政府采购活动（自行承诺）</w:t>
      </w:r>
      <w:r>
        <w:rPr>
          <w:rFonts w:hint="eastAsia" w:ascii="宋体" w:hAnsi="宋体" w:cs="宋体"/>
          <w:lang w:eastAsia="zh-CN"/>
        </w:rPr>
        <w:t>。</w:t>
      </w:r>
    </w:p>
    <w:p w14:paraId="3270E1E0">
      <w:pPr>
        <w:spacing w:line="510" w:lineRule="exact"/>
        <w:ind w:firstLine="482" w:firstLineChars="200"/>
        <w:rPr>
          <w:b/>
          <w:bCs/>
        </w:rPr>
      </w:pPr>
      <w:r>
        <w:rPr>
          <w:rFonts w:hint="eastAsia" w:ascii="宋体" w:hAnsi="宋体"/>
          <w:b/>
          <w:bCs/>
          <w:color w:val="auto"/>
          <w:sz w:val="24"/>
          <w:szCs w:val="24"/>
          <w:highlight w:val="none"/>
        </w:rPr>
        <w:t>2.落实政府采购政策需满足的资格要求：</w:t>
      </w:r>
    </w:p>
    <w:p w14:paraId="0BF5802F">
      <w:pPr>
        <w:snapToGrid w:val="0"/>
        <w:spacing w:line="510" w:lineRule="exact"/>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2.1本项目为专门面向中小企业的政府采购项目，不再执行价格评审优惠的扶持政策。监狱企业、残疾人福利性单位视同小微企业。投标人须按磋商文件规定格式提供中小企业声明函（或监狱企业声明函或残疾人福利性单位声明函）。</w:t>
      </w:r>
    </w:p>
    <w:p w14:paraId="02C75F2F">
      <w:pPr>
        <w:snapToGrid w:val="0"/>
        <w:spacing w:line="510" w:lineRule="exact"/>
        <w:ind w:firstLine="480" w:firstLineChars="200"/>
        <w:rPr>
          <w:rFonts w:hint="default" w:eastAsia="仿宋_GB2312"/>
          <w:b w:val="0"/>
          <w:bCs w:val="0"/>
          <w:highlight w:val="none"/>
          <w:lang w:val="en-US" w:eastAsia="zh-CN"/>
        </w:rPr>
      </w:pPr>
      <w:r>
        <w:rPr>
          <w:rFonts w:hint="eastAsia" w:ascii="宋体" w:hAnsi="宋体" w:eastAsia="宋体" w:cs="Times New Roman"/>
          <w:b w:val="0"/>
          <w:bCs w:val="0"/>
          <w:color w:val="auto"/>
          <w:sz w:val="24"/>
          <w:szCs w:val="24"/>
          <w:highlight w:val="none"/>
          <w:lang w:val="en-US" w:eastAsia="zh-CN"/>
        </w:rPr>
        <w:t>2.2根据《关于印发中小企业划型标准规定的通知》（工信部联企业〔2011〕300号）文件规定的划分标准，本项目对应的中小企业划分标准所属行业为：建筑业。</w:t>
      </w:r>
    </w:p>
    <w:p w14:paraId="74AAFAFF">
      <w:pPr>
        <w:widowControl w:val="0"/>
        <w:snapToGrid w:val="0"/>
        <w:spacing w:line="360" w:lineRule="auto"/>
        <w:ind w:firstLine="482" w:firstLineChars="200"/>
        <w:rPr>
          <w:rFonts w:ascii="宋体" w:hAnsi="宋体" w:cs="宋体"/>
          <w:b/>
          <w:bCs/>
        </w:rPr>
      </w:pPr>
      <w:r>
        <w:rPr>
          <w:rFonts w:hint="eastAsia" w:ascii="宋体" w:hAnsi="宋体" w:cs="宋体"/>
          <w:b/>
          <w:bCs/>
          <w:lang w:val="en-US" w:eastAsia="zh-CN"/>
        </w:rPr>
        <w:t>3</w:t>
      </w:r>
      <w:r>
        <w:rPr>
          <w:rFonts w:hint="eastAsia" w:ascii="宋体" w:hAnsi="宋体" w:cs="宋体"/>
          <w:b/>
          <w:bCs/>
        </w:rPr>
        <w:t>.本项目特定资格要求：</w:t>
      </w:r>
    </w:p>
    <w:p w14:paraId="1E4021B4">
      <w:pPr>
        <w:widowControl w:val="0"/>
        <w:snapToGrid w:val="0"/>
        <w:spacing w:line="360" w:lineRule="auto"/>
        <w:ind w:firstLine="482" w:firstLineChars="200"/>
        <w:rPr>
          <w:rFonts w:ascii="宋体" w:hAnsi="宋体" w:cs="宋体"/>
          <w:b/>
          <w:bCs/>
        </w:rPr>
      </w:pPr>
      <w:r>
        <w:rPr>
          <w:rFonts w:hint="eastAsia" w:ascii="宋体" w:hAnsi="宋体" w:cs="宋体"/>
          <w:b/>
          <w:bCs/>
          <w:lang w:val="en-US" w:eastAsia="zh-CN"/>
        </w:rPr>
        <w:t>3</w:t>
      </w:r>
      <w:r>
        <w:rPr>
          <w:rFonts w:hint="eastAsia" w:ascii="宋体" w:hAnsi="宋体" w:cs="宋体"/>
          <w:b/>
          <w:bCs/>
        </w:rPr>
        <w:t>.1</w:t>
      </w:r>
      <w:r>
        <w:rPr>
          <w:rFonts w:hint="eastAsia" w:ascii="宋体" w:hAnsi="宋体" w:eastAsia="宋体" w:cs="宋体"/>
          <w:b/>
          <w:bCs/>
          <w:spacing w:val="-2"/>
        </w:rPr>
        <w:t>申请人须具备</w:t>
      </w:r>
      <w:r>
        <w:rPr>
          <w:rFonts w:hint="eastAsia" w:ascii="宋体" w:hAnsi="宋体" w:cs="宋体"/>
          <w:b/>
          <w:bCs/>
          <w:spacing w:val="-2"/>
          <w:lang w:eastAsia="zh-CN"/>
        </w:rPr>
        <w:t>水利水电工程施工总承</w:t>
      </w:r>
      <w:r>
        <w:rPr>
          <w:rFonts w:hint="eastAsia" w:ascii="宋体" w:hAnsi="宋体" w:eastAsia="宋体" w:cs="宋体"/>
          <w:b/>
          <w:bCs/>
          <w:spacing w:val="-2"/>
          <w:lang w:eastAsia="zh-CN"/>
        </w:rPr>
        <w:t>包叁级（含叁级）以上资质</w:t>
      </w:r>
      <w:r>
        <w:rPr>
          <w:rFonts w:hint="eastAsia" w:ascii="宋体" w:hAnsi="宋体" w:cs="宋体"/>
          <w:b/>
          <w:bCs/>
        </w:rPr>
        <w:t>，且具备有效的安全生产许可证。</w:t>
      </w:r>
    </w:p>
    <w:p w14:paraId="5E69DE37">
      <w:pPr>
        <w:widowControl w:val="0"/>
        <w:snapToGrid w:val="0"/>
        <w:spacing w:line="360" w:lineRule="auto"/>
        <w:ind w:firstLine="482" w:firstLineChars="200"/>
        <w:rPr>
          <w:rFonts w:ascii="宋体" w:hAnsi="宋体" w:cs="宋体"/>
          <w:b/>
          <w:bCs/>
        </w:rPr>
      </w:pPr>
      <w:r>
        <w:rPr>
          <w:rFonts w:hint="eastAsia" w:ascii="宋体" w:hAnsi="宋体" w:cs="宋体"/>
          <w:b/>
          <w:bCs/>
          <w:lang w:val="en-US" w:eastAsia="zh-CN"/>
        </w:rPr>
        <w:t>3</w:t>
      </w:r>
      <w:r>
        <w:rPr>
          <w:rFonts w:hint="eastAsia" w:ascii="宋体" w:hAnsi="宋体" w:cs="宋体"/>
          <w:b/>
          <w:bCs/>
        </w:rPr>
        <w:t>.2拟投入的项目经理须具备</w:t>
      </w:r>
      <w:r>
        <w:rPr>
          <w:rFonts w:hint="eastAsia" w:ascii="宋体" w:hAnsi="宋体" w:cs="宋体"/>
          <w:b/>
          <w:bCs/>
          <w:lang w:eastAsia="zh-CN"/>
        </w:rPr>
        <w:t>水利水电工程</w:t>
      </w:r>
      <w:r>
        <w:rPr>
          <w:rFonts w:hint="eastAsia" w:ascii="宋体" w:hAnsi="宋体" w:cs="宋体"/>
          <w:b/>
          <w:bCs/>
        </w:rPr>
        <w:t>专业二级及以上注册建造师、具备有效的全生产考核合格证书 B 证，且不得在其他在建工程施工项目中担任项目经理（提供承诺书），提供社保证明材料。</w:t>
      </w:r>
    </w:p>
    <w:p w14:paraId="38FEDF99">
      <w:pPr>
        <w:widowControl w:val="0"/>
        <w:snapToGrid w:val="0"/>
        <w:spacing w:line="360" w:lineRule="auto"/>
        <w:ind w:firstLine="480" w:firstLineChars="200"/>
        <w:rPr>
          <w:rFonts w:ascii="宋体" w:hAnsi="宋体" w:cs="宋体"/>
        </w:rPr>
      </w:pPr>
      <w:r>
        <w:rPr>
          <w:rFonts w:hint="eastAsia" w:ascii="宋体" w:hAnsi="宋体" w:cs="宋体"/>
          <w:lang w:val="en-US" w:eastAsia="zh-CN"/>
        </w:rPr>
        <w:t>4</w:t>
      </w:r>
      <w:r>
        <w:rPr>
          <w:rFonts w:hint="eastAsia" w:ascii="宋体" w:hAnsi="宋体" w:cs="宋体"/>
        </w:rPr>
        <w:t>.本项目不接受联合体投标</w:t>
      </w:r>
      <w:bookmarkStart w:id="14" w:name="_Toc66457107"/>
      <w:bookmarkStart w:id="15" w:name="_Toc25690"/>
      <w:bookmarkStart w:id="16" w:name="_Toc508110182"/>
      <w:bookmarkStart w:id="17" w:name="_Toc66736795"/>
      <w:bookmarkStart w:id="18" w:name="_Toc331427649"/>
      <w:bookmarkStart w:id="19" w:name="_Toc331341744"/>
      <w:bookmarkStart w:id="20" w:name="_Toc508109893"/>
      <w:r>
        <w:rPr>
          <w:rFonts w:hint="eastAsia" w:ascii="宋体" w:hAnsi="宋体" w:cs="宋体"/>
        </w:rPr>
        <w:t>。</w:t>
      </w:r>
    </w:p>
    <w:p w14:paraId="47018617">
      <w:pPr>
        <w:widowControl w:val="0"/>
        <w:snapToGrid w:val="0"/>
        <w:spacing w:line="360" w:lineRule="auto"/>
        <w:ind w:firstLine="480" w:firstLineChars="200"/>
        <w:rPr>
          <w:rFonts w:hint="eastAsia" w:ascii="宋体" w:hAnsi="宋体" w:cs="宋体"/>
        </w:rPr>
      </w:pPr>
      <w:r>
        <w:rPr>
          <w:rFonts w:hint="eastAsia" w:ascii="宋体" w:hAnsi="宋体" w:cs="宋体"/>
          <w:lang w:val="en-US" w:eastAsia="zh-CN"/>
        </w:rPr>
        <w:t>5</w:t>
      </w:r>
      <w:r>
        <w:rPr>
          <w:rFonts w:hint="eastAsia" w:ascii="宋体" w:hAnsi="宋体" w:cs="宋体"/>
        </w:rPr>
        <w:t>.单位负责人为同一人或者存在直接控股、管理关系的不同磋商申请人，不得参加同一合同项下的政府采购活动。</w:t>
      </w:r>
    </w:p>
    <w:p w14:paraId="3548BCFB">
      <w:pPr>
        <w:spacing w:line="510" w:lineRule="exact"/>
        <w:ind w:firstLine="480" w:firstLineChars="200"/>
        <w:rPr>
          <w:rFonts w:hint="default" w:eastAsia="宋体"/>
          <w:lang w:val="en-US" w:eastAsia="zh-CN"/>
        </w:rPr>
      </w:pPr>
      <w:r>
        <w:rPr>
          <w:rFonts w:hint="eastAsia" w:ascii="宋体" w:hAnsi="宋体" w:cs="宋体"/>
          <w:lang w:val="en-US" w:eastAsia="zh-CN"/>
        </w:rPr>
        <w:t>6.</w:t>
      </w:r>
      <w:r>
        <w:rPr>
          <w:rFonts w:hint="eastAsia" w:ascii="宋体" w:hAnsi="宋体"/>
          <w:color w:val="auto"/>
          <w:sz w:val="24"/>
          <w:szCs w:val="24"/>
          <w:highlight w:val="none"/>
          <w:lang w:eastAsia="zh-CN"/>
        </w:rPr>
        <w:t>供应商在磋商响应截止日期前未被列入“信用中国”网站“失信被执行人”（中国执行信息公开网）、“拖欠农民工工资失信联合惩戒对象名单”、“重大税收违法失信主体”，未被列入中国政府采购网“政府采购严重违法失信行为信息记录名单”，由采购人及采购代理机构按照以上条款对参与磋商的各申请人的信用信息进行核查，有不良记录的磋商申请将被拒绝。</w:t>
      </w:r>
    </w:p>
    <w:bookmarkEnd w:id="14"/>
    <w:bookmarkEnd w:id="15"/>
    <w:bookmarkEnd w:id="16"/>
    <w:bookmarkEnd w:id="17"/>
    <w:bookmarkEnd w:id="18"/>
    <w:bookmarkEnd w:id="19"/>
    <w:bookmarkEnd w:id="20"/>
    <w:p w14:paraId="40A7CEDB">
      <w:pPr>
        <w:pStyle w:val="46"/>
        <w:tabs>
          <w:tab w:val="left" w:pos="0"/>
        </w:tabs>
        <w:spacing w:before="0" w:beforeAutospacing="0" w:after="0" w:afterAutospacing="0" w:line="360" w:lineRule="auto"/>
        <w:ind w:firstLine="480"/>
        <w:rPr>
          <w:b/>
          <w:bCs/>
          <w:sz w:val="28"/>
          <w:szCs w:val="28"/>
        </w:rPr>
      </w:pPr>
      <w:bookmarkStart w:id="21" w:name="_Toc31332"/>
      <w:r>
        <w:rPr>
          <w:rFonts w:hint="eastAsia"/>
          <w:b/>
          <w:bCs/>
          <w:sz w:val="28"/>
          <w:szCs w:val="28"/>
        </w:rPr>
        <w:t>三、竞争性磋商文件的获取</w:t>
      </w:r>
      <w:bookmarkEnd w:id="21"/>
    </w:p>
    <w:p w14:paraId="1779383C">
      <w:pPr>
        <w:pStyle w:val="46"/>
        <w:tabs>
          <w:tab w:val="left" w:pos="0"/>
        </w:tabs>
        <w:spacing w:before="0" w:beforeAutospacing="0" w:after="0" w:afterAutospacing="0" w:line="460" w:lineRule="exact"/>
        <w:ind w:firstLine="480"/>
        <w:rPr>
          <w:rFonts w:hint="eastAsia"/>
        </w:rPr>
      </w:pPr>
      <w:bookmarkStart w:id="22" w:name="_Toc66457109"/>
      <w:bookmarkStart w:id="23" w:name="_Toc331341746"/>
      <w:bookmarkStart w:id="24" w:name="_Toc508109895"/>
      <w:bookmarkStart w:id="25" w:name="_Toc331427651"/>
      <w:bookmarkStart w:id="26" w:name="_Toc29638"/>
      <w:bookmarkStart w:id="27" w:name="_Toc66736797"/>
      <w:bookmarkStart w:id="28" w:name="_Toc508110184"/>
      <w:r>
        <w:rPr>
          <w:rFonts w:hint="eastAsia"/>
          <w:lang w:val="en-US" w:eastAsia="zh-CN"/>
        </w:rPr>
        <w:t>1.</w:t>
      </w:r>
      <w:r>
        <w:rPr>
          <w:rFonts w:hint="eastAsia"/>
        </w:rPr>
        <w:t>时间：</w:t>
      </w:r>
      <w:r>
        <w:rPr>
          <w:rFonts w:hint="eastAsia"/>
          <w:lang w:val="en-US" w:eastAsia="zh-CN"/>
        </w:rPr>
        <w:t>2026</w:t>
      </w:r>
      <w:r>
        <w:rPr>
          <w:rFonts w:hint="eastAsia"/>
        </w:rPr>
        <w:t>年</w:t>
      </w:r>
      <w:r>
        <w:rPr>
          <w:rFonts w:hint="eastAsia"/>
          <w:lang w:val="en-US" w:eastAsia="zh-CN"/>
        </w:rPr>
        <w:t>5</w:t>
      </w:r>
      <w:r>
        <w:rPr>
          <w:rFonts w:hint="eastAsia"/>
        </w:rPr>
        <w:t>月</w:t>
      </w:r>
      <w:r>
        <w:rPr>
          <w:rFonts w:hint="eastAsia"/>
          <w:lang w:val="en-US" w:eastAsia="zh-CN"/>
        </w:rPr>
        <w:t>13</w:t>
      </w:r>
      <w:r>
        <w:rPr>
          <w:rFonts w:hint="eastAsia"/>
        </w:rPr>
        <w:t>日至</w:t>
      </w:r>
      <w:r>
        <w:rPr>
          <w:rFonts w:hint="eastAsia"/>
          <w:lang w:val="en-US" w:eastAsia="zh-CN"/>
        </w:rPr>
        <w:t>2026</w:t>
      </w:r>
      <w:r>
        <w:rPr>
          <w:rFonts w:hint="eastAsia"/>
        </w:rPr>
        <w:t>年</w:t>
      </w:r>
      <w:r>
        <w:rPr>
          <w:rFonts w:hint="eastAsia"/>
          <w:lang w:val="en-US" w:eastAsia="zh-CN"/>
        </w:rPr>
        <w:t>5</w:t>
      </w:r>
      <w:r>
        <w:rPr>
          <w:rFonts w:hint="eastAsia"/>
        </w:rPr>
        <w:t>月</w:t>
      </w:r>
      <w:r>
        <w:rPr>
          <w:rFonts w:hint="eastAsia"/>
          <w:lang w:val="en-US" w:eastAsia="zh-CN"/>
        </w:rPr>
        <w:t>19</w:t>
      </w:r>
      <w:r>
        <w:rPr>
          <w:rFonts w:hint="eastAsia"/>
        </w:rPr>
        <w:t>日，每天上午00:00至12:00，下午12:00至2</w:t>
      </w:r>
      <w:r>
        <w:rPr>
          <w:rFonts w:hint="eastAsia"/>
          <w:lang w:val="en-US" w:eastAsia="zh-CN"/>
        </w:rPr>
        <w:t>3</w:t>
      </w:r>
      <w:r>
        <w:rPr>
          <w:rFonts w:hint="eastAsia"/>
        </w:rPr>
        <w:t>:</w:t>
      </w:r>
      <w:r>
        <w:rPr>
          <w:rFonts w:hint="eastAsia"/>
          <w:lang w:val="en-US" w:eastAsia="zh-CN"/>
        </w:rPr>
        <w:t>59</w:t>
      </w:r>
      <w:r>
        <w:rPr>
          <w:rFonts w:hint="eastAsia"/>
        </w:rPr>
        <w:t>（北京时间，法定节假日除外 ）。</w:t>
      </w:r>
    </w:p>
    <w:p w14:paraId="7EC84142">
      <w:pPr>
        <w:pStyle w:val="46"/>
        <w:tabs>
          <w:tab w:val="left" w:pos="0"/>
        </w:tabs>
        <w:spacing w:before="0" w:beforeAutospacing="0" w:after="0" w:afterAutospacing="0" w:line="460" w:lineRule="exact"/>
        <w:ind w:firstLine="480"/>
        <w:rPr>
          <w:rFonts w:hint="eastAsia"/>
        </w:rPr>
      </w:pPr>
      <w:r>
        <w:rPr>
          <w:rFonts w:hint="eastAsia"/>
        </w:rPr>
        <w:t>2</w:t>
      </w:r>
      <w:r>
        <w:rPr>
          <w:rFonts w:hint="eastAsia"/>
          <w:lang w:val="en-US" w:eastAsia="zh-CN"/>
        </w:rPr>
        <w:t>.</w:t>
      </w:r>
      <w:r>
        <w:rPr>
          <w:rFonts w:hint="eastAsia"/>
        </w:rPr>
        <w:t>地点：政采云平台线上获取（http://www.zcygov.cn）</w:t>
      </w:r>
    </w:p>
    <w:p w14:paraId="4F541B35">
      <w:pPr>
        <w:pStyle w:val="46"/>
        <w:keepNext w:val="0"/>
        <w:keepLines w:val="0"/>
        <w:pageBreakBefore w:val="0"/>
        <w:widowControl/>
        <w:tabs>
          <w:tab w:val="left" w:pos="0"/>
        </w:tabs>
        <w:kinsoku/>
        <w:wordWrap w:val="0"/>
        <w:overflowPunct/>
        <w:topLinePunct w:val="0"/>
        <w:autoSpaceDE/>
        <w:autoSpaceDN/>
        <w:bidi w:val="0"/>
        <w:adjustRightInd/>
        <w:snapToGrid/>
        <w:spacing w:before="0" w:beforeAutospacing="0" w:after="0" w:afterAutospacing="0" w:line="500" w:lineRule="exact"/>
        <w:ind w:firstLine="482"/>
        <w:textAlignment w:val="auto"/>
        <w:rPr>
          <w:rFonts w:hint="eastAsia" w:ascii="宋体" w:hAnsi="宋体" w:eastAsia="宋体" w:cs="宋体"/>
          <w:lang w:val="en-US" w:eastAsia="zh-CN"/>
        </w:rPr>
      </w:pPr>
      <w:bookmarkStart w:id="29" w:name="_Toc4367"/>
      <w:r>
        <w:rPr>
          <w:rFonts w:hint="eastAsia" w:ascii="宋体" w:hAnsi="宋体" w:eastAsia="宋体" w:cs="宋体"/>
          <w:lang w:val="en-US" w:eastAsia="zh-CN"/>
        </w:rPr>
        <w:t>3</w:t>
      </w:r>
      <w:r>
        <w:rPr>
          <w:rFonts w:hint="eastAsia" w:cs="宋体"/>
          <w:lang w:val="en-US" w:eastAsia="zh-CN"/>
        </w:rPr>
        <w:t>.</w:t>
      </w:r>
      <w:r>
        <w:rPr>
          <w:rFonts w:hint="eastAsia" w:ascii="宋体" w:hAnsi="宋体" w:eastAsia="宋体" w:cs="宋体"/>
          <w:lang w:val="en-US" w:eastAsia="zh-CN"/>
        </w:rPr>
        <w:t>方式：凡有意参加投标者，须在政采云平台办理数字证书（CA），并在政采云绑定数字证书（CA）后线上获取采购文件及其它采购资料。CA申领链接：</w:t>
      </w:r>
      <w:bookmarkStart w:id="30" w:name="OLE_LINK5"/>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"http://yzt.ynsmartcert.cn/cms/yztyzt0011.html"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http://yzt.ynsmartcert.cn/cms/yztyzt0011.html</w:t>
      </w:r>
      <w:r>
        <w:rPr>
          <w:rFonts w:hint="eastAsia" w:ascii="宋体" w:hAnsi="宋体" w:eastAsia="宋体" w:cs="宋体"/>
          <w:lang w:val="en-US" w:eastAsia="zh-CN"/>
        </w:rPr>
        <w:fldChar w:fldCharType="end"/>
      </w:r>
      <w:bookmarkEnd w:id="30"/>
      <w:r>
        <w:rPr>
          <w:rFonts w:hint="eastAsia" w:ascii="宋体" w:hAnsi="宋体" w:eastAsia="宋体" w:cs="宋体"/>
          <w:lang w:val="en-US" w:eastAsia="zh-CN"/>
        </w:rPr>
        <w:t>，紧急CA办理电话：</w:t>
      </w:r>
      <w:bookmarkStart w:id="31" w:name="OLE_LINK9"/>
      <w:r>
        <w:rPr>
          <w:rFonts w:hint="eastAsia" w:ascii="宋体" w:hAnsi="宋体" w:eastAsia="宋体" w:cs="宋体"/>
          <w:lang w:val="en-US" w:eastAsia="zh-CN"/>
        </w:rPr>
        <w:t>19987563037</w:t>
      </w:r>
      <w:bookmarkEnd w:id="31"/>
      <w:r>
        <w:rPr>
          <w:rFonts w:hint="eastAsia" w:ascii="宋体" w:hAnsi="宋体" w:eastAsia="宋体" w:cs="宋体"/>
          <w:lang w:val="en-US" w:eastAsia="zh-CN"/>
        </w:rPr>
        <w:t>。CA申领后需登陆政采云平台完成数字证书（CA）绑定才可以使用，数字证书（CA）详见其办理流程。按上述要求获取文件的供应商视为合法获取了本项目采购文件，具备本项目的投标资格。</w:t>
      </w:r>
      <w:bookmarkStart w:id="32" w:name="OLE_LINK8"/>
    </w:p>
    <w:bookmarkEnd w:id="32"/>
    <w:p w14:paraId="079E0A21">
      <w:pPr>
        <w:pStyle w:val="46"/>
        <w:keepNext w:val="0"/>
        <w:keepLines w:val="0"/>
        <w:pageBreakBefore w:val="0"/>
        <w:tabs>
          <w:tab w:val="left" w:pos="0"/>
        </w:tabs>
        <w:kinsoku/>
        <w:wordWrap/>
        <w:overflowPunct/>
        <w:topLinePunct w:val="0"/>
        <w:autoSpaceDE/>
        <w:autoSpaceDN/>
        <w:bidi w:val="0"/>
        <w:adjustRightInd/>
        <w:spacing w:before="0" w:beforeAutospacing="0" w:after="0" w:afterAutospacing="0" w:line="500" w:lineRule="exact"/>
        <w:ind w:firstLine="480"/>
        <w:textAlignment w:val="auto"/>
        <w:rPr>
          <w:rFonts w:hint="eastAsia" w:ascii="宋体" w:hAnsi="宋体" w:eastAsia="宋体" w:cs="宋体"/>
          <w:lang w:val="en-US" w:eastAsia="zh-CN"/>
        </w:rPr>
      </w:pPr>
      <w:r>
        <w:rPr>
          <w:rFonts w:hint="eastAsia" w:ascii="宋体" w:hAnsi="宋体" w:eastAsia="宋体" w:cs="宋体"/>
          <w:lang w:val="en-US" w:eastAsia="zh-CN"/>
        </w:rPr>
        <w:t>注：供应商如已在云南 CA办理过企业数字证书（CA）的，直接绑定即可，无需重复办理。云南省外供应商在政采云平台办理的其他CA可直接使用，无需重复办理。</w:t>
      </w:r>
    </w:p>
    <w:p w14:paraId="18D72A92">
      <w:pPr>
        <w:pStyle w:val="46"/>
        <w:keepNext w:val="0"/>
        <w:keepLines w:val="0"/>
        <w:pageBreakBefore w:val="0"/>
        <w:tabs>
          <w:tab w:val="left" w:pos="0"/>
        </w:tabs>
        <w:kinsoku/>
        <w:wordWrap/>
        <w:overflowPunct/>
        <w:topLinePunct w:val="0"/>
        <w:autoSpaceDE/>
        <w:autoSpaceDN/>
        <w:bidi w:val="0"/>
        <w:adjustRightInd/>
        <w:spacing w:before="0" w:beforeAutospacing="0" w:after="0" w:afterAutospacing="0" w:line="500" w:lineRule="exact"/>
        <w:ind w:firstLine="480"/>
        <w:textAlignment w:val="auto"/>
        <w:rPr>
          <w:rFonts w:hint="eastAsia"/>
          <w:b/>
          <w:bCs/>
          <w:sz w:val="28"/>
          <w:szCs w:val="28"/>
        </w:rPr>
      </w:pPr>
      <w:r>
        <w:rPr>
          <w:rFonts w:hint="eastAsia" w:ascii="宋体" w:hAnsi="宋体" w:eastAsia="宋体" w:cs="宋体"/>
          <w:lang w:val="en-US" w:eastAsia="zh-CN"/>
        </w:rPr>
        <w:t>4.售价：¥0.00元。</w:t>
      </w:r>
    </w:p>
    <w:p w14:paraId="3C06B1A4">
      <w:pPr>
        <w:pStyle w:val="46"/>
        <w:tabs>
          <w:tab w:val="left" w:pos="0"/>
        </w:tabs>
        <w:spacing w:before="0" w:beforeAutospacing="0" w:after="0" w:afterAutospacing="0" w:line="460" w:lineRule="exact"/>
        <w:ind w:firstLine="480"/>
        <w:rPr>
          <w:b/>
          <w:bCs/>
          <w:sz w:val="28"/>
          <w:szCs w:val="28"/>
        </w:rPr>
      </w:pPr>
      <w:r>
        <w:rPr>
          <w:rFonts w:hint="eastAsia"/>
          <w:b/>
          <w:bCs/>
          <w:sz w:val="28"/>
          <w:szCs w:val="28"/>
        </w:rPr>
        <w:t>四、磋商响应文件递交及相关事宜</w:t>
      </w:r>
      <w:bookmarkEnd w:id="22"/>
      <w:bookmarkEnd w:id="23"/>
      <w:bookmarkEnd w:id="24"/>
      <w:bookmarkEnd w:id="25"/>
      <w:bookmarkEnd w:id="26"/>
      <w:bookmarkEnd w:id="27"/>
      <w:bookmarkEnd w:id="28"/>
      <w:bookmarkEnd w:id="29"/>
    </w:p>
    <w:p w14:paraId="0CE1F1E6">
      <w:pPr>
        <w:pStyle w:val="46"/>
        <w:tabs>
          <w:tab w:val="left" w:pos="0"/>
        </w:tabs>
        <w:spacing w:before="0" w:beforeAutospacing="0" w:after="0" w:afterAutospacing="0" w:line="460" w:lineRule="exact"/>
        <w:ind w:firstLine="480"/>
      </w:pPr>
      <w:bookmarkStart w:id="33" w:name="_Toc501809864"/>
      <w:bookmarkStart w:id="34" w:name="_Toc500281680"/>
      <w:bookmarkStart w:id="35" w:name="_Toc505339275"/>
      <w:r>
        <w:rPr>
          <w:rFonts w:hint="eastAsia"/>
        </w:rPr>
        <w:t>本次采购采用在“政府采购云平台”（www.zcygov.cn）上进行采购与递交响应文件，磋商响应文件递交及相关事宜如下：</w:t>
      </w:r>
    </w:p>
    <w:p w14:paraId="49F90DF2">
      <w:pPr>
        <w:pStyle w:val="46"/>
        <w:tabs>
          <w:tab w:val="left" w:pos="0"/>
        </w:tabs>
        <w:spacing w:before="0" w:beforeAutospacing="0" w:after="0" w:afterAutospacing="0" w:line="460" w:lineRule="exact"/>
        <w:ind w:firstLine="480"/>
      </w:pPr>
      <w:r>
        <w:rPr>
          <w:rFonts w:hint="eastAsia"/>
        </w:rPr>
        <w:t>1.响应文件递交截止时间（投标截止时间，下同）为202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w:t>
      </w:r>
      <w:r>
        <w:rPr>
          <w:rFonts w:hint="eastAsia"/>
          <w:lang w:val="en-US" w:eastAsia="zh-CN"/>
        </w:rPr>
        <w:t>09</w:t>
      </w:r>
      <w:r>
        <w:rPr>
          <w:rFonts w:hint="eastAsia"/>
        </w:rPr>
        <w:t>时00分</w:t>
      </w:r>
      <w:r>
        <w:rPr>
          <w:rFonts w:hint="eastAsia"/>
          <w:lang w:eastAsia="zh-CN"/>
        </w:rPr>
        <w:t>，</w:t>
      </w:r>
      <w:r>
        <w:rPr>
          <w:rFonts w:hint="eastAsia"/>
          <w:lang w:val="en-US" w:eastAsia="zh-CN"/>
        </w:rPr>
        <w:t>具体时间以系统为准</w:t>
      </w:r>
      <w:r>
        <w:rPr>
          <w:rFonts w:hint="eastAsia"/>
        </w:rPr>
        <w:t>。</w:t>
      </w:r>
    </w:p>
    <w:p w14:paraId="505B4627">
      <w:pPr>
        <w:pStyle w:val="46"/>
        <w:tabs>
          <w:tab w:val="left" w:pos="0"/>
        </w:tabs>
        <w:spacing w:before="0" w:beforeAutospacing="0" w:after="0" w:afterAutospacing="0" w:line="460" w:lineRule="exact"/>
        <w:ind w:firstLine="480"/>
      </w:pPr>
      <w:r>
        <w:rPr>
          <w:rFonts w:hint="eastAsia"/>
        </w:rPr>
        <w:t>2.开标地点：</w:t>
      </w:r>
      <w:r>
        <w:rPr>
          <w:rFonts w:hint="eastAsia" w:ascii="宋体" w:hAnsi="宋体" w:cs="宋体"/>
          <w:lang w:eastAsia="zh-CN"/>
        </w:rPr>
        <w:t>云南彬钥工程管理有限公司</w:t>
      </w:r>
      <w:r>
        <w:rPr>
          <w:rFonts w:hint="eastAsia" w:ascii="宋体" w:hAnsi="宋体" w:cs="宋体"/>
        </w:rPr>
        <w:t>（</w:t>
      </w:r>
      <w:r>
        <w:rPr>
          <w:rFonts w:hint="eastAsia" w:ascii="宋体" w:hAnsi="宋体" w:cs="宋体"/>
          <w:bCs/>
          <w:sz w:val="24"/>
          <w:szCs w:val="24"/>
          <w:lang w:eastAsia="zh-CN"/>
        </w:rPr>
        <w:t>施甸县工商局家属区（原老农贸市场）百大超市对面嘉城名都12-14商铺对面</w:t>
      </w:r>
      <w:r>
        <w:rPr>
          <w:rFonts w:hint="eastAsia" w:ascii="宋体" w:hAnsi="宋体" w:cs="宋体"/>
        </w:rPr>
        <w:t>）</w:t>
      </w:r>
      <w:r>
        <w:rPr>
          <w:rFonts w:hint="eastAsia"/>
        </w:rPr>
        <w:t xml:space="preserve">。 </w:t>
      </w:r>
    </w:p>
    <w:p w14:paraId="0CEBE0A3">
      <w:pPr>
        <w:pStyle w:val="46"/>
        <w:tabs>
          <w:tab w:val="left" w:pos="0"/>
        </w:tabs>
        <w:spacing w:before="0" w:beforeAutospacing="0" w:after="0" w:afterAutospacing="0" w:line="460" w:lineRule="exact"/>
        <w:ind w:firstLine="480"/>
      </w:pPr>
      <w:r>
        <w:rPr>
          <w:rFonts w:hint="eastAsia"/>
        </w:rPr>
        <w:t>3.递交方式：网上递交。供应商应按照本项目采购文件和"政采云"平台的要求编制、加密后在响应文件递交截止时间前上传至“政府采购云平台”（www.zcygov.cn），响应文件递交截止时间前未完成响应文件上传的，视为撤回响应文件。供应商在"政采云"平台提交电子版响应文件时，请填写参加远程采购活动经办人及联系方式。</w:t>
      </w:r>
    </w:p>
    <w:p w14:paraId="57FB509B">
      <w:pPr>
        <w:pStyle w:val="46"/>
        <w:tabs>
          <w:tab w:val="left" w:pos="0"/>
        </w:tabs>
        <w:spacing w:before="0" w:beforeAutospacing="0" w:after="0" w:afterAutospacing="0" w:line="460" w:lineRule="exact"/>
        <w:ind w:firstLine="480"/>
      </w:pPr>
      <w:r>
        <w:rPr>
          <w:rFonts w:hint="eastAsia"/>
        </w:rPr>
        <w:t>4.网上递交电子投标文件后，无需现场递交纸质投标文件及光盘。</w:t>
      </w:r>
    </w:p>
    <w:p w14:paraId="0231FE00">
      <w:pPr>
        <w:pStyle w:val="46"/>
        <w:tabs>
          <w:tab w:val="left" w:pos="0"/>
        </w:tabs>
        <w:spacing w:before="0" w:beforeAutospacing="0" w:after="0" w:afterAutospacing="0" w:line="460" w:lineRule="exact"/>
        <w:ind w:firstLine="480"/>
      </w:pPr>
      <w:r>
        <w:rPr>
          <w:rFonts w:hint="eastAsia"/>
        </w:rPr>
        <w:t>5.磋商申请人应在文件递交截止时间的登录系统，并根据开标系统的提示操作解密文件。如因供应商自身原因导致在规定时间内无法正常解密的（如：浏览器故障、未安装相关驱动、网络故障、加密CA与解密CA不一致等），采购人及代理机构不予异常处理，视为供应商自动弃标。</w:t>
      </w:r>
    </w:p>
    <w:bookmarkEnd w:id="33"/>
    <w:bookmarkEnd w:id="34"/>
    <w:bookmarkEnd w:id="35"/>
    <w:p w14:paraId="374019C9">
      <w:pPr>
        <w:pStyle w:val="46"/>
        <w:tabs>
          <w:tab w:val="left" w:pos="0"/>
        </w:tabs>
        <w:spacing w:before="0" w:beforeAutospacing="0" w:after="0" w:afterAutospacing="0" w:line="460" w:lineRule="exact"/>
        <w:ind w:firstLine="480"/>
        <w:rPr>
          <w:b/>
          <w:bCs/>
          <w:sz w:val="28"/>
          <w:szCs w:val="28"/>
        </w:rPr>
      </w:pPr>
      <w:r>
        <w:rPr>
          <w:rFonts w:hint="eastAsia"/>
        </w:rPr>
        <w:t>6.磋商申请人在制作响应文件前，需先下载“政采云电子投标客户端”及驱动程序进行安装，下载安装完成之后，可通过账号密码或CA登录客户端制作响应文件（客户端下载网址：https://customer.zcygov.cn/CA-driver-download ）。</w:t>
      </w:r>
    </w:p>
    <w:p w14:paraId="2E16D6D1">
      <w:pPr>
        <w:pStyle w:val="46"/>
        <w:tabs>
          <w:tab w:val="left" w:pos="0"/>
        </w:tabs>
        <w:spacing w:before="0" w:beforeAutospacing="0" w:after="0" w:afterAutospacing="0" w:line="460" w:lineRule="exact"/>
        <w:ind w:firstLine="480"/>
        <w:rPr>
          <w:b/>
          <w:bCs/>
          <w:sz w:val="28"/>
          <w:szCs w:val="28"/>
        </w:rPr>
      </w:pPr>
      <w:bookmarkStart w:id="36" w:name="_Toc29925"/>
      <w:r>
        <w:rPr>
          <w:rFonts w:hint="eastAsia"/>
          <w:b/>
          <w:bCs/>
          <w:sz w:val="28"/>
          <w:szCs w:val="28"/>
        </w:rPr>
        <w:t>五、响应文件开启：</w:t>
      </w:r>
      <w:bookmarkEnd w:id="36"/>
    </w:p>
    <w:p w14:paraId="61804CEE">
      <w:pPr>
        <w:pStyle w:val="46"/>
        <w:tabs>
          <w:tab w:val="left" w:pos="0"/>
        </w:tabs>
        <w:spacing w:before="0" w:beforeAutospacing="0" w:after="0" w:afterAutospacing="0" w:line="460" w:lineRule="exact"/>
        <w:ind w:firstLine="480"/>
      </w:pPr>
      <w:r>
        <w:rPr>
          <w:rFonts w:hint="eastAsia"/>
        </w:rPr>
        <w:t>1.时间：</w:t>
      </w:r>
      <w:r>
        <w:rPr>
          <w:rFonts w:hint="eastAsia"/>
          <w:lang w:val="en-US" w:eastAsia="zh-CN"/>
        </w:rPr>
        <w:t>2026年5月25日9:00</w:t>
      </w:r>
      <w:r>
        <w:rPr>
          <w:rFonts w:hint="eastAsia"/>
        </w:rPr>
        <w:t>（北京时间</w:t>
      </w:r>
      <w:r>
        <w:rPr>
          <w:rFonts w:hint="eastAsia"/>
          <w:lang w:eastAsia="zh-CN"/>
        </w:rPr>
        <w:t>，</w:t>
      </w:r>
      <w:r>
        <w:rPr>
          <w:rFonts w:hint="eastAsia"/>
          <w:lang w:val="en-US" w:eastAsia="zh-CN"/>
        </w:rPr>
        <w:t>具体时间以系统为准</w:t>
      </w:r>
      <w:r>
        <w:rPr>
          <w:rFonts w:hint="eastAsia"/>
        </w:rPr>
        <w:t>）。</w:t>
      </w:r>
    </w:p>
    <w:p w14:paraId="7637E1A4">
      <w:pPr>
        <w:pStyle w:val="46"/>
        <w:tabs>
          <w:tab w:val="left" w:pos="0"/>
        </w:tabs>
        <w:spacing w:before="0" w:beforeAutospacing="0" w:after="0" w:afterAutospacing="0" w:line="460" w:lineRule="exact"/>
        <w:ind w:firstLine="480"/>
        <w:rPr>
          <w:b/>
          <w:bCs/>
          <w:sz w:val="28"/>
          <w:szCs w:val="28"/>
        </w:rPr>
      </w:pPr>
      <w:r>
        <w:rPr>
          <w:rFonts w:hint="eastAsia"/>
        </w:rPr>
        <w:t>2.地点：政采云平台电子开标厅</w:t>
      </w:r>
    </w:p>
    <w:bookmarkEnd w:id="12"/>
    <w:bookmarkEnd w:id="13"/>
    <w:p w14:paraId="38E0B2BF">
      <w:pPr>
        <w:pStyle w:val="12"/>
        <w:spacing w:line="460" w:lineRule="exact"/>
        <w:ind w:left="0" w:leftChars="0" w:firstLine="554" w:firstLineChars="200"/>
        <w:rPr>
          <w:rFonts w:ascii="宋体" w:hAnsi="宋体" w:cs="宋体"/>
          <w:b/>
          <w:bCs/>
          <w:spacing w:val="-2"/>
          <w:kern w:val="2"/>
          <w:sz w:val="28"/>
          <w:szCs w:val="28"/>
        </w:rPr>
      </w:pPr>
      <w:bookmarkStart w:id="37" w:name="_Toc5391"/>
      <w:r>
        <w:rPr>
          <w:rFonts w:hint="eastAsia" w:ascii="宋体" w:hAnsi="宋体" w:cs="宋体"/>
          <w:b/>
          <w:bCs/>
          <w:spacing w:val="-2"/>
          <w:kern w:val="2"/>
          <w:sz w:val="28"/>
          <w:szCs w:val="28"/>
        </w:rPr>
        <w:t>六、公告期限</w:t>
      </w:r>
      <w:bookmarkEnd w:id="37"/>
    </w:p>
    <w:p w14:paraId="18237C17">
      <w:pPr>
        <w:pStyle w:val="12"/>
        <w:spacing w:line="460" w:lineRule="exact"/>
        <w:ind w:left="0" w:leftChars="0" w:firstLine="472" w:firstLineChars="200"/>
      </w:pPr>
      <w:r>
        <w:rPr>
          <w:rFonts w:hint="eastAsia" w:ascii="宋体" w:hAnsi="宋体" w:cs="宋体"/>
          <w:spacing w:val="-2"/>
          <w:kern w:val="2"/>
        </w:rPr>
        <w:t>自本公告发布之日起3个工作日。</w:t>
      </w:r>
    </w:p>
    <w:p w14:paraId="7BD7424D">
      <w:pPr>
        <w:pStyle w:val="12"/>
        <w:spacing w:line="460" w:lineRule="exact"/>
        <w:ind w:left="0" w:leftChars="0" w:firstLine="554" w:firstLineChars="200"/>
        <w:rPr>
          <w:rFonts w:ascii="宋体" w:hAnsi="宋体" w:cs="宋体"/>
          <w:b/>
          <w:bCs/>
          <w:spacing w:val="-2"/>
          <w:kern w:val="2"/>
          <w:sz w:val="28"/>
          <w:szCs w:val="28"/>
        </w:rPr>
      </w:pPr>
      <w:bookmarkStart w:id="38" w:name="_Toc18434"/>
      <w:r>
        <w:rPr>
          <w:rFonts w:hint="eastAsia" w:ascii="宋体" w:hAnsi="宋体" w:cs="宋体"/>
          <w:b/>
          <w:bCs/>
          <w:spacing w:val="-2"/>
          <w:kern w:val="2"/>
          <w:sz w:val="28"/>
          <w:szCs w:val="28"/>
        </w:rPr>
        <w:t>七、其他补充事宜</w:t>
      </w:r>
      <w:bookmarkEnd w:id="38"/>
    </w:p>
    <w:p w14:paraId="05D74484">
      <w:pPr>
        <w:pStyle w:val="12"/>
        <w:spacing w:line="460" w:lineRule="exact"/>
        <w:ind w:left="0" w:leftChars="0" w:firstLine="472" w:firstLineChars="200"/>
        <w:rPr>
          <w:rFonts w:ascii="宋体" w:hAnsi="宋体" w:cs="宋体"/>
          <w:spacing w:val="-2"/>
          <w:kern w:val="2"/>
        </w:rPr>
      </w:pPr>
      <w:r>
        <w:rPr>
          <w:rFonts w:hint="eastAsia" w:ascii="宋体" w:hAnsi="宋体" w:cs="宋体"/>
          <w:spacing w:val="-2"/>
          <w:kern w:val="2"/>
        </w:rPr>
        <w:t>1.磋商保证金金额：</w:t>
      </w:r>
      <w:r>
        <w:rPr>
          <w:rFonts w:hint="eastAsia" w:ascii="宋体" w:hAnsi="宋体" w:cs="宋体"/>
          <w:spacing w:val="-2"/>
          <w:kern w:val="2"/>
          <w:lang w:val="en-US" w:eastAsia="zh-CN"/>
        </w:rPr>
        <w:t>14</w:t>
      </w:r>
      <w:r>
        <w:rPr>
          <w:rFonts w:hint="eastAsia" w:ascii="宋体" w:hAnsi="宋体" w:cs="宋体"/>
          <w:spacing w:val="-2"/>
          <w:kern w:val="2"/>
        </w:rPr>
        <w:t>000.00元</w:t>
      </w:r>
    </w:p>
    <w:p w14:paraId="17219011">
      <w:pPr>
        <w:pStyle w:val="12"/>
        <w:spacing w:line="460" w:lineRule="exact"/>
        <w:ind w:left="0" w:leftChars="0" w:firstLine="472" w:firstLineChars="200"/>
        <w:rPr>
          <w:rFonts w:hint="eastAsia" w:ascii="宋体" w:hAnsi="宋体" w:eastAsia="宋体" w:cs="宋体"/>
          <w:spacing w:val="-2"/>
          <w:kern w:val="2"/>
          <w:lang w:eastAsia="zh-CN"/>
        </w:rPr>
      </w:pPr>
      <w:r>
        <w:rPr>
          <w:rFonts w:hint="eastAsia" w:ascii="宋体" w:hAnsi="宋体" w:cs="宋体"/>
          <w:spacing w:val="-2"/>
          <w:kern w:val="2"/>
        </w:rPr>
        <w:t>2.保证金缴纳方式：</w:t>
      </w:r>
      <w:r>
        <w:rPr>
          <w:rFonts w:hint="eastAsia" w:ascii="宋体" w:hAnsi="宋体" w:cs="宋体"/>
          <w:spacing w:val="-2"/>
          <w:kern w:val="2"/>
          <w:lang w:eastAsia="zh-CN"/>
        </w:rPr>
        <w:t>银行转账、银行保函、保证保险及法律法规允许的其他方式以非现金形式提交投标保证金。</w:t>
      </w:r>
    </w:p>
    <w:p w14:paraId="49940CEC">
      <w:pPr>
        <w:pStyle w:val="12"/>
        <w:spacing w:line="460" w:lineRule="exact"/>
        <w:ind w:left="0" w:leftChars="0" w:firstLine="472" w:firstLineChars="200"/>
        <w:rPr>
          <w:rFonts w:hint="default" w:ascii="宋体" w:hAnsi="宋体" w:eastAsia="宋体" w:cs="宋体"/>
          <w:spacing w:val="-2"/>
          <w:kern w:val="2"/>
          <w:lang w:val="en-US" w:eastAsia="zh-CN"/>
        </w:rPr>
      </w:pPr>
      <w:r>
        <w:rPr>
          <w:rFonts w:hint="eastAsia" w:ascii="宋体" w:hAnsi="宋体" w:cs="宋体"/>
          <w:spacing w:val="-2"/>
          <w:kern w:val="2"/>
        </w:rPr>
        <w:t>3.保证金缴纳截止时间：202</w:t>
      </w:r>
      <w:r>
        <w:rPr>
          <w:rFonts w:hint="eastAsia" w:ascii="宋体" w:hAnsi="宋体" w:cs="宋体"/>
          <w:spacing w:val="-2"/>
          <w:kern w:val="2"/>
          <w:lang w:val="en-US" w:eastAsia="zh-CN"/>
        </w:rPr>
        <w:t>6</w:t>
      </w:r>
      <w:r>
        <w:rPr>
          <w:rFonts w:hint="eastAsia" w:ascii="宋体" w:hAnsi="宋体" w:cs="宋体"/>
          <w:spacing w:val="-2"/>
          <w:kern w:val="2"/>
        </w:rPr>
        <w:t>年</w:t>
      </w:r>
      <w:r>
        <w:rPr>
          <w:rFonts w:hint="eastAsia" w:ascii="宋体" w:hAnsi="宋体" w:cs="宋体"/>
          <w:spacing w:val="-2"/>
          <w:kern w:val="2"/>
          <w:lang w:val="en-US" w:eastAsia="zh-CN"/>
        </w:rPr>
        <w:t>5</w:t>
      </w:r>
      <w:r>
        <w:rPr>
          <w:rFonts w:hint="eastAsia" w:ascii="宋体" w:hAnsi="宋体" w:cs="宋体"/>
          <w:spacing w:val="-2"/>
          <w:kern w:val="2"/>
        </w:rPr>
        <w:t>月</w:t>
      </w:r>
      <w:r>
        <w:rPr>
          <w:rFonts w:hint="eastAsia" w:ascii="宋体" w:hAnsi="宋体" w:cs="宋体"/>
          <w:spacing w:val="-2"/>
          <w:kern w:val="2"/>
          <w:lang w:val="en-US" w:eastAsia="zh-CN"/>
        </w:rPr>
        <w:t>25</w:t>
      </w:r>
      <w:r>
        <w:rPr>
          <w:rFonts w:hint="eastAsia" w:ascii="宋体" w:hAnsi="宋体" w:cs="宋体"/>
          <w:spacing w:val="-2"/>
          <w:kern w:val="2"/>
        </w:rPr>
        <w:t xml:space="preserve">日 </w:t>
      </w:r>
      <w:r>
        <w:rPr>
          <w:rFonts w:hint="eastAsia" w:ascii="宋体" w:hAnsi="宋体" w:cs="宋体"/>
          <w:spacing w:val="-2"/>
          <w:kern w:val="2"/>
          <w:lang w:val="en-US" w:eastAsia="zh-CN"/>
        </w:rPr>
        <w:t>09</w:t>
      </w:r>
      <w:r>
        <w:rPr>
          <w:rFonts w:hint="eastAsia" w:ascii="宋体" w:hAnsi="宋体" w:cs="宋体"/>
          <w:spacing w:val="-2"/>
          <w:kern w:val="2"/>
        </w:rPr>
        <w:t>时00分</w:t>
      </w:r>
      <w:r>
        <w:rPr>
          <w:rFonts w:hint="eastAsia" w:ascii="宋体" w:hAnsi="宋体" w:cs="宋体"/>
          <w:spacing w:val="-2"/>
          <w:kern w:val="2"/>
          <w:lang w:eastAsia="zh-CN"/>
        </w:rPr>
        <w:t>，</w:t>
      </w:r>
      <w:r>
        <w:rPr>
          <w:rFonts w:hint="eastAsia" w:ascii="宋体" w:hAnsi="宋体" w:cs="宋体"/>
          <w:spacing w:val="-2"/>
          <w:kern w:val="2"/>
          <w:lang w:val="en-US" w:eastAsia="zh-CN"/>
        </w:rPr>
        <w:t>具体时间以系统为准。</w:t>
      </w:r>
    </w:p>
    <w:p w14:paraId="339FBD7C">
      <w:pPr>
        <w:pStyle w:val="12"/>
        <w:spacing w:line="460" w:lineRule="exact"/>
        <w:ind w:left="0" w:leftChars="0" w:firstLine="472" w:firstLineChars="200"/>
        <w:rPr>
          <w:rFonts w:ascii="宋体" w:hAnsi="宋体" w:cs="宋体"/>
          <w:spacing w:val="-2"/>
          <w:kern w:val="2"/>
        </w:rPr>
      </w:pPr>
      <w:r>
        <w:rPr>
          <w:rFonts w:hint="eastAsia" w:ascii="宋体" w:hAnsi="宋体" w:cs="宋体"/>
          <w:spacing w:val="-2"/>
          <w:kern w:val="2"/>
        </w:rPr>
        <w:t>4.转账的方式提交磋商保证金的，磋商保证金缴纳账户如下：</w:t>
      </w:r>
    </w:p>
    <w:p w14:paraId="7E7C73C1">
      <w:pPr>
        <w:pStyle w:val="12"/>
        <w:spacing w:line="360" w:lineRule="auto"/>
        <w:ind w:left="0" w:leftChars="0" w:firstLine="472" w:firstLineChars="200"/>
        <w:rPr>
          <w:rFonts w:hint="eastAsia" w:ascii="宋体" w:hAnsi="宋体" w:cs="宋体"/>
          <w:spacing w:val="-2"/>
          <w:kern w:val="2"/>
        </w:rPr>
      </w:pPr>
      <w:r>
        <w:rPr>
          <w:rFonts w:hint="eastAsia" w:ascii="宋体" w:hAnsi="宋体" w:cs="宋体"/>
          <w:spacing w:val="-2"/>
          <w:kern w:val="2"/>
        </w:rPr>
        <w:t>户名：云南彬钥工程管理有限公司</w:t>
      </w:r>
    </w:p>
    <w:p w14:paraId="531AE2BC">
      <w:pPr>
        <w:pStyle w:val="12"/>
        <w:spacing w:line="360" w:lineRule="auto"/>
        <w:ind w:left="0" w:leftChars="0" w:firstLine="472" w:firstLineChars="200"/>
        <w:rPr>
          <w:rFonts w:hint="eastAsia" w:ascii="宋体" w:hAnsi="宋体" w:cs="宋体"/>
          <w:spacing w:val="-2"/>
          <w:kern w:val="2"/>
        </w:rPr>
      </w:pPr>
      <w:r>
        <w:rPr>
          <w:rFonts w:hint="eastAsia" w:ascii="宋体" w:hAnsi="宋体" w:cs="宋体"/>
          <w:spacing w:val="-2"/>
          <w:kern w:val="2"/>
        </w:rPr>
        <w:t>开户行：云南施甸农村商业银行股份有限公司</w:t>
      </w:r>
    </w:p>
    <w:p w14:paraId="19ED0595">
      <w:pPr>
        <w:pStyle w:val="12"/>
        <w:spacing w:line="360" w:lineRule="auto"/>
        <w:ind w:left="0" w:leftChars="0" w:firstLine="472" w:firstLineChars="200"/>
        <w:rPr>
          <w:rFonts w:hint="eastAsia" w:ascii="宋体" w:hAnsi="宋体" w:cs="宋体"/>
          <w:spacing w:val="-2"/>
          <w:kern w:val="2"/>
        </w:rPr>
      </w:pPr>
      <w:r>
        <w:rPr>
          <w:rFonts w:hint="eastAsia" w:ascii="宋体" w:hAnsi="宋体" w:cs="宋体"/>
          <w:spacing w:val="-2"/>
          <w:kern w:val="2"/>
        </w:rPr>
        <w:t>保证金提交账号：2500027368680012</w:t>
      </w:r>
    </w:p>
    <w:p w14:paraId="71E2ED45">
      <w:pPr>
        <w:pStyle w:val="12"/>
        <w:spacing w:line="360" w:lineRule="auto"/>
        <w:ind w:left="0" w:leftChars="0" w:firstLine="472" w:firstLineChars="200"/>
        <w:rPr>
          <w:rFonts w:hint="eastAsia" w:ascii="宋体" w:hAnsi="宋体" w:cs="宋体"/>
          <w:spacing w:val="-2"/>
          <w:kern w:val="2"/>
          <w:lang w:val="en-US" w:eastAsia="zh-CN"/>
        </w:rPr>
      </w:pPr>
      <w:r>
        <w:rPr>
          <w:rFonts w:hint="eastAsia" w:ascii="宋体" w:hAnsi="宋体" w:cs="宋体"/>
          <w:spacing w:val="-2"/>
          <w:kern w:val="2"/>
        </w:rPr>
        <w:t>注：注明项目名称</w:t>
      </w:r>
      <w:r>
        <w:rPr>
          <w:rFonts w:hint="eastAsia" w:ascii="宋体" w:hAnsi="宋体" w:cs="宋体"/>
          <w:spacing w:val="-2"/>
          <w:kern w:val="2"/>
          <w:lang w:val="en-US" w:eastAsia="zh-CN"/>
        </w:rPr>
        <w:t xml:space="preserve"> </w:t>
      </w:r>
    </w:p>
    <w:p w14:paraId="5EE2EB85">
      <w:pPr>
        <w:pStyle w:val="12"/>
        <w:spacing w:line="360" w:lineRule="auto"/>
        <w:ind w:left="0" w:leftChars="0" w:firstLine="472" w:firstLineChars="200"/>
        <w:rPr>
          <w:rFonts w:ascii="宋体" w:hAnsi="宋体" w:cs="宋体"/>
          <w:spacing w:val="-2"/>
          <w:kern w:val="2"/>
        </w:rPr>
      </w:pPr>
      <w:r>
        <w:rPr>
          <w:rFonts w:hint="eastAsia" w:ascii="宋体" w:hAnsi="宋体" w:cs="宋体"/>
          <w:spacing w:val="-2"/>
          <w:kern w:val="2"/>
        </w:rPr>
        <w:t>5.磋商申请人采用银行保函或保证保险或其他非现金方式提供磋商保证金的按照国家现行规定实施。其中银行保函或保证保险可进行线下购买，也可以通过“政府采购云平台”中“金融支持”模块进行购买，政采云金融专线400-903-9583。</w:t>
      </w:r>
    </w:p>
    <w:p w14:paraId="5AA71C93">
      <w:pPr>
        <w:pStyle w:val="12"/>
        <w:spacing w:line="360" w:lineRule="auto"/>
        <w:ind w:left="0" w:leftChars="0" w:firstLine="472" w:firstLineChars="200"/>
        <w:rPr>
          <w:rFonts w:hint="eastAsia" w:ascii="宋体" w:hAnsi="宋体" w:eastAsia="宋体" w:cs="宋体"/>
          <w:spacing w:val="-2"/>
          <w:kern w:val="2"/>
          <w:lang w:val="en-US" w:eastAsia="zh-CN"/>
        </w:rPr>
      </w:pPr>
      <w:r>
        <w:rPr>
          <w:rFonts w:hint="eastAsia" w:ascii="宋体" w:hAnsi="宋体" w:eastAsia="宋体" w:cs="宋体"/>
          <w:spacing w:val="-2"/>
          <w:kern w:val="2"/>
          <w:lang w:val="en-US" w:eastAsia="zh-CN"/>
        </w:rPr>
        <w:t>6.发布公告的媒介：本次磋商公告在《云南省政府采购网》上发布，采购人及采购代理机构对其他网站发布或转载的公告内容不承担任何责任。</w:t>
      </w:r>
    </w:p>
    <w:p w14:paraId="3AF52417">
      <w:pPr>
        <w:pStyle w:val="12"/>
        <w:spacing w:line="360" w:lineRule="auto"/>
        <w:ind w:left="0" w:leftChars="0" w:firstLine="472" w:firstLineChars="200"/>
        <w:rPr>
          <w:rFonts w:hint="eastAsia" w:ascii="宋体" w:hAnsi="宋体" w:eastAsia="宋体" w:cs="宋体"/>
          <w:color w:val="FF0000"/>
          <w:spacing w:val="-2"/>
          <w:kern w:val="2"/>
          <w:lang w:val="en-US" w:eastAsia="zh-CN"/>
        </w:rPr>
      </w:pPr>
      <w:r>
        <w:rPr>
          <w:rFonts w:hint="eastAsia" w:ascii="宋体" w:hAnsi="宋体" w:eastAsia="宋体" w:cs="宋体"/>
          <w:color w:val="000000" w:themeColor="text1"/>
          <w:spacing w:val="-2"/>
          <w:kern w:val="2"/>
          <w:lang w:val="en-US" w:eastAsia="zh-CN"/>
          <w14:textFill>
            <w14:solidFill>
              <w14:schemeClr w14:val="tx1"/>
            </w14:solidFill>
          </w14:textFill>
        </w:rPr>
        <w:t>7.采购代理服务费：</w:t>
      </w:r>
      <w:r>
        <w:rPr>
          <w:rFonts w:hint="eastAsia" w:ascii="宋体" w:hAnsi="宋体" w:eastAsia="宋体" w:cs="宋体"/>
          <w:color w:val="000000" w:themeColor="text1"/>
          <w:spacing w:val="-2"/>
          <w:kern w:val="2"/>
          <w:lang w:val="en-US" w:eastAsia="zh-CN"/>
          <w14:textFill>
            <w14:solidFill>
              <w14:schemeClr w14:val="tx1"/>
            </w14:solidFill>
          </w14:textFill>
        </w:rPr>
        <w:fldChar w:fldCharType="begin"/>
      </w:r>
      <w:r>
        <w:rPr>
          <w:rFonts w:hint="eastAsia" w:ascii="宋体" w:hAnsi="宋体" w:eastAsia="宋体" w:cs="宋体"/>
          <w:color w:val="000000" w:themeColor="text1"/>
          <w:spacing w:val="-2"/>
          <w:kern w:val="2"/>
          <w:lang w:val="en-US" w:eastAsia="zh-CN"/>
          <w14:textFill>
            <w14:solidFill>
              <w14:schemeClr w14:val="tx1"/>
            </w14:solidFill>
          </w14:textFill>
        </w:rPr>
        <w:instrText xml:space="preserve"> AUTOTEXT  input301 \* MERGEFORMAT </w:instrText>
      </w:r>
      <w:r>
        <w:rPr>
          <w:rFonts w:hint="eastAsia" w:ascii="宋体" w:hAnsi="宋体" w:eastAsia="宋体" w:cs="宋体"/>
          <w:color w:val="000000" w:themeColor="text1"/>
          <w:spacing w:val="-2"/>
          <w:kern w:val="2"/>
          <w:lang w:val="en-US" w:eastAsia="zh-CN"/>
          <w14:textFill>
            <w14:solidFill>
              <w14:schemeClr w14:val="tx1"/>
            </w14:solidFill>
          </w14:textFill>
        </w:rPr>
        <w:fldChar w:fldCharType="separate"/>
      </w:r>
      <w:r>
        <w:rPr>
          <w:rFonts w:hint="eastAsia" w:ascii="宋体" w:hAnsi="宋体" w:eastAsia="宋体" w:cs="宋体"/>
          <w:color w:val="000000" w:themeColor="text1"/>
          <w:spacing w:val="-2"/>
          <w:kern w:val="2"/>
          <w:lang w:val="en-US" w:eastAsia="zh-CN"/>
          <w14:textFill>
            <w14:solidFill>
              <w14:schemeClr w14:val="tx1"/>
            </w14:solidFill>
          </w14:textFill>
        </w:rPr>
        <w:t>按照关于印发《云南省建设工程招标代理服务收费指导意见（试行）》的通知【云建招协（2023）51号】的规定计取，由中标人在领取中标通知书时一次性向代理机构支付。</w:t>
      </w:r>
      <w:r>
        <w:rPr>
          <w:rFonts w:hint="eastAsia" w:ascii="宋体" w:hAnsi="宋体" w:eastAsia="宋体" w:cs="宋体"/>
          <w:color w:val="000000" w:themeColor="text1"/>
          <w:spacing w:val="-2"/>
          <w:kern w:val="2"/>
          <w:lang w:val="en-US" w:eastAsia="zh-CN"/>
          <w14:textFill>
            <w14:solidFill>
              <w14:schemeClr w14:val="tx1"/>
            </w14:solidFill>
          </w14:textFill>
        </w:rPr>
        <w:fldChar w:fldCharType="end"/>
      </w:r>
    </w:p>
    <w:p w14:paraId="1D31EDFB">
      <w:pPr>
        <w:pStyle w:val="12"/>
        <w:keepNext w:val="0"/>
        <w:keepLines w:val="0"/>
        <w:pageBreakBefore w:val="0"/>
        <w:widowControl/>
        <w:kinsoku/>
        <w:wordWrap w:val="0"/>
        <w:overflowPunct/>
        <w:topLinePunct w:val="0"/>
        <w:autoSpaceDE/>
        <w:autoSpaceDN/>
        <w:bidi w:val="0"/>
        <w:adjustRightInd/>
        <w:snapToGrid/>
        <w:spacing w:line="360" w:lineRule="auto"/>
        <w:ind w:left="0" w:leftChars="0" w:firstLine="472" w:firstLineChars="200"/>
        <w:textAlignment w:val="auto"/>
        <w:rPr>
          <w:rFonts w:hint="default" w:ascii="宋体" w:hAnsi="宋体" w:eastAsia="宋体" w:cs="宋体"/>
          <w:color w:val="000000" w:themeColor="text1"/>
          <w:spacing w:val="-2"/>
          <w:kern w:val="2"/>
          <w:highlight w:val="none"/>
          <w:lang w:val="en-US" w:eastAsia="zh-CN"/>
          <w14:textFill>
            <w14:solidFill>
              <w14:schemeClr w14:val="tx1"/>
            </w14:solidFill>
          </w14:textFill>
        </w:rPr>
      </w:pPr>
      <w:r>
        <w:rPr>
          <w:rFonts w:hint="eastAsia" w:ascii="宋体" w:hAnsi="宋体" w:eastAsia="宋体" w:cs="宋体"/>
          <w:color w:val="000000" w:themeColor="text1"/>
          <w:spacing w:val="-2"/>
          <w:kern w:val="2"/>
          <w:highlight w:val="none"/>
          <w:lang w:val="en-US" w:eastAsia="zh-CN"/>
          <w14:textFill>
            <w14:solidFill>
              <w14:schemeClr w14:val="tx1"/>
            </w14:solidFill>
          </w14:textFill>
        </w:rPr>
        <w:t>8.采购意向公开情况：根据《财政部关于开展政府采购意向公开工作的通知》（财库[2020]10号）等有关规定。本项目采购意向公开信息在云南省政府采购网发布</w:t>
      </w:r>
      <w:r>
        <w:rPr>
          <w:rFonts w:hint="eastAsia" w:ascii="宋体" w:hAnsi="宋体" w:cs="宋体"/>
          <w:color w:val="000000" w:themeColor="text1"/>
          <w:spacing w:val="-2"/>
          <w:kern w:val="2"/>
          <w:highlight w:val="none"/>
          <w:lang w:val="en-US" w:eastAsia="zh-CN"/>
          <w14:textFill>
            <w14:solidFill>
              <w14:schemeClr w14:val="tx1"/>
            </w14:solidFill>
          </w14:textFill>
        </w:rPr>
        <w:t>。</w:t>
      </w:r>
    </w:p>
    <w:p w14:paraId="5754E330">
      <w:pPr>
        <w:pStyle w:val="12"/>
        <w:spacing w:line="360" w:lineRule="auto"/>
        <w:ind w:left="0" w:leftChars="0" w:firstLine="472" w:firstLineChars="200"/>
        <w:rPr>
          <w:rFonts w:ascii="宋体" w:hAnsi="宋体" w:cs="宋体"/>
          <w:spacing w:val="-2"/>
          <w:kern w:val="2"/>
        </w:rPr>
      </w:pPr>
      <w:r>
        <w:rPr>
          <w:rFonts w:hint="eastAsia" w:ascii="宋体" w:hAnsi="宋体" w:cs="宋体"/>
          <w:spacing w:val="-2"/>
          <w:kern w:val="2"/>
          <w:lang w:val="en-US" w:eastAsia="zh-CN"/>
        </w:rPr>
        <w:t>9</w:t>
      </w:r>
      <w:r>
        <w:rPr>
          <w:rFonts w:hint="eastAsia" w:ascii="宋体" w:hAnsi="宋体" w:cs="宋体"/>
          <w:spacing w:val="-2"/>
          <w:kern w:val="2"/>
        </w:rPr>
        <w:t>.本项目为网上开标，投标单位无需到达现场。</w:t>
      </w:r>
    </w:p>
    <w:p w14:paraId="1E577D50">
      <w:pPr>
        <w:pStyle w:val="12"/>
        <w:spacing w:line="360" w:lineRule="auto"/>
        <w:ind w:left="0" w:leftChars="0" w:firstLine="472" w:firstLineChars="200"/>
        <w:rPr>
          <w:rFonts w:ascii="宋体" w:hAnsi="宋体" w:cs="宋体"/>
          <w:spacing w:val="-2"/>
          <w:kern w:val="2"/>
        </w:rPr>
      </w:pPr>
      <w:r>
        <w:rPr>
          <w:rFonts w:hint="eastAsia" w:ascii="宋体" w:hAnsi="宋体" w:cs="宋体"/>
          <w:spacing w:val="-2"/>
          <w:kern w:val="2"/>
          <w:lang w:val="en-US" w:eastAsia="zh-CN"/>
        </w:rPr>
        <w:t>10</w:t>
      </w:r>
      <w:r>
        <w:rPr>
          <w:rFonts w:hint="eastAsia" w:ascii="宋体" w:hAnsi="宋体" w:cs="宋体"/>
          <w:spacing w:val="-2"/>
          <w:kern w:val="2"/>
        </w:rPr>
        <w:t>.各供应商应在开标前应确保已成功入驻成为政采云平台供应商，并完成CA数字证书申领。因未注册入库、未办理CA数字证书等原因造成无法投标或投标失败等后果由供应商自行承担。</w:t>
      </w:r>
    </w:p>
    <w:p w14:paraId="22B44DFC">
      <w:pPr>
        <w:pStyle w:val="12"/>
        <w:spacing w:line="360" w:lineRule="auto"/>
        <w:ind w:left="0" w:leftChars="0" w:firstLine="472" w:firstLineChars="200"/>
        <w:rPr>
          <w:rFonts w:hint="eastAsia" w:ascii="宋体" w:hAnsi="宋体" w:cs="宋体"/>
          <w:b/>
          <w:bCs/>
          <w:sz w:val="28"/>
          <w:szCs w:val="28"/>
        </w:rPr>
      </w:pPr>
      <w:r>
        <w:rPr>
          <w:rFonts w:hint="eastAsia" w:ascii="宋体" w:hAnsi="宋体" w:cs="宋体"/>
          <w:spacing w:val="-2"/>
          <w:kern w:val="2"/>
          <w:lang w:val="en-US" w:eastAsia="zh-CN"/>
        </w:rPr>
        <w:t>11</w:t>
      </w:r>
      <w:r>
        <w:rPr>
          <w:rFonts w:hint="eastAsia" w:ascii="宋体" w:hAnsi="宋体" w:cs="宋体"/>
          <w:spacing w:val="-2"/>
          <w:kern w:val="2"/>
        </w:rPr>
        <w:t>.监督电话：施甸县财政局  0875-8124693</w:t>
      </w:r>
      <w:bookmarkStart w:id="39" w:name="_Toc20874"/>
    </w:p>
    <w:p w14:paraId="56DE9F58">
      <w:pPr>
        <w:widowControl w:val="0"/>
        <w:spacing w:line="360" w:lineRule="auto"/>
        <w:outlineLvl w:val="1"/>
        <w:rPr>
          <w:rFonts w:ascii="宋体" w:hAnsi="宋体" w:cs="宋体"/>
          <w:b/>
          <w:bCs/>
          <w:sz w:val="28"/>
          <w:szCs w:val="28"/>
        </w:rPr>
      </w:pPr>
      <w:r>
        <w:rPr>
          <w:rFonts w:hint="eastAsia" w:ascii="宋体" w:hAnsi="宋体" w:cs="宋体"/>
          <w:b/>
          <w:bCs/>
          <w:sz w:val="28"/>
          <w:szCs w:val="28"/>
        </w:rPr>
        <w:t>八、联系方式</w:t>
      </w:r>
      <w:bookmarkEnd w:id="39"/>
    </w:p>
    <w:p w14:paraId="1D0C3F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rPr>
      </w:pPr>
      <w:r>
        <w:rPr>
          <w:rFonts w:hint="eastAsia" w:ascii="宋体" w:hAnsi="宋体" w:cs="宋体"/>
        </w:rPr>
        <w:t>1.采购人信息</w:t>
      </w:r>
    </w:p>
    <w:p w14:paraId="233B24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lang w:eastAsia="zh-CN"/>
        </w:rPr>
      </w:pPr>
      <w:r>
        <w:rPr>
          <w:rFonts w:hint="eastAsia" w:ascii="宋体" w:hAnsi="宋体" w:cs="宋体"/>
        </w:rPr>
        <w:t>名    称：</w:t>
      </w:r>
      <w:r>
        <w:rPr>
          <w:rFonts w:hint="eastAsia" w:ascii="宋体" w:hAnsi="宋体" w:cs="宋体"/>
          <w:lang w:eastAsia="zh-CN"/>
        </w:rPr>
        <w:t>施甸县应急管理局</w:t>
      </w:r>
    </w:p>
    <w:p w14:paraId="447D99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lang w:val="en-US" w:eastAsia="zh-CN"/>
        </w:rPr>
      </w:pPr>
      <w:r>
        <w:rPr>
          <w:rFonts w:hint="eastAsia" w:ascii="宋体" w:hAnsi="宋体" w:cs="宋体"/>
        </w:rPr>
        <w:t>地    址：</w:t>
      </w:r>
      <w:r>
        <w:rPr>
          <w:rFonts w:hint="eastAsia" w:ascii="宋体" w:hAnsi="宋体" w:cs="宋体"/>
          <w:lang w:val="en-US" w:eastAsia="zh-CN"/>
        </w:rPr>
        <w:t>施甸县甸阳镇</w:t>
      </w:r>
    </w:p>
    <w:p w14:paraId="74E0D8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rPr>
      </w:pPr>
      <w:r>
        <w:rPr>
          <w:rFonts w:hint="eastAsia" w:ascii="宋体" w:hAnsi="宋体" w:cs="宋体"/>
        </w:rPr>
        <w:t>2.采购代理机构信息</w:t>
      </w:r>
    </w:p>
    <w:p w14:paraId="370783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rPr>
      </w:pPr>
      <w:r>
        <w:rPr>
          <w:rFonts w:hint="eastAsia" w:ascii="宋体" w:hAnsi="宋体" w:cs="宋体"/>
        </w:rPr>
        <w:t>名    称：云南彬钥工程管理有限公司</w:t>
      </w:r>
    </w:p>
    <w:p w14:paraId="7CB4D8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rPr>
      </w:pPr>
      <w:r>
        <w:rPr>
          <w:rFonts w:hint="eastAsia" w:ascii="宋体" w:hAnsi="宋体" w:cs="宋体"/>
        </w:rPr>
        <w:t xml:space="preserve">地　　址：施甸县工商局家属区（原老农贸市场）百大超市对面嘉城名都12-14商铺对面             </w:t>
      </w:r>
    </w:p>
    <w:p w14:paraId="3C1C31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rPr>
      </w:pPr>
      <w:r>
        <w:rPr>
          <w:rFonts w:hint="eastAsia" w:ascii="宋体" w:hAnsi="宋体" w:cs="宋体"/>
        </w:rPr>
        <w:t>联系方式：13466130555</w:t>
      </w:r>
    </w:p>
    <w:p w14:paraId="3AB448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rPr>
      </w:pPr>
      <w:r>
        <w:rPr>
          <w:rFonts w:hint="eastAsia" w:ascii="宋体" w:hAnsi="宋体" w:cs="宋体"/>
        </w:rPr>
        <w:t>3.项目联系方式</w:t>
      </w:r>
    </w:p>
    <w:p w14:paraId="5BC46C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rPr>
      </w:pPr>
      <w:r>
        <w:rPr>
          <w:rFonts w:hint="eastAsia" w:ascii="宋体" w:hAnsi="宋体" w:cs="宋体"/>
        </w:rPr>
        <w:t xml:space="preserve">项目联系人：杨先生 </w:t>
      </w:r>
      <w:r>
        <w:rPr>
          <w:rFonts w:hint="eastAsia" w:ascii="宋体" w:hAnsi="宋体" w:cs="宋体"/>
          <w:lang w:val="en-US" w:eastAsia="zh-CN"/>
        </w:rPr>
        <w:t xml:space="preserve">  </w:t>
      </w:r>
      <w:r>
        <w:rPr>
          <w:rFonts w:hint="eastAsia" w:ascii="宋体" w:hAnsi="宋体" w:cs="宋体"/>
        </w:rPr>
        <w:t>联系电话：13466130555</w:t>
      </w:r>
    </w:p>
    <w:p w14:paraId="1A1EAD0D">
      <w:pPr>
        <w:widowControl w:val="0"/>
        <w:spacing w:line="300" w:lineRule="auto"/>
        <w:jc w:val="center"/>
        <w:rPr>
          <w:rFonts w:ascii="宋体" w:hAnsi="宋体" w:cs="宋体"/>
        </w:rPr>
      </w:pPr>
    </w:p>
    <w:p w14:paraId="1FFCD573">
      <w:pPr>
        <w:widowControl w:val="0"/>
        <w:spacing w:line="300" w:lineRule="auto"/>
        <w:jc w:val="center"/>
        <w:rPr>
          <w:rFonts w:ascii="宋体" w:hAnsi="宋体" w:cs="宋体"/>
        </w:rPr>
      </w:pPr>
    </w:p>
    <w:p w14:paraId="5EE2DDD4">
      <w:pPr>
        <w:widowControl w:val="0"/>
        <w:spacing w:line="300" w:lineRule="auto"/>
        <w:jc w:val="center"/>
        <w:rPr>
          <w:rFonts w:ascii="宋体" w:hAnsi="宋体" w:cs="宋体"/>
        </w:rPr>
      </w:pPr>
    </w:p>
    <w:p w14:paraId="35B4DE7F">
      <w:pPr>
        <w:widowControl w:val="0"/>
        <w:spacing w:line="300" w:lineRule="auto"/>
        <w:jc w:val="center"/>
        <w:rPr>
          <w:rFonts w:ascii="宋体" w:hAnsi="宋体" w:cs="宋体"/>
        </w:rPr>
      </w:pPr>
    </w:p>
    <w:p w14:paraId="15679475">
      <w:pPr>
        <w:pStyle w:val="23"/>
        <w:widowControl w:val="0"/>
        <w:ind w:left="480"/>
        <w:rPr>
          <w:rFonts w:hint="default" w:hAnsi="宋体" w:cs="宋体"/>
          <w:color w:val="auto"/>
        </w:rPr>
      </w:pPr>
    </w:p>
    <w:p w14:paraId="1ACF1ECC">
      <w:pPr>
        <w:pStyle w:val="23"/>
        <w:widowControl w:val="0"/>
        <w:ind w:left="480"/>
        <w:rPr>
          <w:rFonts w:hint="default" w:hAnsi="宋体" w:cs="宋体"/>
          <w:color w:val="auto"/>
        </w:rPr>
      </w:pPr>
    </w:p>
    <w:p w14:paraId="0032DF01">
      <w:pPr>
        <w:pStyle w:val="23"/>
        <w:widowControl w:val="0"/>
        <w:ind w:left="480"/>
        <w:rPr>
          <w:rFonts w:hint="default" w:hAnsi="宋体" w:cs="宋体"/>
          <w:color w:val="auto"/>
        </w:rPr>
      </w:pPr>
    </w:p>
    <w:p w14:paraId="161F140C">
      <w:pPr>
        <w:pStyle w:val="23"/>
        <w:widowControl w:val="0"/>
        <w:ind w:left="480"/>
        <w:rPr>
          <w:rFonts w:hint="default" w:hAnsi="宋体" w:cs="宋体"/>
          <w:color w:val="auto"/>
        </w:rPr>
      </w:pPr>
    </w:p>
    <w:p w14:paraId="27E30405">
      <w:pPr>
        <w:pStyle w:val="23"/>
        <w:widowControl w:val="0"/>
        <w:ind w:left="480"/>
        <w:rPr>
          <w:rFonts w:hint="default" w:hAnsi="宋体" w:cs="宋体"/>
          <w:color w:val="auto"/>
        </w:rPr>
      </w:pPr>
    </w:p>
    <w:p w14:paraId="22CA7758">
      <w:pPr>
        <w:pStyle w:val="23"/>
        <w:widowControl w:val="0"/>
        <w:ind w:left="480"/>
        <w:rPr>
          <w:rFonts w:hint="default" w:hAnsi="宋体" w:cs="宋体"/>
          <w:color w:val="auto"/>
        </w:rPr>
      </w:pPr>
    </w:p>
    <w:p w14:paraId="0D9C9E3E">
      <w:pPr>
        <w:pStyle w:val="23"/>
        <w:widowControl w:val="0"/>
        <w:ind w:left="480"/>
        <w:rPr>
          <w:rFonts w:hint="default" w:hAnsi="宋体" w:cs="宋体"/>
          <w:color w:val="auto"/>
        </w:rPr>
      </w:pPr>
    </w:p>
    <w:p w14:paraId="40AC2289">
      <w:pPr>
        <w:pStyle w:val="23"/>
        <w:widowControl w:val="0"/>
        <w:ind w:left="480"/>
        <w:rPr>
          <w:rFonts w:hint="default" w:hAnsi="宋体" w:cs="宋体"/>
          <w:color w:val="auto"/>
        </w:rPr>
      </w:pPr>
    </w:p>
    <w:p w14:paraId="506DB7B9">
      <w:pPr>
        <w:widowControl w:val="0"/>
        <w:spacing w:line="300" w:lineRule="auto"/>
        <w:jc w:val="center"/>
        <w:rPr>
          <w:rFonts w:ascii="宋体" w:hAnsi="宋体" w:cs="宋体"/>
        </w:rPr>
      </w:pPr>
    </w:p>
    <w:p w14:paraId="10C32702">
      <w:pPr>
        <w:widowControl w:val="0"/>
        <w:spacing w:line="300" w:lineRule="auto"/>
        <w:jc w:val="center"/>
        <w:rPr>
          <w:rFonts w:ascii="宋体" w:hAnsi="宋体" w:cs="宋体"/>
        </w:rPr>
      </w:pPr>
    </w:p>
    <w:p w14:paraId="3906697E">
      <w:pPr>
        <w:widowControl w:val="0"/>
        <w:jc w:val="center"/>
        <w:outlineLvl w:val="0"/>
        <w:rPr>
          <w:rFonts w:ascii="宋体" w:hAnsi="宋体" w:cs="宋体"/>
          <w:b/>
          <w:bCs/>
          <w:sz w:val="48"/>
          <w:szCs w:val="48"/>
        </w:rPr>
      </w:pPr>
      <w:bookmarkStart w:id="40" w:name="_Toc9127"/>
      <w:bookmarkStart w:id="41" w:name="_Toc66736801"/>
      <w:bookmarkStart w:id="42" w:name="_Toc508110188"/>
      <w:bookmarkStart w:id="43" w:name="_Toc508109899"/>
      <w:bookmarkStart w:id="44" w:name="_Toc66457113"/>
      <w:bookmarkStart w:id="45" w:name="_Toc30653"/>
      <w:r>
        <w:rPr>
          <w:rFonts w:hint="eastAsia" w:ascii="宋体" w:hAnsi="宋体" w:cs="宋体"/>
          <w:b/>
          <w:bCs/>
          <w:sz w:val="48"/>
          <w:szCs w:val="48"/>
        </w:rPr>
        <w:t>第二章  磋商申请人须知</w:t>
      </w:r>
      <w:bookmarkEnd w:id="40"/>
      <w:bookmarkEnd w:id="41"/>
      <w:bookmarkEnd w:id="42"/>
      <w:bookmarkEnd w:id="43"/>
      <w:bookmarkEnd w:id="44"/>
      <w:bookmarkEnd w:id="45"/>
    </w:p>
    <w:p w14:paraId="0423FD5F">
      <w:pPr>
        <w:widowControl w:val="0"/>
        <w:spacing w:before="100" w:beforeAutospacing="1" w:after="100" w:afterAutospacing="1"/>
        <w:jc w:val="center"/>
        <w:rPr>
          <w:rFonts w:ascii="宋体" w:hAnsi="宋体" w:cs="宋体"/>
          <w:b/>
          <w:sz w:val="44"/>
          <w:szCs w:val="44"/>
        </w:rPr>
      </w:pPr>
      <w:r>
        <w:rPr>
          <w:rFonts w:hint="eastAsia" w:ascii="宋体" w:hAnsi="宋体" w:cs="宋体"/>
        </w:rPr>
        <w:br w:type="page"/>
      </w:r>
    </w:p>
    <w:p w14:paraId="112F1831">
      <w:pPr>
        <w:widowControl w:val="0"/>
        <w:jc w:val="center"/>
        <w:outlineLvl w:val="1"/>
        <w:rPr>
          <w:rFonts w:ascii="宋体" w:hAnsi="宋体" w:cs="宋体"/>
          <w:b/>
          <w:bCs/>
          <w:sz w:val="32"/>
        </w:rPr>
      </w:pPr>
      <w:bookmarkStart w:id="46" w:name="_Toc508109900"/>
      <w:bookmarkStart w:id="47" w:name="_Toc66457114"/>
      <w:bookmarkStart w:id="48" w:name="_Toc17638"/>
      <w:bookmarkStart w:id="49" w:name="_Toc508110189"/>
      <w:bookmarkStart w:id="50" w:name="_Toc32498"/>
      <w:bookmarkStart w:id="51" w:name="_Toc66736802"/>
      <w:r>
        <w:rPr>
          <w:rFonts w:hint="eastAsia" w:ascii="宋体" w:hAnsi="宋体" w:cs="宋体"/>
          <w:b/>
          <w:bCs/>
          <w:sz w:val="32"/>
        </w:rPr>
        <w:t>一、磋商申请人须知前附表</w:t>
      </w:r>
      <w:bookmarkEnd w:id="46"/>
      <w:bookmarkEnd w:id="47"/>
      <w:bookmarkEnd w:id="48"/>
      <w:bookmarkEnd w:id="49"/>
      <w:bookmarkEnd w:id="50"/>
      <w:bookmarkEnd w:id="51"/>
    </w:p>
    <w:tbl>
      <w:tblPr>
        <w:tblStyle w:val="51"/>
        <w:tblW w:w="967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694"/>
        <w:gridCol w:w="7020"/>
      </w:tblGrid>
      <w:tr w14:paraId="3B4FF2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959" w:type="dxa"/>
            <w:vAlign w:val="center"/>
          </w:tcPr>
          <w:p w14:paraId="1056661B">
            <w:pPr>
              <w:widowControl w:val="0"/>
              <w:spacing w:line="300" w:lineRule="auto"/>
              <w:jc w:val="center"/>
              <w:rPr>
                <w:rFonts w:ascii="宋体" w:hAnsi="宋体" w:cs="宋体"/>
              </w:rPr>
            </w:pPr>
            <w:r>
              <w:rPr>
                <w:rFonts w:hint="eastAsia" w:ascii="宋体" w:hAnsi="宋体" w:cs="宋体"/>
              </w:rPr>
              <w:t>序号</w:t>
            </w:r>
          </w:p>
        </w:tc>
        <w:tc>
          <w:tcPr>
            <w:tcW w:w="1694" w:type="dxa"/>
            <w:vAlign w:val="center"/>
          </w:tcPr>
          <w:p w14:paraId="299DC21F">
            <w:pPr>
              <w:widowControl w:val="0"/>
              <w:spacing w:line="300" w:lineRule="auto"/>
              <w:jc w:val="center"/>
              <w:rPr>
                <w:rFonts w:ascii="宋体" w:hAnsi="宋体" w:cs="宋体"/>
              </w:rPr>
            </w:pPr>
            <w:r>
              <w:rPr>
                <w:rFonts w:hint="eastAsia" w:ascii="宋体" w:hAnsi="宋体" w:cs="宋体"/>
              </w:rPr>
              <w:t>条款名称</w:t>
            </w:r>
          </w:p>
        </w:tc>
        <w:tc>
          <w:tcPr>
            <w:tcW w:w="7020" w:type="dxa"/>
            <w:vAlign w:val="center"/>
          </w:tcPr>
          <w:p w14:paraId="6EB95F5D">
            <w:pPr>
              <w:widowControl w:val="0"/>
              <w:spacing w:line="300" w:lineRule="auto"/>
              <w:jc w:val="center"/>
              <w:rPr>
                <w:rFonts w:ascii="宋体" w:hAnsi="宋体" w:cs="宋体"/>
              </w:rPr>
            </w:pPr>
            <w:r>
              <w:rPr>
                <w:rFonts w:hint="eastAsia" w:ascii="宋体" w:hAnsi="宋体" w:cs="宋体"/>
              </w:rPr>
              <w:t>编列内容</w:t>
            </w:r>
          </w:p>
        </w:tc>
      </w:tr>
      <w:tr w14:paraId="76F12C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77" w:hRule="atLeast"/>
          <w:jc w:val="center"/>
        </w:trPr>
        <w:tc>
          <w:tcPr>
            <w:tcW w:w="959" w:type="dxa"/>
            <w:vAlign w:val="center"/>
          </w:tcPr>
          <w:p w14:paraId="05B5F0B1">
            <w:pPr>
              <w:widowControl w:val="0"/>
              <w:spacing w:line="300" w:lineRule="auto"/>
              <w:jc w:val="center"/>
              <w:rPr>
                <w:rFonts w:ascii="宋体" w:hAnsi="宋体" w:cs="宋体"/>
              </w:rPr>
            </w:pPr>
            <w:r>
              <w:rPr>
                <w:rFonts w:hint="eastAsia" w:ascii="宋体" w:hAnsi="宋体" w:cs="宋体"/>
              </w:rPr>
              <w:t>1</w:t>
            </w:r>
          </w:p>
        </w:tc>
        <w:tc>
          <w:tcPr>
            <w:tcW w:w="1694" w:type="dxa"/>
            <w:vAlign w:val="center"/>
          </w:tcPr>
          <w:p w14:paraId="0E5E0F0E">
            <w:pPr>
              <w:widowControl w:val="0"/>
              <w:spacing w:line="300" w:lineRule="auto"/>
              <w:jc w:val="center"/>
              <w:rPr>
                <w:rFonts w:ascii="宋体" w:hAnsi="宋体" w:cs="宋体"/>
              </w:rPr>
            </w:pPr>
            <w:r>
              <w:rPr>
                <w:rFonts w:hint="eastAsia" w:ascii="宋体" w:hAnsi="宋体" w:cs="宋体"/>
              </w:rPr>
              <w:t>招标人</w:t>
            </w:r>
          </w:p>
        </w:tc>
        <w:tc>
          <w:tcPr>
            <w:tcW w:w="7020" w:type="dxa"/>
            <w:vAlign w:val="center"/>
          </w:tcPr>
          <w:p w14:paraId="5D6EF247">
            <w:pPr>
              <w:widowControl w:val="0"/>
              <w:spacing w:line="300" w:lineRule="auto"/>
              <w:rPr>
                <w:rFonts w:hint="eastAsia" w:ascii="宋体" w:hAnsi="宋体" w:eastAsia="宋体" w:cs="宋体"/>
                <w:lang w:eastAsia="zh-CN"/>
              </w:rPr>
            </w:pPr>
            <w:r>
              <w:rPr>
                <w:rFonts w:hint="eastAsia" w:ascii="宋体" w:hAnsi="宋体" w:cs="宋体"/>
              </w:rPr>
              <w:t>招标人：</w:t>
            </w:r>
            <w:r>
              <w:rPr>
                <w:rFonts w:hint="eastAsia" w:ascii="宋体" w:hAnsi="宋体" w:cs="宋体"/>
                <w:lang w:eastAsia="zh-CN"/>
              </w:rPr>
              <w:t>施甸县应急管理局</w:t>
            </w:r>
          </w:p>
          <w:p w14:paraId="0BF7300E">
            <w:pPr>
              <w:widowControl w:val="0"/>
              <w:spacing w:line="300" w:lineRule="auto"/>
              <w:rPr>
                <w:rFonts w:ascii="宋体" w:hAnsi="宋体" w:cs="宋体"/>
              </w:rPr>
            </w:pPr>
            <w:r>
              <w:rPr>
                <w:rFonts w:hint="eastAsia" w:ascii="宋体" w:hAnsi="宋体" w:cs="宋体"/>
              </w:rPr>
              <w:t>地  址：</w:t>
            </w:r>
            <w:r>
              <w:rPr>
                <w:rFonts w:hint="eastAsia" w:ascii="宋体" w:hAnsi="宋体" w:cs="宋体"/>
                <w:lang w:val="en-US" w:eastAsia="zh-CN"/>
              </w:rPr>
              <w:t>施甸县甸阳镇</w:t>
            </w:r>
          </w:p>
        </w:tc>
      </w:tr>
      <w:tr w14:paraId="4B35C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7" w:hRule="atLeast"/>
          <w:jc w:val="center"/>
        </w:trPr>
        <w:tc>
          <w:tcPr>
            <w:tcW w:w="959" w:type="dxa"/>
            <w:vAlign w:val="center"/>
          </w:tcPr>
          <w:p w14:paraId="79017C2D">
            <w:pPr>
              <w:widowControl w:val="0"/>
              <w:spacing w:line="300" w:lineRule="auto"/>
              <w:jc w:val="center"/>
              <w:rPr>
                <w:rFonts w:ascii="宋体" w:hAnsi="宋体" w:cs="宋体"/>
              </w:rPr>
            </w:pPr>
            <w:r>
              <w:rPr>
                <w:rFonts w:hint="eastAsia" w:ascii="宋体" w:hAnsi="宋体" w:cs="宋体"/>
              </w:rPr>
              <w:t>2</w:t>
            </w:r>
          </w:p>
        </w:tc>
        <w:tc>
          <w:tcPr>
            <w:tcW w:w="1694" w:type="dxa"/>
            <w:vAlign w:val="center"/>
          </w:tcPr>
          <w:p w14:paraId="093A5E45">
            <w:pPr>
              <w:widowControl w:val="0"/>
              <w:spacing w:line="300" w:lineRule="auto"/>
              <w:jc w:val="center"/>
              <w:rPr>
                <w:rFonts w:ascii="宋体" w:hAnsi="宋体" w:cs="宋体"/>
              </w:rPr>
            </w:pPr>
            <w:r>
              <w:rPr>
                <w:rFonts w:hint="eastAsia" w:ascii="宋体" w:hAnsi="宋体" w:cs="宋体"/>
              </w:rPr>
              <w:t>招标代理机构</w:t>
            </w:r>
          </w:p>
        </w:tc>
        <w:tc>
          <w:tcPr>
            <w:tcW w:w="7020" w:type="dxa"/>
            <w:vAlign w:val="center"/>
          </w:tcPr>
          <w:p w14:paraId="48C885D7">
            <w:pPr>
              <w:widowControl w:val="0"/>
              <w:rPr>
                <w:rFonts w:hint="eastAsia" w:ascii="宋体" w:hAnsi="宋体" w:eastAsia="宋体" w:cs="宋体"/>
                <w:lang w:eastAsia="zh-CN"/>
              </w:rPr>
            </w:pPr>
            <w:r>
              <w:rPr>
                <w:rFonts w:hint="eastAsia" w:ascii="宋体" w:hAnsi="宋体" w:cs="宋体"/>
              </w:rPr>
              <w:t>招标代理机构：</w:t>
            </w:r>
            <w:r>
              <w:rPr>
                <w:rFonts w:hint="eastAsia" w:ascii="宋体" w:hAnsi="宋体" w:cs="宋体"/>
                <w:lang w:eastAsia="zh-CN"/>
              </w:rPr>
              <w:t>云南彬钥工程管理有限公司</w:t>
            </w:r>
          </w:p>
          <w:p w14:paraId="1541BFD9">
            <w:pPr>
              <w:widowControl w:val="0"/>
              <w:rPr>
                <w:rFonts w:hint="eastAsia" w:ascii="宋体" w:hAnsi="宋体" w:eastAsia="宋体" w:cs="宋体"/>
                <w:lang w:eastAsia="zh-CN"/>
              </w:rPr>
            </w:pPr>
            <w:r>
              <w:rPr>
                <w:rFonts w:hint="eastAsia" w:ascii="宋体" w:hAnsi="宋体" w:cs="宋体"/>
              </w:rPr>
              <w:t xml:space="preserve">地址： </w:t>
            </w:r>
            <w:r>
              <w:rPr>
                <w:rFonts w:hint="eastAsia" w:ascii="宋体" w:hAnsi="宋体" w:cs="宋体"/>
                <w:lang w:eastAsia="zh-CN"/>
              </w:rPr>
              <w:t>施甸县工商局家属区（原老农贸市场）百大超市对面嘉城名都12-14商铺对面</w:t>
            </w:r>
          </w:p>
          <w:p w14:paraId="7D9301E7">
            <w:pPr>
              <w:widowControl w:val="0"/>
              <w:rPr>
                <w:rFonts w:hint="eastAsia" w:ascii="宋体" w:hAnsi="宋体" w:eastAsia="宋体" w:cs="宋体"/>
                <w:lang w:eastAsia="zh-CN"/>
              </w:rPr>
            </w:pPr>
            <w:r>
              <w:rPr>
                <w:rFonts w:hint="eastAsia" w:ascii="宋体" w:hAnsi="宋体" w:cs="宋体"/>
              </w:rPr>
              <w:t xml:space="preserve">联系人： </w:t>
            </w:r>
            <w:r>
              <w:rPr>
                <w:rFonts w:hint="eastAsia" w:ascii="宋体" w:hAnsi="宋体" w:cs="宋体"/>
                <w:lang w:val="en-US" w:eastAsia="zh-CN"/>
              </w:rPr>
              <w:t>杨先生</w:t>
            </w:r>
          </w:p>
          <w:p w14:paraId="33ADFC11">
            <w:pPr>
              <w:widowControl w:val="0"/>
              <w:rPr>
                <w:rFonts w:hint="default" w:ascii="宋体" w:hAnsi="宋体" w:eastAsia="宋体" w:cs="宋体"/>
                <w:lang w:val="en-US" w:eastAsia="zh-CN"/>
              </w:rPr>
            </w:pPr>
            <w:r>
              <w:rPr>
                <w:rFonts w:hint="eastAsia" w:ascii="宋体" w:hAnsi="宋体" w:cs="宋体"/>
              </w:rPr>
              <w:t>电话：</w:t>
            </w:r>
            <w:r>
              <w:rPr>
                <w:rFonts w:hint="eastAsia" w:ascii="宋体" w:hAnsi="宋体" w:cs="宋体"/>
                <w:lang w:val="en-US" w:eastAsia="zh-CN"/>
              </w:rPr>
              <w:t>13466130555</w:t>
            </w:r>
          </w:p>
        </w:tc>
      </w:tr>
      <w:tr w14:paraId="14C39D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0545500A">
            <w:pPr>
              <w:widowControl w:val="0"/>
              <w:spacing w:line="300" w:lineRule="auto"/>
              <w:jc w:val="center"/>
              <w:rPr>
                <w:rFonts w:ascii="宋体" w:hAnsi="宋体" w:cs="宋体"/>
              </w:rPr>
            </w:pPr>
            <w:r>
              <w:rPr>
                <w:rFonts w:hint="eastAsia" w:ascii="宋体" w:hAnsi="宋体" w:cs="宋体"/>
              </w:rPr>
              <w:t>3</w:t>
            </w:r>
          </w:p>
        </w:tc>
        <w:tc>
          <w:tcPr>
            <w:tcW w:w="1694" w:type="dxa"/>
            <w:vAlign w:val="center"/>
          </w:tcPr>
          <w:p w14:paraId="054FADA4">
            <w:pPr>
              <w:widowControl w:val="0"/>
              <w:spacing w:line="300" w:lineRule="auto"/>
              <w:jc w:val="center"/>
              <w:rPr>
                <w:rFonts w:ascii="宋体" w:hAnsi="宋体" w:cs="宋体"/>
              </w:rPr>
            </w:pPr>
            <w:r>
              <w:rPr>
                <w:rFonts w:hint="eastAsia" w:ascii="宋体" w:hAnsi="宋体" w:cs="宋体"/>
              </w:rPr>
              <w:t>项目名称</w:t>
            </w:r>
          </w:p>
        </w:tc>
        <w:tc>
          <w:tcPr>
            <w:tcW w:w="7020" w:type="dxa"/>
            <w:vAlign w:val="center"/>
          </w:tcPr>
          <w:p w14:paraId="7BBA85DD">
            <w:pPr>
              <w:widowControl w:val="0"/>
              <w:spacing w:line="300" w:lineRule="auto"/>
              <w:rPr>
                <w:rFonts w:ascii="宋体" w:hAnsi="宋体" w:cs="宋体"/>
              </w:rPr>
            </w:pPr>
            <w:r>
              <w:rPr>
                <w:rFonts w:hint="eastAsia" w:ascii="宋体" w:hAnsi="宋体" w:cs="宋体"/>
                <w:lang w:eastAsia="zh-CN"/>
              </w:rPr>
              <w:t>施甸县东山清水沟矿业有限公司尾矿库风险隐患治理项目</w:t>
            </w:r>
            <w:r>
              <w:rPr>
                <w:rFonts w:hint="eastAsia" w:ascii="宋体" w:hAnsi="宋体" w:cs="宋体"/>
              </w:rPr>
              <w:t xml:space="preserve"> </w:t>
            </w:r>
          </w:p>
        </w:tc>
      </w:tr>
      <w:tr w14:paraId="539C0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59" w:type="dxa"/>
            <w:vAlign w:val="center"/>
          </w:tcPr>
          <w:p w14:paraId="0CE165A9">
            <w:pPr>
              <w:widowControl w:val="0"/>
              <w:spacing w:line="300" w:lineRule="auto"/>
              <w:jc w:val="center"/>
              <w:rPr>
                <w:rFonts w:ascii="宋体" w:hAnsi="宋体" w:cs="宋体"/>
              </w:rPr>
            </w:pPr>
            <w:r>
              <w:rPr>
                <w:rFonts w:hint="eastAsia" w:ascii="宋体" w:hAnsi="宋体" w:cs="宋体"/>
              </w:rPr>
              <w:t>4</w:t>
            </w:r>
          </w:p>
        </w:tc>
        <w:tc>
          <w:tcPr>
            <w:tcW w:w="1694" w:type="dxa"/>
            <w:vAlign w:val="center"/>
          </w:tcPr>
          <w:p w14:paraId="6E6B2F24">
            <w:pPr>
              <w:widowControl w:val="0"/>
              <w:spacing w:line="300" w:lineRule="auto"/>
              <w:jc w:val="center"/>
              <w:rPr>
                <w:rFonts w:ascii="宋体" w:hAnsi="宋体" w:cs="宋体"/>
              </w:rPr>
            </w:pPr>
            <w:r>
              <w:rPr>
                <w:rFonts w:hint="eastAsia" w:ascii="宋体" w:hAnsi="宋体" w:cs="宋体"/>
              </w:rPr>
              <w:t>项目地点</w:t>
            </w:r>
          </w:p>
        </w:tc>
        <w:tc>
          <w:tcPr>
            <w:tcW w:w="7020" w:type="dxa"/>
            <w:vAlign w:val="center"/>
          </w:tcPr>
          <w:p w14:paraId="51938689">
            <w:pPr>
              <w:widowControl w:val="0"/>
              <w:spacing w:line="300" w:lineRule="auto"/>
              <w:rPr>
                <w:rFonts w:hint="eastAsia" w:ascii="宋体" w:hAnsi="宋体" w:eastAsia="宋体" w:cs="宋体"/>
                <w:lang w:eastAsia="zh-CN"/>
              </w:rPr>
            </w:pPr>
            <w:r>
              <w:rPr>
                <w:rFonts w:hint="eastAsia" w:ascii="宋体" w:hAnsi="宋体" w:eastAsia="宋体" w:cs="宋体"/>
                <w:lang w:eastAsia="zh-CN"/>
              </w:rPr>
              <w:t>施甸县甸阳镇大寨村委会</w:t>
            </w:r>
          </w:p>
          <w:p w14:paraId="62FBB441">
            <w:pPr>
              <w:widowControl w:val="0"/>
              <w:spacing w:line="300" w:lineRule="auto"/>
              <w:rPr>
                <w:rFonts w:hint="eastAsia" w:ascii="宋体" w:hAnsi="宋体" w:eastAsia="宋体" w:cs="宋体"/>
                <w:lang w:eastAsia="zh-CN"/>
              </w:rPr>
            </w:pPr>
          </w:p>
        </w:tc>
      </w:tr>
      <w:tr w14:paraId="42271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699AC81D">
            <w:pPr>
              <w:widowControl w:val="0"/>
              <w:spacing w:line="300" w:lineRule="auto"/>
              <w:jc w:val="center"/>
              <w:rPr>
                <w:rFonts w:ascii="宋体" w:hAnsi="宋体" w:cs="宋体"/>
              </w:rPr>
            </w:pPr>
            <w:r>
              <w:rPr>
                <w:rFonts w:hint="eastAsia" w:ascii="宋体" w:hAnsi="宋体" w:cs="宋体"/>
              </w:rPr>
              <w:t>5</w:t>
            </w:r>
          </w:p>
        </w:tc>
        <w:tc>
          <w:tcPr>
            <w:tcW w:w="1694" w:type="dxa"/>
            <w:vAlign w:val="center"/>
          </w:tcPr>
          <w:p w14:paraId="7046DBCC">
            <w:pPr>
              <w:widowControl w:val="0"/>
              <w:spacing w:line="300" w:lineRule="auto"/>
              <w:jc w:val="center"/>
              <w:rPr>
                <w:rFonts w:ascii="宋体" w:hAnsi="宋体" w:cs="宋体"/>
              </w:rPr>
            </w:pPr>
            <w:r>
              <w:rPr>
                <w:rFonts w:hint="eastAsia" w:ascii="宋体" w:hAnsi="宋体" w:cs="宋体"/>
              </w:rPr>
              <w:t>资金来源</w:t>
            </w:r>
          </w:p>
        </w:tc>
        <w:tc>
          <w:tcPr>
            <w:tcW w:w="7020" w:type="dxa"/>
            <w:vAlign w:val="center"/>
          </w:tcPr>
          <w:p w14:paraId="64213241">
            <w:pPr>
              <w:widowControl w:val="0"/>
              <w:spacing w:line="300" w:lineRule="auto"/>
              <w:rPr>
                <w:rFonts w:hint="eastAsia" w:ascii="宋体" w:hAnsi="宋体" w:eastAsia="宋体" w:cs="宋体"/>
                <w:lang w:eastAsia="zh-CN"/>
              </w:rPr>
            </w:pPr>
            <w:r>
              <w:rPr>
                <w:rFonts w:hint="eastAsia" w:ascii="宋体" w:hAnsi="宋体" w:cs="宋体"/>
                <w:lang w:val="en-US" w:eastAsia="zh-CN"/>
              </w:rPr>
              <w:t>已落实</w:t>
            </w:r>
          </w:p>
        </w:tc>
      </w:tr>
      <w:tr w14:paraId="6C1236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60AB84CB">
            <w:pPr>
              <w:widowControl w:val="0"/>
              <w:spacing w:line="300" w:lineRule="auto"/>
              <w:jc w:val="center"/>
              <w:rPr>
                <w:rFonts w:ascii="宋体" w:hAnsi="宋体" w:cs="宋体"/>
              </w:rPr>
            </w:pPr>
            <w:r>
              <w:rPr>
                <w:rFonts w:hint="eastAsia" w:ascii="宋体" w:hAnsi="宋体" w:cs="宋体"/>
              </w:rPr>
              <w:t>6</w:t>
            </w:r>
          </w:p>
        </w:tc>
        <w:tc>
          <w:tcPr>
            <w:tcW w:w="1694" w:type="dxa"/>
            <w:vAlign w:val="center"/>
          </w:tcPr>
          <w:p w14:paraId="2B494A61">
            <w:pPr>
              <w:widowControl w:val="0"/>
              <w:spacing w:line="300" w:lineRule="auto"/>
              <w:jc w:val="center"/>
              <w:rPr>
                <w:rFonts w:ascii="宋体" w:hAnsi="宋体" w:cs="宋体"/>
              </w:rPr>
            </w:pPr>
            <w:r>
              <w:rPr>
                <w:rFonts w:hint="eastAsia" w:ascii="宋体" w:hAnsi="宋体" w:cs="宋体"/>
              </w:rPr>
              <w:t>招标需求</w:t>
            </w:r>
          </w:p>
        </w:tc>
        <w:tc>
          <w:tcPr>
            <w:tcW w:w="7020" w:type="dxa"/>
            <w:vAlign w:val="center"/>
          </w:tcPr>
          <w:p w14:paraId="2C2965D8">
            <w:pPr>
              <w:spacing w:line="360" w:lineRule="auto"/>
              <w:rPr>
                <w:rFonts w:hint="eastAsia" w:ascii="宋体" w:hAnsi="宋体" w:cs="宋体"/>
              </w:rPr>
            </w:pPr>
            <w:r>
              <w:rPr>
                <w:rFonts w:hint="eastAsia" w:ascii="宋体" w:hAnsi="宋体" w:cs="宋体"/>
                <w:lang w:val="en-US" w:eastAsia="zh-CN"/>
              </w:rPr>
              <w:t>1.对尾砂清挖区进行库区回填16200立方米；建截洪沟309 米；建滩面排水沟86 米；回填区域铺设防渗膜3600 平方米、无纺土工布7200 平方米；生态恢复治理等。（具体内容以清单为准）。</w:t>
            </w:r>
          </w:p>
          <w:p w14:paraId="46669A9F">
            <w:pPr>
              <w:spacing w:line="360" w:lineRule="auto"/>
              <w:rPr>
                <w:rFonts w:ascii="宋体" w:hAnsi="宋体" w:cs="宋体"/>
              </w:rPr>
            </w:pPr>
            <w:r>
              <w:rPr>
                <w:rFonts w:hint="eastAsia" w:ascii="宋体" w:hAnsi="宋体" w:cs="宋体"/>
              </w:rPr>
              <w:t>2.本工程具体内容详见工程量清单，当招标工程量清单与施工图不一致时，以施工图为准，请磋商申请人认真复核。</w:t>
            </w:r>
          </w:p>
          <w:p w14:paraId="79247657">
            <w:pPr>
              <w:pStyle w:val="11"/>
              <w:spacing w:line="360" w:lineRule="auto"/>
              <w:ind w:left="0" w:leftChars="0"/>
              <w:rPr>
                <w:rFonts w:hint="eastAsia" w:ascii="宋体" w:hAnsi="宋体" w:cs="宋体"/>
                <w:kern w:val="0"/>
                <w:sz w:val="24"/>
                <w:szCs w:val="24"/>
              </w:rPr>
            </w:pPr>
            <w:r>
              <w:rPr>
                <w:rFonts w:hint="eastAsia" w:ascii="宋体" w:hAnsi="宋体" w:cs="宋体"/>
                <w:kern w:val="0"/>
                <w:sz w:val="24"/>
                <w:szCs w:val="24"/>
              </w:rPr>
              <w:t>3.标段划分：本次采购共划分为一个标段，磋商申请人须对项目内所有内容进行磋商报价。</w:t>
            </w:r>
          </w:p>
          <w:p w14:paraId="44CFC94F">
            <w:pPr>
              <w:rPr>
                <w:rFonts w:hint="eastAsia" w:eastAsia="宋体"/>
                <w:lang w:eastAsia="zh-CN"/>
              </w:rPr>
            </w:pPr>
            <w:r>
              <w:rPr>
                <w:rFonts w:hint="eastAsia" w:ascii="宋体" w:hAnsi="宋体" w:cs="宋体"/>
                <w:lang w:val="en-US" w:eastAsia="zh-CN"/>
              </w:rPr>
              <w:t>4.最高限价：</w:t>
            </w:r>
            <w:r>
              <w:rPr>
                <w:rFonts w:hint="eastAsia" w:ascii="宋体" w:hAnsi="宋体" w:cs="宋体"/>
              </w:rPr>
              <w:t>¥</w:t>
            </w:r>
            <w:r>
              <w:rPr>
                <w:rFonts w:hint="eastAsia" w:ascii="宋体" w:hAnsi="宋体" w:cs="宋体"/>
                <w:lang w:eastAsia="zh-CN"/>
              </w:rPr>
              <w:t>1498901.81元</w:t>
            </w:r>
          </w:p>
          <w:p w14:paraId="3BAE1395">
            <w:r>
              <w:rPr>
                <w:rFonts w:hint="eastAsia"/>
              </w:rPr>
              <w:t>注：1.投标人的投标报价</w:t>
            </w:r>
            <w:r>
              <w:rPr>
                <w:rFonts w:hint="eastAsia"/>
                <w:lang w:val="en-US" w:eastAsia="zh-CN"/>
              </w:rPr>
              <w:t>和单价</w:t>
            </w:r>
            <w:r>
              <w:rPr>
                <w:rFonts w:hint="eastAsia"/>
              </w:rPr>
              <w:t>不得超过招标控制价，否则否决其投标文件。2.投标人结合项目实际及自身情况进行合理报价。</w:t>
            </w:r>
          </w:p>
        </w:tc>
      </w:tr>
      <w:tr w14:paraId="4D3AD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959" w:type="dxa"/>
            <w:vAlign w:val="center"/>
          </w:tcPr>
          <w:p w14:paraId="3447614F">
            <w:pPr>
              <w:widowControl w:val="0"/>
              <w:spacing w:line="300" w:lineRule="auto"/>
              <w:jc w:val="center"/>
              <w:rPr>
                <w:rFonts w:ascii="宋体" w:hAnsi="宋体" w:cs="宋体"/>
              </w:rPr>
            </w:pPr>
            <w:r>
              <w:rPr>
                <w:rFonts w:hint="eastAsia" w:ascii="宋体" w:hAnsi="宋体" w:cs="宋体"/>
              </w:rPr>
              <w:t>7</w:t>
            </w:r>
          </w:p>
        </w:tc>
        <w:tc>
          <w:tcPr>
            <w:tcW w:w="1694" w:type="dxa"/>
            <w:vAlign w:val="center"/>
          </w:tcPr>
          <w:p w14:paraId="50BCA842">
            <w:pPr>
              <w:widowControl w:val="0"/>
              <w:spacing w:line="300" w:lineRule="auto"/>
              <w:jc w:val="center"/>
              <w:rPr>
                <w:rFonts w:ascii="宋体" w:hAnsi="宋体" w:cs="宋体"/>
              </w:rPr>
            </w:pPr>
            <w:r>
              <w:rPr>
                <w:rFonts w:hint="eastAsia" w:ascii="宋体" w:hAnsi="宋体" w:cs="宋体"/>
              </w:rPr>
              <w:t>建设工期</w:t>
            </w:r>
          </w:p>
        </w:tc>
        <w:tc>
          <w:tcPr>
            <w:tcW w:w="7020" w:type="dxa"/>
            <w:vAlign w:val="center"/>
          </w:tcPr>
          <w:p w14:paraId="78CA7EEC">
            <w:pPr>
              <w:widowControl w:val="0"/>
              <w:spacing w:line="300" w:lineRule="auto"/>
              <w:rPr>
                <w:rFonts w:hint="default" w:ascii="宋体" w:hAnsi="宋体" w:eastAsia="宋体" w:cs="宋体"/>
                <w:lang w:val="en-US" w:eastAsia="zh-CN"/>
              </w:rPr>
            </w:pPr>
            <w:r>
              <w:rPr>
                <w:rFonts w:hint="eastAsia" w:ascii="宋体" w:hAnsi="宋体" w:cs="宋体"/>
                <w:lang w:val="en-US" w:eastAsia="zh-CN"/>
              </w:rPr>
              <w:t>6个月</w:t>
            </w:r>
          </w:p>
        </w:tc>
      </w:tr>
      <w:tr w14:paraId="774ED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47A714A6">
            <w:pPr>
              <w:widowControl w:val="0"/>
              <w:spacing w:line="300" w:lineRule="auto"/>
              <w:jc w:val="center"/>
              <w:rPr>
                <w:rFonts w:ascii="宋体" w:hAnsi="宋体" w:cs="宋体"/>
              </w:rPr>
            </w:pPr>
            <w:r>
              <w:rPr>
                <w:rFonts w:hint="eastAsia" w:ascii="宋体" w:hAnsi="宋体" w:cs="宋体"/>
              </w:rPr>
              <w:t>8</w:t>
            </w:r>
          </w:p>
        </w:tc>
        <w:tc>
          <w:tcPr>
            <w:tcW w:w="1694" w:type="dxa"/>
            <w:vAlign w:val="center"/>
          </w:tcPr>
          <w:p w14:paraId="4AA2385E">
            <w:pPr>
              <w:pStyle w:val="185"/>
              <w:widowControl w:val="0"/>
              <w:shd w:val="clear" w:color="auto" w:fill="auto"/>
              <w:spacing w:before="0" w:line="300" w:lineRule="auto"/>
              <w:jc w:val="center"/>
              <w:rPr>
                <w:rStyle w:val="182"/>
                <w:rFonts w:ascii="宋体" w:hAnsi="宋体" w:eastAsia="宋体" w:cs="宋体"/>
                <w:color w:val="auto"/>
                <w:spacing w:val="0"/>
                <w:sz w:val="24"/>
                <w:szCs w:val="24"/>
              </w:rPr>
            </w:pPr>
            <w:r>
              <w:rPr>
                <w:rFonts w:hint="eastAsia" w:ascii="宋体" w:hAnsi="宋体" w:eastAsia="宋体" w:cs="宋体"/>
                <w:spacing w:val="0"/>
                <w:sz w:val="24"/>
                <w:szCs w:val="24"/>
                <w:lang w:val="en-US"/>
              </w:rPr>
              <w:t>质量要求</w:t>
            </w:r>
          </w:p>
        </w:tc>
        <w:tc>
          <w:tcPr>
            <w:tcW w:w="7020" w:type="dxa"/>
            <w:vAlign w:val="center"/>
          </w:tcPr>
          <w:p w14:paraId="12113A05">
            <w:pPr>
              <w:widowControl w:val="0"/>
              <w:snapToGrid w:val="0"/>
              <w:spacing w:line="360" w:lineRule="auto"/>
              <w:rPr>
                <w:rFonts w:ascii="宋体" w:hAnsi="宋体" w:cs="宋体"/>
              </w:rPr>
            </w:pPr>
            <w:r>
              <w:rPr>
                <w:rFonts w:hint="eastAsia" w:ascii="宋体" w:hAnsi="宋体" w:cs="宋体"/>
              </w:rPr>
              <w:t>符合国家、地方现行相关质量要求及验收规范标准，并一次性验收合格。</w:t>
            </w:r>
          </w:p>
        </w:tc>
      </w:tr>
      <w:tr w14:paraId="400D58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14454D51">
            <w:pPr>
              <w:widowControl w:val="0"/>
              <w:spacing w:line="300" w:lineRule="auto"/>
              <w:jc w:val="center"/>
              <w:rPr>
                <w:rFonts w:ascii="宋体" w:hAnsi="宋体" w:cs="宋体"/>
              </w:rPr>
            </w:pPr>
            <w:r>
              <w:rPr>
                <w:rFonts w:hint="eastAsia" w:ascii="宋体" w:hAnsi="宋体" w:cs="宋体"/>
              </w:rPr>
              <w:t>9</w:t>
            </w:r>
          </w:p>
        </w:tc>
        <w:tc>
          <w:tcPr>
            <w:tcW w:w="1694" w:type="dxa"/>
            <w:vAlign w:val="center"/>
          </w:tcPr>
          <w:p w14:paraId="5212FE9A">
            <w:pPr>
              <w:pStyle w:val="185"/>
              <w:widowControl w:val="0"/>
              <w:shd w:val="clear" w:color="auto" w:fill="auto"/>
              <w:spacing w:before="0" w:line="300" w:lineRule="auto"/>
              <w:jc w:val="center"/>
              <w:rPr>
                <w:rFonts w:ascii="宋体" w:hAnsi="宋体" w:eastAsia="宋体" w:cs="宋体"/>
                <w:spacing w:val="0"/>
                <w:sz w:val="24"/>
                <w:szCs w:val="24"/>
                <w:lang w:val="en-US"/>
              </w:rPr>
            </w:pPr>
            <w:r>
              <w:rPr>
                <w:rStyle w:val="182"/>
                <w:rFonts w:hint="eastAsia" w:ascii="宋体" w:hAnsi="宋体" w:eastAsia="宋体" w:cs="宋体"/>
                <w:color w:val="auto"/>
                <w:spacing w:val="0"/>
                <w:sz w:val="24"/>
                <w:szCs w:val="24"/>
              </w:rPr>
              <w:t>磋商申请人资格要求</w:t>
            </w:r>
          </w:p>
        </w:tc>
        <w:tc>
          <w:tcPr>
            <w:tcW w:w="7020" w:type="dxa"/>
            <w:vAlign w:val="center"/>
          </w:tcPr>
          <w:p w14:paraId="647FDBD0">
            <w:pPr>
              <w:widowControl w:val="0"/>
              <w:snapToGrid w:val="0"/>
              <w:spacing w:line="360" w:lineRule="auto"/>
              <w:rPr>
                <w:rFonts w:ascii="宋体" w:hAnsi="宋体" w:cs="宋体"/>
                <w:b/>
                <w:bCs/>
              </w:rPr>
            </w:pPr>
            <w:r>
              <w:rPr>
                <w:rFonts w:hint="eastAsia" w:ascii="宋体" w:hAnsi="宋体" w:cs="宋体"/>
                <w:b/>
                <w:bCs/>
              </w:rPr>
              <w:t>1.满足《中华人民共和国政府采购法》第二十二条规定：</w:t>
            </w:r>
          </w:p>
          <w:p w14:paraId="523CA667">
            <w:pPr>
              <w:widowControl w:val="0"/>
              <w:snapToGrid w:val="0"/>
              <w:spacing w:line="360" w:lineRule="auto"/>
              <w:rPr>
                <w:rFonts w:hint="eastAsia" w:ascii="宋体" w:hAnsi="宋体" w:cs="宋体"/>
              </w:rPr>
            </w:pPr>
            <w:r>
              <w:rPr>
                <w:rFonts w:hint="eastAsia" w:ascii="宋体" w:hAnsi="宋体" w:cs="宋体"/>
              </w:rPr>
              <w:t>（1）具有独立承担民事责任的能力（提供有效营业执照）；</w:t>
            </w:r>
          </w:p>
          <w:p w14:paraId="19B08CA8">
            <w:pPr>
              <w:widowControl w:val="0"/>
              <w:snapToGrid w:val="0"/>
              <w:spacing w:line="360" w:lineRule="auto"/>
              <w:rPr>
                <w:rFonts w:hint="eastAsia" w:ascii="宋体" w:hAnsi="宋体" w:cs="宋体"/>
              </w:rPr>
            </w:pPr>
            <w:r>
              <w:rPr>
                <w:rFonts w:hint="eastAsia" w:ascii="宋体" w:hAnsi="宋体" w:cs="宋体"/>
              </w:rPr>
              <w:t>（2）具有良好的商业信誉和健全的财务会计制度（投标人提供2023年度或2024年度经第三方审计的财务报告及报表或企业自身出具的合法有效的财务报表；投标人成立不足1年的，可提供企业成立至今合法有效的财务资料）；</w:t>
            </w:r>
          </w:p>
          <w:p w14:paraId="03ADFBA6">
            <w:pPr>
              <w:widowControl w:val="0"/>
              <w:snapToGrid w:val="0"/>
              <w:spacing w:line="360" w:lineRule="auto"/>
              <w:rPr>
                <w:rFonts w:hint="eastAsia" w:ascii="宋体" w:hAnsi="宋体" w:cs="宋体"/>
              </w:rPr>
            </w:pPr>
            <w:r>
              <w:rPr>
                <w:rFonts w:hint="eastAsia" w:ascii="宋体" w:hAnsi="宋体" w:cs="宋体"/>
              </w:rPr>
              <w:t>（3）</w:t>
            </w:r>
            <w:r>
              <w:rPr>
                <w:rFonts w:hint="eastAsia" w:ascii="宋体" w:hAnsi="宋体" w:cs="宋体"/>
                <w:lang w:eastAsia="zh-CN"/>
              </w:rPr>
              <w:t>具有履行合同所必需的设备和专业技术能力（提供书面声明）</w:t>
            </w:r>
            <w:r>
              <w:rPr>
                <w:rFonts w:hint="eastAsia" w:ascii="宋体" w:hAnsi="宋体" w:cs="宋体"/>
              </w:rPr>
              <w:t>；</w:t>
            </w:r>
          </w:p>
          <w:p w14:paraId="61B86029">
            <w:pPr>
              <w:widowControl w:val="0"/>
              <w:snapToGrid w:val="0"/>
              <w:spacing w:line="360" w:lineRule="auto"/>
              <w:rPr>
                <w:rFonts w:hint="eastAsia" w:ascii="宋体" w:hAnsi="宋体" w:cs="宋体"/>
              </w:rPr>
            </w:pPr>
            <w:r>
              <w:rPr>
                <w:rFonts w:hint="eastAsia" w:ascii="宋体" w:hAnsi="宋体" w:cs="宋体"/>
              </w:rPr>
              <w:t>（4）有依法缴纳税收和社会保障资金的良好记录（投标人提供缴税所属时间在2024年01月至本项目投标响应文件提交截止时间前任意1个月的税务局税收通用缴款书或银行电子缴税（费）凭证或税务局出具纳税情况的相关证明，依法免税的，应提供依法免税的相关证明文件；至开标截止时间投标人成立时间不足1个月的可根据自身情况提供依法缴纳税收相关材料或提供书面情况说明；投标人提供缴费所属时间在2024年01月至本项目投标响应文件提交截止时间前任意1个月的社会保险费缴款书或银行电子缴税（费）凭证或社保管理部门出具的有效的缴款证明，依法免缴的，应提供依法免缴的相关证明文件；至开标截止时间投标人成立时间不足1个月的可根据自身情况提供依法缴纳社会保障资金相关材料或提供书面情况说明。）；</w:t>
            </w:r>
          </w:p>
          <w:p w14:paraId="473E3CF1">
            <w:pPr>
              <w:widowControl w:val="0"/>
              <w:snapToGrid w:val="0"/>
              <w:spacing w:line="360" w:lineRule="auto"/>
              <w:rPr>
                <w:rFonts w:hint="eastAsia" w:ascii="宋体" w:hAnsi="宋体" w:cs="宋体"/>
              </w:rPr>
            </w:pPr>
            <w:r>
              <w:rPr>
                <w:rFonts w:hint="eastAsia" w:ascii="宋体" w:hAnsi="宋体" w:cs="宋体"/>
              </w:rPr>
              <w:t>（5）参加政府采购活动前三年内，在经营活动中没有重大违法记录（自行承诺）；</w:t>
            </w:r>
          </w:p>
          <w:p w14:paraId="0E30C6A7">
            <w:pPr>
              <w:widowControl w:val="0"/>
              <w:snapToGrid w:val="0"/>
              <w:spacing w:line="360" w:lineRule="auto"/>
              <w:rPr>
                <w:rFonts w:hint="eastAsia" w:ascii="宋体" w:hAnsi="宋体" w:cs="宋体"/>
              </w:rPr>
            </w:pPr>
            <w:r>
              <w:rPr>
                <w:rFonts w:hint="eastAsia" w:ascii="宋体" w:hAnsi="宋体" w:cs="宋体"/>
              </w:rPr>
              <w:t>（6）法律、行政法规规定的其他条件（自行承诺）；</w:t>
            </w:r>
          </w:p>
          <w:p w14:paraId="2A128B34">
            <w:pPr>
              <w:widowControl w:val="0"/>
              <w:snapToGrid w:val="0"/>
              <w:spacing w:line="360" w:lineRule="auto"/>
              <w:rPr>
                <w:rFonts w:hint="eastAsia" w:ascii="宋体" w:hAnsi="宋体" w:eastAsia="宋体" w:cs="宋体"/>
                <w:lang w:eastAsia="zh-CN"/>
              </w:rPr>
            </w:pPr>
            <w:r>
              <w:rPr>
                <w:rFonts w:hint="eastAsia" w:ascii="宋体" w:hAnsi="宋体" w:cs="宋体"/>
              </w:rPr>
              <w:t>（7）单位负责人为同一人或者存在直接控股、管理关系的不同磋商申请人，不得参加同一合同项下的政府采购活动（自行承诺）</w:t>
            </w:r>
            <w:r>
              <w:rPr>
                <w:rFonts w:hint="eastAsia" w:ascii="宋体" w:hAnsi="宋体" w:cs="宋体"/>
                <w:lang w:eastAsia="zh-CN"/>
              </w:rPr>
              <w:t>。</w:t>
            </w:r>
          </w:p>
          <w:p w14:paraId="379E8E31">
            <w:pPr>
              <w:widowControl w:val="0"/>
              <w:snapToGrid w:val="0"/>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2.落实政府采购政策需满足的资格要求：</w:t>
            </w:r>
          </w:p>
          <w:p w14:paraId="16B51595">
            <w:pPr>
              <w:widowControl w:val="0"/>
              <w:snapToGrid w:val="0"/>
              <w:spacing w:line="360" w:lineRule="auto"/>
              <w:rPr>
                <w:rFonts w:hint="eastAsia" w:ascii="宋体" w:hAnsi="宋体" w:eastAsia="宋体" w:cs="Times New Roman"/>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2.1本项目为专门面向中小企业的政府采购项目，不再执行价格评审优惠的扶持政策。监狱企业、残疾人福利性单位视同小微企业。投标人须按磋商文件规定格式提供中小企业声明函（或监狱企业声明函或残疾人福利性单位声明函）。</w:t>
            </w:r>
          </w:p>
          <w:p w14:paraId="236E8D23">
            <w:pPr>
              <w:widowControl w:val="0"/>
              <w:snapToGrid w:val="0"/>
              <w:spacing w:line="360" w:lineRule="auto"/>
              <w:rPr>
                <w:rFonts w:hint="default" w:eastAsia="仿宋_GB2312"/>
                <w:b w:val="0"/>
                <w:bCs w:val="0"/>
                <w:highlight w:val="none"/>
                <w:lang w:val="en-US" w:eastAsia="zh-CN"/>
              </w:rPr>
            </w:pPr>
            <w:r>
              <w:rPr>
                <w:rFonts w:hint="eastAsia" w:ascii="宋体" w:hAnsi="宋体" w:eastAsia="宋体" w:cs="Times New Roman"/>
                <w:b w:val="0"/>
                <w:bCs w:val="0"/>
                <w:color w:val="auto"/>
                <w:sz w:val="24"/>
                <w:szCs w:val="24"/>
                <w:highlight w:val="none"/>
                <w:lang w:val="en-US" w:eastAsia="zh-CN"/>
              </w:rPr>
              <w:t>2.2根据《关于印发中小企业划型标准规定的通知》（工信部联企业〔2011〕300号）文件规定的划分标准，本项目对应的中小企业划分标准所属行业为：建筑业。</w:t>
            </w:r>
          </w:p>
          <w:p w14:paraId="4B8C6F6B">
            <w:pPr>
              <w:widowControl w:val="0"/>
              <w:snapToGrid w:val="0"/>
              <w:spacing w:line="360" w:lineRule="auto"/>
              <w:rPr>
                <w:rFonts w:ascii="宋体" w:hAnsi="宋体" w:cs="宋体"/>
                <w:b/>
                <w:bCs/>
              </w:rPr>
            </w:pPr>
            <w:r>
              <w:rPr>
                <w:rFonts w:hint="eastAsia" w:ascii="宋体" w:hAnsi="宋体" w:cs="宋体"/>
                <w:b/>
                <w:bCs/>
                <w:lang w:val="en-US" w:eastAsia="zh-CN"/>
              </w:rPr>
              <w:t>3</w:t>
            </w:r>
            <w:r>
              <w:rPr>
                <w:rFonts w:hint="eastAsia" w:ascii="宋体" w:hAnsi="宋体" w:cs="宋体"/>
                <w:b/>
                <w:bCs/>
              </w:rPr>
              <w:t>.本项目特定资格要求：</w:t>
            </w:r>
          </w:p>
          <w:p w14:paraId="4E23458F">
            <w:pPr>
              <w:widowControl w:val="0"/>
              <w:snapToGrid w:val="0"/>
              <w:spacing w:line="360" w:lineRule="auto"/>
              <w:rPr>
                <w:rFonts w:ascii="宋体" w:hAnsi="宋体" w:cs="宋体"/>
                <w:b/>
                <w:bCs/>
              </w:rPr>
            </w:pPr>
            <w:r>
              <w:rPr>
                <w:rFonts w:hint="eastAsia" w:ascii="宋体" w:hAnsi="宋体" w:cs="宋体"/>
                <w:b/>
                <w:bCs/>
                <w:lang w:val="en-US" w:eastAsia="zh-CN"/>
              </w:rPr>
              <w:t>3</w:t>
            </w:r>
            <w:r>
              <w:rPr>
                <w:rFonts w:hint="eastAsia" w:ascii="宋体" w:hAnsi="宋体" w:cs="宋体"/>
                <w:b/>
                <w:bCs/>
              </w:rPr>
              <w:t>.1</w:t>
            </w:r>
            <w:r>
              <w:rPr>
                <w:rFonts w:hint="eastAsia" w:ascii="宋体" w:hAnsi="宋体" w:eastAsia="宋体" w:cs="宋体"/>
                <w:b/>
                <w:bCs/>
                <w:spacing w:val="-2"/>
              </w:rPr>
              <w:t>申请人须具备</w:t>
            </w:r>
            <w:r>
              <w:rPr>
                <w:rFonts w:hint="eastAsia" w:ascii="宋体" w:hAnsi="宋体" w:cs="宋体"/>
                <w:b/>
                <w:bCs/>
                <w:spacing w:val="-2"/>
                <w:lang w:eastAsia="zh-CN"/>
              </w:rPr>
              <w:t>水利水电工程施工总承</w:t>
            </w:r>
            <w:r>
              <w:rPr>
                <w:rFonts w:hint="eastAsia" w:ascii="宋体" w:hAnsi="宋体" w:eastAsia="宋体" w:cs="宋体"/>
                <w:b/>
                <w:bCs/>
                <w:spacing w:val="-2"/>
                <w:lang w:eastAsia="zh-CN"/>
              </w:rPr>
              <w:t>包叁级（含叁级）以上资质</w:t>
            </w:r>
            <w:r>
              <w:rPr>
                <w:rFonts w:hint="eastAsia" w:ascii="宋体" w:hAnsi="宋体" w:cs="宋体"/>
                <w:b/>
                <w:bCs/>
              </w:rPr>
              <w:t>，且具备有效的安全生产许可证。</w:t>
            </w:r>
          </w:p>
          <w:p w14:paraId="4901A5B0">
            <w:pPr>
              <w:widowControl w:val="0"/>
              <w:snapToGrid w:val="0"/>
              <w:spacing w:line="360" w:lineRule="auto"/>
              <w:rPr>
                <w:rFonts w:ascii="宋体" w:hAnsi="宋体" w:cs="宋体"/>
                <w:b/>
                <w:bCs/>
              </w:rPr>
            </w:pPr>
            <w:r>
              <w:rPr>
                <w:rFonts w:hint="eastAsia" w:ascii="宋体" w:hAnsi="宋体" w:cs="宋体"/>
                <w:b/>
                <w:bCs/>
                <w:lang w:val="en-US" w:eastAsia="zh-CN"/>
              </w:rPr>
              <w:t>3</w:t>
            </w:r>
            <w:r>
              <w:rPr>
                <w:rFonts w:hint="eastAsia" w:ascii="宋体" w:hAnsi="宋体" w:cs="宋体"/>
                <w:b/>
                <w:bCs/>
              </w:rPr>
              <w:t>.2拟投入的项目经理须具备</w:t>
            </w:r>
            <w:r>
              <w:rPr>
                <w:rFonts w:hint="eastAsia" w:ascii="宋体" w:hAnsi="宋体" w:cs="宋体"/>
                <w:b/>
                <w:bCs/>
                <w:lang w:eastAsia="zh-CN"/>
              </w:rPr>
              <w:t>水利水电工程</w:t>
            </w:r>
            <w:r>
              <w:rPr>
                <w:rFonts w:hint="eastAsia" w:ascii="宋体" w:hAnsi="宋体" w:cs="宋体"/>
                <w:b/>
                <w:bCs/>
              </w:rPr>
              <w:t>专业二级及以上注册建造师、具备有效的全生产考核合格证书 B 证，且不得在其他在建工程施工项目中担任项目经理（提供承诺书），提供社保证明材料。</w:t>
            </w:r>
          </w:p>
          <w:p w14:paraId="5E87C11D">
            <w:pPr>
              <w:widowControl w:val="0"/>
              <w:snapToGrid w:val="0"/>
              <w:spacing w:line="360" w:lineRule="auto"/>
              <w:rPr>
                <w:rFonts w:ascii="宋体" w:hAnsi="宋体" w:cs="宋体"/>
              </w:rPr>
            </w:pPr>
            <w:r>
              <w:rPr>
                <w:rFonts w:hint="eastAsia" w:ascii="宋体" w:hAnsi="宋体" w:cs="宋体"/>
                <w:lang w:val="en-US" w:eastAsia="zh-CN"/>
              </w:rPr>
              <w:t>4</w:t>
            </w:r>
            <w:r>
              <w:rPr>
                <w:rFonts w:hint="eastAsia" w:ascii="宋体" w:hAnsi="宋体" w:cs="宋体"/>
              </w:rPr>
              <w:t>.本项目不接受联合体投标。</w:t>
            </w:r>
          </w:p>
          <w:p w14:paraId="649847B1">
            <w:pPr>
              <w:widowControl w:val="0"/>
              <w:snapToGrid w:val="0"/>
              <w:spacing w:line="360" w:lineRule="auto"/>
              <w:rPr>
                <w:rFonts w:hint="eastAsia" w:ascii="宋体" w:hAnsi="宋体" w:cs="宋体"/>
              </w:rPr>
            </w:pPr>
            <w:r>
              <w:rPr>
                <w:rFonts w:hint="eastAsia" w:ascii="宋体" w:hAnsi="宋体" w:cs="宋体"/>
                <w:lang w:val="en-US" w:eastAsia="zh-CN"/>
              </w:rPr>
              <w:t>5</w:t>
            </w:r>
            <w:r>
              <w:rPr>
                <w:rFonts w:hint="eastAsia" w:ascii="宋体" w:hAnsi="宋体" w:cs="宋体"/>
              </w:rPr>
              <w:t>.</w:t>
            </w:r>
            <w:bookmarkStart w:id="202" w:name="_GoBack"/>
            <w:r>
              <w:rPr>
                <w:rFonts w:hint="eastAsia" w:ascii="宋体" w:hAnsi="宋体" w:cs="宋体"/>
              </w:rPr>
              <w:t>单位负责人为同一人或者存在直接控股、管理关系的不同磋商申请人，不得参加同一合同项下的政府采购活动。</w:t>
            </w:r>
            <w:bookmarkEnd w:id="202"/>
          </w:p>
          <w:p w14:paraId="3FC02508">
            <w:pPr>
              <w:widowControl w:val="0"/>
              <w:snapToGrid w:val="0"/>
              <w:spacing w:line="360" w:lineRule="auto"/>
              <w:rPr>
                <w:rFonts w:hint="eastAsia"/>
              </w:rPr>
            </w:pPr>
            <w:r>
              <w:rPr>
                <w:rFonts w:hint="eastAsia" w:ascii="宋体" w:hAnsi="宋体" w:cs="宋体"/>
                <w:lang w:val="en-US" w:eastAsia="zh-CN"/>
              </w:rPr>
              <w:t>6.</w:t>
            </w:r>
            <w:r>
              <w:rPr>
                <w:rFonts w:hint="eastAsia" w:ascii="宋体" w:hAnsi="宋体"/>
                <w:color w:val="auto"/>
                <w:sz w:val="24"/>
                <w:szCs w:val="24"/>
                <w:highlight w:val="none"/>
                <w:lang w:eastAsia="zh-CN"/>
              </w:rPr>
              <w:t>供应商在磋商响应截止日期前未被列入“信用中国”网站“失信被执行人”（中国执行信息公开网）、“拖欠农民工工资失信联合惩戒对象名单”、“重大税收违法失信主体”，未被列入中国政府采购网“政府采购严重违法失信行为信息记录名单”，由采购人及采购代理机构按照以上条款对参与磋商的各申请人的信用信息进行核查，有不良记录的磋商申请将被拒绝。</w:t>
            </w:r>
          </w:p>
        </w:tc>
      </w:tr>
      <w:tr w14:paraId="3E476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234AD379">
            <w:pPr>
              <w:widowControl w:val="0"/>
              <w:spacing w:line="300" w:lineRule="auto"/>
              <w:jc w:val="center"/>
              <w:rPr>
                <w:rFonts w:ascii="宋体" w:hAnsi="宋体" w:cs="宋体"/>
              </w:rPr>
            </w:pPr>
            <w:r>
              <w:rPr>
                <w:rFonts w:hint="eastAsia" w:ascii="宋体" w:hAnsi="宋体" w:cs="宋体"/>
              </w:rPr>
              <w:t>10</w:t>
            </w:r>
          </w:p>
        </w:tc>
        <w:tc>
          <w:tcPr>
            <w:tcW w:w="1694" w:type="dxa"/>
            <w:vAlign w:val="center"/>
          </w:tcPr>
          <w:p w14:paraId="29A231D1">
            <w:pPr>
              <w:widowControl w:val="0"/>
              <w:spacing w:line="300" w:lineRule="auto"/>
              <w:jc w:val="center"/>
              <w:rPr>
                <w:rFonts w:ascii="宋体" w:hAnsi="宋体" w:cs="宋体"/>
              </w:rPr>
            </w:pPr>
            <w:r>
              <w:rPr>
                <w:rFonts w:hint="eastAsia" w:ascii="宋体" w:hAnsi="宋体" w:cs="宋体"/>
              </w:rPr>
              <w:t>现场考察</w:t>
            </w:r>
          </w:p>
        </w:tc>
        <w:tc>
          <w:tcPr>
            <w:tcW w:w="7020" w:type="dxa"/>
            <w:vAlign w:val="center"/>
          </w:tcPr>
          <w:p w14:paraId="4E636FFF">
            <w:pPr>
              <w:pStyle w:val="185"/>
              <w:widowControl w:val="0"/>
              <w:shd w:val="clear" w:color="auto" w:fill="auto"/>
              <w:spacing w:before="0" w:line="300" w:lineRule="auto"/>
              <w:jc w:val="left"/>
              <w:rPr>
                <w:rStyle w:val="182"/>
                <w:rFonts w:ascii="宋体" w:hAnsi="宋体" w:eastAsia="宋体" w:cs="宋体"/>
                <w:color w:val="auto"/>
                <w:spacing w:val="0"/>
                <w:sz w:val="24"/>
                <w:szCs w:val="24"/>
              </w:rPr>
            </w:pPr>
            <w:r>
              <w:rPr>
                <w:rStyle w:val="182"/>
                <w:rFonts w:hint="eastAsia" w:ascii="宋体" w:hAnsi="宋体" w:eastAsia="宋体" w:cs="宋体"/>
                <w:color w:val="auto"/>
                <w:spacing w:val="0"/>
                <w:sz w:val="24"/>
                <w:szCs w:val="24"/>
              </w:rPr>
              <w:fldChar w:fldCharType="begin"/>
            </w:r>
            <w:r>
              <w:rPr>
                <w:rStyle w:val="182"/>
                <w:rFonts w:hint="eastAsia" w:ascii="宋体" w:hAnsi="宋体" w:eastAsia="宋体" w:cs="宋体"/>
                <w:color w:val="auto"/>
                <w:spacing w:val="0"/>
                <w:sz w:val="24"/>
                <w:szCs w:val="24"/>
              </w:rPr>
              <w:instrText xml:space="preserve">eq \o\ac(□,√)</w:instrText>
            </w:r>
            <w:r>
              <w:rPr>
                <w:rStyle w:val="182"/>
                <w:rFonts w:hint="eastAsia" w:ascii="宋体" w:hAnsi="宋体" w:eastAsia="宋体" w:cs="宋体"/>
                <w:color w:val="auto"/>
                <w:spacing w:val="0"/>
                <w:sz w:val="24"/>
                <w:szCs w:val="24"/>
              </w:rPr>
              <w:fldChar w:fldCharType="end"/>
            </w:r>
            <w:r>
              <w:rPr>
                <w:rStyle w:val="182"/>
                <w:rFonts w:hint="eastAsia" w:ascii="宋体" w:hAnsi="宋体" w:eastAsia="宋体" w:cs="宋体"/>
                <w:color w:val="auto"/>
                <w:spacing w:val="0"/>
                <w:sz w:val="24"/>
                <w:szCs w:val="24"/>
              </w:rPr>
              <w:t>不组织，本项目由磋商申请人自行踏勘。</w:t>
            </w:r>
          </w:p>
          <w:p w14:paraId="2223DE91">
            <w:pPr>
              <w:pStyle w:val="185"/>
              <w:widowControl w:val="0"/>
              <w:shd w:val="clear" w:color="auto" w:fill="auto"/>
              <w:spacing w:before="0" w:line="300" w:lineRule="auto"/>
              <w:jc w:val="left"/>
              <w:rPr>
                <w:rStyle w:val="182"/>
                <w:rFonts w:ascii="宋体" w:hAnsi="宋体" w:eastAsia="宋体" w:cs="宋体"/>
                <w:color w:val="auto"/>
                <w:spacing w:val="0"/>
                <w:sz w:val="24"/>
                <w:szCs w:val="24"/>
              </w:rPr>
            </w:pPr>
            <w:r>
              <w:rPr>
                <w:rStyle w:val="182"/>
                <w:rFonts w:hint="eastAsia" w:ascii="宋体" w:hAnsi="宋体" w:eastAsia="宋体" w:cs="宋体"/>
                <w:color w:val="auto"/>
                <w:spacing w:val="0"/>
                <w:sz w:val="24"/>
                <w:szCs w:val="24"/>
              </w:rPr>
              <w:t>□组织</w:t>
            </w:r>
          </w:p>
        </w:tc>
      </w:tr>
      <w:tr w14:paraId="3E3C0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5F3AE156">
            <w:pPr>
              <w:widowControl w:val="0"/>
              <w:spacing w:line="300" w:lineRule="auto"/>
              <w:jc w:val="center"/>
              <w:rPr>
                <w:rFonts w:ascii="宋体" w:hAnsi="宋体" w:cs="宋体"/>
              </w:rPr>
            </w:pPr>
            <w:r>
              <w:rPr>
                <w:rFonts w:hint="eastAsia" w:ascii="宋体" w:hAnsi="宋体" w:cs="宋体"/>
              </w:rPr>
              <w:t>11</w:t>
            </w:r>
          </w:p>
        </w:tc>
        <w:tc>
          <w:tcPr>
            <w:tcW w:w="1694" w:type="dxa"/>
            <w:vAlign w:val="center"/>
          </w:tcPr>
          <w:p w14:paraId="091CFE6C">
            <w:pPr>
              <w:widowControl w:val="0"/>
              <w:spacing w:line="300" w:lineRule="auto"/>
              <w:jc w:val="center"/>
              <w:rPr>
                <w:rFonts w:ascii="宋体" w:hAnsi="宋体" w:cs="宋体"/>
              </w:rPr>
            </w:pPr>
            <w:r>
              <w:rPr>
                <w:rFonts w:hint="eastAsia" w:ascii="宋体" w:hAnsi="宋体" w:cs="宋体"/>
              </w:rPr>
              <w:t>招标答疑会</w:t>
            </w:r>
          </w:p>
        </w:tc>
        <w:tc>
          <w:tcPr>
            <w:tcW w:w="7020" w:type="dxa"/>
            <w:vAlign w:val="center"/>
          </w:tcPr>
          <w:p w14:paraId="2E325FC0">
            <w:pPr>
              <w:pStyle w:val="185"/>
              <w:widowControl w:val="0"/>
              <w:shd w:val="clear" w:color="auto" w:fill="auto"/>
              <w:spacing w:before="0" w:line="300" w:lineRule="auto"/>
              <w:jc w:val="left"/>
              <w:rPr>
                <w:rStyle w:val="182"/>
                <w:rFonts w:ascii="宋体" w:hAnsi="宋体" w:eastAsia="宋体" w:cs="宋体"/>
                <w:color w:val="auto"/>
                <w:spacing w:val="0"/>
                <w:sz w:val="24"/>
                <w:szCs w:val="24"/>
              </w:rPr>
            </w:pPr>
            <w:r>
              <w:rPr>
                <w:rStyle w:val="182"/>
                <w:rFonts w:hint="eastAsia" w:ascii="宋体" w:hAnsi="宋体" w:eastAsia="宋体" w:cs="宋体"/>
                <w:color w:val="auto"/>
                <w:spacing w:val="0"/>
                <w:sz w:val="24"/>
                <w:szCs w:val="24"/>
              </w:rPr>
              <w:fldChar w:fldCharType="begin"/>
            </w:r>
            <w:r>
              <w:rPr>
                <w:rStyle w:val="182"/>
                <w:rFonts w:hint="eastAsia" w:ascii="宋体" w:hAnsi="宋体" w:eastAsia="宋体" w:cs="宋体"/>
                <w:color w:val="auto"/>
                <w:spacing w:val="0"/>
                <w:sz w:val="24"/>
                <w:szCs w:val="24"/>
              </w:rPr>
              <w:instrText xml:space="preserve">eq \o\ac(□,√)</w:instrText>
            </w:r>
            <w:r>
              <w:rPr>
                <w:rStyle w:val="182"/>
                <w:rFonts w:hint="eastAsia" w:ascii="宋体" w:hAnsi="宋体" w:eastAsia="宋体" w:cs="宋体"/>
                <w:color w:val="auto"/>
                <w:spacing w:val="0"/>
                <w:sz w:val="24"/>
                <w:szCs w:val="24"/>
              </w:rPr>
              <w:fldChar w:fldCharType="end"/>
            </w:r>
            <w:r>
              <w:rPr>
                <w:rStyle w:val="182"/>
                <w:rFonts w:hint="eastAsia" w:ascii="宋体" w:hAnsi="宋体" w:eastAsia="宋体" w:cs="宋体"/>
                <w:color w:val="auto"/>
                <w:spacing w:val="0"/>
                <w:sz w:val="24"/>
                <w:szCs w:val="24"/>
              </w:rPr>
              <w:t>不召开    □召开</w:t>
            </w:r>
          </w:p>
        </w:tc>
      </w:tr>
      <w:tr w14:paraId="78FD8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48EE3C42">
            <w:pPr>
              <w:widowControl w:val="0"/>
              <w:spacing w:line="300" w:lineRule="auto"/>
              <w:jc w:val="center"/>
              <w:rPr>
                <w:rFonts w:ascii="宋体" w:hAnsi="宋体" w:cs="宋体"/>
              </w:rPr>
            </w:pPr>
            <w:r>
              <w:rPr>
                <w:rFonts w:hint="eastAsia" w:ascii="宋体" w:hAnsi="宋体" w:cs="宋体"/>
              </w:rPr>
              <w:t>12</w:t>
            </w:r>
          </w:p>
        </w:tc>
        <w:tc>
          <w:tcPr>
            <w:tcW w:w="1694" w:type="dxa"/>
            <w:vAlign w:val="center"/>
          </w:tcPr>
          <w:p w14:paraId="23B7EACE">
            <w:pPr>
              <w:widowControl w:val="0"/>
              <w:spacing w:line="300" w:lineRule="auto"/>
              <w:jc w:val="center"/>
              <w:rPr>
                <w:rFonts w:ascii="宋体" w:hAnsi="宋体" w:cs="宋体"/>
              </w:rPr>
            </w:pPr>
            <w:r>
              <w:rPr>
                <w:rFonts w:hint="eastAsia" w:ascii="宋体" w:hAnsi="宋体" w:cs="宋体"/>
              </w:rPr>
              <w:t>构成竞争性磋商文件的其他材料</w:t>
            </w:r>
          </w:p>
        </w:tc>
        <w:tc>
          <w:tcPr>
            <w:tcW w:w="7020" w:type="dxa"/>
            <w:vAlign w:val="center"/>
          </w:tcPr>
          <w:p w14:paraId="6D371CB0">
            <w:pPr>
              <w:widowControl w:val="0"/>
              <w:spacing w:line="300" w:lineRule="auto"/>
              <w:rPr>
                <w:rFonts w:ascii="宋体" w:hAnsi="宋体" w:cs="宋体"/>
              </w:rPr>
            </w:pPr>
            <w:r>
              <w:rPr>
                <w:rFonts w:hint="eastAsia" w:ascii="宋体" w:hAnsi="宋体" w:cs="宋体"/>
              </w:rPr>
              <w:t>无</w:t>
            </w:r>
          </w:p>
        </w:tc>
      </w:tr>
      <w:tr w14:paraId="49FB8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0CAC16EB">
            <w:pPr>
              <w:widowControl w:val="0"/>
              <w:spacing w:line="300" w:lineRule="auto"/>
              <w:jc w:val="center"/>
              <w:rPr>
                <w:rFonts w:ascii="宋体" w:hAnsi="宋体" w:cs="宋体"/>
              </w:rPr>
            </w:pPr>
            <w:r>
              <w:rPr>
                <w:rFonts w:hint="eastAsia" w:ascii="宋体" w:hAnsi="宋体" w:cs="宋体"/>
              </w:rPr>
              <w:t>13</w:t>
            </w:r>
          </w:p>
        </w:tc>
        <w:tc>
          <w:tcPr>
            <w:tcW w:w="1694" w:type="dxa"/>
            <w:vAlign w:val="center"/>
          </w:tcPr>
          <w:p w14:paraId="1DCA64D5">
            <w:pPr>
              <w:widowControl w:val="0"/>
              <w:spacing w:line="300" w:lineRule="auto"/>
              <w:jc w:val="center"/>
              <w:rPr>
                <w:rFonts w:ascii="宋体" w:hAnsi="宋体" w:cs="宋体"/>
              </w:rPr>
            </w:pPr>
            <w:r>
              <w:rPr>
                <w:rFonts w:hint="eastAsia" w:ascii="宋体" w:hAnsi="宋体"/>
                <w:szCs w:val="21"/>
              </w:rPr>
              <w:t>磋商文件澄清截止时间</w:t>
            </w:r>
          </w:p>
        </w:tc>
        <w:tc>
          <w:tcPr>
            <w:tcW w:w="7020" w:type="dxa"/>
            <w:vAlign w:val="center"/>
          </w:tcPr>
          <w:p w14:paraId="6C451C72">
            <w:pPr>
              <w:widowControl w:val="0"/>
              <w:wordWrap w:val="0"/>
              <w:spacing w:line="300" w:lineRule="auto"/>
              <w:rPr>
                <w:rFonts w:ascii="宋体" w:hAnsi="宋体" w:cs="宋体"/>
              </w:rPr>
            </w:pPr>
            <w:r>
              <w:rPr>
                <w:rFonts w:hint="eastAsia" w:ascii="宋体" w:hAnsi="宋体"/>
                <w:szCs w:val="21"/>
              </w:rPr>
              <w:t>提交响应文件截止时间</w:t>
            </w:r>
            <w:r>
              <w:rPr>
                <w:rFonts w:hint="eastAsia" w:ascii="宋体" w:hAnsi="宋体"/>
                <w:szCs w:val="21"/>
                <w:u w:val="single"/>
              </w:rPr>
              <w:t>5</w:t>
            </w:r>
            <w:r>
              <w:rPr>
                <w:rFonts w:hint="eastAsia" w:ascii="宋体" w:hAnsi="宋体"/>
                <w:szCs w:val="21"/>
              </w:rPr>
              <w:t>日前</w:t>
            </w:r>
          </w:p>
        </w:tc>
      </w:tr>
      <w:tr w14:paraId="73EA6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3CAF78EA">
            <w:pPr>
              <w:widowControl w:val="0"/>
              <w:spacing w:line="300" w:lineRule="auto"/>
              <w:jc w:val="center"/>
              <w:rPr>
                <w:rFonts w:ascii="宋体" w:hAnsi="宋体" w:cs="宋体"/>
              </w:rPr>
            </w:pPr>
            <w:r>
              <w:rPr>
                <w:rFonts w:hint="eastAsia" w:ascii="宋体" w:hAnsi="宋体" w:cs="宋体"/>
              </w:rPr>
              <w:t>14</w:t>
            </w:r>
          </w:p>
        </w:tc>
        <w:tc>
          <w:tcPr>
            <w:tcW w:w="1694" w:type="dxa"/>
            <w:vAlign w:val="center"/>
          </w:tcPr>
          <w:p w14:paraId="07DBB891">
            <w:pPr>
              <w:widowControl w:val="0"/>
              <w:spacing w:line="300" w:lineRule="auto"/>
              <w:jc w:val="center"/>
              <w:rPr>
                <w:rFonts w:ascii="宋体" w:hAnsi="宋体" w:cs="宋体"/>
              </w:rPr>
            </w:pPr>
            <w:r>
              <w:rPr>
                <w:rFonts w:hint="eastAsia" w:ascii="宋体" w:hAnsi="宋体" w:cs="宋体"/>
              </w:rPr>
              <w:t>投标有效期</w:t>
            </w:r>
          </w:p>
        </w:tc>
        <w:tc>
          <w:tcPr>
            <w:tcW w:w="7020" w:type="dxa"/>
            <w:vAlign w:val="center"/>
          </w:tcPr>
          <w:p w14:paraId="0CF57A3D">
            <w:pPr>
              <w:widowControl w:val="0"/>
              <w:wordWrap w:val="0"/>
              <w:spacing w:line="300" w:lineRule="auto"/>
              <w:rPr>
                <w:rFonts w:ascii="宋体" w:hAnsi="宋体" w:cs="宋体"/>
                <w:lang w:val="zh-TW"/>
              </w:rPr>
            </w:pPr>
            <w:r>
              <w:rPr>
                <w:rFonts w:hint="eastAsia" w:ascii="宋体" w:hAnsi="宋体" w:cs="宋体"/>
                <w:lang w:val="zh-TW"/>
              </w:rPr>
              <w:t>自递交投标文件截止之日起计算</w:t>
            </w:r>
            <w:r>
              <w:rPr>
                <w:rFonts w:hint="eastAsia" w:ascii="宋体" w:hAnsi="宋体" w:cs="宋体"/>
                <w:lang w:val="en-US" w:eastAsia="zh-CN"/>
              </w:rPr>
              <w:t>9</w:t>
            </w:r>
            <w:r>
              <w:rPr>
                <w:rFonts w:hint="eastAsia" w:ascii="宋体" w:hAnsi="宋体" w:cs="宋体"/>
              </w:rPr>
              <w:t>0</w:t>
            </w:r>
            <w:r>
              <w:rPr>
                <w:rFonts w:hint="eastAsia" w:ascii="宋体" w:hAnsi="宋体" w:cs="宋体"/>
                <w:lang w:val="zh-TW"/>
              </w:rPr>
              <w:t>天。</w:t>
            </w:r>
          </w:p>
        </w:tc>
      </w:tr>
      <w:tr w14:paraId="0D7551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27A61973">
            <w:pPr>
              <w:widowControl w:val="0"/>
              <w:spacing w:line="300" w:lineRule="auto"/>
              <w:jc w:val="center"/>
              <w:rPr>
                <w:rFonts w:ascii="宋体" w:hAnsi="宋体" w:cs="宋体"/>
              </w:rPr>
            </w:pPr>
            <w:r>
              <w:rPr>
                <w:rFonts w:hint="eastAsia" w:ascii="宋体" w:hAnsi="宋体" w:cs="宋体"/>
              </w:rPr>
              <w:t>15</w:t>
            </w:r>
          </w:p>
        </w:tc>
        <w:tc>
          <w:tcPr>
            <w:tcW w:w="1694" w:type="dxa"/>
            <w:vAlign w:val="center"/>
          </w:tcPr>
          <w:p w14:paraId="02BBF7BB">
            <w:pPr>
              <w:widowControl w:val="0"/>
              <w:spacing w:line="300" w:lineRule="auto"/>
              <w:jc w:val="center"/>
              <w:rPr>
                <w:rFonts w:ascii="宋体" w:hAnsi="宋体" w:cs="宋体"/>
              </w:rPr>
            </w:pPr>
            <w:r>
              <w:rPr>
                <w:rFonts w:hint="eastAsia" w:ascii="宋体" w:hAnsi="宋体" w:cs="宋体"/>
              </w:rPr>
              <w:t>投标保证金</w:t>
            </w:r>
          </w:p>
        </w:tc>
        <w:tc>
          <w:tcPr>
            <w:tcW w:w="7020" w:type="dxa"/>
            <w:vAlign w:val="center"/>
          </w:tcPr>
          <w:p w14:paraId="24F7EFC2">
            <w:pPr>
              <w:widowControl w:val="0"/>
              <w:wordWrap w:val="0"/>
              <w:spacing w:line="300" w:lineRule="auto"/>
              <w:rPr>
                <w:rFonts w:ascii="宋体" w:hAnsi="宋体" w:cs="宋体"/>
                <w:lang w:val="zh-TW"/>
              </w:rPr>
            </w:pPr>
            <w:r>
              <w:rPr>
                <w:rFonts w:hint="eastAsia" w:ascii="宋体" w:hAnsi="宋体" w:cs="宋体"/>
              </w:rPr>
              <w:t>1.</w:t>
            </w:r>
            <w:r>
              <w:rPr>
                <w:rFonts w:hint="eastAsia" w:ascii="宋体" w:hAnsi="宋体" w:cs="宋体"/>
                <w:lang w:val="zh-TW"/>
              </w:rPr>
              <w:t>投标保证金金额：</w:t>
            </w:r>
            <w:r>
              <w:rPr>
                <w:rFonts w:hint="eastAsia" w:ascii="宋体" w:hAnsi="宋体" w:cs="宋体"/>
                <w:lang w:val="en-US" w:eastAsia="zh-CN"/>
              </w:rPr>
              <w:t>14</w:t>
            </w:r>
            <w:r>
              <w:rPr>
                <w:rFonts w:hint="eastAsia" w:ascii="宋体" w:hAnsi="宋体" w:cs="宋体"/>
              </w:rPr>
              <w:t>000.00</w:t>
            </w:r>
            <w:r>
              <w:rPr>
                <w:rFonts w:hint="eastAsia" w:ascii="宋体" w:hAnsi="宋体" w:cs="宋体"/>
                <w:lang w:val="zh-TW"/>
              </w:rPr>
              <w:t>元</w:t>
            </w:r>
          </w:p>
          <w:p w14:paraId="0B02494A">
            <w:pPr>
              <w:widowControl w:val="0"/>
              <w:wordWrap w:val="0"/>
              <w:spacing w:line="300" w:lineRule="auto"/>
              <w:rPr>
                <w:rFonts w:ascii="宋体" w:hAnsi="宋体" w:cs="宋体"/>
                <w:lang w:val="zh-TW"/>
              </w:rPr>
            </w:pPr>
            <w:r>
              <w:rPr>
                <w:rFonts w:hint="eastAsia" w:ascii="宋体" w:hAnsi="宋体" w:cs="宋体"/>
              </w:rPr>
              <w:t>2.</w:t>
            </w:r>
            <w:r>
              <w:rPr>
                <w:rFonts w:hint="eastAsia" w:ascii="宋体" w:hAnsi="宋体" w:cs="宋体"/>
                <w:lang w:val="zh-TW"/>
              </w:rPr>
              <w:t>投标保证金形式：</w:t>
            </w:r>
            <w:r>
              <w:rPr>
                <w:rFonts w:hint="eastAsia" w:ascii="宋体" w:hAnsi="宋体" w:cs="宋体"/>
                <w:lang w:eastAsia="zh-CN"/>
              </w:rPr>
              <w:t>银行转账、银行保函、保证保险及法律法规允许的其他方式以非现金形式提交投标保证金。</w:t>
            </w:r>
            <w:r>
              <w:rPr>
                <w:rFonts w:hint="eastAsia" w:ascii="宋体" w:hAnsi="宋体" w:cs="宋体"/>
                <w:lang w:val="zh-TW"/>
              </w:rPr>
              <w:t>磋商申请人可根据实际情况，选择保证金的提供或缴纳方式，有关部门、单位和企业不得以任何方式排斥、限制或拒绝接受。</w:t>
            </w:r>
          </w:p>
          <w:p w14:paraId="18A4304A">
            <w:pPr>
              <w:widowControl w:val="0"/>
              <w:wordWrap w:val="0"/>
              <w:spacing w:line="300" w:lineRule="auto"/>
              <w:rPr>
                <w:rFonts w:hint="eastAsia" w:ascii="宋体" w:hAnsi="宋体" w:cs="宋体"/>
                <w:lang w:val="zh-TW"/>
              </w:rPr>
            </w:pPr>
            <w:r>
              <w:rPr>
                <w:rFonts w:hint="eastAsia" w:ascii="宋体" w:hAnsi="宋体" w:cs="宋体"/>
                <w:lang w:val="zh-TW"/>
              </w:rPr>
              <w:t>户名：云南彬钥工程管理有限公司</w:t>
            </w:r>
          </w:p>
          <w:p w14:paraId="5C8B2063">
            <w:pPr>
              <w:widowControl w:val="0"/>
              <w:wordWrap w:val="0"/>
              <w:spacing w:line="300" w:lineRule="auto"/>
              <w:rPr>
                <w:rFonts w:hint="eastAsia" w:ascii="宋体" w:hAnsi="宋体" w:cs="宋体"/>
                <w:lang w:val="zh-TW"/>
              </w:rPr>
            </w:pPr>
            <w:r>
              <w:rPr>
                <w:rFonts w:hint="eastAsia" w:ascii="宋体" w:hAnsi="宋体" w:cs="宋体"/>
                <w:lang w:val="zh-TW"/>
              </w:rPr>
              <w:t>开户行：云南施甸农村商业银行股份有限公司</w:t>
            </w:r>
          </w:p>
          <w:p w14:paraId="7EE0EFA5">
            <w:pPr>
              <w:widowControl w:val="0"/>
              <w:wordWrap w:val="0"/>
              <w:spacing w:line="300" w:lineRule="auto"/>
              <w:rPr>
                <w:rFonts w:hint="eastAsia" w:ascii="宋体" w:hAnsi="宋体" w:cs="宋体"/>
                <w:lang w:val="zh-TW"/>
              </w:rPr>
            </w:pPr>
            <w:r>
              <w:rPr>
                <w:rFonts w:hint="eastAsia" w:ascii="宋体" w:hAnsi="宋体" w:cs="宋体"/>
                <w:lang w:val="zh-TW"/>
              </w:rPr>
              <w:t>保证金提交账号：2500027368680012</w:t>
            </w:r>
          </w:p>
          <w:p w14:paraId="7AD45D2C">
            <w:pPr>
              <w:widowControl w:val="0"/>
              <w:wordWrap w:val="0"/>
              <w:spacing w:line="300" w:lineRule="auto"/>
              <w:rPr>
                <w:rFonts w:ascii="宋体" w:hAnsi="宋体" w:cs="宋体"/>
                <w:lang w:val="zh-TW"/>
              </w:rPr>
            </w:pPr>
            <w:r>
              <w:rPr>
                <w:rFonts w:hint="eastAsia" w:ascii="宋体" w:hAnsi="宋体" w:cs="宋体"/>
                <w:lang w:val="zh-TW"/>
              </w:rPr>
              <w:t>注：注明项目名称注意事项：</w:t>
            </w:r>
          </w:p>
          <w:p w14:paraId="3E11DAA7">
            <w:pPr>
              <w:spacing w:line="360" w:lineRule="auto"/>
              <w:rPr>
                <w:rFonts w:ascii="宋体" w:hAnsi="宋体" w:cs="宋体"/>
              </w:rPr>
            </w:pPr>
            <w:r>
              <w:rPr>
                <w:rFonts w:hint="eastAsia" w:ascii="宋体" w:hAnsi="宋体" w:cs="宋体"/>
                <w:lang w:val="en-US" w:eastAsia="zh-CN"/>
              </w:rPr>
              <w:t>3</w:t>
            </w:r>
            <w:r>
              <w:rPr>
                <w:rFonts w:ascii="宋体" w:hAnsi="宋体" w:cs="宋体"/>
              </w:rPr>
              <w:t>.保证金必须从磋商申请人的基本账户划出；</w:t>
            </w:r>
          </w:p>
          <w:p w14:paraId="2C2AEF4A">
            <w:pPr>
              <w:spacing w:line="360" w:lineRule="auto"/>
              <w:rPr>
                <w:rFonts w:ascii="宋体" w:hAnsi="宋体" w:cs="宋体"/>
              </w:rPr>
            </w:pPr>
            <w:r>
              <w:rPr>
                <w:rFonts w:hint="eastAsia" w:ascii="宋体" w:hAnsi="宋体" w:cs="宋体"/>
                <w:lang w:val="en-US" w:eastAsia="zh-CN"/>
              </w:rPr>
              <w:t>4</w:t>
            </w:r>
            <w:r>
              <w:rPr>
                <w:rFonts w:ascii="宋体" w:hAnsi="宋体" w:cs="宋体"/>
              </w:rPr>
              <w:t>.保证金转账仅限</w:t>
            </w:r>
            <w:r>
              <w:rPr>
                <w:rFonts w:hint="eastAsia" w:ascii="宋体" w:hAnsi="宋体" w:cs="宋体"/>
              </w:rPr>
              <w:t>支票、汇票、本票、保函、转账</w:t>
            </w:r>
            <w:r>
              <w:rPr>
                <w:rFonts w:hint="eastAsia" w:ascii="宋体" w:hAnsi="宋体" w:cs="宋体"/>
                <w:lang w:val="zh-TW"/>
              </w:rPr>
              <w:t>或其他非现金形式</w:t>
            </w:r>
            <w:r>
              <w:rPr>
                <w:rFonts w:ascii="宋体" w:hAnsi="宋体" w:cs="宋体"/>
              </w:rPr>
              <w:t>；</w:t>
            </w:r>
          </w:p>
          <w:p w14:paraId="65E48F4F">
            <w:pPr>
              <w:spacing w:line="360" w:lineRule="auto"/>
              <w:rPr>
                <w:rFonts w:ascii="宋体" w:hAnsi="宋体" w:cs="宋体"/>
              </w:rPr>
            </w:pPr>
            <w:r>
              <w:rPr>
                <w:rFonts w:hint="eastAsia" w:ascii="宋体" w:hAnsi="宋体" w:cs="宋体"/>
                <w:lang w:val="en-US" w:eastAsia="zh-CN"/>
              </w:rPr>
              <w:t>5</w:t>
            </w:r>
            <w:r>
              <w:rPr>
                <w:rFonts w:ascii="宋体" w:hAnsi="宋体" w:cs="宋体"/>
              </w:rPr>
              <w:t>.到账时间以保证金专用账户实际到账时间为准，未在缴纳保证金截止时间前到账的保证金无效；</w:t>
            </w:r>
          </w:p>
          <w:p w14:paraId="197AC7FC">
            <w:pPr>
              <w:spacing w:line="360" w:lineRule="auto"/>
              <w:rPr>
                <w:rFonts w:ascii="宋体" w:hAnsi="宋体" w:cs="宋体"/>
              </w:rPr>
            </w:pPr>
            <w:r>
              <w:rPr>
                <w:rFonts w:hint="eastAsia" w:ascii="宋体" w:hAnsi="宋体" w:cs="宋体"/>
                <w:lang w:val="en-US" w:eastAsia="zh-CN"/>
              </w:rPr>
              <w:t>6</w:t>
            </w:r>
            <w:r>
              <w:rPr>
                <w:rFonts w:hint="eastAsia" w:ascii="宋体" w:hAnsi="宋体" w:cs="宋体"/>
              </w:rPr>
              <w:t>.</w:t>
            </w:r>
            <w:r>
              <w:rPr>
                <w:rFonts w:ascii="宋体" w:hAnsi="宋体" w:cs="宋体"/>
              </w:rPr>
              <w:t>采用</w:t>
            </w:r>
            <w:r>
              <w:rPr>
                <w:rFonts w:hint="eastAsia" w:ascii="宋体" w:hAnsi="宋体" w:cs="宋体"/>
              </w:rPr>
              <w:t>银行</w:t>
            </w:r>
            <w:r>
              <w:rPr>
                <w:rFonts w:ascii="宋体" w:hAnsi="宋体" w:cs="宋体"/>
              </w:rPr>
              <w:t>保函：</w:t>
            </w:r>
          </w:p>
          <w:p w14:paraId="4FFFE05D">
            <w:pPr>
              <w:keepNext/>
              <w:spacing w:line="360" w:lineRule="auto"/>
              <w:rPr>
                <w:rFonts w:ascii="宋体" w:hAnsi="宋体" w:cs="宋体"/>
              </w:rPr>
            </w:pPr>
            <w:r>
              <w:rPr>
                <w:rFonts w:hint="eastAsia" w:ascii="宋体" w:hAnsi="宋体" w:cs="宋体"/>
              </w:rPr>
              <w:t>保函申请人必须是磋商申请人，受益人必须是采购人，保证人必须是磋商申请人基本账户的开户银行；银行保函必须正确填写受益人和申请人的全称，并与采购文件规定的名称一致，以免造成磋商无效。</w:t>
            </w:r>
          </w:p>
          <w:p w14:paraId="50BF039F">
            <w:pPr>
              <w:keepNext/>
              <w:spacing w:line="360" w:lineRule="auto"/>
              <w:rPr>
                <w:rFonts w:ascii="宋体" w:hAnsi="宋体" w:cs="宋体"/>
              </w:rPr>
            </w:pPr>
            <w:r>
              <w:rPr>
                <w:rFonts w:hint="eastAsia" w:ascii="宋体" w:hAnsi="宋体" w:cs="宋体"/>
                <w:lang w:val="en-US" w:eastAsia="zh-CN"/>
              </w:rPr>
              <w:t>7</w:t>
            </w:r>
            <w:r>
              <w:rPr>
                <w:rFonts w:hint="eastAsia" w:ascii="宋体" w:hAnsi="宋体" w:cs="宋体"/>
              </w:rPr>
              <w:t>.采用保证保险：</w:t>
            </w:r>
          </w:p>
          <w:p w14:paraId="0A53DA55">
            <w:pPr>
              <w:keepNext/>
              <w:spacing w:line="360" w:lineRule="auto"/>
              <w:rPr>
                <w:rFonts w:hint="eastAsia" w:ascii="宋体" w:hAnsi="宋体" w:eastAsia="宋体" w:cs="宋体"/>
                <w:lang w:eastAsia="zh-CN"/>
              </w:rPr>
            </w:pPr>
            <w:r>
              <w:rPr>
                <w:rFonts w:hint="eastAsia" w:ascii="宋体" w:hAnsi="宋体" w:cs="宋体"/>
              </w:rPr>
              <w:t>须按照国家关于保证保险的要求购买保证保险。保险受益人（采购人）</w:t>
            </w:r>
            <w:r>
              <w:rPr>
                <w:rFonts w:hint="eastAsia" w:ascii="宋体" w:hAnsi="宋体" w:cs="宋体"/>
                <w:lang w:eastAsia="zh-CN"/>
              </w:rPr>
              <w:t>。</w:t>
            </w:r>
          </w:p>
          <w:p w14:paraId="57A20675">
            <w:pPr>
              <w:keepNext/>
              <w:spacing w:line="360" w:lineRule="auto"/>
              <w:rPr>
                <w:rFonts w:ascii="宋体" w:hAnsi="宋体" w:cs="宋体"/>
              </w:rPr>
            </w:pPr>
            <w:r>
              <w:rPr>
                <w:rFonts w:hint="eastAsia" w:ascii="宋体" w:hAnsi="宋体" w:cs="宋体"/>
                <w:lang w:val="en-US" w:eastAsia="zh-CN"/>
              </w:rPr>
              <w:t>8</w:t>
            </w:r>
            <w:r>
              <w:rPr>
                <w:rFonts w:hint="eastAsia" w:ascii="宋体" w:hAnsi="宋体" w:cs="宋体"/>
              </w:rPr>
              <w:t>.</w:t>
            </w:r>
            <w:r>
              <w:rPr>
                <w:rFonts w:ascii="宋体" w:hAnsi="宋体" w:cs="宋体"/>
              </w:rPr>
              <w:t>对未足额提交磋商保证金的磋商申请人提交的</w:t>
            </w:r>
            <w:r>
              <w:rPr>
                <w:rFonts w:hint="eastAsia" w:ascii="宋体" w:hAnsi="宋体" w:cs="宋体"/>
              </w:rPr>
              <w:t>磋商响应文件</w:t>
            </w:r>
            <w:r>
              <w:rPr>
                <w:rFonts w:ascii="宋体" w:hAnsi="宋体" w:cs="宋体"/>
              </w:rPr>
              <w:t>，采购代理机构将视其为不响应投标条件而予以拒绝。</w:t>
            </w:r>
          </w:p>
          <w:p w14:paraId="68F3B7BD">
            <w:pPr>
              <w:keepNext/>
              <w:spacing w:line="360" w:lineRule="auto"/>
              <w:rPr>
                <w:rFonts w:hint="eastAsia" w:ascii="宋体" w:hAnsi="宋体" w:cs="宋体"/>
              </w:rPr>
            </w:pPr>
            <w:r>
              <w:rPr>
                <w:rFonts w:hint="eastAsia" w:ascii="宋体" w:hAnsi="宋体" w:cs="宋体"/>
                <w:lang w:val="en-US" w:eastAsia="zh-CN"/>
              </w:rPr>
              <w:t>9</w:t>
            </w:r>
            <w:r>
              <w:rPr>
                <w:rFonts w:hint="eastAsia" w:ascii="宋体" w:hAnsi="宋体" w:cs="宋体"/>
              </w:rPr>
              <w:t>.未中标磋商申请人的投标保证金，将在</w:t>
            </w:r>
            <w:r>
              <w:rPr>
                <w:rFonts w:hint="eastAsia" w:ascii="宋体" w:hAnsi="宋体" w:cs="宋体"/>
                <w:shd w:val="clear" w:color="auto" w:fill="FFFFFF"/>
              </w:rPr>
              <w:t>成交通知书发出后5个工作日内退还</w:t>
            </w:r>
            <w:r>
              <w:rPr>
                <w:rFonts w:hint="eastAsia" w:ascii="宋体" w:hAnsi="宋体" w:cs="宋体"/>
              </w:rPr>
              <w:t>。中标磋商申请人的投标保证金在</w:t>
            </w:r>
            <w:r>
              <w:rPr>
                <w:rFonts w:hint="eastAsia" w:ascii="宋体" w:hAnsi="宋体" w:cs="宋体"/>
                <w:shd w:val="clear" w:color="auto" w:fill="FFFFFF"/>
              </w:rPr>
              <w:t>采购合同</w:t>
            </w:r>
            <w:r>
              <w:rPr>
                <w:rFonts w:hint="eastAsia" w:ascii="宋体" w:hAnsi="宋体" w:cs="宋体"/>
              </w:rPr>
              <w:t>签订后5</w:t>
            </w:r>
            <w:r>
              <w:rPr>
                <w:rFonts w:hint="eastAsia" w:ascii="宋体" w:hAnsi="宋体" w:cs="宋体"/>
                <w:shd w:val="clear" w:color="auto" w:fill="FFFFFF"/>
              </w:rPr>
              <w:t>个工作日</w:t>
            </w:r>
            <w:r>
              <w:rPr>
                <w:rFonts w:hint="eastAsia" w:ascii="宋体" w:hAnsi="宋体" w:cs="宋体"/>
              </w:rPr>
              <w:t>内予以退还。</w:t>
            </w:r>
          </w:p>
          <w:p w14:paraId="06586E45">
            <w:pPr>
              <w:pStyle w:val="23"/>
              <w:ind w:left="0" w:leftChars="0" w:firstLine="0" w:firstLineChars="0"/>
              <w:rPr>
                <w:rFonts w:hint="default" w:eastAsia="宋体"/>
                <w:lang w:val="en-US" w:eastAsia="zh-CN"/>
              </w:rPr>
            </w:pPr>
            <w:r>
              <w:rPr>
                <w:rFonts w:hint="eastAsia" w:hAnsi="宋体" w:cs="宋体"/>
                <w:lang w:val="en-US" w:eastAsia="zh-CN"/>
              </w:rPr>
              <w:t>注：未尽事宜，按现行政策规定执行。</w:t>
            </w:r>
          </w:p>
        </w:tc>
      </w:tr>
      <w:tr w14:paraId="565ACD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5D7029C8">
            <w:pPr>
              <w:widowControl w:val="0"/>
              <w:wordWrap w:val="0"/>
              <w:spacing w:line="300" w:lineRule="auto"/>
              <w:jc w:val="center"/>
              <w:rPr>
                <w:rFonts w:ascii="宋体" w:hAnsi="宋体" w:cs="宋体"/>
              </w:rPr>
            </w:pPr>
            <w:r>
              <w:rPr>
                <w:rFonts w:hint="eastAsia" w:ascii="宋体" w:hAnsi="宋体" w:cs="宋体"/>
              </w:rPr>
              <w:t>16</w:t>
            </w:r>
          </w:p>
        </w:tc>
        <w:tc>
          <w:tcPr>
            <w:tcW w:w="1694" w:type="dxa"/>
            <w:vAlign w:val="center"/>
          </w:tcPr>
          <w:p w14:paraId="741D2F18">
            <w:pPr>
              <w:widowControl w:val="0"/>
              <w:wordWrap w:val="0"/>
              <w:spacing w:line="300" w:lineRule="auto"/>
              <w:rPr>
                <w:rFonts w:ascii="宋体" w:hAnsi="宋体" w:cs="宋体"/>
                <w:lang w:val="zh-TW"/>
              </w:rPr>
            </w:pPr>
            <w:r>
              <w:rPr>
                <w:rFonts w:hint="eastAsia" w:ascii="宋体" w:hAnsi="宋体" w:cs="宋体"/>
                <w:lang w:val="zh-TW"/>
              </w:rPr>
              <w:t>需提供的原件</w:t>
            </w:r>
          </w:p>
        </w:tc>
        <w:tc>
          <w:tcPr>
            <w:tcW w:w="7020" w:type="dxa"/>
            <w:vAlign w:val="center"/>
          </w:tcPr>
          <w:p w14:paraId="6E4EFF67">
            <w:pPr>
              <w:widowControl w:val="0"/>
              <w:wordWrap w:val="0"/>
              <w:spacing w:line="300" w:lineRule="auto"/>
              <w:rPr>
                <w:rFonts w:ascii="宋体" w:hAnsi="宋体" w:cs="宋体"/>
                <w:lang w:val="zh-TW"/>
              </w:rPr>
            </w:pPr>
            <w:r>
              <w:rPr>
                <w:rFonts w:hint="eastAsia" w:ascii="宋体" w:hAnsi="宋体" w:cs="宋体"/>
                <w:lang w:val="zh-TW"/>
              </w:rPr>
              <w:t>无</w:t>
            </w:r>
          </w:p>
        </w:tc>
      </w:tr>
      <w:tr w14:paraId="46B468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5CCC6B14">
            <w:pPr>
              <w:widowControl w:val="0"/>
              <w:wordWrap w:val="0"/>
              <w:spacing w:line="300" w:lineRule="auto"/>
              <w:jc w:val="center"/>
              <w:rPr>
                <w:rFonts w:ascii="宋体" w:hAnsi="宋体" w:cs="宋体"/>
              </w:rPr>
            </w:pPr>
            <w:r>
              <w:rPr>
                <w:rFonts w:hint="eastAsia" w:ascii="宋体" w:hAnsi="宋体" w:cs="宋体"/>
              </w:rPr>
              <w:t>17</w:t>
            </w:r>
          </w:p>
        </w:tc>
        <w:tc>
          <w:tcPr>
            <w:tcW w:w="1694" w:type="dxa"/>
            <w:vAlign w:val="center"/>
          </w:tcPr>
          <w:p w14:paraId="690A6182">
            <w:pPr>
              <w:widowControl w:val="0"/>
              <w:wordWrap w:val="0"/>
              <w:spacing w:line="300" w:lineRule="auto"/>
              <w:rPr>
                <w:rFonts w:ascii="宋体" w:hAnsi="宋体" w:cs="宋体"/>
                <w:lang w:val="zh-TW"/>
              </w:rPr>
            </w:pPr>
            <w:r>
              <w:rPr>
                <w:rFonts w:hint="eastAsia" w:ascii="宋体" w:hAnsi="宋体" w:cs="宋体"/>
                <w:lang w:val="zh-TW"/>
              </w:rPr>
              <w:t>投标截止时间</w:t>
            </w:r>
          </w:p>
        </w:tc>
        <w:tc>
          <w:tcPr>
            <w:tcW w:w="7020" w:type="dxa"/>
            <w:vAlign w:val="center"/>
          </w:tcPr>
          <w:p w14:paraId="0C597887">
            <w:pPr>
              <w:widowControl w:val="0"/>
              <w:wordWrap w:val="0"/>
              <w:spacing w:line="300" w:lineRule="auto"/>
              <w:rPr>
                <w:rFonts w:hint="eastAsia" w:ascii="宋体" w:hAnsi="宋体" w:eastAsia="宋体" w:cs="宋体"/>
                <w:lang w:val="zh-TW" w:eastAsia="zh-CN"/>
              </w:rPr>
            </w:pPr>
            <w:r>
              <w:rPr>
                <w:rFonts w:hint="eastAsia" w:ascii="宋体" w:hAnsi="宋体" w:cs="宋体"/>
              </w:rPr>
              <w:t>202</w:t>
            </w:r>
            <w:r>
              <w:rPr>
                <w:rFonts w:hint="eastAsia" w:ascii="宋体" w:hAnsi="宋体" w:cs="宋体"/>
                <w:lang w:val="en-US" w:eastAsia="zh-CN"/>
              </w:rPr>
              <w:t>6</w:t>
            </w:r>
            <w:r>
              <w:rPr>
                <w:rFonts w:hint="eastAsia" w:ascii="宋体" w:hAnsi="宋体" w:cs="宋体"/>
                <w:lang w:val="zh-TW"/>
              </w:rPr>
              <w:t>年</w:t>
            </w:r>
            <w:r>
              <w:rPr>
                <w:rFonts w:hint="eastAsia" w:ascii="宋体" w:hAnsi="宋体" w:cs="宋体"/>
                <w:lang w:val="en-US" w:eastAsia="zh-CN"/>
              </w:rPr>
              <w:t>5</w:t>
            </w:r>
            <w:r>
              <w:rPr>
                <w:rFonts w:hint="eastAsia" w:ascii="宋体" w:hAnsi="宋体" w:cs="宋体"/>
                <w:lang w:val="zh-TW"/>
              </w:rPr>
              <w:t>月</w:t>
            </w:r>
            <w:r>
              <w:rPr>
                <w:rFonts w:hint="eastAsia" w:ascii="宋体" w:hAnsi="宋体" w:cs="宋体"/>
                <w:lang w:val="en-US" w:eastAsia="zh-CN"/>
              </w:rPr>
              <w:t>25</w:t>
            </w:r>
            <w:r>
              <w:rPr>
                <w:rFonts w:hint="eastAsia" w:ascii="宋体" w:hAnsi="宋体" w:cs="宋体"/>
                <w:lang w:val="zh-TW"/>
              </w:rPr>
              <w:t>日</w:t>
            </w:r>
            <w:r>
              <w:rPr>
                <w:rFonts w:hint="eastAsia" w:ascii="宋体" w:hAnsi="宋体" w:cs="宋体"/>
                <w:lang w:val="en-US" w:eastAsia="zh-CN"/>
              </w:rPr>
              <w:t>09</w:t>
            </w:r>
            <w:r>
              <w:rPr>
                <w:rFonts w:hint="eastAsia" w:ascii="宋体" w:hAnsi="宋体" w:cs="宋体"/>
                <w:lang w:val="zh-TW"/>
              </w:rPr>
              <w:t xml:space="preserve">时 </w:t>
            </w:r>
            <w:r>
              <w:rPr>
                <w:rFonts w:hint="eastAsia" w:ascii="宋体" w:hAnsi="宋体" w:cs="宋体"/>
              </w:rPr>
              <w:t>00</w:t>
            </w:r>
            <w:r>
              <w:rPr>
                <w:rFonts w:hint="eastAsia" w:ascii="宋体" w:hAnsi="宋体" w:cs="宋体"/>
                <w:lang w:val="zh-TW"/>
              </w:rPr>
              <w:t xml:space="preserve"> 分</w:t>
            </w:r>
            <w:r>
              <w:rPr>
                <w:rFonts w:hint="eastAsia" w:ascii="宋体" w:hAnsi="宋体" w:cs="宋体"/>
                <w:lang w:val="zh-TW" w:eastAsia="zh-CN"/>
              </w:rPr>
              <w:t>（</w:t>
            </w:r>
            <w:r>
              <w:rPr>
                <w:rFonts w:hint="eastAsia" w:ascii="宋体" w:hAnsi="宋体" w:cs="宋体"/>
                <w:lang w:val="en-US" w:eastAsia="zh-CN"/>
              </w:rPr>
              <w:t>具体时间以系统为准</w:t>
            </w:r>
            <w:r>
              <w:rPr>
                <w:rFonts w:hint="eastAsia" w:ascii="宋体" w:hAnsi="宋体" w:cs="宋体"/>
                <w:lang w:val="zh-TW" w:eastAsia="zh-CN"/>
              </w:rPr>
              <w:t>）</w:t>
            </w:r>
          </w:p>
        </w:tc>
      </w:tr>
      <w:tr w14:paraId="2AABB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0D2648C2">
            <w:pPr>
              <w:widowControl w:val="0"/>
              <w:wordWrap w:val="0"/>
              <w:spacing w:line="300" w:lineRule="auto"/>
              <w:jc w:val="center"/>
              <w:rPr>
                <w:rFonts w:ascii="宋体" w:hAnsi="宋体" w:cs="宋体"/>
              </w:rPr>
            </w:pPr>
            <w:r>
              <w:rPr>
                <w:rFonts w:hint="eastAsia" w:ascii="宋体" w:hAnsi="宋体" w:cs="宋体"/>
              </w:rPr>
              <w:t>18</w:t>
            </w:r>
          </w:p>
        </w:tc>
        <w:tc>
          <w:tcPr>
            <w:tcW w:w="1694" w:type="dxa"/>
            <w:vAlign w:val="center"/>
          </w:tcPr>
          <w:p w14:paraId="607B4C0B">
            <w:pPr>
              <w:widowControl w:val="0"/>
              <w:wordWrap w:val="0"/>
              <w:spacing w:line="300" w:lineRule="auto"/>
              <w:rPr>
                <w:rFonts w:ascii="宋体" w:hAnsi="宋体" w:cs="宋体"/>
                <w:lang w:val="zh-TW"/>
              </w:rPr>
            </w:pPr>
            <w:r>
              <w:rPr>
                <w:rFonts w:hint="eastAsia" w:ascii="宋体" w:hAnsi="宋体" w:cs="宋体"/>
                <w:lang w:val="zh-TW"/>
              </w:rPr>
              <w:t>开标时间和地点</w:t>
            </w:r>
          </w:p>
        </w:tc>
        <w:tc>
          <w:tcPr>
            <w:tcW w:w="7020" w:type="dxa"/>
            <w:vAlign w:val="center"/>
          </w:tcPr>
          <w:p w14:paraId="4A66042A">
            <w:pPr>
              <w:widowControl w:val="0"/>
              <w:wordWrap w:val="0"/>
              <w:spacing w:line="300" w:lineRule="auto"/>
              <w:rPr>
                <w:rFonts w:ascii="宋体" w:hAnsi="宋体" w:cs="宋体"/>
                <w:lang w:val="zh-TW"/>
              </w:rPr>
            </w:pPr>
            <w:r>
              <w:rPr>
                <w:rFonts w:hint="eastAsia" w:ascii="宋体" w:hAnsi="宋体" w:cs="宋体"/>
                <w:lang w:val="zh-TW"/>
              </w:rPr>
              <w:t>开标时间：同投标截止时间</w:t>
            </w:r>
          </w:p>
          <w:p w14:paraId="1DA6CE58">
            <w:pPr>
              <w:widowControl w:val="0"/>
              <w:wordWrap w:val="0"/>
              <w:spacing w:line="300" w:lineRule="auto"/>
              <w:rPr>
                <w:rFonts w:ascii="宋体" w:hAnsi="宋体" w:cs="宋体"/>
                <w:lang w:val="zh-TW"/>
              </w:rPr>
            </w:pPr>
            <w:r>
              <w:rPr>
                <w:rFonts w:hint="eastAsia" w:ascii="宋体" w:hAnsi="宋体" w:cs="宋体"/>
                <w:lang w:val="zh-TW"/>
              </w:rPr>
              <w:t>开标地点：</w:t>
            </w:r>
            <w:r>
              <w:rPr>
                <w:rFonts w:hint="eastAsia" w:ascii="宋体" w:hAnsi="宋体" w:cs="宋体"/>
                <w:lang w:val="zh-TW" w:eastAsia="zh-CN"/>
              </w:rPr>
              <w:t>云南彬钥工程管理有限公司</w:t>
            </w:r>
            <w:r>
              <w:rPr>
                <w:rFonts w:hint="eastAsia" w:ascii="宋体" w:hAnsi="宋体" w:cs="宋体"/>
                <w:lang w:val="zh-TW"/>
              </w:rPr>
              <w:t>（</w:t>
            </w:r>
            <w:r>
              <w:rPr>
                <w:rFonts w:hint="eastAsia" w:ascii="宋体" w:hAnsi="宋体" w:cs="宋体"/>
                <w:lang w:val="zh-TW" w:eastAsia="zh-CN"/>
              </w:rPr>
              <w:t>施甸县工商局家属区（原老农贸市场）百大超市对面嘉城名都12-14商铺对面</w:t>
            </w:r>
            <w:r>
              <w:rPr>
                <w:rFonts w:hint="eastAsia" w:ascii="宋体" w:hAnsi="宋体" w:cs="宋体"/>
                <w:lang w:val="zh-TW"/>
              </w:rPr>
              <w:t>）</w:t>
            </w:r>
          </w:p>
        </w:tc>
      </w:tr>
      <w:tr w14:paraId="1974D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959" w:type="dxa"/>
            <w:vAlign w:val="center"/>
          </w:tcPr>
          <w:p w14:paraId="0ABCA3AE">
            <w:pPr>
              <w:widowControl w:val="0"/>
              <w:spacing w:line="300" w:lineRule="auto"/>
              <w:jc w:val="center"/>
              <w:rPr>
                <w:rFonts w:ascii="宋体" w:hAnsi="宋体" w:cs="宋体"/>
              </w:rPr>
            </w:pPr>
            <w:r>
              <w:rPr>
                <w:rFonts w:hint="eastAsia" w:ascii="宋体" w:hAnsi="宋体" w:cs="宋体"/>
              </w:rPr>
              <w:t>19</w:t>
            </w:r>
          </w:p>
        </w:tc>
        <w:tc>
          <w:tcPr>
            <w:tcW w:w="1694" w:type="dxa"/>
            <w:vAlign w:val="center"/>
          </w:tcPr>
          <w:p w14:paraId="68657A9C">
            <w:pPr>
              <w:widowControl w:val="0"/>
              <w:spacing w:line="300" w:lineRule="auto"/>
              <w:jc w:val="center"/>
              <w:rPr>
                <w:rFonts w:ascii="宋体" w:hAnsi="宋体" w:cs="宋体"/>
              </w:rPr>
            </w:pPr>
            <w:r>
              <w:rPr>
                <w:rFonts w:hint="eastAsia" w:ascii="宋体" w:hAnsi="宋体" w:cs="宋体"/>
              </w:rPr>
              <w:t>开标程序</w:t>
            </w:r>
          </w:p>
        </w:tc>
        <w:tc>
          <w:tcPr>
            <w:tcW w:w="7020" w:type="dxa"/>
            <w:vAlign w:val="center"/>
          </w:tcPr>
          <w:p w14:paraId="57F54A6C">
            <w:pPr>
              <w:widowControl w:val="0"/>
              <w:spacing w:line="300" w:lineRule="auto"/>
              <w:rPr>
                <w:rFonts w:ascii="宋体" w:hAnsi="宋体" w:cs="宋体"/>
                <w:u w:val="single"/>
              </w:rPr>
            </w:pPr>
            <w:r>
              <w:rPr>
                <w:rFonts w:hint="eastAsia" w:ascii="宋体" w:hAnsi="宋体" w:cs="宋体"/>
              </w:rPr>
              <w:t>开标顺序：按照</w:t>
            </w:r>
            <w:r>
              <w:rPr>
                <w:rFonts w:hint="eastAsia" w:ascii="宋体" w:hAnsi="宋体" w:cs="宋体"/>
                <w:bCs/>
                <w:szCs w:val="21"/>
              </w:rPr>
              <w:t>“政府采购云平台”开标系统</w:t>
            </w:r>
            <w:r>
              <w:rPr>
                <w:rFonts w:hint="eastAsia" w:ascii="宋体" w:hAnsi="宋体" w:cs="宋体"/>
              </w:rPr>
              <w:t>自动提取所有磋商申请人的顺序当众开标。</w:t>
            </w:r>
          </w:p>
        </w:tc>
      </w:tr>
      <w:tr w14:paraId="137918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9" w:type="dxa"/>
            <w:vAlign w:val="center"/>
          </w:tcPr>
          <w:p w14:paraId="23046A9E">
            <w:pPr>
              <w:widowControl w:val="0"/>
              <w:spacing w:line="300" w:lineRule="auto"/>
              <w:jc w:val="center"/>
              <w:rPr>
                <w:rFonts w:ascii="宋体" w:hAnsi="宋体" w:cs="宋体"/>
              </w:rPr>
            </w:pPr>
            <w:r>
              <w:rPr>
                <w:rFonts w:hint="eastAsia" w:ascii="宋体" w:hAnsi="宋体" w:cs="宋体"/>
              </w:rPr>
              <w:t>20</w:t>
            </w:r>
          </w:p>
        </w:tc>
        <w:tc>
          <w:tcPr>
            <w:tcW w:w="1694" w:type="dxa"/>
            <w:vAlign w:val="center"/>
          </w:tcPr>
          <w:p w14:paraId="192B1AA5">
            <w:pPr>
              <w:pStyle w:val="185"/>
              <w:widowControl w:val="0"/>
              <w:shd w:val="clear" w:color="auto" w:fill="auto"/>
              <w:spacing w:before="0" w:line="300" w:lineRule="auto"/>
              <w:jc w:val="center"/>
              <w:rPr>
                <w:rFonts w:ascii="宋体" w:hAnsi="宋体" w:eastAsia="宋体" w:cs="宋体"/>
                <w:spacing w:val="0"/>
                <w:sz w:val="24"/>
                <w:szCs w:val="24"/>
                <w:lang w:val="en-US"/>
              </w:rPr>
            </w:pPr>
            <w:r>
              <w:rPr>
                <w:rFonts w:hint="eastAsia" w:ascii="宋体" w:hAnsi="宋体" w:eastAsia="宋体" w:cs="宋体"/>
                <w:spacing w:val="0"/>
                <w:sz w:val="24"/>
                <w:szCs w:val="24"/>
                <w:lang w:val="en-US"/>
              </w:rPr>
              <w:t>磋商小组的组建</w:t>
            </w:r>
          </w:p>
        </w:tc>
        <w:tc>
          <w:tcPr>
            <w:tcW w:w="7020" w:type="dxa"/>
            <w:vAlign w:val="center"/>
          </w:tcPr>
          <w:p w14:paraId="54C75B2D">
            <w:pPr>
              <w:widowControl w:val="0"/>
              <w:spacing w:line="300" w:lineRule="auto"/>
              <w:jc w:val="both"/>
              <w:rPr>
                <w:rFonts w:ascii="宋体" w:hAnsi="宋体" w:cs="宋体"/>
                <w:u w:val="single"/>
              </w:rPr>
            </w:pPr>
            <w:r>
              <w:rPr>
                <w:rFonts w:hint="eastAsia" w:ascii="宋体" w:hAnsi="宋体" w:cs="宋体"/>
              </w:rPr>
              <w:t>磋商小组</w:t>
            </w:r>
            <w:r>
              <w:rPr>
                <w:rFonts w:hint="eastAsia" w:ascii="宋体" w:hAnsi="宋体" w:cs="宋体"/>
                <w:lang w:val="zh-TW"/>
              </w:rPr>
              <w:t>的组成：</w:t>
            </w:r>
            <w:r>
              <w:rPr>
                <w:rFonts w:hint="eastAsia" w:ascii="宋体" w:hAnsi="宋体" w:cs="宋体"/>
              </w:rPr>
              <w:t>开标前从“云南省政府采购信息管理系统”中随机抽取2</w:t>
            </w:r>
            <w:r>
              <w:rPr>
                <w:rFonts w:hint="eastAsia" w:ascii="宋体" w:hAnsi="宋体" w:cs="宋体"/>
                <w:lang w:val="zh-TW"/>
              </w:rPr>
              <w:t>人和采购人代表</w:t>
            </w:r>
            <w:r>
              <w:rPr>
                <w:rFonts w:hint="eastAsia" w:ascii="宋体" w:hAnsi="宋体" w:cs="宋体"/>
              </w:rPr>
              <w:t>1人，</w:t>
            </w:r>
            <w:r>
              <w:rPr>
                <w:rFonts w:hint="eastAsia" w:ascii="宋体" w:hAnsi="宋体" w:cs="宋体"/>
                <w:lang w:val="zh-TW"/>
              </w:rPr>
              <w:t>共</w:t>
            </w:r>
            <w:r>
              <w:rPr>
                <w:rFonts w:hint="eastAsia" w:ascii="宋体" w:hAnsi="宋体" w:cs="宋体"/>
              </w:rPr>
              <w:t>3人组成</w:t>
            </w:r>
            <w:r>
              <w:rPr>
                <w:rFonts w:hint="eastAsia" w:ascii="宋体" w:hAnsi="宋体" w:cs="宋体"/>
                <w:lang w:val="zh-TW"/>
              </w:rPr>
              <w:t>。</w:t>
            </w:r>
          </w:p>
        </w:tc>
      </w:tr>
      <w:tr w14:paraId="53642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4BE0FCB0">
            <w:pPr>
              <w:widowControl w:val="0"/>
              <w:spacing w:line="300" w:lineRule="auto"/>
              <w:jc w:val="center"/>
              <w:rPr>
                <w:rFonts w:ascii="宋体" w:hAnsi="宋体" w:cs="宋体"/>
              </w:rPr>
            </w:pPr>
            <w:r>
              <w:rPr>
                <w:rFonts w:hint="eastAsia" w:ascii="宋体" w:hAnsi="宋体" w:cs="宋体"/>
              </w:rPr>
              <w:t>21</w:t>
            </w:r>
          </w:p>
        </w:tc>
        <w:tc>
          <w:tcPr>
            <w:tcW w:w="1694" w:type="dxa"/>
            <w:vAlign w:val="center"/>
          </w:tcPr>
          <w:p w14:paraId="1BB092A9">
            <w:pPr>
              <w:widowControl w:val="0"/>
              <w:spacing w:line="300" w:lineRule="auto"/>
              <w:jc w:val="center"/>
              <w:rPr>
                <w:rFonts w:ascii="宋体" w:hAnsi="宋体" w:cs="宋体"/>
              </w:rPr>
            </w:pPr>
            <w:r>
              <w:rPr>
                <w:rFonts w:hint="eastAsia" w:ascii="宋体" w:hAnsi="宋体" w:cs="宋体"/>
              </w:rPr>
              <w:t>评标办法</w:t>
            </w:r>
          </w:p>
        </w:tc>
        <w:tc>
          <w:tcPr>
            <w:tcW w:w="7020" w:type="dxa"/>
            <w:vAlign w:val="center"/>
          </w:tcPr>
          <w:p w14:paraId="22623CD7">
            <w:pPr>
              <w:widowControl w:val="0"/>
              <w:spacing w:line="300" w:lineRule="auto"/>
              <w:jc w:val="both"/>
              <w:rPr>
                <w:rFonts w:ascii="宋体" w:hAnsi="宋体" w:cs="宋体"/>
                <w:lang w:val="zh-TW"/>
              </w:rPr>
            </w:pPr>
            <w:r>
              <w:rPr>
                <w:rFonts w:hint="eastAsia" w:ascii="宋体" w:hAnsi="宋体" w:cs="宋体"/>
                <w:lang w:val="zh-TW"/>
              </w:rPr>
              <w:fldChar w:fldCharType="begin"/>
            </w:r>
            <w:r>
              <w:rPr>
                <w:rFonts w:hint="eastAsia" w:ascii="宋体" w:hAnsi="宋体" w:cs="宋体"/>
                <w:lang w:val="zh-TW"/>
              </w:rPr>
              <w:instrText xml:space="preserve">eq \o\ac(□,√)</w:instrText>
            </w:r>
            <w:r>
              <w:rPr>
                <w:rFonts w:hint="eastAsia" w:ascii="宋体" w:hAnsi="宋体" w:cs="宋体"/>
                <w:lang w:val="zh-TW"/>
              </w:rPr>
              <w:fldChar w:fldCharType="end"/>
            </w:r>
            <w:r>
              <w:rPr>
                <w:rFonts w:hint="eastAsia" w:ascii="宋体" w:hAnsi="宋体" w:cs="宋体"/>
                <w:lang w:val="zh-TW"/>
              </w:rPr>
              <w:t>综合评分法      □最低评标价法</w:t>
            </w:r>
          </w:p>
        </w:tc>
      </w:tr>
      <w:tr w14:paraId="3709DD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16EAF401">
            <w:pPr>
              <w:widowControl w:val="0"/>
              <w:spacing w:line="300" w:lineRule="auto"/>
              <w:jc w:val="center"/>
              <w:rPr>
                <w:rFonts w:ascii="宋体" w:hAnsi="宋体" w:cs="宋体"/>
              </w:rPr>
            </w:pPr>
            <w:r>
              <w:rPr>
                <w:rFonts w:hint="eastAsia" w:ascii="宋体" w:hAnsi="宋体" w:cs="宋体"/>
              </w:rPr>
              <w:t>22</w:t>
            </w:r>
          </w:p>
        </w:tc>
        <w:tc>
          <w:tcPr>
            <w:tcW w:w="1694" w:type="dxa"/>
            <w:vAlign w:val="center"/>
          </w:tcPr>
          <w:p w14:paraId="0CB403CB">
            <w:pPr>
              <w:widowControl w:val="0"/>
              <w:spacing w:line="300" w:lineRule="auto"/>
              <w:jc w:val="center"/>
              <w:rPr>
                <w:rFonts w:ascii="宋体" w:hAnsi="宋体" w:cs="宋体"/>
              </w:rPr>
            </w:pPr>
            <w:r>
              <w:rPr>
                <w:rFonts w:hint="eastAsia" w:ascii="宋体" w:hAnsi="宋体" w:cs="宋体"/>
              </w:rPr>
              <w:t>中标候选人公示媒介</w:t>
            </w:r>
          </w:p>
        </w:tc>
        <w:tc>
          <w:tcPr>
            <w:tcW w:w="7020" w:type="dxa"/>
            <w:shd w:val="clear" w:color="auto" w:fill="auto"/>
            <w:vAlign w:val="center"/>
          </w:tcPr>
          <w:p w14:paraId="56E8B37D">
            <w:pPr>
              <w:widowControl w:val="0"/>
              <w:spacing w:line="300" w:lineRule="auto"/>
              <w:jc w:val="both"/>
              <w:rPr>
                <w:rFonts w:ascii="宋体" w:hAnsi="宋体" w:cs="宋体"/>
              </w:rPr>
            </w:pPr>
            <w:r>
              <w:rPr>
                <w:rFonts w:hint="eastAsia" w:ascii="宋体" w:hAnsi="宋体" w:cs="宋体"/>
                <w:lang w:val="zh-TW"/>
              </w:rPr>
              <w:t>《云南省政府采购网》</w:t>
            </w:r>
            <w:r>
              <w:rPr>
                <w:rFonts w:hint="eastAsia" w:ascii="宋体" w:hAnsi="宋体" w:cs="宋体"/>
                <w:sz w:val="21"/>
                <w:szCs w:val="21"/>
                <w:shd w:val="clear" w:color="auto" w:fill="FFFFFF"/>
              </w:rPr>
              <w:t>（</w:t>
            </w:r>
            <w:r>
              <w:rPr>
                <w:rFonts w:hint="eastAsia"/>
                <w:sz w:val="21"/>
                <w:szCs w:val="21"/>
                <w:shd w:val="clear" w:color="auto" w:fill="FFFFFF"/>
              </w:rPr>
              <w:t>www.yngp.com</w:t>
            </w:r>
            <w:r>
              <w:rPr>
                <w:rFonts w:hint="eastAsia" w:ascii="宋体" w:hAnsi="宋体" w:cs="宋体"/>
                <w:sz w:val="21"/>
                <w:szCs w:val="21"/>
                <w:shd w:val="clear" w:color="auto" w:fill="FFFFFF"/>
              </w:rPr>
              <w:t>）</w:t>
            </w:r>
          </w:p>
        </w:tc>
      </w:tr>
      <w:tr w14:paraId="327633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58C6C8FE">
            <w:pPr>
              <w:widowControl w:val="0"/>
              <w:spacing w:line="300" w:lineRule="auto"/>
              <w:jc w:val="center"/>
              <w:rPr>
                <w:rFonts w:ascii="宋体" w:hAnsi="宋体" w:cs="宋体"/>
              </w:rPr>
            </w:pPr>
            <w:r>
              <w:rPr>
                <w:rFonts w:hint="eastAsia" w:ascii="宋体" w:hAnsi="宋体" w:cs="宋体"/>
              </w:rPr>
              <w:t>23</w:t>
            </w:r>
          </w:p>
        </w:tc>
        <w:tc>
          <w:tcPr>
            <w:tcW w:w="1694" w:type="dxa"/>
            <w:vAlign w:val="center"/>
          </w:tcPr>
          <w:p w14:paraId="73778F0D">
            <w:pPr>
              <w:widowControl w:val="0"/>
              <w:spacing w:line="300" w:lineRule="auto"/>
              <w:jc w:val="center"/>
              <w:rPr>
                <w:rFonts w:ascii="宋体" w:hAnsi="宋体" w:cs="宋体"/>
              </w:rPr>
            </w:pPr>
            <w:r>
              <w:rPr>
                <w:rFonts w:hint="eastAsia" w:ascii="宋体" w:hAnsi="宋体" w:cs="宋体"/>
              </w:rPr>
              <w:t>签订协议时间</w:t>
            </w:r>
          </w:p>
        </w:tc>
        <w:tc>
          <w:tcPr>
            <w:tcW w:w="7020" w:type="dxa"/>
            <w:vAlign w:val="center"/>
          </w:tcPr>
          <w:p w14:paraId="4E3C12ED">
            <w:pPr>
              <w:widowControl w:val="0"/>
              <w:spacing w:line="300" w:lineRule="auto"/>
              <w:rPr>
                <w:rFonts w:ascii="宋体" w:hAnsi="宋体" w:cs="宋体"/>
              </w:rPr>
            </w:pPr>
            <w:r>
              <w:rPr>
                <w:rFonts w:hint="eastAsia" w:ascii="宋体" w:hAnsi="宋体" w:cs="宋体"/>
              </w:rPr>
              <w:t>中标通知书签发后30日内</w:t>
            </w:r>
          </w:p>
        </w:tc>
      </w:tr>
      <w:tr w14:paraId="764C7A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73" w:type="dxa"/>
            <w:gridSpan w:val="3"/>
            <w:vAlign w:val="center"/>
          </w:tcPr>
          <w:p w14:paraId="36254379">
            <w:pPr>
              <w:widowControl w:val="0"/>
              <w:spacing w:line="300" w:lineRule="auto"/>
              <w:jc w:val="center"/>
              <w:rPr>
                <w:rFonts w:ascii="宋体" w:hAnsi="宋体" w:cs="宋体"/>
                <w:lang w:val="zh-TW"/>
              </w:rPr>
            </w:pPr>
            <w:r>
              <w:rPr>
                <w:rFonts w:hint="eastAsia" w:ascii="宋体" w:hAnsi="宋体" w:cs="宋体"/>
              </w:rPr>
              <w:t>需要补充的其他内容</w:t>
            </w:r>
          </w:p>
        </w:tc>
      </w:tr>
      <w:tr w14:paraId="44D4D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2FC356E8">
            <w:pPr>
              <w:widowControl w:val="0"/>
              <w:spacing w:line="300" w:lineRule="auto"/>
              <w:jc w:val="center"/>
              <w:rPr>
                <w:rFonts w:ascii="宋体" w:hAnsi="宋体" w:cs="宋体"/>
              </w:rPr>
            </w:pPr>
            <w:r>
              <w:rPr>
                <w:rFonts w:hint="eastAsia" w:ascii="宋体" w:hAnsi="宋体" w:cs="宋体"/>
              </w:rPr>
              <w:t>补充1</w:t>
            </w:r>
          </w:p>
        </w:tc>
        <w:tc>
          <w:tcPr>
            <w:tcW w:w="1694" w:type="dxa"/>
            <w:vAlign w:val="center"/>
          </w:tcPr>
          <w:p w14:paraId="2FA1306F">
            <w:pPr>
              <w:pStyle w:val="185"/>
              <w:widowControl w:val="0"/>
              <w:shd w:val="clear" w:color="auto" w:fill="auto"/>
              <w:spacing w:before="0" w:line="300" w:lineRule="auto"/>
              <w:jc w:val="center"/>
              <w:rPr>
                <w:rFonts w:ascii="宋体" w:hAnsi="宋体" w:eastAsia="宋体" w:cs="宋体"/>
                <w:spacing w:val="0"/>
                <w:sz w:val="24"/>
                <w:szCs w:val="24"/>
                <w:lang w:val="en-US"/>
              </w:rPr>
            </w:pPr>
            <w:r>
              <w:rPr>
                <w:rFonts w:hint="eastAsia" w:ascii="宋体" w:hAnsi="宋体" w:eastAsia="宋体" w:cs="宋体"/>
                <w:spacing w:val="0"/>
                <w:sz w:val="24"/>
                <w:szCs w:val="24"/>
                <w:lang w:val="en-US"/>
              </w:rPr>
              <w:t>招标代理相关费用</w:t>
            </w:r>
          </w:p>
        </w:tc>
        <w:tc>
          <w:tcPr>
            <w:tcW w:w="7020" w:type="dxa"/>
            <w:vAlign w:val="center"/>
          </w:tcPr>
          <w:p w14:paraId="1F2C26B2">
            <w:pPr>
              <w:widowControl w:val="0"/>
              <w:spacing w:line="300" w:lineRule="auto"/>
              <w:jc w:val="both"/>
              <w:rPr>
                <w:rFonts w:ascii="宋体" w:hAnsi="宋体" w:cs="宋体"/>
              </w:rPr>
            </w:pPr>
            <w:r>
              <w:rPr>
                <w:rFonts w:hint="eastAsia" w:ascii="宋体" w:hAnsi="宋体" w:cs="宋体"/>
                <w:bCs/>
              </w:rPr>
              <w:t>根据《云南省建设工程招标代理服务收费 指导意见（试行）》的通知（云建招协〔2023〕51号文）计费标准收取（计算基准价为中标价），由中标人支付。</w:t>
            </w:r>
            <w:r>
              <w:rPr>
                <w:rFonts w:hint="eastAsia" w:ascii="宋体" w:hAnsi="宋体" w:cs="宋体"/>
                <w:bCs/>
              </w:rPr>
              <w:br w:type="textWrapping"/>
            </w:r>
            <w:r>
              <w:rPr>
                <w:rFonts w:hint="eastAsia" w:ascii="宋体" w:hAnsi="宋体" w:cs="宋体"/>
                <w:bCs/>
              </w:rPr>
              <w:t>备注：由甲方支付委托代理服务费的，乙方不得再收取中标服务费。</w:t>
            </w:r>
          </w:p>
        </w:tc>
      </w:tr>
    </w:tbl>
    <w:p w14:paraId="7C801565">
      <w:pPr>
        <w:widowControl w:val="0"/>
        <w:snapToGrid w:val="0"/>
        <w:spacing w:before="120" w:after="120"/>
        <w:jc w:val="center"/>
        <w:outlineLvl w:val="1"/>
        <w:rPr>
          <w:rFonts w:ascii="宋体" w:hAnsi="宋体" w:cs="宋体"/>
          <w:b/>
          <w:bCs/>
          <w:spacing w:val="-2"/>
          <w:sz w:val="32"/>
          <w:szCs w:val="28"/>
        </w:rPr>
      </w:pPr>
      <w:r>
        <w:rPr>
          <w:rStyle w:val="182"/>
          <w:rFonts w:hint="eastAsia" w:ascii="宋体" w:hAnsi="宋体" w:eastAsia="宋体" w:cs="宋体"/>
          <w:color w:val="auto"/>
          <w:sz w:val="24"/>
          <w:szCs w:val="24"/>
        </w:rPr>
        <w:br w:type="page"/>
      </w:r>
      <w:bookmarkStart w:id="52" w:name="_Toc30037"/>
      <w:r>
        <w:rPr>
          <w:rFonts w:hint="eastAsia" w:ascii="宋体" w:hAnsi="宋体" w:cs="宋体"/>
          <w:b/>
          <w:bCs/>
          <w:spacing w:val="-2"/>
          <w:sz w:val="32"/>
          <w:szCs w:val="28"/>
        </w:rPr>
        <w:t>二、投 标 须 知</w:t>
      </w:r>
      <w:bookmarkEnd w:id="52"/>
    </w:p>
    <w:p w14:paraId="04EB3A30">
      <w:pPr>
        <w:widowControl w:val="0"/>
        <w:snapToGrid w:val="0"/>
        <w:spacing w:before="120" w:after="120"/>
        <w:jc w:val="center"/>
        <w:outlineLvl w:val="2"/>
        <w:rPr>
          <w:rFonts w:ascii="宋体" w:hAnsi="宋体" w:cs="宋体"/>
          <w:b/>
          <w:bCs/>
          <w:sz w:val="28"/>
          <w:szCs w:val="28"/>
        </w:rPr>
      </w:pPr>
      <w:bookmarkStart w:id="53" w:name="_Toc12800"/>
      <w:bookmarkStart w:id="54" w:name="_Toc16857"/>
      <w:r>
        <w:rPr>
          <w:rFonts w:hint="eastAsia" w:ascii="宋体" w:hAnsi="宋体" w:cs="宋体"/>
          <w:b/>
          <w:bCs/>
          <w:sz w:val="28"/>
          <w:szCs w:val="28"/>
        </w:rPr>
        <w:t>（一） 总   则</w:t>
      </w:r>
      <w:bookmarkEnd w:id="53"/>
      <w:bookmarkEnd w:id="54"/>
    </w:p>
    <w:p w14:paraId="5732079B">
      <w:pPr>
        <w:widowControl w:val="0"/>
        <w:snapToGrid w:val="0"/>
        <w:spacing w:line="360" w:lineRule="auto"/>
        <w:rPr>
          <w:rFonts w:ascii="宋体" w:hAnsi="宋体" w:cs="宋体"/>
          <w:b/>
          <w:bCs/>
          <w:sz w:val="28"/>
          <w:szCs w:val="28"/>
        </w:rPr>
      </w:pPr>
      <w:r>
        <w:rPr>
          <w:rFonts w:hint="eastAsia" w:ascii="宋体" w:hAnsi="宋体" w:cs="宋体"/>
          <w:b/>
          <w:bCs/>
          <w:sz w:val="28"/>
          <w:szCs w:val="28"/>
        </w:rPr>
        <w:t>1、适用范围：本竞争性磋商文件仅适用于本竞争性磋商文件中所述招标内容。</w:t>
      </w:r>
    </w:p>
    <w:p w14:paraId="2EAC17E6">
      <w:pPr>
        <w:widowControl w:val="0"/>
        <w:snapToGrid w:val="0"/>
        <w:spacing w:line="360" w:lineRule="auto"/>
        <w:rPr>
          <w:rFonts w:ascii="宋体" w:hAnsi="宋体" w:cs="宋体"/>
          <w:b/>
          <w:bCs/>
          <w:sz w:val="28"/>
          <w:szCs w:val="28"/>
        </w:rPr>
      </w:pPr>
      <w:r>
        <w:rPr>
          <w:rFonts w:hint="eastAsia" w:ascii="宋体" w:hAnsi="宋体" w:cs="宋体"/>
          <w:b/>
          <w:bCs/>
          <w:sz w:val="28"/>
          <w:szCs w:val="28"/>
        </w:rPr>
        <w:t>2、投标费用</w:t>
      </w:r>
    </w:p>
    <w:p w14:paraId="4E555FF5">
      <w:pPr>
        <w:widowControl w:val="0"/>
        <w:snapToGrid w:val="0"/>
        <w:spacing w:line="360" w:lineRule="auto"/>
        <w:rPr>
          <w:rFonts w:ascii="宋体" w:hAnsi="宋体" w:cs="宋体"/>
          <w:b/>
          <w:bCs/>
          <w:sz w:val="28"/>
          <w:szCs w:val="28"/>
        </w:rPr>
      </w:pPr>
      <w:r>
        <w:rPr>
          <w:rFonts w:hint="eastAsia" w:ascii="宋体" w:hAnsi="宋体" w:cs="宋体"/>
          <w:b/>
          <w:bCs/>
          <w:sz w:val="28"/>
          <w:szCs w:val="28"/>
        </w:rPr>
        <w:t>2.1 本次招标代理服务费由中标人支付。</w:t>
      </w:r>
    </w:p>
    <w:p w14:paraId="080B8CF8">
      <w:pPr>
        <w:widowControl w:val="0"/>
        <w:snapToGrid w:val="0"/>
        <w:spacing w:line="360" w:lineRule="auto"/>
        <w:rPr>
          <w:rFonts w:ascii="宋体" w:hAnsi="宋体" w:cs="宋体"/>
        </w:rPr>
      </w:pPr>
      <w:r>
        <w:rPr>
          <w:rFonts w:hint="eastAsia" w:ascii="宋体" w:hAnsi="宋体" w:cs="宋体"/>
        </w:rPr>
        <w:t>2.2 磋商申请人应承担参加本招投标活动所涉及的一切费用。</w:t>
      </w:r>
    </w:p>
    <w:p w14:paraId="6929EAE2">
      <w:pPr>
        <w:widowControl w:val="0"/>
        <w:autoSpaceDE w:val="0"/>
        <w:autoSpaceDN w:val="0"/>
        <w:spacing w:line="360" w:lineRule="auto"/>
        <w:rPr>
          <w:rFonts w:ascii="宋体" w:hAnsi="宋体" w:cs="宋体"/>
          <w:lang w:val="zh-CN"/>
        </w:rPr>
      </w:pPr>
      <w:r>
        <w:rPr>
          <w:rFonts w:hint="eastAsia" w:ascii="宋体" w:hAnsi="宋体" w:cs="宋体"/>
        </w:rPr>
        <w:t>3、</w:t>
      </w:r>
      <w:r>
        <w:rPr>
          <w:rFonts w:hint="eastAsia" w:ascii="宋体" w:hAnsi="宋体" w:cs="宋体"/>
          <w:lang w:val="zh-CN"/>
        </w:rPr>
        <w:t>当事人</w:t>
      </w:r>
    </w:p>
    <w:p w14:paraId="24B24B55">
      <w:pPr>
        <w:widowControl w:val="0"/>
        <w:tabs>
          <w:tab w:val="left" w:pos="7088"/>
        </w:tabs>
        <w:autoSpaceDE w:val="0"/>
        <w:autoSpaceDN w:val="0"/>
        <w:spacing w:line="360" w:lineRule="auto"/>
        <w:ind w:firstLine="480"/>
        <w:rPr>
          <w:rFonts w:ascii="宋体" w:hAnsi="宋体" w:cs="宋体"/>
          <w:lang w:val="zh-CN"/>
        </w:rPr>
      </w:pPr>
      <w:r>
        <w:rPr>
          <w:rFonts w:hint="eastAsia" w:ascii="宋体" w:hAnsi="宋体" w:cs="宋体"/>
        </w:rPr>
        <w:t>3.1</w:t>
      </w:r>
      <w:r>
        <w:rPr>
          <w:rFonts w:hint="eastAsia" w:ascii="宋体" w:hAnsi="宋体" w:cs="宋体"/>
          <w:lang w:val="zh-CN"/>
        </w:rPr>
        <w:t>招标人（</w:t>
      </w:r>
      <w:r>
        <w:rPr>
          <w:rFonts w:hint="eastAsia" w:ascii="宋体" w:hAnsi="宋体" w:cs="宋体"/>
        </w:rPr>
        <w:t>采购人</w:t>
      </w:r>
      <w:r>
        <w:rPr>
          <w:rFonts w:hint="eastAsia" w:ascii="宋体" w:hAnsi="宋体" w:cs="宋体"/>
          <w:lang w:val="zh-CN"/>
        </w:rPr>
        <w:t>）：是指</w:t>
      </w:r>
      <w:r>
        <w:rPr>
          <w:rFonts w:hint="eastAsia" w:ascii="宋体" w:hAnsi="宋体" w:cs="宋体"/>
          <w:u w:val="single"/>
          <w:lang w:val="zh-CN"/>
        </w:rPr>
        <w:t>施甸县应急管理局</w:t>
      </w:r>
      <w:r>
        <w:rPr>
          <w:rFonts w:hint="eastAsia" w:ascii="宋体" w:hAnsi="宋体" w:cs="宋体"/>
          <w:lang w:val="zh-CN"/>
        </w:rPr>
        <w:t>。</w:t>
      </w:r>
    </w:p>
    <w:p w14:paraId="6ABD6D82">
      <w:pPr>
        <w:widowControl w:val="0"/>
        <w:autoSpaceDE w:val="0"/>
        <w:autoSpaceDN w:val="0"/>
        <w:spacing w:line="360" w:lineRule="auto"/>
        <w:ind w:firstLine="482"/>
        <w:rPr>
          <w:rFonts w:ascii="宋体" w:hAnsi="宋体" w:cs="宋体"/>
          <w:lang w:val="zh-CN"/>
        </w:rPr>
      </w:pPr>
      <w:r>
        <w:rPr>
          <w:rFonts w:hint="eastAsia" w:ascii="宋体" w:hAnsi="宋体" w:cs="宋体"/>
        </w:rPr>
        <w:t>3.2</w:t>
      </w:r>
      <w:r>
        <w:rPr>
          <w:rFonts w:hint="eastAsia" w:ascii="宋体" w:hAnsi="宋体" w:cs="宋体"/>
          <w:lang w:val="zh-CN"/>
        </w:rPr>
        <w:t>磋商申请人：是指</w:t>
      </w:r>
      <w:r>
        <w:rPr>
          <w:rFonts w:hint="eastAsia" w:ascii="宋体" w:hAnsi="宋体" w:cs="宋体"/>
        </w:rPr>
        <w:t>响应招标且符合竞争性磋商文件规定的资格条件和参加投标竞争的法人、其他组织或者自然人。</w:t>
      </w:r>
    </w:p>
    <w:p w14:paraId="66C03E36">
      <w:pPr>
        <w:widowControl w:val="0"/>
        <w:autoSpaceDE w:val="0"/>
        <w:autoSpaceDN w:val="0"/>
        <w:spacing w:line="360" w:lineRule="auto"/>
        <w:ind w:firstLine="482"/>
        <w:rPr>
          <w:rFonts w:ascii="宋体" w:hAnsi="宋体" w:cs="宋体"/>
          <w:lang w:val="zh-CN"/>
        </w:rPr>
      </w:pPr>
      <w:r>
        <w:rPr>
          <w:rFonts w:hint="eastAsia" w:ascii="宋体" w:hAnsi="宋体" w:cs="宋体"/>
        </w:rPr>
        <w:t>3.3</w:t>
      </w:r>
      <w:r>
        <w:rPr>
          <w:rFonts w:hint="eastAsia" w:ascii="宋体" w:hAnsi="宋体" w:cs="宋体"/>
          <w:lang w:val="zh-CN"/>
        </w:rPr>
        <w:t>评标委员会：是指根据《中华人民共和国政府采购法》等法律法规规定，由招标人代表和有关专家组成以确定中标人或者推荐中标候选人的临时组织。</w:t>
      </w:r>
    </w:p>
    <w:p w14:paraId="4DD7A149">
      <w:pPr>
        <w:widowControl w:val="0"/>
        <w:autoSpaceDE w:val="0"/>
        <w:autoSpaceDN w:val="0"/>
        <w:spacing w:line="360" w:lineRule="auto"/>
        <w:ind w:firstLine="482"/>
        <w:rPr>
          <w:rFonts w:ascii="宋体" w:hAnsi="宋体" w:cs="宋体"/>
          <w:lang w:val="zh-CN"/>
        </w:rPr>
      </w:pPr>
      <w:r>
        <w:rPr>
          <w:rFonts w:hint="eastAsia" w:ascii="宋体" w:hAnsi="宋体" w:cs="宋体"/>
        </w:rPr>
        <w:t>3.4</w:t>
      </w:r>
      <w:r>
        <w:rPr>
          <w:rFonts w:hint="eastAsia" w:ascii="宋体" w:hAnsi="宋体" w:cs="宋体"/>
          <w:lang w:val="zh-CN"/>
        </w:rPr>
        <w:t>中标人：是指通过公开招标，经评标委员会评审确定的符合采购需求、质量和服务要求，并对竞争性磋商文件做出实质性响应，取得与招标人签订合同资格的磋商申请人。</w:t>
      </w:r>
    </w:p>
    <w:p w14:paraId="4AF246B7">
      <w:pPr>
        <w:widowControl w:val="0"/>
        <w:autoSpaceDE w:val="0"/>
        <w:autoSpaceDN w:val="0"/>
        <w:spacing w:line="360" w:lineRule="auto"/>
        <w:ind w:firstLine="482"/>
        <w:rPr>
          <w:rFonts w:ascii="宋体" w:hAnsi="宋体" w:cs="宋体"/>
          <w:lang w:val="zh-CN"/>
        </w:rPr>
      </w:pPr>
      <w:r>
        <w:rPr>
          <w:rFonts w:hint="eastAsia" w:ascii="宋体" w:hAnsi="宋体" w:cs="宋体"/>
        </w:rPr>
        <w:t>3.5</w:t>
      </w:r>
      <w:r>
        <w:rPr>
          <w:rFonts w:hint="eastAsia" w:ascii="宋体" w:hAnsi="宋体" w:cs="宋体"/>
          <w:lang w:val="zh-CN"/>
        </w:rPr>
        <w:t>招标代理机构：是指</w:t>
      </w:r>
      <w:r>
        <w:rPr>
          <w:rFonts w:hint="eastAsia" w:ascii="宋体" w:hAnsi="宋体" w:cs="宋体"/>
          <w:u w:val="single"/>
          <w:lang w:val="zh-CN"/>
        </w:rPr>
        <w:t>云南彬钥工程管理有限公司</w:t>
      </w:r>
      <w:r>
        <w:rPr>
          <w:rFonts w:hint="eastAsia" w:ascii="宋体" w:hAnsi="宋体" w:cs="宋体"/>
          <w:lang w:val="zh-CN"/>
        </w:rPr>
        <w:t>。</w:t>
      </w:r>
    </w:p>
    <w:p w14:paraId="1DF270A9">
      <w:pPr>
        <w:widowControl w:val="0"/>
        <w:autoSpaceDE w:val="0"/>
        <w:autoSpaceDN w:val="0"/>
        <w:spacing w:line="360" w:lineRule="auto"/>
        <w:rPr>
          <w:rFonts w:ascii="宋体" w:hAnsi="宋体" w:cs="宋体"/>
          <w:lang w:val="zh-CN"/>
        </w:rPr>
      </w:pPr>
      <w:r>
        <w:rPr>
          <w:rFonts w:hint="eastAsia" w:ascii="宋体" w:hAnsi="宋体" w:cs="宋体"/>
        </w:rPr>
        <w:t>4、</w:t>
      </w:r>
      <w:r>
        <w:rPr>
          <w:rFonts w:hint="eastAsia" w:ascii="宋体" w:hAnsi="宋体" w:cs="宋体"/>
          <w:lang w:val="zh-CN"/>
        </w:rPr>
        <w:t>招标依据及原则</w:t>
      </w:r>
    </w:p>
    <w:p w14:paraId="18678B51">
      <w:pPr>
        <w:widowControl w:val="0"/>
        <w:autoSpaceDE w:val="0"/>
        <w:autoSpaceDN w:val="0"/>
        <w:spacing w:line="360" w:lineRule="auto"/>
        <w:ind w:firstLine="480"/>
        <w:rPr>
          <w:rFonts w:ascii="宋体" w:hAnsi="宋体" w:cs="宋体"/>
          <w:lang w:val="zh-CN"/>
        </w:rPr>
      </w:pPr>
      <w:r>
        <w:rPr>
          <w:rFonts w:hint="eastAsia" w:ascii="宋体" w:hAnsi="宋体" w:cs="宋体"/>
        </w:rPr>
        <w:t>4.1</w:t>
      </w:r>
      <w:r>
        <w:rPr>
          <w:rFonts w:hint="eastAsia" w:ascii="宋体" w:hAnsi="宋体" w:cs="宋体"/>
          <w:lang w:val="zh-CN"/>
        </w:rPr>
        <w:t xml:space="preserve">《中华人民共和国政府采购法》； </w:t>
      </w:r>
    </w:p>
    <w:p w14:paraId="5192F25D">
      <w:pPr>
        <w:widowControl w:val="0"/>
        <w:autoSpaceDE w:val="0"/>
        <w:autoSpaceDN w:val="0"/>
        <w:spacing w:line="360" w:lineRule="auto"/>
        <w:ind w:firstLine="480"/>
        <w:rPr>
          <w:rFonts w:ascii="宋体" w:hAnsi="宋体" w:cs="宋体"/>
          <w:lang w:val="zh-CN"/>
        </w:rPr>
      </w:pPr>
      <w:r>
        <w:rPr>
          <w:rFonts w:hint="eastAsia" w:ascii="宋体" w:hAnsi="宋体" w:cs="宋体"/>
        </w:rPr>
        <w:t>4.2</w:t>
      </w:r>
      <w:r>
        <w:rPr>
          <w:rFonts w:hint="eastAsia" w:ascii="宋体" w:hAnsi="宋体" w:cs="宋体"/>
          <w:lang w:val="zh-CN"/>
        </w:rPr>
        <w:t>《中华人民共和国政府采购法实施条例》；</w:t>
      </w:r>
    </w:p>
    <w:p w14:paraId="0AA7E60C">
      <w:pPr>
        <w:widowControl w:val="0"/>
        <w:autoSpaceDE w:val="0"/>
        <w:autoSpaceDN w:val="0"/>
        <w:spacing w:line="360" w:lineRule="auto"/>
        <w:ind w:firstLine="480"/>
        <w:rPr>
          <w:rFonts w:ascii="宋体" w:hAnsi="宋体" w:cs="宋体"/>
          <w:lang w:val="zh-CN"/>
        </w:rPr>
      </w:pPr>
      <w:r>
        <w:rPr>
          <w:rFonts w:hint="eastAsia" w:ascii="宋体" w:hAnsi="宋体" w:cs="宋体"/>
        </w:rPr>
        <w:t>4.3</w:t>
      </w:r>
      <w:r>
        <w:rPr>
          <w:rFonts w:hint="eastAsia" w:ascii="宋体" w:hAnsi="宋体" w:cs="宋体"/>
          <w:lang w:val="zh-CN"/>
        </w:rPr>
        <w:t>《政府采购货物和服务招标投标管理办法》；</w:t>
      </w:r>
    </w:p>
    <w:p w14:paraId="0993F42A">
      <w:pPr>
        <w:widowControl w:val="0"/>
        <w:autoSpaceDE w:val="0"/>
        <w:autoSpaceDN w:val="0"/>
        <w:spacing w:line="360" w:lineRule="auto"/>
        <w:ind w:firstLine="480"/>
        <w:rPr>
          <w:rFonts w:ascii="宋体" w:hAnsi="宋体" w:cs="宋体"/>
          <w:lang w:val="zh-CN"/>
        </w:rPr>
      </w:pPr>
      <w:r>
        <w:rPr>
          <w:rFonts w:hint="eastAsia" w:ascii="宋体" w:hAnsi="宋体" w:cs="宋体"/>
          <w:lang w:val="zh-CN"/>
        </w:rPr>
        <w:t>4.4《中华人民共和国民法典》；</w:t>
      </w:r>
    </w:p>
    <w:p w14:paraId="03C5280B">
      <w:pPr>
        <w:widowControl w:val="0"/>
        <w:autoSpaceDE w:val="0"/>
        <w:autoSpaceDN w:val="0"/>
        <w:spacing w:line="360" w:lineRule="auto"/>
        <w:ind w:firstLine="480"/>
        <w:rPr>
          <w:rFonts w:ascii="宋体" w:hAnsi="宋体" w:cs="宋体"/>
        </w:rPr>
      </w:pPr>
      <w:r>
        <w:rPr>
          <w:rFonts w:hint="eastAsia" w:ascii="宋体" w:hAnsi="宋体" w:cs="宋体"/>
        </w:rPr>
        <w:t>4.5《</w:t>
      </w:r>
      <w:r>
        <w:rPr>
          <w:rFonts w:hint="eastAsia" w:ascii="宋体" w:hAnsi="宋体" w:cs="宋体"/>
          <w:lang w:val="zh-CN"/>
        </w:rPr>
        <w:t>政府采购竞争性磋商采购方式管理暂行办法》</w:t>
      </w:r>
    </w:p>
    <w:p w14:paraId="29E294E4">
      <w:pPr>
        <w:widowControl w:val="0"/>
        <w:autoSpaceDE w:val="0"/>
        <w:autoSpaceDN w:val="0"/>
        <w:spacing w:line="360" w:lineRule="auto"/>
        <w:ind w:firstLine="480"/>
        <w:rPr>
          <w:rFonts w:ascii="宋体" w:hAnsi="宋体" w:cs="宋体"/>
          <w:lang w:val="zh-CN"/>
        </w:rPr>
      </w:pPr>
      <w:r>
        <w:rPr>
          <w:rFonts w:hint="eastAsia" w:ascii="宋体" w:hAnsi="宋体" w:cs="宋体"/>
          <w:lang w:val="zh-CN"/>
        </w:rPr>
        <w:t>4.</w:t>
      </w:r>
      <w:r>
        <w:rPr>
          <w:rFonts w:hint="eastAsia" w:ascii="宋体" w:hAnsi="宋体" w:cs="宋体"/>
        </w:rPr>
        <w:t>6</w:t>
      </w:r>
      <w:r>
        <w:rPr>
          <w:rFonts w:hint="eastAsia" w:ascii="宋体" w:hAnsi="宋体" w:cs="宋体"/>
          <w:lang w:val="zh-CN"/>
        </w:rPr>
        <w:t>《政府采购质疑和投诉办法》；</w:t>
      </w:r>
    </w:p>
    <w:p w14:paraId="748675AE">
      <w:pPr>
        <w:widowControl w:val="0"/>
        <w:autoSpaceDE w:val="0"/>
        <w:autoSpaceDN w:val="0"/>
        <w:spacing w:line="360" w:lineRule="auto"/>
        <w:ind w:firstLine="480"/>
        <w:rPr>
          <w:rFonts w:ascii="宋体" w:hAnsi="宋体" w:cs="宋体"/>
          <w:lang w:val="zh-CN"/>
        </w:rPr>
      </w:pPr>
      <w:r>
        <w:rPr>
          <w:rFonts w:hint="eastAsia" w:ascii="宋体" w:hAnsi="宋体" w:cs="宋体"/>
        </w:rPr>
        <w:t>4.7</w:t>
      </w:r>
      <w:r>
        <w:rPr>
          <w:rFonts w:hint="eastAsia" w:ascii="宋体" w:hAnsi="宋体" w:cs="宋体"/>
          <w:lang w:val="zh-CN"/>
        </w:rPr>
        <w:t>其他有关法律、行政法规及省市规范性文件。</w:t>
      </w:r>
    </w:p>
    <w:p w14:paraId="2A244214">
      <w:pPr>
        <w:widowControl w:val="0"/>
        <w:autoSpaceDE w:val="0"/>
        <w:autoSpaceDN w:val="0"/>
        <w:spacing w:line="360" w:lineRule="auto"/>
        <w:rPr>
          <w:rFonts w:ascii="宋体" w:hAnsi="宋体" w:cs="宋体"/>
          <w:lang w:val="zh-CN"/>
        </w:rPr>
      </w:pPr>
      <w:r>
        <w:rPr>
          <w:rFonts w:hint="eastAsia" w:ascii="宋体" w:hAnsi="宋体" w:cs="宋体"/>
        </w:rPr>
        <w:t>5、</w:t>
      </w:r>
      <w:r>
        <w:rPr>
          <w:rFonts w:hint="eastAsia" w:ascii="宋体" w:hAnsi="宋体" w:cs="宋体"/>
          <w:lang w:val="zh-CN"/>
        </w:rPr>
        <w:t>磋商申请人相关要求</w:t>
      </w:r>
    </w:p>
    <w:p w14:paraId="2A39B78F">
      <w:pPr>
        <w:widowControl w:val="0"/>
        <w:autoSpaceDE w:val="0"/>
        <w:autoSpaceDN w:val="0"/>
        <w:spacing w:line="360" w:lineRule="auto"/>
        <w:ind w:firstLine="482"/>
        <w:rPr>
          <w:rFonts w:hint="eastAsia" w:ascii="宋体" w:hAnsi="宋体"/>
          <w:color w:val="auto"/>
          <w:sz w:val="24"/>
          <w:lang w:val="en-US" w:eastAsia="zh-CN"/>
        </w:rPr>
      </w:pPr>
      <w:r>
        <w:rPr>
          <w:rFonts w:hint="eastAsia" w:ascii="宋体" w:hAnsi="宋体"/>
          <w:color w:val="auto"/>
          <w:sz w:val="24"/>
          <w:lang w:val="en-US" w:eastAsia="zh-CN"/>
        </w:rPr>
        <w:t>5.1满足</w:t>
      </w:r>
      <w:r>
        <w:rPr>
          <w:rFonts w:hint="eastAsia" w:ascii="宋体" w:hAnsi="宋体"/>
          <w:color w:val="auto"/>
          <w:sz w:val="24"/>
        </w:rPr>
        <w:t>竞争性磋商公告</w:t>
      </w:r>
      <w:r>
        <w:rPr>
          <w:rFonts w:hint="eastAsia" w:ascii="宋体" w:hAnsi="宋体"/>
          <w:color w:val="auto"/>
          <w:sz w:val="24"/>
          <w:lang w:val="en-US" w:eastAsia="zh-CN"/>
        </w:rPr>
        <w:t>及磋商文件要求。</w:t>
      </w:r>
    </w:p>
    <w:p w14:paraId="101154E9">
      <w:pPr>
        <w:widowControl w:val="0"/>
        <w:autoSpaceDE w:val="0"/>
        <w:autoSpaceDN w:val="0"/>
        <w:spacing w:line="360" w:lineRule="auto"/>
        <w:ind w:firstLine="482"/>
        <w:rPr>
          <w:rFonts w:ascii="宋体" w:hAnsi="宋体" w:cs="宋体"/>
          <w:lang w:val="zh-CN"/>
        </w:rPr>
      </w:pPr>
      <w:r>
        <w:rPr>
          <w:rFonts w:hint="eastAsia" w:ascii="宋体" w:hAnsi="宋体" w:cs="宋体"/>
        </w:rPr>
        <w:t>5</w:t>
      </w:r>
      <w:r>
        <w:rPr>
          <w:rFonts w:hint="eastAsia" w:ascii="宋体" w:hAnsi="宋体" w:cs="宋体"/>
          <w:lang w:val="zh-CN"/>
        </w:rPr>
        <w:t>.</w:t>
      </w:r>
      <w:r>
        <w:rPr>
          <w:rFonts w:hint="eastAsia" w:ascii="宋体" w:hAnsi="宋体" w:cs="宋体"/>
          <w:lang w:val="en-US" w:eastAsia="zh-CN"/>
        </w:rPr>
        <w:t>2</w:t>
      </w:r>
      <w:r>
        <w:rPr>
          <w:rFonts w:hint="eastAsia" w:ascii="宋体" w:hAnsi="宋体" w:cs="宋体"/>
          <w:lang w:val="zh-CN"/>
        </w:rPr>
        <w:t>以联合体形式投标的，应符合以下规定：</w:t>
      </w:r>
      <w:r>
        <w:rPr>
          <w:rFonts w:hint="eastAsia" w:ascii="宋体" w:hAnsi="宋体" w:cs="宋体"/>
          <w:b/>
          <w:bCs/>
          <w:lang w:val="zh-CN"/>
        </w:rPr>
        <w:t>（本项目不接受联合体投标，</w:t>
      </w:r>
      <w:r>
        <w:rPr>
          <w:rFonts w:hint="eastAsia" w:ascii="宋体" w:hAnsi="宋体" w:cs="宋体"/>
          <w:b/>
          <w:bCs/>
        </w:rPr>
        <w:t>不适用</w:t>
      </w:r>
      <w:r>
        <w:rPr>
          <w:rFonts w:hint="eastAsia" w:ascii="宋体" w:hAnsi="宋体" w:cs="宋体"/>
          <w:b/>
          <w:bCs/>
          <w:lang w:val="zh-CN"/>
        </w:rPr>
        <w:t>）</w:t>
      </w:r>
    </w:p>
    <w:p w14:paraId="4E764111">
      <w:pPr>
        <w:widowControl w:val="0"/>
        <w:autoSpaceDE w:val="0"/>
        <w:autoSpaceDN w:val="0"/>
        <w:spacing w:line="360" w:lineRule="auto"/>
        <w:ind w:firstLine="480" w:firstLineChars="200"/>
        <w:rPr>
          <w:rFonts w:ascii="宋体" w:hAnsi="宋体" w:cs="宋体"/>
          <w:lang w:val="zh-CN"/>
        </w:rPr>
      </w:pPr>
      <w:r>
        <w:rPr>
          <w:rFonts w:hint="eastAsia" w:ascii="宋体" w:hAnsi="宋体" w:cs="宋体"/>
          <w:lang w:val="zh-CN"/>
        </w:rPr>
        <w:t>（</w:t>
      </w:r>
      <w:r>
        <w:rPr>
          <w:rFonts w:hint="eastAsia" w:ascii="宋体" w:hAnsi="宋体" w:cs="宋体"/>
        </w:rPr>
        <w:t>1</w:t>
      </w:r>
      <w:r>
        <w:rPr>
          <w:rFonts w:hint="eastAsia" w:ascii="宋体" w:hAnsi="宋体" w:cs="宋体"/>
          <w:lang w:val="zh-CN"/>
        </w:rPr>
        <w:t>）联合体各方均应当具备政府采购法第二十二条规定的条件；</w:t>
      </w:r>
    </w:p>
    <w:p w14:paraId="19905738">
      <w:pPr>
        <w:widowControl w:val="0"/>
        <w:autoSpaceDE w:val="0"/>
        <w:autoSpaceDN w:val="0"/>
        <w:spacing w:line="360" w:lineRule="auto"/>
        <w:ind w:firstLine="480" w:firstLineChars="200"/>
        <w:rPr>
          <w:rFonts w:ascii="宋体" w:hAnsi="宋体" w:cs="宋体"/>
          <w:lang w:val="zh-CN"/>
        </w:rPr>
      </w:pPr>
      <w:r>
        <w:rPr>
          <w:rFonts w:hint="eastAsia" w:ascii="宋体" w:hAnsi="宋体" w:cs="宋体"/>
          <w:lang w:val="zh-CN"/>
        </w:rPr>
        <w:t>（</w:t>
      </w:r>
      <w:r>
        <w:rPr>
          <w:rFonts w:hint="eastAsia" w:ascii="宋体" w:hAnsi="宋体" w:cs="宋体"/>
        </w:rPr>
        <w:t>2</w:t>
      </w:r>
      <w:r>
        <w:rPr>
          <w:rFonts w:hint="eastAsia" w:ascii="宋体" w:hAnsi="宋体" w:cs="宋体"/>
          <w:lang w:val="zh-CN"/>
        </w:rPr>
        <w:t>）联合体各方应按照竞争性磋商文件提供的格式签订联合体协议书，明确载明联合体各方承担的工作和义务。联合体各方应当共同与采购人签订采购合同，就采购合同约定的事项对采购人承担连带责任；</w:t>
      </w:r>
    </w:p>
    <w:p w14:paraId="05361B3C">
      <w:pPr>
        <w:widowControl w:val="0"/>
        <w:autoSpaceDE w:val="0"/>
        <w:autoSpaceDN w:val="0"/>
        <w:spacing w:line="360" w:lineRule="auto"/>
        <w:ind w:firstLine="480" w:firstLineChars="200"/>
        <w:rPr>
          <w:rFonts w:ascii="宋体" w:hAnsi="宋体" w:cs="宋体"/>
          <w:lang w:val="zh-CN"/>
        </w:rPr>
      </w:pPr>
      <w:r>
        <w:rPr>
          <w:rFonts w:hint="eastAsia" w:ascii="宋体" w:hAnsi="宋体" w:cs="宋体"/>
          <w:lang w:val="zh-CN"/>
        </w:rPr>
        <w:t>（3）联合体中有同类资质的供应商按照联合体分工承担相同工作的，应当按照资质等级较低的供应商确定资质等级；</w:t>
      </w:r>
    </w:p>
    <w:p w14:paraId="73F4C3CF">
      <w:pPr>
        <w:widowControl w:val="0"/>
        <w:autoSpaceDE w:val="0"/>
        <w:autoSpaceDN w:val="0"/>
        <w:spacing w:line="360" w:lineRule="auto"/>
        <w:ind w:firstLine="480" w:firstLineChars="200"/>
        <w:rPr>
          <w:rFonts w:ascii="宋体" w:hAnsi="宋体" w:cs="宋体"/>
          <w:lang w:val="zh-CN"/>
        </w:rPr>
      </w:pPr>
      <w:r>
        <w:rPr>
          <w:rFonts w:hint="eastAsia" w:ascii="宋体" w:hAnsi="宋体" w:cs="宋体"/>
          <w:lang w:val="zh-CN"/>
        </w:rPr>
        <w:t>（4）以联合体形式参加政府采购活动的，联合体各方不得再单独参加或者与其他供</w:t>
      </w:r>
    </w:p>
    <w:p w14:paraId="2D450383">
      <w:pPr>
        <w:widowControl w:val="0"/>
        <w:autoSpaceDE w:val="0"/>
        <w:autoSpaceDN w:val="0"/>
        <w:spacing w:line="360" w:lineRule="auto"/>
        <w:ind w:firstLine="480" w:firstLineChars="200"/>
        <w:rPr>
          <w:rFonts w:ascii="宋体" w:hAnsi="宋体" w:cs="宋体"/>
          <w:lang w:val="zh-CN"/>
        </w:rPr>
      </w:pPr>
      <w:r>
        <w:rPr>
          <w:rFonts w:hint="eastAsia" w:ascii="宋体" w:hAnsi="宋体" w:cs="宋体"/>
          <w:lang w:val="zh-CN"/>
        </w:rPr>
        <w:t>（</w:t>
      </w:r>
      <w:r>
        <w:rPr>
          <w:rFonts w:hint="eastAsia" w:ascii="宋体" w:hAnsi="宋体" w:cs="宋体"/>
        </w:rPr>
        <w:t>5</w:t>
      </w:r>
      <w:r>
        <w:rPr>
          <w:rFonts w:hint="eastAsia" w:ascii="宋体" w:hAnsi="宋体" w:cs="宋体"/>
          <w:lang w:val="zh-CN"/>
        </w:rPr>
        <w:t>）鼓励大中型企业和小型、微型企业组成联合体投标，但联合体各方均应符合上述规定。</w:t>
      </w:r>
    </w:p>
    <w:p w14:paraId="5AF24EC0">
      <w:pPr>
        <w:widowControl w:val="0"/>
        <w:autoSpaceDE w:val="0"/>
        <w:autoSpaceDN w:val="0"/>
        <w:spacing w:line="360" w:lineRule="auto"/>
        <w:ind w:firstLine="480" w:firstLineChars="200"/>
        <w:rPr>
          <w:rFonts w:ascii="宋体" w:hAnsi="宋体" w:cs="宋体"/>
          <w:lang w:val="zh-CN"/>
        </w:rPr>
      </w:pPr>
      <w:r>
        <w:rPr>
          <w:rFonts w:hint="eastAsia" w:ascii="宋体" w:hAnsi="宋体" w:cs="宋体"/>
        </w:rPr>
        <w:t>5</w:t>
      </w:r>
      <w:r>
        <w:rPr>
          <w:rFonts w:hint="eastAsia" w:ascii="宋体" w:hAnsi="宋体" w:cs="宋体"/>
          <w:lang w:val="zh-CN"/>
        </w:rPr>
        <w:t>.</w:t>
      </w:r>
      <w:r>
        <w:rPr>
          <w:rFonts w:hint="eastAsia" w:ascii="宋体" w:hAnsi="宋体" w:cs="宋体"/>
          <w:lang w:val="en-US" w:eastAsia="zh-CN"/>
        </w:rPr>
        <w:t>3</w:t>
      </w:r>
      <w:r>
        <w:rPr>
          <w:rFonts w:hint="eastAsia" w:ascii="宋体" w:hAnsi="宋体" w:cs="宋体"/>
          <w:lang w:val="zh-CN"/>
        </w:rPr>
        <w:t>磋商申请人不得直接或者间接地与为本次招标的服务进行设计、编制规范等文件所委托的咨询公司或者其附属机构有任何关联。</w:t>
      </w:r>
    </w:p>
    <w:p w14:paraId="5FBA3EA3">
      <w:pPr>
        <w:widowControl w:val="0"/>
        <w:autoSpaceDE w:val="0"/>
        <w:autoSpaceDN w:val="0"/>
        <w:spacing w:line="360" w:lineRule="auto"/>
        <w:ind w:firstLine="480" w:firstLineChars="200"/>
        <w:rPr>
          <w:rFonts w:ascii="宋体" w:hAnsi="宋体" w:cs="宋体"/>
          <w:lang w:val="zh-CN"/>
        </w:rPr>
      </w:pPr>
      <w:r>
        <w:rPr>
          <w:rFonts w:hint="eastAsia" w:ascii="宋体" w:hAnsi="宋体" w:cs="宋体"/>
        </w:rPr>
        <w:t>5</w:t>
      </w:r>
      <w:r>
        <w:rPr>
          <w:rFonts w:hint="eastAsia" w:ascii="宋体" w:hAnsi="宋体" w:cs="宋体"/>
          <w:lang w:val="zh-CN"/>
        </w:rPr>
        <w:t>.</w:t>
      </w:r>
      <w:r>
        <w:rPr>
          <w:rFonts w:hint="eastAsia" w:ascii="宋体" w:hAnsi="宋体" w:cs="宋体"/>
          <w:lang w:val="en-US" w:eastAsia="zh-CN"/>
        </w:rPr>
        <w:t>4</w:t>
      </w:r>
      <w:r>
        <w:rPr>
          <w:rFonts w:hint="eastAsia" w:ascii="宋体" w:hAnsi="宋体" w:cs="宋体"/>
          <w:lang w:val="zh-CN"/>
        </w:rPr>
        <w:t>磋商申请人提供的证明材料内容必须真实、完整、有效。</w:t>
      </w:r>
    </w:p>
    <w:p w14:paraId="56D15E04">
      <w:pPr>
        <w:widowControl w:val="0"/>
        <w:autoSpaceDE w:val="0"/>
        <w:autoSpaceDN w:val="0"/>
        <w:spacing w:line="360" w:lineRule="auto"/>
        <w:rPr>
          <w:rFonts w:ascii="宋体" w:hAnsi="宋体" w:cs="宋体"/>
          <w:lang w:val="zh-CN"/>
        </w:rPr>
      </w:pPr>
      <w:r>
        <w:rPr>
          <w:rFonts w:hint="eastAsia" w:ascii="宋体" w:hAnsi="宋体" w:cs="宋体"/>
        </w:rPr>
        <w:t>6、</w:t>
      </w:r>
      <w:r>
        <w:rPr>
          <w:rFonts w:hint="eastAsia" w:ascii="宋体" w:hAnsi="宋体" w:cs="宋体"/>
          <w:lang w:val="zh-CN"/>
        </w:rPr>
        <w:t>保密</w:t>
      </w:r>
    </w:p>
    <w:p w14:paraId="702BC5CE">
      <w:pPr>
        <w:widowControl w:val="0"/>
        <w:autoSpaceDE w:val="0"/>
        <w:autoSpaceDN w:val="0"/>
        <w:spacing w:line="360" w:lineRule="auto"/>
        <w:ind w:firstLine="480" w:firstLineChars="200"/>
        <w:rPr>
          <w:rFonts w:ascii="宋体" w:hAnsi="宋体" w:cs="宋体"/>
          <w:lang w:val="zh-CN"/>
        </w:rPr>
      </w:pPr>
      <w:r>
        <w:rPr>
          <w:rFonts w:hint="eastAsia" w:ascii="宋体" w:hAnsi="宋体" w:cs="宋体"/>
          <w:lang w:val="zh-CN"/>
        </w:rPr>
        <w:t xml:space="preserve">参与招标投标活动的当事人应对竞争性磋商文件和磋商响应文件中的商业秘密、技术秘密和个人隐私等保密，违者应对由此造成的后果承担法律责任。 </w:t>
      </w:r>
    </w:p>
    <w:p w14:paraId="7319CE15">
      <w:pPr>
        <w:widowControl w:val="0"/>
        <w:autoSpaceDE w:val="0"/>
        <w:autoSpaceDN w:val="0"/>
        <w:spacing w:line="360" w:lineRule="auto"/>
        <w:rPr>
          <w:rFonts w:ascii="宋体" w:hAnsi="宋体" w:cs="宋体"/>
          <w:lang w:val="zh-CN"/>
        </w:rPr>
      </w:pPr>
      <w:r>
        <w:rPr>
          <w:rFonts w:hint="eastAsia" w:ascii="宋体" w:hAnsi="宋体" w:cs="宋体"/>
        </w:rPr>
        <w:t>7</w:t>
      </w:r>
      <w:r>
        <w:rPr>
          <w:rFonts w:hint="eastAsia" w:ascii="宋体" w:hAnsi="宋体" w:cs="宋体"/>
          <w:lang w:val="zh-CN"/>
        </w:rPr>
        <w:t xml:space="preserve"> 、踏勘现场</w:t>
      </w:r>
    </w:p>
    <w:p w14:paraId="11D162C2">
      <w:pPr>
        <w:widowControl w:val="0"/>
        <w:autoSpaceDE w:val="0"/>
        <w:autoSpaceDN w:val="0"/>
        <w:spacing w:line="360" w:lineRule="auto"/>
        <w:ind w:firstLine="480" w:firstLineChars="200"/>
        <w:rPr>
          <w:rFonts w:ascii="宋体" w:hAnsi="宋体" w:cs="宋体"/>
          <w:lang w:val="zh-CN"/>
        </w:rPr>
      </w:pPr>
      <w:r>
        <w:rPr>
          <w:rFonts w:hint="eastAsia" w:ascii="宋体" w:hAnsi="宋体" w:cs="宋体"/>
        </w:rPr>
        <w:t>7</w:t>
      </w:r>
      <w:r>
        <w:rPr>
          <w:rFonts w:hint="eastAsia" w:ascii="宋体" w:hAnsi="宋体" w:cs="宋体"/>
          <w:lang w:val="zh-CN"/>
        </w:rPr>
        <w:t>.1竞争性磋商文件规定组织踏勘现场的，招标人必须按照规定时间、地点组织磋商申请人踏勘项目现场，以获取有关编制投标文件和签署合同所涉及现场的资料。磋商申请人承担踏勘现场所发生的自身费用、责任和风险。</w:t>
      </w:r>
    </w:p>
    <w:p w14:paraId="139779EF">
      <w:pPr>
        <w:widowControl w:val="0"/>
        <w:autoSpaceDE w:val="0"/>
        <w:autoSpaceDN w:val="0"/>
        <w:spacing w:line="360" w:lineRule="auto"/>
        <w:ind w:firstLine="480" w:firstLineChars="200"/>
        <w:rPr>
          <w:rFonts w:ascii="宋体" w:hAnsi="宋体" w:cs="宋体"/>
          <w:lang w:val="zh-CN"/>
        </w:rPr>
      </w:pPr>
      <w:r>
        <w:rPr>
          <w:rFonts w:hint="eastAsia" w:ascii="宋体" w:hAnsi="宋体" w:cs="宋体"/>
        </w:rPr>
        <w:t>7</w:t>
      </w:r>
      <w:r>
        <w:rPr>
          <w:rFonts w:hint="eastAsia" w:ascii="宋体" w:hAnsi="宋体" w:cs="宋体"/>
          <w:lang w:val="zh-CN"/>
        </w:rPr>
        <w:t>.2招标人向磋商申请人提供的有关现场的资料和数据，是招标人现有的能被磋商申请人利用的资料，招标人不对磋商申请人由此而做出的推论、理解和结论负责。</w:t>
      </w:r>
    </w:p>
    <w:p w14:paraId="1DA33D1F">
      <w:pPr>
        <w:widowControl w:val="0"/>
        <w:autoSpaceDE w:val="0"/>
        <w:autoSpaceDN w:val="0"/>
        <w:spacing w:line="360" w:lineRule="auto"/>
        <w:ind w:firstLine="480" w:firstLineChars="200"/>
        <w:rPr>
          <w:rFonts w:ascii="宋体" w:hAnsi="宋体" w:cs="宋体"/>
          <w:lang w:val="zh-CN"/>
        </w:rPr>
      </w:pPr>
      <w:r>
        <w:rPr>
          <w:rFonts w:hint="eastAsia" w:ascii="宋体" w:hAnsi="宋体" w:cs="宋体"/>
        </w:rPr>
        <w:t>7</w:t>
      </w:r>
      <w:r>
        <w:rPr>
          <w:rFonts w:hint="eastAsia" w:ascii="宋体" w:hAnsi="宋体" w:cs="宋体"/>
          <w:lang w:val="zh-CN"/>
        </w:rPr>
        <w:t>.3磋商申请人经招标人允许，可进入项目现场踏勘，但不得因此使招标人承担有关责任和蒙受损失。除招标人原因外，磋商申请人应对踏勘现场而造成的人员伤亡、财产损失以及由此引起的连带责任和费用负责。</w:t>
      </w:r>
    </w:p>
    <w:p w14:paraId="6BA061F7">
      <w:pPr>
        <w:widowControl w:val="0"/>
        <w:autoSpaceDE w:val="0"/>
        <w:autoSpaceDN w:val="0"/>
        <w:spacing w:line="360" w:lineRule="auto"/>
        <w:rPr>
          <w:rFonts w:ascii="宋体" w:hAnsi="宋体" w:cs="宋体"/>
          <w:lang w:val="zh-CN"/>
        </w:rPr>
      </w:pPr>
      <w:r>
        <w:rPr>
          <w:rFonts w:hint="eastAsia" w:ascii="宋体" w:hAnsi="宋体" w:cs="宋体"/>
        </w:rPr>
        <w:t>8、</w:t>
      </w:r>
      <w:r>
        <w:rPr>
          <w:rFonts w:hint="eastAsia" w:ascii="宋体" w:hAnsi="宋体" w:cs="宋体"/>
          <w:lang w:val="zh-CN"/>
        </w:rPr>
        <w:t>偏离</w:t>
      </w:r>
    </w:p>
    <w:p w14:paraId="7C9022EE">
      <w:pPr>
        <w:widowControl w:val="0"/>
        <w:autoSpaceDE w:val="0"/>
        <w:autoSpaceDN w:val="0"/>
        <w:spacing w:line="360" w:lineRule="auto"/>
        <w:ind w:firstLine="480" w:firstLineChars="200"/>
        <w:rPr>
          <w:rFonts w:ascii="宋体" w:hAnsi="宋体" w:cs="宋体"/>
          <w:lang w:val="zh-CN"/>
        </w:rPr>
      </w:pPr>
      <w:r>
        <w:rPr>
          <w:rFonts w:hint="eastAsia" w:ascii="宋体" w:hAnsi="宋体" w:cs="宋体"/>
          <w:lang w:val="zh-CN"/>
        </w:rPr>
        <w:t>招标人允许投标文件偏离竞争性磋商文件某些非实质性要求的，偏离应当符合竞争性磋商文件规定的偏离范围、幅度和项数。</w:t>
      </w:r>
    </w:p>
    <w:p w14:paraId="040B8497">
      <w:pPr>
        <w:widowControl w:val="0"/>
        <w:autoSpaceDE w:val="0"/>
        <w:autoSpaceDN w:val="0"/>
        <w:spacing w:line="360" w:lineRule="auto"/>
        <w:rPr>
          <w:rFonts w:ascii="宋体" w:hAnsi="宋体" w:cs="宋体"/>
          <w:lang w:val="zh-CN"/>
        </w:rPr>
      </w:pPr>
      <w:r>
        <w:rPr>
          <w:rFonts w:hint="eastAsia" w:ascii="宋体" w:hAnsi="宋体" w:cs="宋体"/>
        </w:rPr>
        <w:t>9</w:t>
      </w:r>
      <w:r>
        <w:rPr>
          <w:rFonts w:hint="eastAsia" w:ascii="宋体" w:hAnsi="宋体" w:cs="宋体"/>
          <w:lang w:val="zh-CN"/>
        </w:rPr>
        <w:t>、其他条款</w:t>
      </w:r>
    </w:p>
    <w:p w14:paraId="3115EE0E">
      <w:pPr>
        <w:widowControl w:val="0"/>
        <w:autoSpaceDE w:val="0"/>
        <w:autoSpaceDN w:val="0"/>
        <w:spacing w:line="360" w:lineRule="auto"/>
        <w:ind w:firstLine="480" w:firstLineChars="200"/>
        <w:rPr>
          <w:rFonts w:ascii="宋体" w:hAnsi="宋体" w:cs="宋体"/>
          <w:lang w:val="zh-CN"/>
        </w:rPr>
      </w:pPr>
      <w:r>
        <w:rPr>
          <w:rFonts w:hint="eastAsia" w:ascii="宋体" w:hAnsi="宋体" w:cs="宋体"/>
        </w:rPr>
        <w:t>9</w:t>
      </w:r>
      <w:r>
        <w:rPr>
          <w:rFonts w:hint="eastAsia" w:ascii="宋体" w:hAnsi="宋体" w:cs="宋体"/>
          <w:lang w:val="zh-CN"/>
        </w:rPr>
        <w:t>.1磋商申请人中标后直至验收止，未经招标人同意，中标人不得以任何形式和理由转包或者分包，如出现上述情形，招标人向财政部门提出申请并经批准后，可取消其中标资格，并与其解除合同，由此引起的经济损失全部由中标人承担。</w:t>
      </w:r>
    </w:p>
    <w:p w14:paraId="4561F9A5">
      <w:pPr>
        <w:widowControl w:val="0"/>
        <w:autoSpaceDE w:val="0"/>
        <w:autoSpaceDN w:val="0"/>
        <w:spacing w:line="360" w:lineRule="auto"/>
        <w:ind w:firstLine="480" w:firstLineChars="200"/>
        <w:rPr>
          <w:rFonts w:ascii="宋体" w:hAnsi="宋体" w:cs="宋体"/>
          <w:lang w:val="zh-CN"/>
        </w:rPr>
      </w:pPr>
      <w:r>
        <w:rPr>
          <w:rFonts w:hint="eastAsia" w:ascii="宋体" w:hAnsi="宋体" w:cs="宋体"/>
        </w:rPr>
        <w:t>9</w:t>
      </w:r>
      <w:r>
        <w:rPr>
          <w:rFonts w:hint="eastAsia" w:ascii="宋体" w:hAnsi="宋体" w:cs="宋体"/>
          <w:lang w:val="zh-CN"/>
        </w:rPr>
        <w:t>.2竞争性磋商文件载明转包或者分包的，磋商申请人应当在投标文件中载明。中标后需要转包或者分包的，招标人向财政部门提出书面申请并经批准后，中标人可依法采取分包方式履行合同，但分包金额不得超出采购限额，超出采购限额的，招标人应重新组织招标。分包履行的，中标人和分包人与招标人共同签订分包合同，中标人和分包人就分包项目承担责任；分包履行合同实施前，招标人必须将分包情况和分包合同副本报同级财政部门和有关部门备案。</w:t>
      </w:r>
    </w:p>
    <w:p w14:paraId="0B854B09">
      <w:pPr>
        <w:widowControl w:val="0"/>
        <w:autoSpaceDE w:val="0"/>
        <w:autoSpaceDN w:val="0"/>
        <w:spacing w:line="360" w:lineRule="auto"/>
        <w:ind w:firstLine="480" w:firstLineChars="200"/>
        <w:rPr>
          <w:rFonts w:ascii="宋体" w:hAnsi="宋体" w:cs="宋体"/>
          <w:lang w:val="zh-CN"/>
        </w:rPr>
      </w:pPr>
      <w:r>
        <w:rPr>
          <w:rFonts w:hint="eastAsia" w:ascii="宋体" w:hAnsi="宋体" w:cs="宋体"/>
        </w:rPr>
        <w:t>9</w:t>
      </w:r>
      <w:r>
        <w:rPr>
          <w:rFonts w:hint="eastAsia" w:ascii="宋体" w:hAnsi="宋体" w:cs="宋体"/>
          <w:lang w:val="zh-CN"/>
        </w:rPr>
        <w:t>.3不论招标过程和结果如何，磋商申请人的投标文件均不退还。</w:t>
      </w:r>
    </w:p>
    <w:p w14:paraId="20EF5E15">
      <w:pPr>
        <w:widowControl w:val="0"/>
        <w:autoSpaceDE w:val="0"/>
        <w:autoSpaceDN w:val="0"/>
        <w:spacing w:line="360" w:lineRule="auto"/>
        <w:ind w:firstLine="480" w:firstLineChars="200"/>
        <w:rPr>
          <w:rFonts w:ascii="宋体" w:hAnsi="宋体" w:cs="宋体"/>
        </w:rPr>
      </w:pPr>
      <w:r>
        <w:rPr>
          <w:rFonts w:hint="eastAsia" w:ascii="宋体" w:hAnsi="宋体" w:cs="宋体"/>
        </w:rPr>
        <w:t>9</w:t>
      </w:r>
      <w:r>
        <w:rPr>
          <w:rFonts w:hint="eastAsia" w:ascii="宋体" w:hAnsi="宋体" w:cs="宋体"/>
          <w:lang w:val="zh-CN"/>
        </w:rPr>
        <w:t>.4除非有特殊要求，竞争性磋商文件不单独提供项目所在地的自然环境、气候条件、公用设施等情况，磋商申请人被视为熟悉上述与履行合同有关的一切情况。</w:t>
      </w:r>
    </w:p>
    <w:p w14:paraId="213771CF">
      <w:pPr>
        <w:widowControl w:val="0"/>
        <w:snapToGrid w:val="0"/>
        <w:spacing w:line="360" w:lineRule="auto"/>
        <w:jc w:val="center"/>
        <w:rPr>
          <w:rFonts w:ascii="宋体" w:hAnsi="宋体" w:cs="宋体"/>
          <w:b/>
          <w:bCs/>
          <w:sz w:val="28"/>
          <w:szCs w:val="28"/>
        </w:rPr>
      </w:pPr>
    </w:p>
    <w:p w14:paraId="1054E454">
      <w:pPr>
        <w:widowControl w:val="0"/>
        <w:snapToGrid w:val="0"/>
        <w:spacing w:line="360" w:lineRule="auto"/>
        <w:jc w:val="center"/>
        <w:outlineLvl w:val="2"/>
        <w:rPr>
          <w:rFonts w:ascii="宋体" w:hAnsi="宋体" w:cs="宋体"/>
          <w:b/>
          <w:bCs/>
          <w:sz w:val="28"/>
          <w:szCs w:val="28"/>
        </w:rPr>
      </w:pPr>
      <w:r>
        <w:rPr>
          <w:rFonts w:hint="eastAsia" w:ascii="宋体" w:hAnsi="宋体" w:cs="宋体"/>
          <w:b/>
          <w:bCs/>
          <w:sz w:val="28"/>
          <w:szCs w:val="28"/>
        </w:rPr>
        <w:t xml:space="preserve">   </w:t>
      </w:r>
      <w:bookmarkStart w:id="55" w:name="_Toc4662"/>
      <w:r>
        <w:rPr>
          <w:rFonts w:hint="eastAsia" w:ascii="宋体" w:hAnsi="宋体" w:cs="宋体"/>
          <w:b/>
          <w:bCs/>
          <w:sz w:val="28"/>
          <w:szCs w:val="28"/>
        </w:rPr>
        <w:t>（二）竞争性磋商文件</w:t>
      </w:r>
      <w:bookmarkEnd w:id="55"/>
    </w:p>
    <w:p w14:paraId="64B251E2">
      <w:pPr>
        <w:widowControl w:val="0"/>
        <w:tabs>
          <w:tab w:val="left" w:pos="0"/>
        </w:tabs>
        <w:snapToGrid w:val="0"/>
        <w:spacing w:line="360" w:lineRule="auto"/>
        <w:rPr>
          <w:rFonts w:ascii="宋体" w:hAnsi="宋体" w:cs="宋体"/>
          <w:b/>
          <w:bCs/>
        </w:rPr>
      </w:pPr>
      <w:r>
        <w:rPr>
          <w:rFonts w:hint="eastAsia" w:ascii="宋体" w:hAnsi="宋体" w:cs="宋体"/>
          <w:b/>
          <w:bCs/>
        </w:rPr>
        <w:t xml:space="preserve">10、竞争性磋商文件的澄清和修改  </w:t>
      </w:r>
    </w:p>
    <w:p w14:paraId="042D6BDB">
      <w:pPr>
        <w:tabs>
          <w:tab w:val="left" w:pos="1070"/>
        </w:tabs>
        <w:spacing w:line="360" w:lineRule="auto"/>
        <w:ind w:firstLine="480" w:firstLineChars="200"/>
        <w:rPr>
          <w:rFonts w:ascii="宋体" w:hAnsi="宋体"/>
          <w:szCs w:val="21"/>
        </w:rPr>
      </w:pPr>
      <w:r>
        <w:rPr>
          <w:rFonts w:hint="eastAsia" w:ascii="宋体" w:hAnsi="宋体"/>
          <w:szCs w:val="21"/>
        </w:rPr>
        <w:t>10</w:t>
      </w:r>
      <w:r>
        <w:rPr>
          <w:rFonts w:ascii="宋体" w:hAnsi="宋体"/>
          <w:szCs w:val="21"/>
        </w:rPr>
        <w:t xml:space="preserve">.1 </w:t>
      </w:r>
      <w:r>
        <w:rPr>
          <w:rFonts w:hint="eastAsia" w:ascii="宋体" w:hAnsi="宋体" w:cs="宋体"/>
        </w:rPr>
        <w:t>磋商申请人应仔细阅读和检查采购文件的全部内容，如发现缺页或附件不全，应及时向采购单位提出，以便补齐，如有疑问，</w:t>
      </w:r>
      <w:r>
        <w:rPr>
          <w:rFonts w:hint="eastAsia" w:ascii="宋体" w:hAnsi="宋体"/>
          <w:szCs w:val="21"/>
        </w:rPr>
        <w:t>供应商可以在</w:t>
      </w:r>
      <w:r>
        <w:rPr>
          <w:rFonts w:ascii="宋体" w:hAnsi="宋体"/>
          <w:szCs w:val="21"/>
        </w:rPr>
        <w:t xml:space="preserve"> </w:t>
      </w:r>
      <w:r>
        <w:rPr>
          <w:rFonts w:hint="eastAsia" w:ascii="宋体" w:hAnsi="宋体"/>
          <w:szCs w:val="21"/>
        </w:rPr>
        <w:t>“</w:t>
      </w:r>
      <w:r>
        <w:rPr>
          <w:rFonts w:hint="eastAsia" w:ascii="宋体" w:hAnsi="宋体" w:cs="宋体"/>
        </w:rPr>
        <w:t>磋商申请人</w:t>
      </w:r>
      <w:r>
        <w:rPr>
          <w:rFonts w:hint="eastAsia" w:ascii="宋体" w:hAnsi="宋体"/>
          <w:szCs w:val="21"/>
        </w:rPr>
        <w:t>须知前附表”规定截止时间前以澄清函形式（加盖单位章）要求采购代理机构澄清，截止时间后送达的澄清要求概不接受。</w:t>
      </w:r>
    </w:p>
    <w:p w14:paraId="4610F82E">
      <w:pPr>
        <w:tabs>
          <w:tab w:val="left" w:pos="1070"/>
        </w:tabs>
        <w:spacing w:line="360" w:lineRule="auto"/>
        <w:ind w:firstLine="480" w:firstLineChars="200"/>
        <w:rPr>
          <w:rFonts w:ascii="宋体" w:hAnsi="宋体"/>
          <w:szCs w:val="21"/>
        </w:rPr>
      </w:pPr>
      <w:r>
        <w:rPr>
          <w:rFonts w:hint="eastAsia" w:ascii="宋体" w:hAnsi="宋体"/>
          <w:szCs w:val="21"/>
        </w:rPr>
        <w:t>10</w:t>
      </w:r>
      <w:r>
        <w:rPr>
          <w:rFonts w:ascii="宋体" w:hAnsi="宋体"/>
          <w:szCs w:val="21"/>
        </w:rPr>
        <w:t xml:space="preserve">.2 </w:t>
      </w:r>
      <w:r>
        <w:rPr>
          <w:rFonts w:hint="eastAsia" w:ascii="宋体" w:hAnsi="宋体"/>
          <w:szCs w:val="21"/>
        </w:rPr>
        <w:t>采购代理机构将以书面形式答复所有获取磋商文件的供应商（答复中不包含问题的来源）要求澄清的问题，其他澄清方式无效。</w:t>
      </w:r>
    </w:p>
    <w:p w14:paraId="6557EE19">
      <w:pPr>
        <w:tabs>
          <w:tab w:val="left" w:pos="1070"/>
        </w:tabs>
        <w:spacing w:line="360" w:lineRule="auto"/>
        <w:ind w:firstLine="480" w:firstLineChars="200"/>
        <w:rPr>
          <w:rFonts w:ascii="宋体" w:hAnsi="宋体"/>
          <w:szCs w:val="21"/>
        </w:rPr>
      </w:pPr>
      <w:r>
        <w:rPr>
          <w:rFonts w:hint="eastAsia" w:ascii="宋体" w:hAnsi="宋体"/>
          <w:szCs w:val="21"/>
        </w:rPr>
        <w:t>10</w:t>
      </w:r>
      <w:r>
        <w:rPr>
          <w:rFonts w:ascii="宋体" w:hAnsi="宋体"/>
          <w:szCs w:val="21"/>
        </w:rPr>
        <w:t>.3</w:t>
      </w:r>
      <w:r>
        <w:rPr>
          <w:rFonts w:hint="eastAsia" w:ascii="宋体" w:hAnsi="宋体"/>
          <w:szCs w:val="21"/>
        </w:rPr>
        <w:t>采购人、采购代理机构对已发出的磋商文件进行必要的澄清或者修改的，澄清或者修改的内容作为磋商文件的组成部分。澄清或者修改的内容可能影响响应文件编制的，采购人、采购代理机构将在提交首次响应文件截止之日5日前，以书面形式通知所有接收磋商文件的</w:t>
      </w:r>
      <w:r>
        <w:rPr>
          <w:rFonts w:hint="eastAsia" w:ascii="宋体" w:hAnsi="宋体" w:cs="宋体"/>
        </w:rPr>
        <w:t>磋商申请人</w:t>
      </w:r>
      <w:r>
        <w:rPr>
          <w:rFonts w:hint="eastAsia" w:ascii="宋体" w:hAnsi="宋体"/>
          <w:szCs w:val="21"/>
        </w:rPr>
        <w:t>，不足5日的，将顺延提交首次响应文件截止之日。</w:t>
      </w:r>
    </w:p>
    <w:p w14:paraId="5278FD13">
      <w:pPr>
        <w:tabs>
          <w:tab w:val="left" w:pos="1070"/>
        </w:tabs>
        <w:spacing w:line="360" w:lineRule="auto"/>
        <w:ind w:firstLine="480" w:firstLineChars="200"/>
        <w:rPr>
          <w:rFonts w:ascii="宋体" w:hAnsi="宋体"/>
          <w:szCs w:val="21"/>
        </w:rPr>
      </w:pPr>
      <w:r>
        <w:rPr>
          <w:rFonts w:hint="eastAsia" w:ascii="宋体" w:hAnsi="宋体"/>
          <w:szCs w:val="21"/>
        </w:rPr>
        <w:t>10.4 招标代理机构可视具体情况，延长投标截止日期，并将澄清或修改的内容通知所有获取竞争性磋商文件的磋商申请人。</w:t>
      </w:r>
    </w:p>
    <w:p w14:paraId="43DEAF30">
      <w:pPr>
        <w:tabs>
          <w:tab w:val="left" w:pos="1070"/>
        </w:tabs>
        <w:spacing w:line="360" w:lineRule="auto"/>
        <w:ind w:firstLine="480" w:firstLineChars="200"/>
        <w:rPr>
          <w:rFonts w:ascii="宋体" w:hAnsi="宋体"/>
          <w:szCs w:val="21"/>
          <w:lang w:val="zh-CN"/>
        </w:rPr>
      </w:pPr>
      <w:r>
        <w:rPr>
          <w:rFonts w:hint="eastAsia" w:ascii="宋体" w:hAnsi="宋体"/>
          <w:szCs w:val="21"/>
        </w:rPr>
        <w:t>10.5</w:t>
      </w:r>
      <w:r>
        <w:rPr>
          <w:rFonts w:hint="eastAsia" w:ascii="宋体" w:hAnsi="宋体"/>
          <w:szCs w:val="21"/>
          <w:lang w:val="zh-CN"/>
        </w:rPr>
        <w:t>磋商申请人未在规定时间内提出询问或者疑问，视为认同竞争性磋商文件以及答疑文件内的所有要求，磋商申请人未按照竞争性磋商文件、解答或者答疑要求投标的，后果自负。</w:t>
      </w:r>
    </w:p>
    <w:p w14:paraId="229D089A">
      <w:pPr>
        <w:pStyle w:val="68"/>
        <w:rPr>
          <w:rFonts w:hint="default" w:ascii="宋体" w:hAnsi="宋体" w:cs="宋体"/>
          <w:sz w:val="24"/>
          <w:szCs w:val="24"/>
        </w:rPr>
      </w:pPr>
    </w:p>
    <w:p w14:paraId="02B7D35C">
      <w:pPr>
        <w:widowControl w:val="0"/>
        <w:snapToGrid w:val="0"/>
        <w:spacing w:after="240" w:line="360" w:lineRule="auto"/>
        <w:outlineLvl w:val="2"/>
        <w:rPr>
          <w:rFonts w:ascii="宋体" w:hAnsi="宋体" w:cs="宋体"/>
          <w:b/>
          <w:bCs/>
          <w:sz w:val="28"/>
          <w:szCs w:val="28"/>
        </w:rPr>
      </w:pPr>
      <w:r>
        <w:rPr>
          <w:rFonts w:hint="eastAsia" w:ascii="宋体" w:hAnsi="宋体" w:cs="宋体"/>
          <w:sz w:val="28"/>
          <w:szCs w:val="28"/>
        </w:rPr>
        <w:t xml:space="preserve">                     </w:t>
      </w:r>
      <w:bookmarkStart w:id="56" w:name="_Toc28815"/>
      <w:r>
        <w:rPr>
          <w:rFonts w:hint="eastAsia" w:ascii="宋体" w:hAnsi="宋体" w:cs="宋体"/>
          <w:sz w:val="28"/>
          <w:szCs w:val="28"/>
        </w:rPr>
        <w:t>（</w:t>
      </w:r>
      <w:r>
        <w:rPr>
          <w:rFonts w:hint="eastAsia" w:ascii="宋体" w:hAnsi="宋体" w:cs="宋体"/>
          <w:b/>
          <w:bCs/>
          <w:sz w:val="28"/>
          <w:szCs w:val="28"/>
        </w:rPr>
        <w:t>三）磋商响应文件的编制</w:t>
      </w:r>
      <w:bookmarkEnd w:id="56"/>
    </w:p>
    <w:p w14:paraId="1C3A7E24">
      <w:pPr>
        <w:widowControl w:val="0"/>
        <w:tabs>
          <w:tab w:val="left" w:pos="0"/>
        </w:tabs>
        <w:snapToGrid w:val="0"/>
        <w:spacing w:line="360" w:lineRule="auto"/>
        <w:rPr>
          <w:rFonts w:ascii="宋体" w:hAnsi="宋体" w:cs="宋体"/>
          <w:b/>
          <w:bCs/>
        </w:rPr>
      </w:pPr>
      <w:r>
        <w:rPr>
          <w:rFonts w:hint="eastAsia" w:ascii="宋体" w:hAnsi="宋体" w:cs="宋体"/>
          <w:b/>
          <w:bCs/>
        </w:rPr>
        <w:t>11、磋商响应文件编写注意事项</w:t>
      </w:r>
    </w:p>
    <w:p w14:paraId="7E276C79">
      <w:pPr>
        <w:widowControl w:val="0"/>
        <w:tabs>
          <w:tab w:val="left" w:pos="0"/>
        </w:tabs>
        <w:snapToGrid w:val="0"/>
        <w:spacing w:line="360" w:lineRule="auto"/>
        <w:ind w:firstLine="480" w:firstLineChars="200"/>
        <w:rPr>
          <w:rFonts w:ascii="宋体" w:hAnsi="宋体" w:cs="宋体"/>
        </w:rPr>
      </w:pPr>
      <w:r>
        <w:rPr>
          <w:rFonts w:hint="eastAsia" w:ascii="宋体" w:hAnsi="宋体" w:cs="宋体"/>
        </w:rPr>
        <w:t>11.1 磋商申请人应认真阅读竞争性磋商文件，按照竞争性磋商文件的要求编制投标文件。如果没有按照竞争性磋商文件要求提交投标文件，没有对竞争性磋商文件提出的实质性要求和条件作出响应，该投标将被拒绝。</w:t>
      </w:r>
    </w:p>
    <w:p w14:paraId="52227E4A">
      <w:pPr>
        <w:widowControl w:val="0"/>
        <w:tabs>
          <w:tab w:val="left" w:pos="0"/>
        </w:tabs>
        <w:snapToGrid w:val="0"/>
        <w:spacing w:line="360" w:lineRule="auto"/>
        <w:ind w:firstLine="480" w:firstLineChars="200"/>
        <w:rPr>
          <w:rFonts w:ascii="宋体" w:hAnsi="宋体" w:cs="宋体"/>
        </w:rPr>
      </w:pPr>
      <w:r>
        <w:rPr>
          <w:rFonts w:hint="eastAsia" w:ascii="宋体" w:hAnsi="宋体" w:cs="宋体"/>
        </w:rPr>
        <w:t>11.2 对竞争性磋商文件提出的实质性要求和条件作出响应是指磋商申请人必须对竞争性磋商文件招标项目的服务等及其它要求、合同主要条款等内容作出响应。</w:t>
      </w:r>
    </w:p>
    <w:p w14:paraId="18AA550E">
      <w:pPr>
        <w:widowControl w:val="0"/>
        <w:tabs>
          <w:tab w:val="left" w:pos="0"/>
        </w:tabs>
        <w:snapToGrid w:val="0"/>
        <w:spacing w:line="360" w:lineRule="auto"/>
        <w:ind w:firstLine="480" w:firstLineChars="200"/>
        <w:rPr>
          <w:rFonts w:ascii="宋体" w:hAnsi="宋体" w:cs="宋体"/>
        </w:rPr>
      </w:pPr>
      <w:r>
        <w:rPr>
          <w:rFonts w:hint="eastAsia" w:ascii="宋体" w:hAnsi="宋体" w:cs="宋体"/>
        </w:rPr>
        <w:t>11.3</w:t>
      </w:r>
      <w:r>
        <w:rPr>
          <w:rFonts w:hint="eastAsia" w:ascii="宋体" w:hAnsi="宋体" w:cs="宋体"/>
          <w:szCs w:val="21"/>
        </w:rPr>
        <w:t>电子响应文件应使用“政采云平台”（https://www. zcygov. cn）中下载的“政采云电子投标客户端”制作，并进行电子签章及加密后上传至政采云平台。</w:t>
      </w:r>
      <w:r>
        <w:rPr>
          <w:rFonts w:hint="eastAsia" w:ascii="宋体" w:hAnsi="宋体" w:cs="宋体"/>
        </w:rPr>
        <w:t>如磋商申请人提交的电子标书不符合本条款要求或开标时无法读取导入或解密，其投标响应文件将不予受理。</w:t>
      </w:r>
    </w:p>
    <w:p w14:paraId="62638D59">
      <w:pPr>
        <w:widowControl w:val="0"/>
        <w:numPr>
          <w:ilvl w:val="0"/>
          <w:numId w:val="6"/>
        </w:numPr>
        <w:tabs>
          <w:tab w:val="left" w:pos="0"/>
        </w:tabs>
        <w:snapToGrid w:val="0"/>
        <w:spacing w:line="360" w:lineRule="auto"/>
        <w:ind w:left="241" w:hanging="241" w:hangingChars="100"/>
        <w:rPr>
          <w:rFonts w:ascii="宋体" w:hAnsi="宋体" w:cs="宋体"/>
          <w:b/>
          <w:bCs/>
        </w:rPr>
      </w:pPr>
      <w:r>
        <w:rPr>
          <w:rFonts w:hint="eastAsia" w:ascii="宋体" w:hAnsi="宋体" w:cs="宋体"/>
          <w:b/>
          <w:bCs/>
        </w:rPr>
        <w:t xml:space="preserve">投标的语言及计量单位  </w:t>
      </w:r>
    </w:p>
    <w:p w14:paraId="56A686D2">
      <w:pPr>
        <w:widowControl w:val="0"/>
        <w:tabs>
          <w:tab w:val="left" w:pos="0"/>
        </w:tabs>
        <w:snapToGrid w:val="0"/>
        <w:spacing w:line="360" w:lineRule="auto"/>
        <w:ind w:firstLine="480" w:firstLineChars="200"/>
        <w:rPr>
          <w:rFonts w:ascii="宋体" w:hAnsi="宋体" w:cs="宋体"/>
        </w:rPr>
      </w:pPr>
      <w:r>
        <w:rPr>
          <w:rFonts w:hint="eastAsia" w:ascii="宋体" w:hAnsi="宋体" w:cs="宋体"/>
        </w:rPr>
        <w:t>12.1 磋商申请人的投标文件以及磋商申请人与招标代理机构所有来往函电统一使用中文（特别规定除外）。</w:t>
      </w:r>
    </w:p>
    <w:p w14:paraId="40589BFE">
      <w:pPr>
        <w:widowControl w:val="0"/>
        <w:tabs>
          <w:tab w:val="left" w:pos="0"/>
        </w:tabs>
        <w:snapToGrid w:val="0"/>
        <w:spacing w:line="360" w:lineRule="auto"/>
        <w:ind w:firstLine="480" w:firstLineChars="200"/>
        <w:rPr>
          <w:rFonts w:ascii="宋体" w:hAnsi="宋体" w:cs="宋体"/>
        </w:rPr>
      </w:pPr>
      <w:r>
        <w:rPr>
          <w:rFonts w:hint="eastAsia" w:ascii="宋体" w:hAnsi="宋体" w:cs="宋体"/>
        </w:rPr>
        <w:t>12.2 投标文件中使用的计量单位除竞争性磋商文件中有特殊规定外，一律使用法定计量单位。</w:t>
      </w:r>
    </w:p>
    <w:p w14:paraId="274D9FBA">
      <w:pPr>
        <w:widowControl w:val="0"/>
        <w:tabs>
          <w:tab w:val="left" w:pos="0"/>
        </w:tabs>
        <w:snapToGrid w:val="0"/>
        <w:spacing w:line="360" w:lineRule="auto"/>
        <w:ind w:firstLine="480" w:firstLineChars="200"/>
        <w:rPr>
          <w:rFonts w:ascii="宋体" w:hAnsi="宋体" w:cs="宋体"/>
        </w:rPr>
      </w:pPr>
      <w:r>
        <w:rPr>
          <w:rFonts w:hint="eastAsia" w:ascii="宋体" w:hAnsi="宋体" w:cs="宋体"/>
        </w:rPr>
        <w:t>12</w:t>
      </w:r>
      <w:r>
        <w:rPr>
          <w:rFonts w:hint="eastAsia" w:ascii="宋体" w:hAnsi="宋体" w:cs="宋体"/>
          <w:lang w:val="zh-CN"/>
        </w:rPr>
        <w:t>.3所有报价一律使用人民币，货币单位：元。</w:t>
      </w:r>
    </w:p>
    <w:p w14:paraId="10CAE59A">
      <w:pPr>
        <w:widowControl w:val="0"/>
        <w:numPr>
          <w:ilvl w:val="0"/>
          <w:numId w:val="6"/>
        </w:numPr>
        <w:snapToGrid w:val="0"/>
        <w:spacing w:line="360" w:lineRule="auto"/>
        <w:ind w:left="241" w:hanging="241" w:hangingChars="100"/>
        <w:rPr>
          <w:rFonts w:ascii="宋体" w:hAnsi="宋体" w:cs="宋体"/>
          <w:b/>
          <w:bCs/>
        </w:rPr>
      </w:pPr>
      <w:r>
        <w:rPr>
          <w:rFonts w:hint="eastAsia" w:ascii="宋体" w:hAnsi="宋体" w:cs="宋体"/>
          <w:b/>
          <w:bCs/>
        </w:rPr>
        <w:t>投标文件构成</w:t>
      </w:r>
    </w:p>
    <w:p w14:paraId="1B13F3F1">
      <w:pPr>
        <w:widowControl w:val="0"/>
        <w:snapToGrid w:val="0"/>
        <w:spacing w:line="360" w:lineRule="auto"/>
        <w:ind w:firstLine="480" w:firstLineChars="200"/>
        <w:rPr>
          <w:rFonts w:ascii="宋体" w:hAnsi="宋体" w:cs="宋体"/>
        </w:rPr>
      </w:pPr>
      <w:r>
        <w:rPr>
          <w:rFonts w:hint="eastAsia" w:ascii="宋体" w:hAnsi="宋体" w:cs="宋体"/>
        </w:rPr>
        <w:t>13.1供应商编写的响应文件应按第四章“磋商响应文件格式”要求填写。</w:t>
      </w:r>
    </w:p>
    <w:p w14:paraId="2FAFEE72">
      <w:pPr>
        <w:widowControl w:val="0"/>
        <w:snapToGrid w:val="0"/>
        <w:spacing w:line="360" w:lineRule="auto"/>
        <w:rPr>
          <w:rFonts w:ascii="宋体" w:hAnsi="宋体" w:cs="宋体"/>
          <w:b/>
          <w:bCs/>
        </w:rPr>
      </w:pPr>
      <w:r>
        <w:rPr>
          <w:rFonts w:hint="eastAsia" w:ascii="宋体" w:hAnsi="宋体" w:cs="宋体"/>
          <w:b/>
          <w:bCs/>
        </w:rPr>
        <w:t>14、投标文件格式</w:t>
      </w:r>
    </w:p>
    <w:p w14:paraId="027B43D7">
      <w:pPr>
        <w:widowControl w:val="0"/>
        <w:snapToGrid w:val="0"/>
        <w:spacing w:line="360" w:lineRule="auto"/>
        <w:ind w:firstLine="480" w:firstLineChars="200"/>
        <w:rPr>
          <w:rFonts w:ascii="宋体" w:hAnsi="宋体" w:cs="宋体"/>
        </w:rPr>
      </w:pPr>
      <w:r>
        <w:rPr>
          <w:rFonts w:hint="eastAsia" w:ascii="宋体" w:hAnsi="宋体" w:cs="宋体"/>
        </w:rPr>
        <w:t>14.1 磋商申请人应按竞争性磋商文件中提供的投标文件格式编制投标文件，且可以同样格式扩展。</w:t>
      </w:r>
    </w:p>
    <w:p w14:paraId="15E60CA4">
      <w:pPr>
        <w:widowControl w:val="0"/>
        <w:snapToGrid w:val="0"/>
        <w:spacing w:line="360" w:lineRule="auto"/>
        <w:rPr>
          <w:rFonts w:ascii="宋体" w:hAnsi="宋体" w:cs="宋体"/>
          <w:b/>
          <w:bCs/>
        </w:rPr>
      </w:pPr>
      <w:r>
        <w:rPr>
          <w:rFonts w:hint="eastAsia" w:ascii="宋体" w:hAnsi="宋体" w:cs="宋体"/>
          <w:b/>
          <w:bCs/>
        </w:rPr>
        <w:t>15、投标报价</w:t>
      </w:r>
    </w:p>
    <w:p w14:paraId="69B72EB3">
      <w:pPr>
        <w:widowControl w:val="0"/>
        <w:snapToGrid w:val="0"/>
        <w:spacing w:line="360" w:lineRule="auto"/>
        <w:ind w:firstLine="480" w:firstLineChars="200"/>
        <w:rPr>
          <w:rFonts w:ascii="宋体" w:hAnsi="宋体" w:cs="宋体"/>
        </w:rPr>
      </w:pPr>
      <w:r>
        <w:rPr>
          <w:rFonts w:hint="eastAsia" w:ascii="宋体" w:hAnsi="宋体" w:cs="宋体"/>
        </w:rPr>
        <w:t>15.1磋商申请人应在投标报价表上标明单价和总价。如单价和总价不符，以单价累计为准，小写与大写不符的，以大写为准。如果磋商申请人不接受对其错误的更正，其投标将被拒绝。</w:t>
      </w:r>
    </w:p>
    <w:p w14:paraId="51CF10C8">
      <w:pPr>
        <w:widowControl w:val="0"/>
        <w:snapToGrid w:val="0"/>
        <w:spacing w:line="360" w:lineRule="auto"/>
        <w:ind w:firstLine="480" w:firstLineChars="200"/>
        <w:rPr>
          <w:rFonts w:ascii="宋体" w:hAnsi="宋体" w:cs="宋体"/>
        </w:rPr>
      </w:pPr>
      <w:r>
        <w:rPr>
          <w:rFonts w:hint="eastAsia" w:ascii="宋体" w:hAnsi="宋体" w:cs="宋体"/>
        </w:rPr>
        <w:t>15.2 投标报价：磋商申请人所报单价及合价均应包含本次采购项目实施所有费用以及竞争性磋商文件规定的其他项目和服务等方面内容，磋商申请人所报单价及合价均应包括竞争性磋商文件中提到的或没有提到的各种费用。即凡磋商申请人投标文件中承诺或涉及的或者是完成本项目必需的费用及磋商申请人为完成本项目漏报的费用，均视为已包括在投标总报价或相应项目的单价中。</w:t>
      </w:r>
    </w:p>
    <w:p w14:paraId="08558580">
      <w:pPr>
        <w:widowControl w:val="0"/>
        <w:snapToGrid w:val="0"/>
        <w:spacing w:line="360" w:lineRule="auto"/>
        <w:ind w:firstLine="482" w:firstLineChars="200"/>
        <w:rPr>
          <w:rFonts w:ascii="宋体" w:hAnsi="宋体" w:cs="宋体"/>
          <w:b/>
          <w:bCs/>
        </w:rPr>
      </w:pPr>
      <w:r>
        <w:rPr>
          <w:rFonts w:hint="eastAsia" w:ascii="宋体" w:hAnsi="宋体" w:cs="宋体"/>
          <w:b/>
          <w:bCs/>
        </w:rPr>
        <w:t>15.3竞争性磋商实行二次报价，二次报价为最终报价。</w:t>
      </w:r>
    </w:p>
    <w:p w14:paraId="0D23B468">
      <w:pPr>
        <w:widowControl w:val="0"/>
        <w:snapToGrid w:val="0"/>
        <w:spacing w:line="360" w:lineRule="auto"/>
        <w:rPr>
          <w:rFonts w:ascii="宋体" w:hAnsi="宋体" w:cs="宋体"/>
          <w:b/>
          <w:bCs/>
        </w:rPr>
      </w:pPr>
      <w:r>
        <w:rPr>
          <w:rFonts w:hint="eastAsia" w:ascii="宋体" w:hAnsi="宋体" w:cs="宋体"/>
          <w:b/>
          <w:bCs/>
        </w:rPr>
        <w:t>16、投标货币</w:t>
      </w:r>
    </w:p>
    <w:p w14:paraId="023A21AE">
      <w:pPr>
        <w:widowControl w:val="0"/>
        <w:snapToGrid w:val="0"/>
        <w:spacing w:line="360" w:lineRule="auto"/>
        <w:ind w:firstLine="480" w:firstLineChars="200"/>
        <w:rPr>
          <w:rFonts w:ascii="宋体" w:hAnsi="宋体" w:cs="宋体"/>
        </w:rPr>
      </w:pPr>
      <w:r>
        <w:rPr>
          <w:rFonts w:hint="eastAsia" w:ascii="宋体" w:hAnsi="宋体" w:cs="宋体"/>
        </w:rPr>
        <w:t>16.1 投标应以人民币报价。</w:t>
      </w:r>
    </w:p>
    <w:p w14:paraId="70BD2D92">
      <w:pPr>
        <w:widowControl w:val="0"/>
        <w:snapToGrid w:val="0"/>
        <w:spacing w:line="360" w:lineRule="auto"/>
        <w:rPr>
          <w:rFonts w:ascii="宋体" w:hAnsi="宋体" w:cs="宋体"/>
          <w:b/>
          <w:bCs/>
        </w:rPr>
      </w:pPr>
      <w:r>
        <w:rPr>
          <w:rFonts w:hint="eastAsia" w:ascii="宋体" w:hAnsi="宋体" w:cs="宋体"/>
          <w:b/>
          <w:bCs/>
        </w:rPr>
        <w:t>17、磋商申请人资格证明文件</w:t>
      </w:r>
    </w:p>
    <w:p w14:paraId="30CBA275">
      <w:pPr>
        <w:widowControl w:val="0"/>
        <w:snapToGrid w:val="0"/>
        <w:spacing w:line="360" w:lineRule="auto"/>
        <w:ind w:firstLine="480" w:firstLineChars="200"/>
        <w:rPr>
          <w:rFonts w:ascii="宋体" w:hAnsi="宋体" w:cs="宋体"/>
        </w:rPr>
      </w:pPr>
      <w:r>
        <w:rPr>
          <w:rFonts w:hint="eastAsia" w:ascii="宋体" w:hAnsi="宋体" w:cs="宋体"/>
        </w:rPr>
        <w:t>竞争性磋商文件中提到的相关</w:t>
      </w:r>
      <w:r>
        <w:rPr>
          <w:rFonts w:hint="eastAsia" w:ascii="宋体" w:hAnsi="宋体" w:cs="宋体"/>
          <w:lang w:val="en-US" w:eastAsia="zh-CN"/>
        </w:rPr>
        <w:t>资格证明文件</w:t>
      </w:r>
      <w:r>
        <w:rPr>
          <w:rFonts w:hint="eastAsia" w:ascii="宋体" w:hAnsi="宋体" w:cs="宋体"/>
        </w:rPr>
        <w:t>、证书及材料及足够证明其具有承担本项目能力的或竞争性磋商文件中没有提到的相关资料。</w:t>
      </w:r>
    </w:p>
    <w:p w14:paraId="3DDB43B0">
      <w:pPr>
        <w:widowControl w:val="0"/>
        <w:snapToGrid w:val="0"/>
        <w:spacing w:line="470" w:lineRule="exact"/>
        <w:rPr>
          <w:rFonts w:ascii="宋体" w:hAnsi="宋体" w:cs="宋体"/>
          <w:b/>
          <w:bCs/>
        </w:rPr>
      </w:pPr>
      <w:r>
        <w:rPr>
          <w:rFonts w:hint="eastAsia" w:ascii="宋体" w:hAnsi="宋体" w:cs="宋体"/>
          <w:b/>
          <w:bCs/>
        </w:rPr>
        <w:t>18、投标的有效期</w:t>
      </w:r>
    </w:p>
    <w:p w14:paraId="0167155E">
      <w:pPr>
        <w:widowControl w:val="0"/>
        <w:snapToGrid w:val="0"/>
        <w:spacing w:line="470" w:lineRule="exact"/>
        <w:ind w:firstLine="480" w:firstLineChars="200"/>
        <w:rPr>
          <w:rFonts w:ascii="宋体" w:hAnsi="宋体" w:cs="宋体"/>
        </w:rPr>
      </w:pPr>
      <w:r>
        <w:rPr>
          <w:rFonts w:hint="eastAsia" w:ascii="宋体" w:hAnsi="宋体" w:cs="宋体"/>
        </w:rPr>
        <w:t>18.1 磋商响应文件从投标截止日期后</w:t>
      </w:r>
      <w:r>
        <w:rPr>
          <w:rFonts w:hint="eastAsia" w:ascii="宋体" w:hAnsi="宋体" w:cs="宋体"/>
          <w:u w:val="single"/>
          <w:lang w:val="en-US" w:eastAsia="zh-CN"/>
        </w:rPr>
        <w:t>9</w:t>
      </w:r>
      <w:r>
        <w:rPr>
          <w:rFonts w:hint="eastAsia" w:ascii="宋体" w:hAnsi="宋体" w:cs="宋体"/>
          <w:u w:val="single"/>
        </w:rPr>
        <w:t>0天</w:t>
      </w:r>
      <w:r>
        <w:rPr>
          <w:rFonts w:hint="eastAsia" w:ascii="宋体" w:hAnsi="宋体" w:cs="宋体"/>
        </w:rPr>
        <w:t>内有效。</w:t>
      </w:r>
    </w:p>
    <w:p w14:paraId="1AEB78BF">
      <w:pPr>
        <w:widowControl w:val="0"/>
        <w:snapToGrid w:val="0"/>
        <w:spacing w:before="156" w:beforeLines="50" w:line="360" w:lineRule="auto"/>
        <w:ind w:firstLine="480" w:firstLineChars="200"/>
        <w:rPr>
          <w:rFonts w:ascii="宋体" w:hAnsi="宋体" w:cs="宋体"/>
        </w:rPr>
      </w:pPr>
      <w:r>
        <w:rPr>
          <w:rFonts w:hint="eastAsia" w:ascii="宋体" w:hAnsi="宋体" w:cs="宋体"/>
        </w:rPr>
        <w:t>18.2 在特殊情况下，招标代理机构可与磋商申请人协商延长磋商响应文件的有效期。</w:t>
      </w:r>
    </w:p>
    <w:p w14:paraId="6195E778">
      <w:pPr>
        <w:widowControl w:val="0"/>
        <w:snapToGrid w:val="0"/>
        <w:spacing w:line="360" w:lineRule="auto"/>
        <w:rPr>
          <w:rFonts w:ascii="宋体" w:hAnsi="宋体" w:cs="宋体"/>
          <w:b/>
          <w:bCs/>
        </w:rPr>
      </w:pPr>
      <w:r>
        <w:rPr>
          <w:rFonts w:hint="eastAsia" w:ascii="宋体" w:hAnsi="宋体" w:cs="宋体"/>
          <w:b/>
          <w:bCs/>
        </w:rPr>
        <w:t>19、磋商响应文件的签名、盖章要求</w:t>
      </w:r>
    </w:p>
    <w:p w14:paraId="04B510FF">
      <w:pPr>
        <w:widowControl w:val="0"/>
        <w:snapToGrid w:val="0"/>
        <w:spacing w:line="360" w:lineRule="auto"/>
        <w:ind w:firstLine="482" w:firstLineChars="200"/>
        <w:rPr>
          <w:rFonts w:ascii="宋体" w:hAnsi="宋体" w:cs="宋体"/>
          <w:b/>
          <w:bCs/>
        </w:rPr>
      </w:pPr>
      <w:r>
        <w:rPr>
          <w:rFonts w:hint="eastAsia" w:ascii="宋体" w:hAnsi="宋体" w:cs="宋体"/>
          <w:b/>
          <w:bCs/>
        </w:rPr>
        <w:t>19.1 磋商响应文件应由法定代表人或委托代理人在凡规定签字、盖章处签名或盖章（电子文件：电子签名或电子签章），否则其投标无效。</w:t>
      </w:r>
    </w:p>
    <w:p w14:paraId="72D0990C">
      <w:pPr>
        <w:widowControl w:val="0"/>
        <w:snapToGrid w:val="0"/>
        <w:spacing w:line="360" w:lineRule="auto"/>
        <w:ind w:firstLine="480" w:firstLineChars="200"/>
        <w:rPr>
          <w:rFonts w:ascii="宋体" w:hAnsi="宋体" w:cs="宋体"/>
        </w:rPr>
      </w:pPr>
      <w:r>
        <w:rPr>
          <w:rFonts w:hint="eastAsia" w:ascii="宋体" w:hAnsi="宋体" w:cs="宋体"/>
        </w:rPr>
        <w:t>19.2磋商响应文件未按要求填写或可能导致非唯一理解的磋商响应文件可能被认定为无效的磋商响应文件。</w:t>
      </w:r>
    </w:p>
    <w:p w14:paraId="47940CC7">
      <w:pPr>
        <w:widowControl w:val="0"/>
        <w:snapToGrid w:val="0"/>
        <w:spacing w:line="500" w:lineRule="exact"/>
        <w:rPr>
          <w:rFonts w:ascii="宋体" w:hAnsi="宋体" w:cs="宋体"/>
        </w:rPr>
      </w:pPr>
      <w:r>
        <w:rPr>
          <w:rFonts w:hint="eastAsia" w:ascii="宋体" w:hAnsi="宋体" w:cs="宋体"/>
          <w:b/>
          <w:bCs/>
        </w:rPr>
        <w:t>20、投标保证金</w:t>
      </w:r>
    </w:p>
    <w:p w14:paraId="63DC38CF">
      <w:pPr>
        <w:widowControl w:val="0"/>
        <w:spacing w:line="500" w:lineRule="exact"/>
        <w:ind w:firstLine="480" w:firstLineChars="200"/>
        <w:rPr>
          <w:rFonts w:hint="eastAsia" w:ascii="宋体" w:hAnsi="宋体" w:eastAsia="宋体" w:cs="宋体"/>
          <w:lang w:eastAsia="zh-CN"/>
        </w:rPr>
      </w:pPr>
      <w:r>
        <w:rPr>
          <w:rFonts w:hint="eastAsia" w:ascii="宋体" w:hAnsi="宋体" w:cs="宋体"/>
        </w:rPr>
        <w:t>20.1投标保证金提交方式：</w:t>
      </w:r>
      <w:r>
        <w:rPr>
          <w:rFonts w:hint="eastAsia" w:ascii="宋体" w:hAnsi="宋体" w:cs="宋体"/>
          <w:lang w:eastAsia="zh-CN"/>
        </w:rPr>
        <w:t>银行转账、银行保函、保证保险及法律法规允许的其他方式以非现金形式提交投标保证金。</w:t>
      </w:r>
    </w:p>
    <w:p w14:paraId="45DE7715">
      <w:pPr>
        <w:widowControl w:val="0"/>
        <w:spacing w:line="500" w:lineRule="exact"/>
        <w:ind w:firstLine="480" w:firstLineChars="200"/>
        <w:rPr>
          <w:rFonts w:ascii="宋体" w:hAnsi="宋体" w:cs="宋体"/>
        </w:rPr>
      </w:pPr>
      <w:r>
        <w:rPr>
          <w:rFonts w:hint="eastAsia" w:ascii="宋体" w:hAnsi="宋体" w:cs="宋体"/>
        </w:rPr>
        <w:t>20.1.1银行转账：投标（交易）保证金应以磋商申请人自身的名义提交，并且必须从其基本账户转出，不得以分支机构其他名义提交（按照规定，磋商申请人可以为自然人的项目除外）。</w:t>
      </w:r>
    </w:p>
    <w:p w14:paraId="705BCBAD">
      <w:pPr>
        <w:widowControl w:val="0"/>
        <w:spacing w:line="500" w:lineRule="exact"/>
        <w:ind w:firstLine="480" w:firstLineChars="200"/>
        <w:rPr>
          <w:rFonts w:ascii="宋体" w:hAnsi="宋体" w:cs="宋体"/>
        </w:rPr>
      </w:pPr>
      <w:r>
        <w:rPr>
          <w:rFonts w:hint="eastAsia" w:ascii="宋体" w:hAnsi="宋体" w:cs="宋体"/>
        </w:rPr>
        <w:t>20.1.2银行保函：保函申请人必须是磋商申请人，受益人必须是采购人，保证人必须是磋商申请人基本账号的开户银行；银行保函必须正确填写受益人和申请人的全称，并与竞争性磋商文件规定的名称相一致，以免造成投标无效。</w:t>
      </w:r>
    </w:p>
    <w:p w14:paraId="2356EE59">
      <w:pPr>
        <w:widowControl w:val="0"/>
        <w:spacing w:line="500" w:lineRule="exact"/>
        <w:ind w:firstLine="480" w:firstLineChars="200"/>
        <w:rPr>
          <w:rFonts w:ascii="宋体" w:hAnsi="宋体" w:cs="宋体"/>
        </w:rPr>
      </w:pPr>
      <w:r>
        <w:rPr>
          <w:rFonts w:hint="eastAsia" w:ascii="宋体" w:hAnsi="宋体" w:cs="宋体"/>
        </w:rPr>
        <w:t>20.1.3保证保险：①当磋商申请人未能按照招投标文件要求履行投标义务而导致采购方受到损失时，由保险公司按照保险合同对采购方的损失承担代偿责任。②磋商申请人在支付投标保证金保险费时，必须使用基本账号资金支付购买，未从基本账户转出支付保费造成经济纠纷的应由企业自行承担。③在投标保证保险中，磋商申请人为投保人，采购方为被保险人。</w:t>
      </w:r>
    </w:p>
    <w:p w14:paraId="168EA114">
      <w:pPr>
        <w:widowControl w:val="0"/>
        <w:spacing w:line="500" w:lineRule="exact"/>
        <w:ind w:firstLine="480" w:firstLineChars="200"/>
        <w:rPr>
          <w:rFonts w:ascii="宋体" w:hAnsi="宋体" w:cs="宋体"/>
        </w:rPr>
      </w:pPr>
      <w:r>
        <w:rPr>
          <w:rFonts w:hint="eastAsia" w:ascii="宋体" w:hAnsi="宋体" w:cs="宋体"/>
        </w:rPr>
        <w:t>20.2投标保证金的提交时间：磋商申请人需在投标截止时间前递交保证金，到账时间以实际到达专用账号时间为准，未在投标截止时间前到账的保证金视为未提交；银行保函必须在规定的投标截止时间前递交；投标保证保险的投保人应当在项目投标前与保险公司签订投标保证保险合同，在投标截止时间前，由保险公司完成网上确认，未确认的保证金视为未提交。</w:t>
      </w:r>
    </w:p>
    <w:p w14:paraId="600F4AB4">
      <w:pPr>
        <w:widowControl w:val="0"/>
        <w:snapToGrid w:val="0"/>
        <w:spacing w:line="500" w:lineRule="exact"/>
        <w:ind w:firstLine="480" w:firstLineChars="200"/>
        <w:rPr>
          <w:rFonts w:ascii="宋体" w:hAnsi="宋体" w:cs="宋体"/>
        </w:rPr>
      </w:pPr>
      <w:r>
        <w:rPr>
          <w:rFonts w:hint="eastAsia" w:ascii="宋体" w:hAnsi="宋体" w:cs="宋体"/>
        </w:rPr>
        <w:t>20.3 未中标磋商申请人的投标保证金，将在</w:t>
      </w:r>
      <w:r>
        <w:rPr>
          <w:rFonts w:hint="eastAsia" w:ascii="宋体" w:hAnsi="宋体" w:cs="宋体"/>
          <w:shd w:val="clear" w:color="auto" w:fill="FFFFFF"/>
        </w:rPr>
        <w:t>成交通知书发出后5个工作日内退还</w:t>
      </w:r>
      <w:r>
        <w:rPr>
          <w:rFonts w:hint="eastAsia" w:ascii="宋体" w:hAnsi="宋体" w:cs="宋体"/>
        </w:rPr>
        <w:t>。中标磋商申请人的投标保证金在</w:t>
      </w:r>
      <w:r>
        <w:rPr>
          <w:rFonts w:hint="eastAsia" w:ascii="宋体" w:hAnsi="宋体" w:cs="宋体"/>
          <w:shd w:val="clear" w:color="auto" w:fill="FFFFFF"/>
        </w:rPr>
        <w:t>采购合同</w:t>
      </w:r>
      <w:r>
        <w:rPr>
          <w:rFonts w:hint="eastAsia" w:ascii="宋体" w:hAnsi="宋体" w:cs="宋体"/>
        </w:rPr>
        <w:t>签订后5</w:t>
      </w:r>
      <w:r>
        <w:rPr>
          <w:rFonts w:hint="eastAsia" w:ascii="宋体" w:hAnsi="宋体" w:cs="宋体"/>
          <w:shd w:val="clear" w:color="auto" w:fill="FFFFFF"/>
        </w:rPr>
        <w:t>个工作日</w:t>
      </w:r>
      <w:r>
        <w:rPr>
          <w:rFonts w:hint="eastAsia" w:ascii="宋体" w:hAnsi="宋体" w:cs="宋体"/>
        </w:rPr>
        <w:t>内予以退还。</w:t>
      </w:r>
    </w:p>
    <w:p w14:paraId="03904AC0">
      <w:pPr>
        <w:pStyle w:val="68"/>
        <w:rPr>
          <w:rFonts w:hint="default" w:ascii="宋体" w:hAnsi="宋体" w:cs="宋体"/>
        </w:rPr>
      </w:pPr>
    </w:p>
    <w:p w14:paraId="4C4CF5AE">
      <w:pPr>
        <w:widowControl w:val="0"/>
        <w:spacing w:line="500" w:lineRule="exact"/>
        <w:ind w:firstLine="562" w:firstLineChars="200"/>
        <w:jc w:val="center"/>
        <w:outlineLvl w:val="2"/>
        <w:rPr>
          <w:rFonts w:ascii="宋体" w:hAnsi="宋体" w:cs="宋体"/>
          <w:b/>
          <w:bCs/>
          <w:sz w:val="28"/>
          <w:szCs w:val="28"/>
        </w:rPr>
      </w:pPr>
      <w:bookmarkStart w:id="57" w:name="_Toc21411"/>
      <w:r>
        <w:rPr>
          <w:rFonts w:hint="eastAsia" w:ascii="宋体" w:hAnsi="宋体" w:cs="宋体"/>
          <w:b/>
          <w:bCs/>
          <w:sz w:val="28"/>
          <w:szCs w:val="28"/>
        </w:rPr>
        <w:t>（四）磋商响应文件的递交</w:t>
      </w:r>
      <w:bookmarkEnd w:id="57"/>
    </w:p>
    <w:p w14:paraId="2955181B">
      <w:pPr>
        <w:widowControl w:val="0"/>
        <w:spacing w:line="500" w:lineRule="exact"/>
        <w:rPr>
          <w:rFonts w:ascii="宋体" w:hAnsi="宋体" w:cs="宋体"/>
          <w:b/>
          <w:bCs/>
        </w:rPr>
      </w:pPr>
      <w:r>
        <w:rPr>
          <w:rFonts w:hint="eastAsia" w:ascii="宋体" w:hAnsi="宋体" w:cs="宋体"/>
          <w:b/>
          <w:bCs/>
        </w:rPr>
        <w:t>21、磋商响应文件的密封与标记</w:t>
      </w:r>
    </w:p>
    <w:p w14:paraId="1E7C8632">
      <w:pPr>
        <w:widowControl w:val="0"/>
        <w:spacing w:line="500" w:lineRule="exact"/>
        <w:ind w:firstLine="480" w:firstLineChars="200"/>
        <w:rPr>
          <w:rFonts w:ascii="宋体" w:hAnsi="宋体" w:cs="宋体"/>
        </w:rPr>
      </w:pPr>
      <w:r>
        <w:rPr>
          <w:rFonts w:hint="eastAsia" w:ascii="宋体" w:hAnsi="宋体" w:cs="宋体"/>
        </w:rPr>
        <w:t>21.1 网上递交的磋商响应文件需要对投标响应文件进行加密。网上递交电子投标文件后，不再递交纸质投标文件及光盘。</w:t>
      </w:r>
    </w:p>
    <w:p w14:paraId="17B3F667">
      <w:pPr>
        <w:widowControl w:val="0"/>
        <w:spacing w:before="156" w:beforeLines="50" w:line="500" w:lineRule="exact"/>
        <w:rPr>
          <w:rFonts w:ascii="宋体" w:hAnsi="宋体" w:cs="宋体"/>
          <w:b/>
          <w:bCs/>
        </w:rPr>
      </w:pPr>
      <w:r>
        <w:rPr>
          <w:rFonts w:hint="eastAsia" w:ascii="宋体" w:hAnsi="宋体" w:cs="宋体"/>
          <w:b/>
          <w:bCs/>
        </w:rPr>
        <w:t>22、投标截止时间</w:t>
      </w:r>
    </w:p>
    <w:p w14:paraId="550F13A7">
      <w:pPr>
        <w:widowControl w:val="0"/>
        <w:tabs>
          <w:tab w:val="left" w:pos="0"/>
        </w:tabs>
        <w:snapToGrid w:val="0"/>
        <w:spacing w:before="156" w:beforeLines="50" w:line="360" w:lineRule="auto"/>
        <w:ind w:firstLine="480" w:firstLineChars="200"/>
        <w:rPr>
          <w:rFonts w:ascii="宋体" w:hAnsi="宋体" w:cs="宋体"/>
          <w:b/>
          <w:bCs/>
        </w:rPr>
      </w:pPr>
      <w:r>
        <w:rPr>
          <w:rFonts w:hint="eastAsia" w:ascii="宋体" w:hAnsi="宋体" w:cs="宋体"/>
        </w:rPr>
        <w:t>22.1磋商响应文件必须于规定的时间递交到规定地点，并在规定的时间内完成所有响应文件的上传，超过投标截止时间送达或上传的投标文件将不予受理。</w:t>
      </w:r>
    </w:p>
    <w:p w14:paraId="46533B05">
      <w:pPr>
        <w:widowControl w:val="0"/>
        <w:numPr>
          <w:ilvl w:val="0"/>
          <w:numId w:val="7"/>
        </w:numPr>
        <w:tabs>
          <w:tab w:val="left" w:pos="0"/>
        </w:tabs>
        <w:snapToGrid w:val="0"/>
        <w:spacing w:line="360" w:lineRule="auto"/>
        <w:rPr>
          <w:rFonts w:ascii="宋体" w:hAnsi="宋体" w:cs="宋体"/>
          <w:b/>
          <w:bCs/>
        </w:rPr>
      </w:pPr>
      <w:r>
        <w:rPr>
          <w:rFonts w:hint="eastAsia" w:ascii="宋体" w:hAnsi="宋体" w:cs="宋体"/>
          <w:b/>
          <w:bCs/>
        </w:rPr>
        <w:t>磋商响应文件的修改及撤回</w:t>
      </w:r>
    </w:p>
    <w:p w14:paraId="0C941FD7">
      <w:pPr>
        <w:widowControl w:val="0"/>
        <w:tabs>
          <w:tab w:val="left" w:pos="0"/>
        </w:tabs>
        <w:snapToGrid w:val="0"/>
        <w:spacing w:line="360" w:lineRule="auto"/>
        <w:ind w:firstLine="480" w:firstLineChars="200"/>
        <w:rPr>
          <w:rFonts w:ascii="宋体" w:hAnsi="宋体" w:cs="宋体"/>
        </w:rPr>
      </w:pPr>
      <w:r>
        <w:rPr>
          <w:rFonts w:hint="eastAsia" w:ascii="宋体" w:hAnsi="宋体" w:cs="宋体"/>
        </w:rPr>
        <w:t>23.1在投标截止时间前，磋商申请人可以修改或撤回已在网上递交的磋商响应文件，无须书面形式通知采购单位。</w:t>
      </w:r>
    </w:p>
    <w:p w14:paraId="3167AFF3">
      <w:pPr>
        <w:widowControl w:val="0"/>
        <w:tabs>
          <w:tab w:val="left" w:pos="0"/>
        </w:tabs>
        <w:snapToGrid w:val="0"/>
        <w:spacing w:line="360" w:lineRule="auto"/>
        <w:ind w:firstLine="480" w:firstLineChars="200"/>
        <w:rPr>
          <w:rFonts w:ascii="宋体" w:hAnsi="宋体" w:cs="宋体"/>
        </w:rPr>
      </w:pPr>
      <w:r>
        <w:rPr>
          <w:rFonts w:hint="eastAsia" w:ascii="宋体" w:hAnsi="宋体" w:cs="宋体"/>
        </w:rPr>
        <w:t>23.2修改的投标响应文件应按照</w:t>
      </w:r>
      <w:r>
        <w:rPr>
          <w:rFonts w:hint="eastAsia" w:ascii="宋体" w:hAnsi="宋体"/>
          <w:b/>
          <w:bCs/>
          <w:szCs w:val="21"/>
        </w:rPr>
        <w:t>“政采云电子投标客户端”</w:t>
      </w:r>
      <w:r>
        <w:rPr>
          <w:rFonts w:hint="eastAsia" w:ascii="宋体" w:hAnsi="宋体" w:cs="宋体"/>
        </w:rPr>
        <w:t>规定进行编制、密封、标记和递交。</w:t>
      </w:r>
    </w:p>
    <w:p w14:paraId="58347AB4">
      <w:pPr>
        <w:widowControl w:val="0"/>
        <w:tabs>
          <w:tab w:val="left" w:pos="0"/>
        </w:tabs>
        <w:snapToGrid w:val="0"/>
        <w:spacing w:line="360" w:lineRule="auto"/>
        <w:ind w:firstLine="480" w:firstLineChars="200"/>
        <w:rPr>
          <w:rFonts w:ascii="宋体" w:hAnsi="宋体" w:cs="宋体"/>
        </w:rPr>
      </w:pPr>
      <w:r>
        <w:rPr>
          <w:rFonts w:hint="eastAsia" w:ascii="宋体" w:hAnsi="宋体" w:cs="宋体"/>
        </w:rPr>
        <w:t>23.3 在投标截止日期后，磋商申请人不得对其磋商响应文件做任何修改。</w:t>
      </w:r>
    </w:p>
    <w:p w14:paraId="72C0A470">
      <w:pPr>
        <w:widowControl w:val="0"/>
        <w:tabs>
          <w:tab w:val="left" w:pos="0"/>
        </w:tabs>
        <w:snapToGrid w:val="0"/>
        <w:spacing w:line="360" w:lineRule="auto"/>
        <w:ind w:firstLine="480" w:firstLineChars="200"/>
        <w:rPr>
          <w:rFonts w:ascii="宋体" w:hAnsi="宋体" w:cs="宋体"/>
        </w:rPr>
      </w:pPr>
      <w:r>
        <w:rPr>
          <w:rFonts w:hint="eastAsia" w:ascii="宋体" w:hAnsi="宋体" w:cs="宋体"/>
        </w:rPr>
        <w:t>23.4 在投标截止期日后的投标有效期内，磋商申请人不得撤回其磋商响应文件，否则其全部投标保证金将被没收。</w:t>
      </w:r>
      <w:r>
        <w:rPr>
          <w:rFonts w:hint="eastAsia" w:ascii="宋体" w:hAnsi="宋体" w:cs="宋体"/>
          <w:b/>
          <w:bCs/>
        </w:rPr>
        <w:t xml:space="preserve"> </w:t>
      </w:r>
    </w:p>
    <w:p w14:paraId="1D0592AC">
      <w:pPr>
        <w:widowControl w:val="0"/>
        <w:tabs>
          <w:tab w:val="left" w:pos="0"/>
        </w:tabs>
        <w:snapToGrid w:val="0"/>
        <w:spacing w:line="360" w:lineRule="auto"/>
        <w:jc w:val="center"/>
        <w:outlineLvl w:val="2"/>
        <w:rPr>
          <w:rFonts w:ascii="宋体" w:hAnsi="宋体" w:cs="宋体"/>
          <w:sz w:val="28"/>
          <w:szCs w:val="28"/>
        </w:rPr>
      </w:pPr>
      <w:bookmarkStart w:id="58" w:name="_Toc10940"/>
      <w:r>
        <w:rPr>
          <w:rFonts w:hint="eastAsia" w:ascii="宋体" w:hAnsi="宋体" w:cs="宋体"/>
          <w:b/>
          <w:bCs/>
          <w:sz w:val="28"/>
          <w:szCs w:val="28"/>
        </w:rPr>
        <w:t>（五）开标与评标</w:t>
      </w:r>
      <w:bookmarkEnd w:id="58"/>
    </w:p>
    <w:p w14:paraId="47EA4614">
      <w:pPr>
        <w:widowControl w:val="0"/>
        <w:tabs>
          <w:tab w:val="left" w:pos="0"/>
        </w:tabs>
        <w:snapToGrid w:val="0"/>
        <w:spacing w:line="360" w:lineRule="auto"/>
        <w:rPr>
          <w:rFonts w:ascii="宋体" w:hAnsi="宋体" w:cs="宋体"/>
          <w:b/>
          <w:bCs/>
        </w:rPr>
      </w:pPr>
      <w:r>
        <w:rPr>
          <w:rFonts w:hint="eastAsia" w:ascii="宋体" w:hAnsi="宋体" w:cs="宋体"/>
          <w:b/>
          <w:bCs/>
        </w:rPr>
        <w:t>24、开标</w:t>
      </w:r>
    </w:p>
    <w:p w14:paraId="04E905C4">
      <w:pPr>
        <w:widowControl w:val="0"/>
        <w:snapToGrid w:val="0"/>
        <w:spacing w:line="360" w:lineRule="auto"/>
        <w:ind w:firstLine="480" w:firstLineChars="200"/>
        <w:rPr>
          <w:rFonts w:ascii="宋体" w:hAnsi="宋体" w:cs="宋体"/>
        </w:rPr>
      </w:pPr>
      <w:r>
        <w:rPr>
          <w:rFonts w:hint="eastAsia" w:ascii="宋体" w:hAnsi="宋体" w:cs="宋体"/>
        </w:rPr>
        <w:t>24.1 招标代理机构将在规定的时间和地点进行磋商，</w:t>
      </w:r>
      <w:r>
        <w:rPr>
          <w:rFonts w:hint="eastAsia" w:ascii="宋体" w:hAnsi="宋体"/>
          <w:szCs w:val="21"/>
        </w:rPr>
        <w:t>本项目为网上开标，投标单位无需到达现场，为保障磋商小组与各磋商申请人可以有效进行磋商</w:t>
      </w:r>
      <w:r>
        <w:rPr>
          <w:rFonts w:hint="eastAsia" w:ascii="宋体" w:hAnsi="宋体" w:cs="宋体"/>
        </w:rPr>
        <w:t>工作，请各磋商申请人自行配相应的音视频设备。</w:t>
      </w:r>
    </w:p>
    <w:p w14:paraId="08209836">
      <w:pPr>
        <w:widowControl w:val="0"/>
        <w:spacing w:line="360" w:lineRule="auto"/>
        <w:ind w:firstLine="480" w:firstLineChars="200"/>
        <w:rPr>
          <w:rFonts w:ascii="宋体" w:hAnsi="宋体" w:cs="宋体"/>
          <w:spacing w:val="-2"/>
        </w:rPr>
      </w:pPr>
      <w:r>
        <w:rPr>
          <w:rFonts w:hint="eastAsia" w:ascii="宋体" w:hAnsi="宋体" w:cs="宋体"/>
        </w:rPr>
        <w:t xml:space="preserve">24.2 </w:t>
      </w:r>
      <w:r>
        <w:rPr>
          <w:rFonts w:hint="eastAsia" w:ascii="宋体" w:hAnsi="宋体"/>
          <w:szCs w:val="21"/>
        </w:rPr>
        <w:t>采购人委派代表参加磋商会议的，要向采购代理机构出具授权函。除授权代表外，采购人可以委派纪检监察等相关人员进入磋商现场，对磋商工作实施监督。</w:t>
      </w:r>
    </w:p>
    <w:p w14:paraId="684ED179">
      <w:pPr>
        <w:widowControl w:val="0"/>
        <w:spacing w:line="360" w:lineRule="auto"/>
        <w:ind w:firstLine="480" w:firstLineChars="200"/>
        <w:rPr>
          <w:rFonts w:ascii="宋体" w:hAnsi="宋体" w:cs="宋体"/>
          <w:spacing w:val="-2"/>
        </w:rPr>
      </w:pPr>
      <w:r>
        <w:rPr>
          <w:rFonts w:hint="eastAsia" w:ascii="宋体" w:hAnsi="宋体" w:cs="宋体"/>
        </w:rPr>
        <w:t xml:space="preserve">24.3 </w:t>
      </w:r>
      <w:r>
        <w:rPr>
          <w:rFonts w:hint="eastAsia" w:ascii="宋体" w:hAnsi="宋体" w:cs="宋体"/>
          <w:spacing w:val="-2"/>
        </w:rPr>
        <w:t>电子文件开标顺序：</w:t>
      </w:r>
      <w:r>
        <w:rPr>
          <w:rFonts w:hint="eastAsia" w:ascii="宋体" w:hAnsi="宋体" w:cs="宋体"/>
        </w:rPr>
        <w:t>按照</w:t>
      </w:r>
      <w:r>
        <w:rPr>
          <w:rFonts w:hint="eastAsia" w:ascii="宋体" w:hAnsi="宋体" w:cs="宋体"/>
          <w:bCs/>
          <w:szCs w:val="21"/>
        </w:rPr>
        <w:t>“政府采购云平台”开标系统</w:t>
      </w:r>
      <w:r>
        <w:rPr>
          <w:rFonts w:hint="eastAsia" w:ascii="宋体" w:hAnsi="宋体" w:cs="宋体"/>
        </w:rPr>
        <w:t>自动提取所有磋商申请人的顺序当众开标</w:t>
      </w:r>
      <w:r>
        <w:rPr>
          <w:rFonts w:hint="eastAsia" w:ascii="宋体" w:hAnsi="宋体" w:cs="宋体"/>
          <w:spacing w:val="-2"/>
        </w:rPr>
        <w:t>。</w:t>
      </w:r>
    </w:p>
    <w:p w14:paraId="1E213F39">
      <w:pPr>
        <w:widowControl w:val="0"/>
        <w:spacing w:line="360" w:lineRule="auto"/>
        <w:ind w:firstLine="472" w:firstLineChars="200"/>
        <w:rPr>
          <w:rFonts w:ascii="宋体" w:hAnsi="宋体" w:cs="宋体"/>
          <w:spacing w:val="-2"/>
        </w:rPr>
      </w:pPr>
      <w:r>
        <w:rPr>
          <w:rFonts w:hint="eastAsia" w:ascii="宋体" w:hAnsi="宋体" w:cs="宋体"/>
          <w:spacing w:val="-2"/>
        </w:rPr>
        <w:t>24.4代理机构宣布开启电子投标响应文件后，下达解锁电子投标文件命令，磋商申请人在规定时间内对加密的电子投标文件进行解锁。</w:t>
      </w:r>
    </w:p>
    <w:p w14:paraId="55BBBD8D">
      <w:pPr>
        <w:widowControl w:val="0"/>
        <w:snapToGrid w:val="0"/>
        <w:spacing w:line="360" w:lineRule="auto"/>
        <w:ind w:firstLine="480" w:firstLineChars="200"/>
        <w:rPr>
          <w:rFonts w:ascii="宋体" w:hAnsi="宋体" w:cs="宋体"/>
        </w:rPr>
      </w:pPr>
      <w:r>
        <w:rPr>
          <w:rFonts w:hint="eastAsia" w:ascii="宋体" w:hAnsi="宋体" w:cs="宋体"/>
        </w:rPr>
        <w:t>24.5招标代理机构将做开标记录（包含磋商申请人名称、投标总报价、项目完成期限等）。</w:t>
      </w:r>
    </w:p>
    <w:p w14:paraId="545C805B">
      <w:pPr>
        <w:widowControl w:val="0"/>
        <w:snapToGrid w:val="0"/>
        <w:spacing w:line="360" w:lineRule="auto"/>
        <w:ind w:firstLine="482" w:firstLineChars="200"/>
        <w:rPr>
          <w:rFonts w:ascii="宋体" w:hAnsi="宋体" w:cs="宋体"/>
          <w:b/>
          <w:bCs/>
        </w:rPr>
      </w:pPr>
      <w:r>
        <w:rPr>
          <w:rFonts w:hint="eastAsia" w:ascii="宋体" w:hAnsi="宋体" w:cs="宋体"/>
          <w:b/>
          <w:bCs/>
        </w:rPr>
        <w:t>24.6各磋商申请人实行二次报价，二次报价为最终报价。</w:t>
      </w:r>
    </w:p>
    <w:p w14:paraId="707DBAA2">
      <w:pPr>
        <w:widowControl w:val="0"/>
        <w:snapToGrid w:val="0"/>
        <w:spacing w:line="360" w:lineRule="auto"/>
        <w:rPr>
          <w:rFonts w:ascii="宋体" w:hAnsi="宋体" w:cs="宋体"/>
        </w:rPr>
      </w:pPr>
      <w:r>
        <w:rPr>
          <w:rFonts w:hint="eastAsia" w:ascii="宋体" w:hAnsi="宋体" w:cs="宋体"/>
          <w:b/>
          <w:bCs/>
        </w:rPr>
        <w:t>25、磋商小组成员组成与评标</w:t>
      </w:r>
    </w:p>
    <w:p w14:paraId="446E8678">
      <w:pPr>
        <w:widowControl w:val="0"/>
        <w:snapToGrid w:val="0"/>
        <w:spacing w:line="360" w:lineRule="auto"/>
        <w:ind w:firstLine="480" w:firstLineChars="200"/>
        <w:rPr>
          <w:rFonts w:ascii="宋体" w:hAnsi="宋体" w:cs="宋体"/>
        </w:rPr>
      </w:pPr>
      <w:r>
        <w:rPr>
          <w:rFonts w:hint="eastAsia" w:ascii="宋体" w:hAnsi="宋体" w:cs="宋体"/>
        </w:rPr>
        <w:t>25.1 磋商小组的组建：采购人根据《中华人民共和国政府采购法》及财政部有关法律法规、规章和本采购文件的规定，结合本采购项目的特点组建评标委员会，磋商小组由评审专家2人及采购人代表1人，共3人及以上单数组成，评审专家开标前从云南省政府采信息管理系统中随机抽取；采购人代表不得以评审专家身份参加本部门或本单位采购项目的评审，采购代理机构人员不得参加本机构代理的采购项目的评审。</w:t>
      </w:r>
    </w:p>
    <w:p w14:paraId="53608AB6">
      <w:pPr>
        <w:widowControl w:val="0"/>
        <w:snapToGrid w:val="0"/>
        <w:spacing w:line="360" w:lineRule="auto"/>
        <w:rPr>
          <w:rFonts w:ascii="宋体" w:hAnsi="宋体" w:cs="宋体"/>
          <w:b/>
          <w:bCs/>
        </w:rPr>
      </w:pPr>
      <w:r>
        <w:rPr>
          <w:rFonts w:hint="eastAsia" w:ascii="宋体" w:hAnsi="宋体" w:cs="宋体"/>
          <w:b/>
          <w:bCs/>
        </w:rPr>
        <w:t>26、评标工作的基本原则</w:t>
      </w:r>
    </w:p>
    <w:p w14:paraId="0EBFF468">
      <w:pPr>
        <w:widowControl w:val="0"/>
        <w:snapToGrid w:val="0"/>
        <w:spacing w:line="360" w:lineRule="auto"/>
        <w:ind w:firstLine="480" w:firstLineChars="200"/>
        <w:rPr>
          <w:rFonts w:ascii="宋体" w:hAnsi="宋体" w:cs="宋体"/>
        </w:rPr>
      </w:pPr>
      <w:r>
        <w:rPr>
          <w:rFonts w:hint="eastAsia" w:ascii="宋体" w:hAnsi="宋体" w:cs="宋体"/>
        </w:rPr>
        <w:t>26.1 认真贯彻国家有关法律、法规、维护国家利益。</w:t>
      </w:r>
    </w:p>
    <w:p w14:paraId="02E2D1EE">
      <w:pPr>
        <w:widowControl w:val="0"/>
        <w:snapToGrid w:val="0"/>
        <w:spacing w:line="360" w:lineRule="auto"/>
        <w:ind w:firstLine="480" w:firstLineChars="200"/>
        <w:rPr>
          <w:rFonts w:ascii="宋体" w:hAnsi="宋体" w:cs="宋体"/>
        </w:rPr>
      </w:pPr>
      <w:r>
        <w:rPr>
          <w:rFonts w:hint="eastAsia" w:ascii="宋体" w:hAnsi="宋体" w:cs="宋体"/>
        </w:rPr>
        <w:t>26.2 保护投标各方的各项合法利益。</w:t>
      </w:r>
    </w:p>
    <w:p w14:paraId="10EC39E1">
      <w:pPr>
        <w:widowControl w:val="0"/>
        <w:snapToGrid w:val="0"/>
        <w:spacing w:line="360" w:lineRule="auto"/>
        <w:ind w:firstLine="480" w:firstLineChars="200"/>
        <w:rPr>
          <w:rFonts w:ascii="宋体" w:hAnsi="宋体" w:cs="宋体"/>
        </w:rPr>
      </w:pPr>
      <w:r>
        <w:rPr>
          <w:rFonts w:hint="eastAsia" w:ascii="宋体" w:hAnsi="宋体" w:cs="宋体"/>
        </w:rPr>
        <w:t>26.3 客观、公正地对待所有磋商申请人，对所有磋商申请人的磋商响应文件，均采用相同的程序和标准。</w:t>
      </w:r>
    </w:p>
    <w:p w14:paraId="7C34E307">
      <w:pPr>
        <w:widowControl w:val="0"/>
        <w:snapToGrid w:val="0"/>
        <w:spacing w:line="360" w:lineRule="auto"/>
        <w:ind w:firstLine="480" w:firstLineChars="200"/>
        <w:rPr>
          <w:rFonts w:ascii="宋体" w:hAnsi="宋体" w:cs="宋体"/>
        </w:rPr>
      </w:pPr>
      <w:r>
        <w:rPr>
          <w:rFonts w:hint="eastAsia" w:ascii="宋体" w:hAnsi="宋体" w:cs="宋体"/>
        </w:rPr>
        <w:t>26.4根据竞争性磋商文件规定的评审程序、评审方法和评审标准进行独立评审。</w:t>
      </w:r>
    </w:p>
    <w:p w14:paraId="222B7481">
      <w:pPr>
        <w:widowControl w:val="0"/>
        <w:tabs>
          <w:tab w:val="left" w:pos="0"/>
        </w:tabs>
        <w:snapToGrid w:val="0"/>
        <w:spacing w:line="360" w:lineRule="auto"/>
        <w:ind w:firstLine="480" w:firstLineChars="200"/>
        <w:rPr>
          <w:rFonts w:ascii="宋体" w:hAnsi="宋体" w:cs="宋体"/>
        </w:rPr>
      </w:pPr>
      <w:r>
        <w:rPr>
          <w:rFonts w:hint="eastAsia" w:ascii="宋体" w:hAnsi="宋体" w:cs="宋体"/>
        </w:rPr>
        <w:t>26.5竞争性磋商文件是评标的依据。</w:t>
      </w:r>
    </w:p>
    <w:p w14:paraId="4B5F0057">
      <w:pPr>
        <w:widowControl w:val="0"/>
        <w:tabs>
          <w:tab w:val="left" w:pos="0"/>
        </w:tabs>
        <w:snapToGrid w:val="0"/>
        <w:spacing w:line="360" w:lineRule="auto"/>
        <w:rPr>
          <w:rFonts w:ascii="宋体" w:hAnsi="宋体" w:cs="宋体"/>
          <w:b/>
          <w:bCs/>
        </w:rPr>
      </w:pPr>
      <w:r>
        <w:rPr>
          <w:rFonts w:hint="eastAsia" w:ascii="宋体" w:hAnsi="宋体" w:cs="宋体"/>
          <w:b/>
          <w:bCs/>
        </w:rPr>
        <w:t>27、废标和磋商响应文件的符合性评审</w:t>
      </w:r>
    </w:p>
    <w:p w14:paraId="68431886">
      <w:pPr>
        <w:widowControl w:val="0"/>
        <w:tabs>
          <w:tab w:val="left" w:pos="0"/>
        </w:tabs>
        <w:snapToGrid w:val="0"/>
        <w:spacing w:line="360" w:lineRule="auto"/>
        <w:ind w:firstLine="482" w:firstLineChars="200"/>
        <w:rPr>
          <w:rFonts w:ascii="宋体" w:hAnsi="宋体" w:cs="宋体"/>
          <w:b/>
          <w:bCs/>
        </w:rPr>
      </w:pPr>
      <w:r>
        <w:rPr>
          <w:rFonts w:hint="eastAsia" w:ascii="宋体" w:hAnsi="宋体" w:cs="宋体"/>
          <w:b/>
          <w:bCs/>
        </w:rPr>
        <w:t>根据《 中华人民共和国政府采购法》 第三十六条规定及《</w:t>
      </w:r>
      <w:r>
        <w:rPr>
          <w:rFonts w:ascii="宋体" w:hAnsi="宋体" w:cs="宋体"/>
          <w:b/>
          <w:bCs/>
        </w:rPr>
        <w:t>中华人民共和国政府采购法实施条例</w:t>
      </w:r>
      <w:r>
        <w:rPr>
          <w:rFonts w:hint="eastAsia" w:ascii="宋体" w:hAnsi="宋体" w:cs="宋体"/>
          <w:b/>
          <w:bCs/>
        </w:rPr>
        <w:t>》第三十三条规定，出现下列情形之一的应予作废标处理：</w:t>
      </w:r>
    </w:p>
    <w:p w14:paraId="70CEEAA0">
      <w:pPr>
        <w:widowControl w:val="0"/>
        <w:tabs>
          <w:tab w:val="left" w:pos="0"/>
        </w:tabs>
        <w:snapToGrid w:val="0"/>
        <w:spacing w:line="360" w:lineRule="auto"/>
        <w:ind w:firstLine="482" w:firstLineChars="200"/>
        <w:rPr>
          <w:rFonts w:ascii="宋体" w:hAnsi="宋体" w:cs="宋体"/>
          <w:b/>
          <w:bCs/>
        </w:rPr>
      </w:pPr>
      <w:r>
        <w:rPr>
          <w:rFonts w:ascii="宋体" w:hAnsi="宋体" w:cs="宋体"/>
          <w:b/>
          <w:bCs/>
        </w:rPr>
        <w:t>（一）符合专业条件的供应商或者对招标文件作实质响应的供应商不足三家的；</w:t>
      </w:r>
    </w:p>
    <w:p w14:paraId="756856C4">
      <w:pPr>
        <w:widowControl w:val="0"/>
        <w:tabs>
          <w:tab w:val="left" w:pos="0"/>
        </w:tabs>
        <w:snapToGrid w:val="0"/>
        <w:spacing w:line="360" w:lineRule="auto"/>
        <w:ind w:firstLine="482" w:firstLineChars="200"/>
        <w:rPr>
          <w:rFonts w:ascii="宋体" w:hAnsi="宋体" w:cs="宋体"/>
          <w:b/>
          <w:bCs/>
        </w:rPr>
      </w:pPr>
      <w:r>
        <w:rPr>
          <w:rFonts w:ascii="宋体" w:hAnsi="宋体" w:cs="宋体"/>
          <w:b/>
          <w:bCs/>
        </w:rPr>
        <w:t>（二）出现影响采购公正的违法、违规行为的；</w:t>
      </w:r>
    </w:p>
    <w:p w14:paraId="6F9D0864">
      <w:pPr>
        <w:widowControl w:val="0"/>
        <w:tabs>
          <w:tab w:val="left" w:pos="0"/>
        </w:tabs>
        <w:snapToGrid w:val="0"/>
        <w:spacing w:line="360" w:lineRule="auto"/>
        <w:ind w:firstLine="482" w:firstLineChars="200"/>
        <w:rPr>
          <w:rFonts w:ascii="宋体" w:hAnsi="宋体" w:cs="宋体"/>
          <w:b/>
          <w:bCs/>
        </w:rPr>
      </w:pPr>
      <w:r>
        <w:rPr>
          <w:rFonts w:ascii="宋体" w:hAnsi="宋体" w:cs="宋体"/>
          <w:b/>
          <w:bCs/>
        </w:rPr>
        <w:t>（三）投标人的报价均超过了采购预算，采购人不能支付的；</w:t>
      </w:r>
    </w:p>
    <w:p w14:paraId="329A3ECD">
      <w:pPr>
        <w:widowControl w:val="0"/>
        <w:tabs>
          <w:tab w:val="left" w:pos="0"/>
        </w:tabs>
        <w:snapToGrid w:val="0"/>
        <w:spacing w:line="360" w:lineRule="auto"/>
        <w:ind w:firstLine="482" w:firstLineChars="200"/>
        <w:rPr>
          <w:rFonts w:ascii="宋体" w:hAnsi="宋体" w:cs="宋体"/>
          <w:b/>
          <w:bCs/>
        </w:rPr>
      </w:pPr>
      <w:r>
        <w:rPr>
          <w:rFonts w:ascii="宋体" w:hAnsi="宋体" w:cs="宋体"/>
          <w:b/>
          <w:bCs/>
        </w:rPr>
        <w:t>（四）因重大变故，采购任务取消的。</w:t>
      </w:r>
    </w:p>
    <w:p w14:paraId="22DFF065">
      <w:pPr>
        <w:pStyle w:val="21"/>
        <w:spacing w:line="360" w:lineRule="auto"/>
        <w:ind w:firstLine="482" w:firstLineChars="200"/>
      </w:pPr>
      <w:r>
        <w:rPr>
          <w:rFonts w:hint="eastAsia" w:ascii="宋体" w:hAnsi="宋体" w:cs="宋体"/>
          <w:b/>
          <w:bCs/>
          <w:sz w:val="24"/>
          <w:szCs w:val="24"/>
          <w:lang w:val="en-US"/>
        </w:rPr>
        <w:t>（五）</w:t>
      </w:r>
      <w:r>
        <w:rPr>
          <w:rFonts w:ascii="宋体" w:hAnsi="宋体" w:cs="宋体"/>
          <w:b/>
          <w:bCs/>
          <w:kern w:val="0"/>
          <w:sz w:val="24"/>
          <w:szCs w:val="24"/>
          <w:lang w:val="en-US"/>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2B32CB95">
      <w:pPr>
        <w:widowControl w:val="0"/>
        <w:tabs>
          <w:tab w:val="left" w:pos="0"/>
        </w:tabs>
        <w:snapToGrid w:val="0"/>
        <w:spacing w:line="360" w:lineRule="auto"/>
        <w:ind w:firstLine="482" w:firstLineChars="200"/>
        <w:rPr>
          <w:rFonts w:ascii="宋体" w:hAnsi="宋体" w:cs="宋体"/>
          <w:b/>
          <w:bCs/>
        </w:rPr>
      </w:pPr>
      <w:r>
        <w:rPr>
          <w:rFonts w:hint="eastAsia" w:ascii="宋体" w:hAnsi="宋体" w:cs="宋体"/>
          <w:b/>
          <w:bCs/>
        </w:rPr>
        <w:t>根据《政府采购货物和服务招标投标管理办法》磋商响应文件有下列情形之一的，采人、采购代理机构将拒绝受理：</w:t>
      </w:r>
    </w:p>
    <w:p w14:paraId="546DAF44">
      <w:pPr>
        <w:widowControl w:val="0"/>
        <w:tabs>
          <w:tab w:val="left" w:pos="0"/>
        </w:tabs>
        <w:snapToGrid w:val="0"/>
        <w:spacing w:line="360" w:lineRule="auto"/>
        <w:ind w:firstLine="482" w:firstLineChars="200"/>
        <w:rPr>
          <w:rFonts w:ascii="宋体" w:hAnsi="宋体" w:cs="宋体"/>
          <w:b/>
          <w:bCs/>
        </w:rPr>
      </w:pPr>
      <w:r>
        <w:rPr>
          <w:rFonts w:hint="eastAsia" w:ascii="宋体" w:hAnsi="宋体" w:cs="宋体"/>
          <w:b/>
          <w:bCs/>
        </w:rPr>
        <w:t>（一）逾期送达的投标文件；（电子投标文件在递交截止时间前未上传至指定平台）</w:t>
      </w:r>
    </w:p>
    <w:p w14:paraId="6AB905C5">
      <w:pPr>
        <w:widowControl w:val="0"/>
        <w:tabs>
          <w:tab w:val="left" w:pos="0"/>
        </w:tabs>
        <w:snapToGrid w:val="0"/>
        <w:spacing w:line="360" w:lineRule="auto"/>
        <w:ind w:firstLine="482" w:firstLineChars="200"/>
        <w:rPr>
          <w:rFonts w:ascii="宋体" w:hAnsi="宋体" w:cs="宋体"/>
          <w:b/>
          <w:bCs/>
        </w:rPr>
      </w:pPr>
      <w:r>
        <w:rPr>
          <w:rFonts w:hint="eastAsia" w:ascii="宋体" w:hAnsi="宋体" w:cs="宋体"/>
          <w:b/>
          <w:bCs/>
        </w:rPr>
        <w:t>（二）</w:t>
      </w:r>
      <w:r>
        <w:rPr>
          <w:rFonts w:hint="eastAsia" w:ascii="宋体" w:hAnsi="宋体" w:cs="宋体"/>
          <w:b/>
          <w:bCs/>
          <w:shd w:val="clear" w:color="auto" w:fill="FFFFFF"/>
        </w:rPr>
        <w:t>未按照招标文件要求密封的投标文件；（电子投标文件未按要求进行加密）</w:t>
      </w:r>
    </w:p>
    <w:p w14:paraId="7A3C06B8">
      <w:pPr>
        <w:widowControl w:val="0"/>
        <w:tabs>
          <w:tab w:val="left" w:pos="0"/>
        </w:tabs>
        <w:snapToGrid w:val="0"/>
        <w:spacing w:line="360" w:lineRule="auto"/>
        <w:ind w:firstLine="480" w:firstLineChars="200"/>
        <w:rPr>
          <w:rFonts w:ascii="宋体" w:hAnsi="宋体" w:cs="宋体"/>
        </w:rPr>
      </w:pPr>
      <w:r>
        <w:rPr>
          <w:rFonts w:hint="eastAsia" w:ascii="宋体" w:hAnsi="宋体" w:cs="宋体"/>
        </w:rPr>
        <w:t>磋商响应文件有下列情形之一的，由评标委员会初审后按无效投标文件处理</w:t>
      </w:r>
    </w:p>
    <w:p w14:paraId="4A413E2A">
      <w:pPr>
        <w:widowControl w:val="0"/>
        <w:tabs>
          <w:tab w:val="left" w:pos="0"/>
        </w:tabs>
        <w:snapToGrid w:val="0"/>
        <w:spacing w:line="360" w:lineRule="auto"/>
        <w:ind w:firstLine="480" w:firstLineChars="200"/>
        <w:rPr>
          <w:rFonts w:ascii="宋体" w:hAnsi="宋体" w:cs="宋体"/>
        </w:rPr>
      </w:pPr>
      <w:r>
        <w:rPr>
          <w:rFonts w:hint="eastAsia" w:ascii="宋体" w:hAnsi="宋体" w:cs="宋体"/>
        </w:rPr>
        <w:t>（一）磋商申请人未按竞争性磋商文件规定签字盖章的；</w:t>
      </w:r>
    </w:p>
    <w:p w14:paraId="28EB56B6">
      <w:pPr>
        <w:widowControl w:val="0"/>
        <w:tabs>
          <w:tab w:val="left" w:pos="0"/>
        </w:tabs>
        <w:snapToGrid w:val="0"/>
        <w:spacing w:line="360" w:lineRule="auto"/>
        <w:ind w:firstLine="480" w:firstLineChars="200"/>
        <w:rPr>
          <w:rFonts w:ascii="宋体" w:hAnsi="宋体" w:cs="宋体"/>
        </w:rPr>
      </w:pPr>
      <w:r>
        <w:rPr>
          <w:rFonts w:hint="eastAsia" w:ascii="宋体" w:hAnsi="宋体" w:cs="宋体"/>
        </w:rPr>
        <w:t>（二）无法定代表人资格证明书或法定代表人出具的授权委托书的；</w:t>
      </w:r>
    </w:p>
    <w:p w14:paraId="28C9216D">
      <w:pPr>
        <w:widowControl w:val="0"/>
        <w:tabs>
          <w:tab w:val="left" w:pos="0"/>
        </w:tabs>
        <w:snapToGrid w:val="0"/>
        <w:spacing w:line="360" w:lineRule="auto"/>
        <w:ind w:firstLine="480" w:firstLineChars="200"/>
        <w:rPr>
          <w:rFonts w:ascii="宋体" w:hAnsi="宋体" w:cs="宋体"/>
        </w:rPr>
      </w:pPr>
      <w:r>
        <w:rPr>
          <w:rFonts w:hint="eastAsia" w:ascii="宋体" w:hAnsi="宋体" w:cs="宋体"/>
        </w:rPr>
        <w:t>（三）未按规定的格式填写，内容不全或关键字迹模糊、无法辨认的；</w:t>
      </w:r>
    </w:p>
    <w:p w14:paraId="62629123">
      <w:pPr>
        <w:widowControl w:val="0"/>
        <w:tabs>
          <w:tab w:val="left" w:pos="0"/>
        </w:tabs>
        <w:snapToGrid w:val="0"/>
        <w:spacing w:line="360" w:lineRule="auto"/>
        <w:ind w:firstLine="480" w:firstLineChars="200"/>
        <w:rPr>
          <w:rFonts w:ascii="宋体" w:hAnsi="宋体" w:cs="宋体"/>
        </w:rPr>
      </w:pPr>
      <w:r>
        <w:rPr>
          <w:rFonts w:hint="eastAsia" w:ascii="宋体" w:hAnsi="宋体" w:cs="宋体"/>
        </w:rPr>
        <w:t>（四）磋商申请人资格条件不符合国家有关规定或者竞争性磋商文件要求的；或未按竞争性磋商文件要求提供全部资格证明文件的；</w:t>
      </w:r>
    </w:p>
    <w:p w14:paraId="5D567605">
      <w:pPr>
        <w:widowControl w:val="0"/>
        <w:tabs>
          <w:tab w:val="left" w:pos="0"/>
        </w:tabs>
        <w:snapToGrid w:val="0"/>
        <w:spacing w:line="360" w:lineRule="auto"/>
        <w:ind w:firstLine="480" w:firstLineChars="200"/>
        <w:rPr>
          <w:rFonts w:ascii="宋体" w:hAnsi="宋体" w:cs="宋体"/>
        </w:rPr>
      </w:pPr>
      <w:r>
        <w:rPr>
          <w:rFonts w:hint="eastAsia" w:ascii="宋体" w:hAnsi="宋体" w:cs="宋体"/>
        </w:rPr>
        <w:t>（五）投标有效期不满足竞争性磋商文件要求的；</w:t>
      </w:r>
    </w:p>
    <w:p w14:paraId="5D762593">
      <w:pPr>
        <w:widowControl w:val="0"/>
        <w:tabs>
          <w:tab w:val="left" w:pos="0"/>
        </w:tabs>
        <w:snapToGrid w:val="0"/>
        <w:spacing w:line="360" w:lineRule="auto"/>
        <w:ind w:firstLine="480" w:firstLineChars="200"/>
        <w:rPr>
          <w:rFonts w:ascii="宋体" w:hAnsi="宋体" w:cs="宋体"/>
        </w:rPr>
      </w:pPr>
      <w:r>
        <w:rPr>
          <w:rFonts w:hint="eastAsia" w:ascii="宋体" w:hAnsi="宋体" w:cs="宋体"/>
        </w:rPr>
        <w:t>（六）未按竞争性磋商文件要求提交投标保证金或提交金额不足的；</w:t>
      </w:r>
    </w:p>
    <w:p w14:paraId="07388589">
      <w:pPr>
        <w:widowControl w:val="0"/>
        <w:tabs>
          <w:tab w:val="left" w:pos="0"/>
        </w:tabs>
        <w:snapToGrid w:val="0"/>
        <w:spacing w:line="360" w:lineRule="auto"/>
        <w:ind w:firstLine="480" w:firstLineChars="200"/>
        <w:rPr>
          <w:rFonts w:ascii="宋体" w:hAnsi="宋体" w:cs="宋体"/>
        </w:rPr>
      </w:pPr>
      <w:r>
        <w:rPr>
          <w:rFonts w:hint="eastAsia" w:ascii="宋体" w:hAnsi="宋体" w:cs="宋体"/>
        </w:rPr>
        <w:t>（七）磋商申请人拒不按照要求对投标文件进行澄清、说明或者补正的；</w:t>
      </w:r>
    </w:p>
    <w:p w14:paraId="0453FDFD">
      <w:pPr>
        <w:widowControl w:val="0"/>
        <w:tabs>
          <w:tab w:val="left" w:pos="0"/>
        </w:tabs>
        <w:snapToGrid w:val="0"/>
        <w:spacing w:line="360" w:lineRule="auto"/>
        <w:ind w:firstLine="480" w:firstLineChars="200"/>
        <w:rPr>
          <w:rFonts w:ascii="宋体" w:hAnsi="宋体" w:cs="宋体"/>
        </w:rPr>
      </w:pPr>
      <w:r>
        <w:rPr>
          <w:rFonts w:hint="eastAsia" w:ascii="宋体" w:hAnsi="宋体" w:cs="宋体"/>
        </w:rPr>
        <w:t>（八）与竞争性磋商文件有重大偏离的磋商响应文件将被拒绝。重大偏离系指投标服务的质量要求、技术标准、完成时限、服务期限及服务承诺等不能满足竞争性磋商文件的要求。</w:t>
      </w:r>
    </w:p>
    <w:p w14:paraId="3BBAB6FB">
      <w:pPr>
        <w:widowControl w:val="0"/>
        <w:tabs>
          <w:tab w:val="left" w:pos="0"/>
        </w:tabs>
        <w:snapToGrid w:val="0"/>
        <w:spacing w:line="360" w:lineRule="auto"/>
        <w:ind w:firstLine="480" w:firstLineChars="200"/>
        <w:rPr>
          <w:rFonts w:ascii="宋体" w:hAnsi="宋体" w:cs="宋体"/>
        </w:rPr>
      </w:pPr>
      <w:r>
        <w:rPr>
          <w:rFonts w:hint="eastAsia" w:ascii="宋体" w:hAnsi="宋体" w:cs="宋体"/>
        </w:rPr>
        <w:t>（九）磋商申请人未对竞争性磋商文件作出实质性响应的。</w:t>
      </w:r>
    </w:p>
    <w:p w14:paraId="1D612657">
      <w:pPr>
        <w:widowControl w:val="0"/>
        <w:tabs>
          <w:tab w:val="left" w:pos="0"/>
        </w:tabs>
        <w:snapToGrid w:val="0"/>
        <w:spacing w:line="360" w:lineRule="auto"/>
        <w:ind w:firstLine="480" w:firstLineChars="200"/>
        <w:rPr>
          <w:rFonts w:ascii="宋体" w:hAnsi="宋体" w:cs="宋体"/>
        </w:rPr>
      </w:pPr>
      <w:r>
        <w:rPr>
          <w:rFonts w:hint="eastAsia" w:ascii="宋体" w:hAnsi="宋体" w:cs="宋体"/>
        </w:rPr>
        <w:t>（十）投标报价高于采购预算的。</w:t>
      </w:r>
    </w:p>
    <w:p w14:paraId="7D5BB233">
      <w:pPr>
        <w:widowControl w:val="0"/>
        <w:tabs>
          <w:tab w:val="left" w:pos="0"/>
        </w:tabs>
        <w:snapToGrid w:val="0"/>
        <w:spacing w:line="360" w:lineRule="auto"/>
        <w:ind w:firstLine="480" w:firstLineChars="200"/>
        <w:rPr>
          <w:rFonts w:ascii="宋体" w:hAnsi="宋体" w:cs="宋体"/>
        </w:rPr>
      </w:pPr>
      <w:r>
        <w:rPr>
          <w:rFonts w:hint="eastAsia" w:ascii="宋体" w:hAnsi="宋体" w:cs="宋体"/>
        </w:rPr>
        <w:t>（十一）竞争性磋商文件规定的其他无效投标情形。</w:t>
      </w:r>
    </w:p>
    <w:p w14:paraId="7A1CFD1C">
      <w:pPr>
        <w:widowControl w:val="0"/>
        <w:tabs>
          <w:tab w:val="left" w:pos="0"/>
        </w:tabs>
        <w:snapToGrid w:val="0"/>
        <w:spacing w:line="360" w:lineRule="auto"/>
        <w:ind w:firstLine="482" w:firstLineChars="200"/>
        <w:rPr>
          <w:rFonts w:ascii="宋体" w:hAnsi="宋体" w:cs="宋体"/>
          <w:b/>
          <w:bCs/>
        </w:rPr>
      </w:pPr>
      <w:r>
        <w:rPr>
          <w:rFonts w:hint="eastAsia" w:ascii="宋体" w:hAnsi="宋体" w:cs="宋体"/>
          <w:b/>
          <w:bCs/>
        </w:rPr>
        <w:t>如磋商申请人提交的投标文件不足3家时或磋商响应文件的初步评审后有效投标文件少于3家的，采购单位将依法重新组织招标。</w:t>
      </w:r>
    </w:p>
    <w:p w14:paraId="44E978F5">
      <w:pPr>
        <w:widowControl w:val="0"/>
        <w:numPr>
          <w:ilvl w:val="0"/>
          <w:numId w:val="8"/>
        </w:numPr>
        <w:snapToGrid w:val="0"/>
        <w:spacing w:line="360" w:lineRule="auto"/>
        <w:rPr>
          <w:rFonts w:ascii="宋体" w:hAnsi="宋体" w:cs="宋体"/>
          <w:b/>
          <w:bCs/>
        </w:rPr>
      </w:pPr>
      <w:r>
        <w:rPr>
          <w:rFonts w:hint="eastAsia" w:ascii="宋体" w:hAnsi="宋体" w:cs="宋体"/>
          <w:b/>
          <w:bCs/>
        </w:rPr>
        <w:t>算术错误的修正</w:t>
      </w:r>
    </w:p>
    <w:p w14:paraId="4246C1DB">
      <w:pPr>
        <w:widowControl w:val="0"/>
        <w:snapToGrid w:val="0"/>
        <w:spacing w:line="360" w:lineRule="auto"/>
        <w:ind w:firstLine="480" w:firstLineChars="200"/>
        <w:rPr>
          <w:rFonts w:ascii="宋体" w:hAnsi="宋体" w:cs="宋体"/>
        </w:rPr>
      </w:pPr>
      <w:r>
        <w:rPr>
          <w:rFonts w:hint="eastAsia" w:ascii="宋体" w:hAnsi="宋体" w:cs="宋体"/>
        </w:rPr>
        <w:t>28.1 磋商小组将对确定为实质上响应竞争性磋商文件要求的投标文件进行校核，看其是否有计算上或累计上的算术错误，修正错误的原则为：如果磋商响应文件的大写金额和小写金额不一致，以大写金领为准；总价金额与单价汇总金额不一致的，以单价金额计算结果为准；单价金额小数点有明显错位的，应以总价为准，并修正单价：磋商响应文件纸质与电子版不一致的，以电子版为准。若磋商申请人拒绝接受上述修正，其投标将被拒绝。</w:t>
      </w:r>
    </w:p>
    <w:p w14:paraId="3377B602">
      <w:pPr>
        <w:widowControl w:val="0"/>
        <w:tabs>
          <w:tab w:val="left" w:pos="0"/>
        </w:tabs>
        <w:snapToGrid w:val="0"/>
        <w:spacing w:line="360" w:lineRule="auto"/>
        <w:rPr>
          <w:rFonts w:ascii="宋体" w:hAnsi="宋体" w:cs="宋体"/>
          <w:b/>
          <w:bCs/>
        </w:rPr>
      </w:pPr>
      <w:r>
        <w:rPr>
          <w:rFonts w:hint="eastAsia" w:ascii="宋体" w:hAnsi="宋体" w:cs="宋体"/>
          <w:b/>
          <w:bCs/>
        </w:rPr>
        <w:t>29、磋商响应文件的澄清</w:t>
      </w:r>
    </w:p>
    <w:p w14:paraId="505A6D1D">
      <w:pPr>
        <w:widowControl w:val="0"/>
        <w:tabs>
          <w:tab w:val="left" w:pos="0"/>
        </w:tabs>
        <w:snapToGrid w:val="0"/>
        <w:spacing w:line="360" w:lineRule="auto"/>
        <w:ind w:firstLine="480" w:firstLineChars="200"/>
        <w:rPr>
          <w:rFonts w:ascii="宋体" w:hAnsi="宋体" w:cs="宋体"/>
        </w:rPr>
      </w:pPr>
      <w:r>
        <w:rPr>
          <w:rFonts w:hint="eastAsia" w:ascii="宋体" w:hAnsi="宋体" w:cs="宋体"/>
        </w:rPr>
        <w:t>29.1 磋商小组在对响应文件的有效性、完整性和响应程度进行审查时，可以要求磋商申请人对响应文件中含义不明确、同类问题表述不一致或者有明显文字和计算错误的内容等作出必要的澄清、说明或者更正。磋商申请人的澄清、说明或者更正不得超出响应文件的范围或者改变响应文件的实质性内容。</w:t>
      </w:r>
    </w:p>
    <w:p w14:paraId="74E21E5B">
      <w:pPr>
        <w:widowControl w:val="0"/>
        <w:spacing w:line="360" w:lineRule="auto"/>
        <w:ind w:firstLine="480" w:firstLineChars="200"/>
        <w:rPr>
          <w:rFonts w:ascii="宋体" w:hAnsi="宋体" w:cs="宋体"/>
        </w:rPr>
      </w:pPr>
      <w:r>
        <w:rPr>
          <w:rFonts w:hint="eastAsia" w:ascii="宋体" w:hAnsi="宋体" w:cs="宋体"/>
        </w:rPr>
        <w:t>29.2 磋商小组要求磋商申请人澄清、说明或者更正响应文件应当以书面形式作出。磋商申请人的澄清、说明或者更正应当由法定代表人或其授权代表签字或者加盖公章。由授权代表签字的，应当附法定代表人授权书。磋商申请人为自然人的，应当由本人签字并附身份证明。</w:t>
      </w:r>
    </w:p>
    <w:p w14:paraId="6BA8D88E">
      <w:pPr>
        <w:widowControl w:val="0"/>
        <w:snapToGrid w:val="0"/>
        <w:spacing w:line="360" w:lineRule="auto"/>
        <w:rPr>
          <w:rFonts w:ascii="宋体" w:hAnsi="宋体" w:cs="宋体"/>
          <w:b/>
          <w:bCs/>
        </w:rPr>
      </w:pPr>
      <w:r>
        <w:rPr>
          <w:rFonts w:hint="eastAsia" w:ascii="宋体" w:hAnsi="宋体" w:cs="宋体"/>
          <w:b/>
          <w:bCs/>
        </w:rPr>
        <w:t>30、磋商响应文件的评审、比较和否决</w:t>
      </w:r>
    </w:p>
    <w:p w14:paraId="140B7F1F">
      <w:pPr>
        <w:widowControl w:val="0"/>
        <w:snapToGrid w:val="0"/>
        <w:spacing w:line="360" w:lineRule="auto"/>
        <w:ind w:firstLine="480" w:firstLineChars="200"/>
        <w:rPr>
          <w:rFonts w:ascii="宋体" w:hAnsi="宋体" w:cs="宋体"/>
        </w:rPr>
      </w:pPr>
      <w:r>
        <w:rPr>
          <w:rFonts w:hint="eastAsia" w:ascii="宋体" w:hAnsi="宋体" w:cs="宋体"/>
        </w:rPr>
        <w:t>30.1 磋商小组将按照本须知规定，仅对在实质上响应投标文件要求的磋商响应文件进行评审和比较。</w:t>
      </w:r>
    </w:p>
    <w:p w14:paraId="311AC3E4">
      <w:pPr>
        <w:widowControl w:val="0"/>
        <w:snapToGrid w:val="0"/>
        <w:spacing w:line="360" w:lineRule="auto"/>
        <w:ind w:firstLine="480" w:firstLineChars="200"/>
        <w:rPr>
          <w:rFonts w:ascii="宋体" w:hAnsi="宋体" w:cs="宋体"/>
        </w:rPr>
      </w:pPr>
      <w:r>
        <w:rPr>
          <w:rFonts w:hint="eastAsia" w:ascii="宋体" w:hAnsi="宋体" w:cs="宋体"/>
        </w:rPr>
        <w:t>30.2 在评审过程中，评标委员会可以以书面形式要求参与磋商申请人就投标文件中含义不明确的内容进行书面说明并提供相关材料。</w:t>
      </w:r>
    </w:p>
    <w:p w14:paraId="1E733B45">
      <w:pPr>
        <w:widowControl w:val="0"/>
        <w:snapToGrid w:val="0"/>
        <w:spacing w:line="360" w:lineRule="auto"/>
        <w:ind w:firstLine="480" w:firstLineChars="200"/>
        <w:rPr>
          <w:rFonts w:ascii="宋体" w:hAnsi="宋体" w:cs="宋体"/>
        </w:rPr>
      </w:pPr>
      <w:r>
        <w:rPr>
          <w:rFonts w:hint="eastAsia" w:ascii="宋体" w:hAnsi="宋体" w:cs="宋体"/>
        </w:rPr>
        <w:t>30.3 磋商小组依据本须知规定的评标标准和方法，对投标文件进行评审和比较，向采购单位提出书面推荐意见。采购单位根据磋商小组提出的书面推荐意见和推荐的中标候选人名单，确定中标单位。</w:t>
      </w:r>
    </w:p>
    <w:p w14:paraId="5FAAC52E">
      <w:pPr>
        <w:widowControl w:val="0"/>
        <w:snapToGrid w:val="0"/>
        <w:spacing w:line="360" w:lineRule="auto"/>
        <w:rPr>
          <w:rFonts w:ascii="宋体" w:hAnsi="宋体" w:cs="宋体"/>
          <w:b/>
          <w:bCs/>
        </w:rPr>
      </w:pPr>
      <w:r>
        <w:rPr>
          <w:rFonts w:hint="eastAsia" w:ascii="宋体" w:hAnsi="宋体" w:cs="宋体"/>
          <w:b/>
          <w:bCs/>
        </w:rPr>
        <w:t>31、评标方法和标准</w:t>
      </w:r>
    </w:p>
    <w:p w14:paraId="52A699F9">
      <w:pPr>
        <w:widowControl w:val="0"/>
        <w:snapToGrid w:val="0"/>
        <w:spacing w:line="360" w:lineRule="auto"/>
        <w:ind w:firstLine="480" w:firstLineChars="200"/>
        <w:rPr>
          <w:rFonts w:ascii="宋体" w:hAnsi="宋体" w:cs="宋体"/>
        </w:rPr>
      </w:pPr>
      <w:r>
        <w:rPr>
          <w:rFonts w:hint="eastAsia" w:ascii="宋体" w:hAnsi="宋体" w:cs="宋体"/>
        </w:rPr>
        <w:t>31.1 综合评分法：评标办法详见第三章。</w:t>
      </w:r>
    </w:p>
    <w:p w14:paraId="1E2CB655">
      <w:pPr>
        <w:widowControl w:val="0"/>
        <w:snapToGrid w:val="0"/>
        <w:spacing w:line="360" w:lineRule="auto"/>
        <w:ind w:firstLine="480" w:firstLineChars="200"/>
        <w:rPr>
          <w:rFonts w:ascii="宋体" w:hAnsi="宋体" w:cs="宋体"/>
        </w:rPr>
      </w:pPr>
      <w:r>
        <w:rPr>
          <w:rFonts w:hint="eastAsia" w:ascii="宋体" w:hAnsi="宋体" w:cs="宋体"/>
        </w:rPr>
        <w:t>31.2磋商小组根据竞争性磋商文件规定的评分标准对各磋商申请人进行打分，最后按照得分高低顺序推荐前三名为中标候选人。若出现最高分并列时，推荐价格较低的磋商申请人为第一中标候选人，依次类推。评审得分且最后报价相同的，按照技术指标优劣顺序推荐。</w:t>
      </w:r>
    </w:p>
    <w:p w14:paraId="6EED0BCB">
      <w:pPr>
        <w:widowControl w:val="0"/>
        <w:snapToGrid w:val="0"/>
        <w:spacing w:line="360" w:lineRule="auto"/>
        <w:ind w:firstLine="480" w:firstLineChars="200"/>
        <w:rPr>
          <w:rFonts w:ascii="宋体" w:hAnsi="宋体" w:cs="宋体"/>
        </w:rPr>
      </w:pPr>
      <w:r>
        <w:rPr>
          <w:rFonts w:hint="eastAsia" w:ascii="宋体" w:hAnsi="宋体" w:cs="宋体"/>
        </w:rPr>
        <w:t>31.3评标委员会经评审，认为所有磋商申请人的投标文件都不符合竞争性磋商文件要求的，可以否决所有投标文件。所有投标文件被否决后，采购单位应当依法重新招标。</w:t>
      </w:r>
    </w:p>
    <w:p w14:paraId="3C5FEC8E">
      <w:pPr>
        <w:widowControl w:val="0"/>
        <w:snapToGrid w:val="0"/>
        <w:spacing w:line="360" w:lineRule="auto"/>
        <w:rPr>
          <w:rFonts w:ascii="宋体" w:hAnsi="宋体" w:cs="宋体"/>
          <w:b/>
          <w:bCs/>
        </w:rPr>
      </w:pPr>
      <w:r>
        <w:rPr>
          <w:rFonts w:hint="eastAsia" w:ascii="宋体" w:hAnsi="宋体" w:cs="宋体"/>
          <w:b/>
          <w:bCs/>
        </w:rPr>
        <w:t>32、投标过程的保密性</w:t>
      </w:r>
    </w:p>
    <w:p w14:paraId="331C724D">
      <w:pPr>
        <w:widowControl w:val="0"/>
        <w:snapToGrid w:val="0"/>
        <w:spacing w:line="360" w:lineRule="auto"/>
        <w:ind w:firstLine="480" w:firstLineChars="200"/>
        <w:rPr>
          <w:rFonts w:ascii="宋体" w:hAnsi="宋体" w:cs="宋体"/>
        </w:rPr>
      </w:pPr>
      <w:r>
        <w:rPr>
          <w:rFonts w:hint="eastAsia" w:ascii="宋体" w:hAnsi="宋体" w:cs="宋体"/>
        </w:rPr>
        <w:t>32.1 有关投标文件的审查、澄清、评估和比较以及有关授予合同意向的一切情况都不得透露给任一磋商申请人或与上述投标工作无关的人员。</w:t>
      </w:r>
    </w:p>
    <w:p w14:paraId="2CF7EB31">
      <w:pPr>
        <w:widowControl w:val="0"/>
        <w:snapToGrid w:val="0"/>
        <w:spacing w:line="360" w:lineRule="auto"/>
        <w:ind w:firstLine="480" w:firstLineChars="200"/>
        <w:rPr>
          <w:rFonts w:ascii="宋体" w:hAnsi="宋体" w:cs="宋体"/>
        </w:rPr>
      </w:pPr>
      <w:r>
        <w:rPr>
          <w:rFonts w:hint="eastAsia" w:ascii="宋体" w:hAnsi="宋体" w:cs="宋体"/>
        </w:rPr>
        <w:t>32.2 磋商申请人不得干扰采购单位的评标活动，否则将其投标将被拒绝。</w:t>
      </w:r>
    </w:p>
    <w:p w14:paraId="1A97E823">
      <w:pPr>
        <w:widowControl w:val="0"/>
        <w:snapToGrid w:val="0"/>
        <w:spacing w:line="360" w:lineRule="auto"/>
        <w:ind w:firstLine="480" w:firstLineChars="200"/>
        <w:rPr>
          <w:rFonts w:ascii="宋体" w:hAnsi="宋体" w:cs="宋体"/>
        </w:rPr>
      </w:pPr>
      <w:r>
        <w:rPr>
          <w:rFonts w:hint="eastAsia" w:ascii="宋体" w:hAnsi="宋体" w:cs="宋体"/>
        </w:rPr>
        <w:t>32.3 在投标过程中，如果磋商申请人试图在投标文件审查、澄清、比较及授予合同方面向采购单位施加任何影响，其投标将被拒绝。</w:t>
      </w:r>
    </w:p>
    <w:p w14:paraId="210DD1D5">
      <w:pPr>
        <w:widowControl w:val="0"/>
        <w:numPr>
          <w:ilvl w:val="0"/>
          <w:numId w:val="9"/>
        </w:numPr>
        <w:snapToGrid w:val="0"/>
        <w:spacing w:line="360" w:lineRule="auto"/>
        <w:rPr>
          <w:rFonts w:ascii="宋体" w:hAnsi="宋体" w:cs="宋体"/>
          <w:b/>
          <w:bCs/>
        </w:rPr>
      </w:pPr>
      <w:r>
        <w:rPr>
          <w:rFonts w:hint="eastAsia" w:ascii="宋体" w:hAnsi="宋体" w:cs="宋体"/>
          <w:b/>
          <w:bCs/>
        </w:rPr>
        <w:t>中标通知书</w:t>
      </w:r>
    </w:p>
    <w:p w14:paraId="6BD08C2A">
      <w:pPr>
        <w:widowControl w:val="0"/>
        <w:snapToGrid w:val="0"/>
        <w:spacing w:line="360" w:lineRule="auto"/>
        <w:ind w:firstLine="480" w:firstLineChars="200"/>
        <w:rPr>
          <w:rFonts w:ascii="宋体" w:hAnsi="宋体" w:cs="宋体"/>
        </w:rPr>
      </w:pPr>
      <w:r>
        <w:rPr>
          <w:rFonts w:hint="eastAsia" w:ascii="宋体" w:hAnsi="宋体" w:cs="宋体"/>
        </w:rPr>
        <w:t>33.1 评标结束确定中标单位后，招标代理机构将在云南省政府采购网公示中标结果，公示期为</w:t>
      </w:r>
      <w:r>
        <w:rPr>
          <w:rFonts w:hint="eastAsia" w:ascii="宋体" w:hAnsi="宋体" w:cs="宋体"/>
          <w:u w:val="single"/>
        </w:rPr>
        <w:t>1</w:t>
      </w:r>
      <w:r>
        <w:rPr>
          <w:rFonts w:hint="eastAsia" w:ascii="宋体" w:hAnsi="宋体" w:cs="宋体"/>
        </w:rPr>
        <w:t>个工作日。公示期满后，采购单位将在投标有效期内以书面形式向中标人发出成交通知书。</w:t>
      </w:r>
    </w:p>
    <w:p w14:paraId="4F247DD1">
      <w:pPr>
        <w:widowControl w:val="0"/>
        <w:snapToGrid w:val="0"/>
        <w:spacing w:line="360" w:lineRule="auto"/>
        <w:ind w:left="480" w:leftChars="200"/>
        <w:rPr>
          <w:rFonts w:ascii="宋体" w:hAnsi="宋体" w:cs="宋体"/>
        </w:rPr>
      </w:pPr>
      <w:r>
        <w:rPr>
          <w:rFonts w:hint="eastAsia" w:ascii="宋体" w:hAnsi="宋体" w:cs="宋体"/>
        </w:rPr>
        <w:t>33.2 采购单位无须向落标方解释落标原因，不退还投标文件。</w:t>
      </w:r>
    </w:p>
    <w:p w14:paraId="50799D9A">
      <w:pPr>
        <w:widowControl w:val="0"/>
        <w:snapToGrid w:val="0"/>
        <w:spacing w:line="360" w:lineRule="auto"/>
        <w:ind w:left="480" w:leftChars="200"/>
        <w:rPr>
          <w:rFonts w:ascii="宋体" w:hAnsi="宋体" w:cs="宋体"/>
        </w:rPr>
      </w:pPr>
      <w:r>
        <w:rPr>
          <w:rFonts w:hint="eastAsia" w:ascii="宋体" w:hAnsi="宋体" w:cs="宋体"/>
        </w:rPr>
        <w:t>33.3《成交通知书》将作为合同的一个组成部分。</w:t>
      </w:r>
    </w:p>
    <w:p w14:paraId="439EDFAC">
      <w:pPr>
        <w:widowControl w:val="0"/>
        <w:snapToGrid w:val="0"/>
        <w:spacing w:line="360" w:lineRule="auto"/>
        <w:rPr>
          <w:rFonts w:ascii="宋体" w:hAnsi="宋体" w:cs="宋体"/>
          <w:b/>
          <w:bCs/>
        </w:rPr>
      </w:pPr>
      <w:r>
        <w:rPr>
          <w:rFonts w:hint="eastAsia" w:ascii="宋体" w:hAnsi="宋体" w:cs="宋体"/>
          <w:b/>
          <w:bCs/>
        </w:rPr>
        <w:t>34、签订合同</w:t>
      </w:r>
    </w:p>
    <w:p w14:paraId="11B66430">
      <w:pPr>
        <w:widowControl w:val="0"/>
        <w:snapToGrid w:val="0"/>
        <w:spacing w:line="360" w:lineRule="auto"/>
        <w:ind w:firstLine="480" w:firstLineChars="200"/>
        <w:rPr>
          <w:rFonts w:ascii="宋体" w:hAnsi="宋体" w:cs="宋体"/>
        </w:rPr>
      </w:pPr>
      <w:r>
        <w:rPr>
          <w:rFonts w:hint="eastAsia" w:ascii="宋体" w:hAnsi="宋体" w:cs="宋体"/>
        </w:rPr>
        <w:t>34.1中标人按《成交通知书》指定的时间、地点与采购单位进行合同谈判并签订合同。</w:t>
      </w:r>
    </w:p>
    <w:p w14:paraId="4032F42E">
      <w:pPr>
        <w:widowControl w:val="0"/>
        <w:snapToGrid w:val="0"/>
        <w:spacing w:line="360" w:lineRule="auto"/>
        <w:ind w:firstLine="480" w:firstLineChars="200"/>
        <w:rPr>
          <w:rFonts w:ascii="宋体" w:hAnsi="宋体" w:cs="宋体"/>
        </w:rPr>
      </w:pPr>
      <w:r>
        <w:rPr>
          <w:rFonts w:hint="eastAsia" w:ascii="宋体" w:hAnsi="宋体" w:cs="宋体"/>
        </w:rPr>
        <w:t>34.2 竞争性磋商文件、中标人的投标文件及其澄清文件等均为合同的组成部分。</w:t>
      </w:r>
    </w:p>
    <w:p w14:paraId="72044BAF">
      <w:pPr>
        <w:widowControl w:val="0"/>
        <w:snapToGrid w:val="0"/>
        <w:spacing w:line="360" w:lineRule="auto"/>
        <w:ind w:firstLine="480" w:firstLineChars="200"/>
        <w:rPr>
          <w:rFonts w:ascii="宋体" w:hAnsi="宋体" w:cs="宋体"/>
        </w:rPr>
      </w:pPr>
      <w:r>
        <w:rPr>
          <w:rFonts w:hint="eastAsia" w:ascii="宋体" w:hAnsi="宋体" w:cs="宋体"/>
        </w:rPr>
        <w:t>34.3 在合同中应注明中标供货商的投标报价应是竞争性磋商文件中提到的所有费用（包括意外伤害险）及应注明在合同实施过程中由于中标供人的原因发生的安全事故均由中标人自行承担。</w:t>
      </w:r>
    </w:p>
    <w:p w14:paraId="6910FF77">
      <w:pPr>
        <w:widowControl w:val="0"/>
        <w:snapToGrid w:val="0"/>
        <w:spacing w:line="360" w:lineRule="auto"/>
        <w:ind w:firstLine="480" w:firstLineChars="200"/>
        <w:rPr>
          <w:rFonts w:ascii="宋体" w:hAnsi="宋体" w:cs="宋体"/>
        </w:rPr>
      </w:pPr>
      <w:r>
        <w:rPr>
          <w:rFonts w:hint="eastAsia" w:ascii="宋体" w:hAnsi="宋体" w:cs="宋体"/>
        </w:rPr>
        <w:t>34.4</w:t>
      </w:r>
      <w:r>
        <w:rPr>
          <w:rFonts w:hint="eastAsia" w:ascii="宋体" w:hAnsi="宋体"/>
          <w:szCs w:val="21"/>
        </w:rPr>
        <w:t>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r>
        <w:rPr>
          <w:rFonts w:hint="eastAsia" w:ascii="宋体" w:hAnsi="宋体" w:cs="宋体"/>
        </w:rPr>
        <w:t xml:space="preserve"> </w:t>
      </w:r>
    </w:p>
    <w:p w14:paraId="3A902305">
      <w:pPr>
        <w:widowControl w:val="0"/>
        <w:snapToGrid w:val="0"/>
        <w:spacing w:line="360" w:lineRule="auto"/>
        <w:rPr>
          <w:rFonts w:ascii="宋体" w:hAnsi="宋体" w:cs="宋体"/>
          <w:b/>
          <w:bCs/>
        </w:rPr>
      </w:pPr>
    </w:p>
    <w:p w14:paraId="4383D27F">
      <w:pPr>
        <w:widowControl w:val="0"/>
        <w:snapToGrid w:val="0"/>
        <w:spacing w:line="360" w:lineRule="auto"/>
        <w:rPr>
          <w:rFonts w:ascii="宋体" w:hAnsi="宋体" w:cs="宋体"/>
          <w:b/>
          <w:bCs/>
        </w:rPr>
      </w:pPr>
      <w:bookmarkStart w:id="59" w:name="_Toc128484658"/>
      <w:bookmarkStart w:id="60" w:name="_Toc128473854"/>
      <w:bookmarkStart w:id="61" w:name="_Toc329810215"/>
      <w:bookmarkStart w:id="62" w:name="_Toc128484589"/>
      <w:bookmarkStart w:id="63" w:name="_Toc508009732"/>
      <w:bookmarkStart w:id="64" w:name="_Toc508009594"/>
      <w:bookmarkStart w:id="65" w:name="_Toc384279676"/>
      <w:r>
        <w:rPr>
          <w:rFonts w:hint="eastAsia" w:ascii="宋体" w:hAnsi="宋体" w:cs="宋体"/>
          <w:b/>
          <w:bCs/>
        </w:rPr>
        <w:t>35.质疑和投诉</w:t>
      </w:r>
      <w:bookmarkEnd w:id="59"/>
      <w:bookmarkEnd w:id="60"/>
      <w:bookmarkEnd w:id="61"/>
      <w:bookmarkEnd w:id="62"/>
      <w:bookmarkEnd w:id="63"/>
      <w:bookmarkEnd w:id="64"/>
      <w:bookmarkEnd w:id="65"/>
    </w:p>
    <w:p w14:paraId="4273005B">
      <w:pPr>
        <w:tabs>
          <w:tab w:val="left" w:pos="1070"/>
        </w:tabs>
        <w:spacing w:line="360" w:lineRule="auto"/>
        <w:ind w:firstLine="484" w:firstLineChars="202"/>
        <w:rPr>
          <w:rFonts w:ascii="宋体" w:hAnsi="宋体"/>
          <w:szCs w:val="21"/>
        </w:rPr>
      </w:pPr>
      <w:r>
        <w:rPr>
          <w:rFonts w:hint="eastAsia" w:ascii="宋体" w:hAnsi="宋体"/>
          <w:szCs w:val="21"/>
        </w:rPr>
        <w:t>35</w:t>
      </w:r>
      <w:r>
        <w:rPr>
          <w:rFonts w:ascii="宋体" w:hAnsi="宋体"/>
          <w:szCs w:val="21"/>
        </w:rPr>
        <w:t>.1</w:t>
      </w:r>
      <w:r>
        <w:rPr>
          <w:rFonts w:hint="eastAsia" w:ascii="宋体" w:hAnsi="宋体"/>
          <w:szCs w:val="21"/>
        </w:rPr>
        <w:t>质疑</w:t>
      </w:r>
    </w:p>
    <w:p w14:paraId="4C929501">
      <w:pPr>
        <w:tabs>
          <w:tab w:val="left" w:pos="1070"/>
        </w:tabs>
        <w:spacing w:line="360" w:lineRule="auto"/>
        <w:ind w:firstLine="484" w:firstLineChars="202"/>
        <w:rPr>
          <w:rFonts w:ascii="宋体" w:hAnsi="宋体"/>
          <w:szCs w:val="21"/>
        </w:rPr>
      </w:pPr>
      <w:r>
        <w:rPr>
          <w:rFonts w:hint="eastAsia" w:ascii="宋体" w:hAnsi="宋体"/>
          <w:szCs w:val="21"/>
        </w:rPr>
        <w:t>35</w:t>
      </w:r>
      <w:r>
        <w:rPr>
          <w:rFonts w:ascii="宋体" w:hAnsi="宋体"/>
          <w:szCs w:val="21"/>
        </w:rPr>
        <w:t>.1.1</w:t>
      </w:r>
      <w:r>
        <w:rPr>
          <w:rFonts w:hint="eastAsia" w:ascii="宋体" w:hAnsi="宋体"/>
          <w:szCs w:val="21"/>
        </w:rPr>
        <w:t>供应商</w:t>
      </w:r>
      <w:r>
        <w:rPr>
          <w:rFonts w:ascii="宋体" w:hAnsi="宋体"/>
          <w:szCs w:val="21"/>
        </w:rPr>
        <w:t>认为</w:t>
      </w:r>
      <w:r>
        <w:rPr>
          <w:rFonts w:hint="eastAsia" w:ascii="宋体" w:hAnsi="宋体"/>
          <w:szCs w:val="21"/>
        </w:rPr>
        <w:t>磋商</w:t>
      </w:r>
      <w:r>
        <w:rPr>
          <w:rFonts w:ascii="宋体" w:hAnsi="宋体"/>
          <w:szCs w:val="21"/>
        </w:rPr>
        <w:t>文件、</w:t>
      </w:r>
      <w:r>
        <w:rPr>
          <w:rFonts w:hint="eastAsia" w:ascii="宋体" w:hAnsi="宋体"/>
          <w:szCs w:val="21"/>
        </w:rPr>
        <w:t>采购</w:t>
      </w:r>
      <w:r>
        <w:rPr>
          <w:rFonts w:ascii="宋体" w:hAnsi="宋体"/>
          <w:szCs w:val="21"/>
        </w:rPr>
        <w:t>过程和</w:t>
      </w:r>
      <w:r>
        <w:rPr>
          <w:rFonts w:hint="eastAsia" w:ascii="宋体" w:hAnsi="宋体"/>
          <w:szCs w:val="21"/>
        </w:rPr>
        <w:t>成交</w:t>
      </w:r>
      <w:r>
        <w:rPr>
          <w:rFonts w:ascii="宋体" w:hAnsi="宋体"/>
          <w:szCs w:val="21"/>
        </w:rPr>
        <w:t>结果使自己的权益受到损害的，应当在知道或者应知其权益受到损害之日起</w:t>
      </w:r>
      <w:r>
        <w:rPr>
          <w:rFonts w:hint="eastAsia" w:ascii="宋体" w:hAnsi="宋体"/>
          <w:szCs w:val="21"/>
        </w:rPr>
        <w:t>7</w:t>
      </w:r>
      <w:r>
        <w:rPr>
          <w:rFonts w:ascii="宋体" w:hAnsi="宋体"/>
          <w:szCs w:val="21"/>
        </w:rPr>
        <w:t>个工作日内，以书面形式向</w:t>
      </w:r>
      <w:r>
        <w:rPr>
          <w:rFonts w:hint="eastAsia" w:ascii="宋体" w:hAnsi="宋体"/>
          <w:szCs w:val="21"/>
        </w:rPr>
        <w:t>采购代理机构一次性提出针对同一采购程序环节的质疑</w:t>
      </w:r>
      <w:r>
        <w:rPr>
          <w:rFonts w:ascii="宋体" w:hAnsi="宋体"/>
          <w:szCs w:val="21"/>
        </w:rPr>
        <w:t>。质疑内容不得含有虚假、恶意成分。当事人对自己提出的主张，有责任提供证据，提出质疑时</w:t>
      </w:r>
      <w:r>
        <w:rPr>
          <w:rFonts w:hint="eastAsia" w:ascii="宋体" w:hAnsi="宋体"/>
          <w:szCs w:val="21"/>
        </w:rPr>
        <w:t>应</w:t>
      </w:r>
      <w:r>
        <w:rPr>
          <w:rFonts w:ascii="宋体" w:hAnsi="宋体"/>
          <w:szCs w:val="21"/>
        </w:rPr>
        <w:t>同时提交相关证据材料和注明事实的确切来源。</w:t>
      </w:r>
    </w:p>
    <w:p w14:paraId="6809A85A">
      <w:pPr>
        <w:tabs>
          <w:tab w:val="left" w:pos="1070"/>
        </w:tabs>
        <w:spacing w:line="360" w:lineRule="auto"/>
        <w:ind w:firstLine="484" w:firstLineChars="202"/>
        <w:rPr>
          <w:rFonts w:ascii="宋体" w:hAnsi="宋体"/>
          <w:szCs w:val="21"/>
        </w:rPr>
      </w:pPr>
      <w:r>
        <w:rPr>
          <w:rFonts w:hint="eastAsia" w:ascii="宋体" w:hAnsi="宋体"/>
          <w:szCs w:val="21"/>
        </w:rPr>
        <w:t>35</w:t>
      </w:r>
      <w:r>
        <w:rPr>
          <w:rFonts w:ascii="宋体" w:hAnsi="宋体"/>
          <w:szCs w:val="21"/>
        </w:rPr>
        <w:t>.1</w:t>
      </w:r>
      <w:r>
        <w:rPr>
          <w:rFonts w:hint="eastAsia" w:ascii="宋体" w:hAnsi="宋体"/>
          <w:szCs w:val="21"/>
        </w:rPr>
        <w:t>.2供应商应知其权益受到损害之日，是指：</w:t>
      </w:r>
    </w:p>
    <w:p w14:paraId="19D95A6B">
      <w:pPr>
        <w:tabs>
          <w:tab w:val="left" w:pos="1070"/>
        </w:tabs>
        <w:spacing w:line="360" w:lineRule="auto"/>
        <w:ind w:firstLine="484" w:firstLineChars="202"/>
        <w:rPr>
          <w:rFonts w:ascii="宋体" w:hAnsi="宋体"/>
          <w:szCs w:val="21"/>
        </w:rPr>
      </w:pPr>
      <w:r>
        <w:rPr>
          <w:rFonts w:hint="eastAsia" w:ascii="宋体" w:hAnsi="宋体"/>
          <w:szCs w:val="21"/>
        </w:rPr>
        <w:t>（1）对可以质疑的采购文件提出质疑的，为供应商获取采购文件之日；</w:t>
      </w:r>
    </w:p>
    <w:p w14:paraId="1D6791F1">
      <w:pPr>
        <w:tabs>
          <w:tab w:val="left" w:pos="1070"/>
        </w:tabs>
        <w:spacing w:line="360" w:lineRule="auto"/>
        <w:ind w:firstLine="484" w:firstLineChars="202"/>
        <w:rPr>
          <w:rFonts w:ascii="宋体" w:hAnsi="宋体"/>
          <w:szCs w:val="21"/>
        </w:rPr>
      </w:pPr>
      <w:r>
        <w:rPr>
          <w:rFonts w:hint="eastAsia" w:ascii="宋体" w:hAnsi="宋体"/>
          <w:szCs w:val="21"/>
        </w:rPr>
        <w:t>（2）对采购过程提出质疑的，为各采购程序环节结束之日；</w:t>
      </w:r>
    </w:p>
    <w:p w14:paraId="01270822">
      <w:pPr>
        <w:tabs>
          <w:tab w:val="left" w:pos="1070"/>
        </w:tabs>
        <w:spacing w:line="360" w:lineRule="auto"/>
        <w:ind w:firstLine="484" w:firstLineChars="202"/>
        <w:rPr>
          <w:rFonts w:ascii="宋体" w:hAnsi="宋体"/>
          <w:szCs w:val="21"/>
        </w:rPr>
      </w:pPr>
      <w:r>
        <w:rPr>
          <w:rFonts w:hint="eastAsia" w:ascii="宋体" w:hAnsi="宋体"/>
          <w:szCs w:val="21"/>
        </w:rPr>
        <w:t>（3）对成交结果提出质疑的，为成交结果公告期限届满之日。</w:t>
      </w:r>
    </w:p>
    <w:p w14:paraId="071DB590">
      <w:pPr>
        <w:tabs>
          <w:tab w:val="left" w:pos="1070"/>
        </w:tabs>
        <w:spacing w:line="360" w:lineRule="auto"/>
        <w:ind w:firstLine="487" w:firstLineChars="202"/>
        <w:rPr>
          <w:rFonts w:ascii="宋体" w:hAnsi="宋体"/>
          <w:b/>
          <w:szCs w:val="21"/>
        </w:rPr>
      </w:pPr>
      <w:r>
        <w:rPr>
          <w:rFonts w:hint="eastAsia" w:ascii="宋体" w:hAnsi="宋体"/>
          <w:b/>
          <w:szCs w:val="21"/>
        </w:rPr>
        <w:t>35</w:t>
      </w:r>
      <w:r>
        <w:rPr>
          <w:rFonts w:ascii="宋体" w:hAnsi="宋体"/>
          <w:b/>
          <w:szCs w:val="21"/>
        </w:rPr>
        <w:t>.1</w:t>
      </w:r>
      <w:r>
        <w:rPr>
          <w:rFonts w:hint="eastAsia" w:ascii="宋体" w:hAnsi="宋体"/>
          <w:b/>
          <w:szCs w:val="21"/>
        </w:rPr>
        <w:t>.</w:t>
      </w:r>
      <w:r>
        <w:rPr>
          <w:rFonts w:ascii="宋体" w:hAnsi="宋体"/>
          <w:b/>
          <w:szCs w:val="21"/>
        </w:rPr>
        <w:t>3</w:t>
      </w:r>
      <w:r>
        <w:rPr>
          <w:rFonts w:hint="eastAsia" w:ascii="宋体" w:hAnsi="宋体"/>
          <w:b/>
          <w:szCs w:val="21"/>
        </w:rPr>
        <w:t>供应商提出质疑应符合中华人民共和国财政部第94号令《政府采购质疑和投诉办法》的规定。提出质疑应当提交质疑函和必要的证明材料。质疑函应当包括下列内容：</w:t>
      </w:r>
    </w:p>
    <w:p w14:paraId="656ABCF7">
      <w:pPr>
        <w:tabs>
          <w:tab w:val="left" w:pos="1070"/>
        </w:tabs>
        <w:spacing w:line="360" w:lineRule="auto"/>
        <w:ind w:firstLine="484" w:firstLineChars="202"/>
        <w:rPr>
          <w:rFonts w:ascii="宋体" w:hAnsi="宋体"/>
          <w:szCs w:val="21"/>
        </w:rPr>
      </w:pPr>
      <w:r>
        <w:rPr>
          <w:rFonts w:ascii="宋体" w:hAnsi="宋体"/>
          <w:szCs w:val="21"/>
        </w:rPr>
        <w:t>（1）</w:t>
      </w:r>
      <w:r>
        <w:rPr>
          <w:rFonts w:hint="eastAsia" w:ascii="宋体" w:hAnsi="宋体"/>
          <w:szCs w:val="21"/>
        </w:rPr>
        <w:t>供应商名称、地址、邮编、联系人及联系电话</w:t>
      </w:r>
      <w:r>
        <w:rPr>
          <w:rFonts w:ascii="宋体" w:hAnsi="宋体"/>
          <w:szCs w:val="21"/>
        </w:rPr>
        <w:t>；</w:t>
      </w:r>
    </w:p>
    <w:p w14:paraId="1B7431BF">
      <w:pPr>
        <w:tabs>
          <w:tab w:val="left" w:pos="1070"/>
        </w:tabs>
        <w:spacing w:line="360" w:lineRule="auto"/>
        <w:ind w:firstLine="484" w:firstLineChars="202"/>
        <w:rPr>
          <w:rFonts w:ascii="宋体" w:hAnsi="宋体"/>
          <w:szCs w:val="21"/>
        </w:rPr>
      </w:pPr>
      <w:r>
        <w:rPr>
          <w:rFonts w:ascii="宋体" w:hAnsi="宋体"/>
          <w:szCs w:val="21"/>
        </w:rPr>
        <w:t>（2）</w:t>
      </w:r>
      <w:r>
        <w:rPr>
          <w:rFonts w:hint="eastAsia" w:ascii="宋体" w:hAnsi="宋体"/>
          <w:szCs w:val="21"/>
        </w:rPr>
        <w:t>质疑项目的名称、编号</w:t>
      </w:r>
      <w:r>
        <w:rPr>
          <w:rFonts w:ascii="宋体" w:hAnsi="宋体"/>
          <w:szCs w:val="21"/>
        </w:rPr>
        <w:t>；</w:t>
      </w:r>
    </w:p>
    <w:p w14:paraId="09D42418">
      <w:pPr>
        <w:tabs>
          <w:tab w:val="left" w:pos="1070"/>
        </w:tabs>
        <w:spacing w:line="360" w:lineRule="auto"/>
        <w:ind w:firstLine="484" w:firstLineChars="202"/>
        <w:rPr>
          <w:rFonts w:ascii="宋体" w:hAnsi="宋体"/>
          <w:szCs w:val="21"/>
        </w:rPr>
      </w:pPr>
      <w:r>
        <w:rPr>
          <w:rFonts w:ascii="宋体" w:hAnsi="宋体"/>
          <w:szCs w:val="21"/>
        </w:rPr>
        <w:t>（3）</w:t>
      </w:r>
      <w:r>
        <w:rPr>
          <w:rFonts w:hint="eastAsia" w:ascii="宋体" w:hAnsi="宋体"/>
          <w:szCs w:val="21"/>
        </w:rPr>
        <w:t>具体、明确的质疑事项和与质疑事项相关的请求</w:t>
      </w:r>
      <w:r>
        <w:rPr>
          <w:rFonts w:ascii="宋体" w:hAnsi="宋体"/>
          <w:szCs w:val="21"/>
        </w:rPr>
        <w:t>；</w:t>
      </w:r>
    </w:p>
    <w:p w14:paraId="5EA8BDEE">
      <w:pPr>
        <w:tabs>
          <w:tab w:val="left" w:pos="1070"/>
        </w:tabs>
        <w:spacing w:line="360" w:lineRule="auto"/>
        <w:ind w:firstLine="484" w:firstLineChars="202"/>
        <w:rPr>
          <w:rFonts w:ascii="宋体" w:hAnsi="宋体"/>
          <w:szCs w:val="21"/>
        </w:rPr>
      </w:pPr>
      <w:r>
        <w:rPr>
          <w:rFonts w:ascii="宋体" w:hAnsi="宋体"/>
          <w:szCs w:val="21"/>
        </w:rPr>
        <w:t>（4）</w:t>
      </w:r>
      <w:r>
        <w:rPr>
          <w:rFonts w:hint="eastAsia" w:ascii="宋体" w:hAnsi="宋体"/>
          <w:szCs w:val="21"/>
        </w:rPr>
        <w:t>事实依据</w:t>
      </w:r>
      <w:r>
        <w:rPr>
          <w:rFonts w:ascii="宋体" w:hAnsi="宋体"/>
          <w:szCs w:val="21"/>
        </w:rPr>
        <w:t>；</w:t>
      </w:r>
    </w:p>
    <w:p w14:paraId="24CE338C">
      <w:pPr>
        <w:tabs>
          <w:tab w:val="left" w:pos="1070"/>
        </w:tabs>
        <w:spacing w:line="360" w:lineRule="auto"/>
        <w:ind w:firstLine="484" w:firstLineChars="202"/>
        <w:rPr>
          <w:rFonts w:ascii="宋体" w:hAnsi="宋体"/>
          <w:szCs w:val="21"/>
        </w:rPr>
      </w:pPr>
      <w:r>
        <w:rPr>
          <w:rFonts w:ascii="宋体" w:hAnsi="宋体"/>
          <w:szCs w:val="21"/>
        </w:rPr>
        <w:t>（5）</w:t>
      </w:r>
      <w:r>
        <w:rPr>
          <w:rFonts w:hint="eastAsia" w:ascii="宋体" w:hAnsi="宋体"/>
          <w:szCs w:val="21"/>
        </w:rPr>
        <w:t>必要的法律依据</w:t>
      </w:r>
      <w:r>
        <w:rPr>
          <w:rFonts w:ascii="宋体" w:hAnsi="宋体"/>
          <w:szCs w:val="21"/>
        </w:rPr>
        <w:t>；</w:t>
      </w:r>
    </w:p>
    <w:p w14:paraId="6F47D40E">
      <w:pPr>
        <w:tabs>
          <w:tab w:val="left" w:pos="1070"/>
        </w:tabs>
        <w:spacing w:line="360" w:lineRule="auto"/>
        <w:ind w:firstLine="484" w:firstLineChars="202"/>
        <w:rPr>
          <w:rFonts w:ascii="宋体" w:hAnsi="宋体"/>
          <w:szCs w:val="21"/>
        </w:rPr>
      </w:pPr>
      <w:r>
        <w:rPr>
          <w:rFonts w:ascii="宋体" w:hAnsi="宋体"/>
          <w:szCs w:val="21"/>
        </w:rPr>
        <w:t>（6）</w:t>
      </w:r>
      <w:r>
        <w:rPr>
          <w:rFonts w:hint="eastAsia" w:ascii="宋体" w:hAnsi="宋体"/>
          <w:szCs w:val="21"/>
        </w:rPr>
        <w:t>提出质疑的日期</w:t>
      </w:r>
      <w:r>
        <w:rPr>
          <w:rFonts w:ascii="宋体" w:hAnsi="宋体"/>
          <w:szCs w:val="21"/>
        </w:rPr>
        <w:t>。</w:t>
      </w:r>
    </w:p>
    <w:p w14:paraId="30562969">
      <w:pPr>
        <w:tabs>
          <w:tab w:val="left" w:pos="1070"/>
        </w:tabs>
        <w:spacing w:line="360" w:lineRule="auto"/>
        <w:ind w:firstLine="484" w:firstLineChars="202"/>
        <w:rPr>
          <w:rFonts w:ascii="宋体" w:hAnsi="宋体"/>
          <w:szCs w:val="21"/>
        </w:rPr>
      </w:pPr>
      <w:r>
        <w:rPr>
          <w:rFonts w:hint="eastAsia" w:ascii="宋体" w:hAnsi="宋体"/>
          <w:szCs w:val="21"/>
        </w:rPr>
        <w:t>35.1.4</w:t>
      </w:r>
      <w:r>
        <w:rPr>
          <w:rFonts w:ascii="宋体" w:hAnsi="宋体"/>
          <w:szCs w:val="21"/>
        </w:rPr>
        <w:t>质疑函应当由</w:t>
      </w:r>
      <w:r>
        <w:rPr>
          <w:rFonts w:hint="eastAsia" w:ascii="宋体" w:hAnsi="宋体"/>
          <w:szCs w:val="21"/>
        </w:rPr>
        <w:t>供应商</w:t>
      </w:r>
      <w:r>
        <w:rPr>
          <w:rFonts w:ascii="宋体" w:hAnsi="宋体"/>
          <w:szCs w:val="21"/>
        </w:rPr>
        <w:t>的法定代表人、主要负责人，或者其授权代表签字或者盖章，并加盖公章</w:t>
      </w:r>
      <w:r>
        <w:rPr>
          <w:rFonts w:hint="eastAsia" w:ascii="宋体" w:hAnsi="宋体"/>
          <w:szCs w:val="21"/>
        </w:rPr>
        <w:t>。</w:t>
      </w:r>
      <w:r>
        <w:rPr>
          <w:rFonts w:ascii="宋体" w:hAnsi="宋体"/>
          <w:szCs w:val="21"/>
        </w:rPr>
        <w:t>委托代理人进行质疑</w:t>
      </w:r>
      <w:r>
        <w:rPr>
          <w:rFonts w:hint="eastAsia" w:ascii="宋体" w:hAnsi="宋体"/>
          <w:szCs w:val="21"/>
        </w:rPr>
        <w:t>的，</w:t>
      </w:r>
      <w:r>
        <w:rPr>
          <w:rFonts w:ascii="宋体" w:hAnsi="宋体"/>
          <w:szCs w:val="21"/>
        </w:rPr>
        <w:t>应当提交</w:t>
      </w:r>
      <w:r>
        <w:rPr>
          <w:rFonts w:hint="eastAsia" w:ascii="宋体" w:hAnsi="宋体"/>
          <w:szCs w:val="21"/>
        </w:rPr>
        <w:t>投标人</w:t>
      </w:r>
      <w:r>
        <w:rPr>
          <w:rFonts w:ascii="宋体" w:hAnsi="宋体"/>
          <w:szCs w:val="21"/>
        </w:rPr>
        <w:t>的授权委托书。授权委托书应当载明代理人的姓名或者名称、代理事项、具体权限、期限和相关事项。</w:t>
      </w:r>
      <w:r>
        <w:rPr>
          <w:rFonts w:hint="eastAsia" w:ascii="宋体" w:hAnsi="宋体"/>
          <w:szCs w:val="21"/>
        </w:rPr>
        <w:t>授权委托书</w:t>
      </w:r>
      <w:r>
        <w:rPr>
          <w:rFonts w:ascii="宋体" w:hAnsi="宋体"/>
          <w:szCs w:val="21"/>
        </w:rPr>
        <w:t>应当由法定代表人、主要负责人签字或者盖章，并加盖公章。</w:t>
      </w:r>
    </w:p>
    <w:p w14:paraId="4137C921">
      <w:pPr>
        <w:tabs>
          <w:tab w:val="left" w:pos="1070"/>
        </w:tabs>
        <w:spacing w:line="360" w:lineRule="auto"/>
        <w:ind w:firstLine="484" w:firstLineChars="202"/>
        <w:rPr>
          <w:rFonts w:ascii="宋体" w:hAnsi="宋体"/>
          <w:szCs w:val="21"/>
        </w:rPr>
      </w:pPr>
      <w:r>
        <w:rPr>
          <w:rFonts w:ascii="宋体" w:hAnsi="宋体"/>
          <w:szCs w:val="21"/>
        </w:rPr>
        <w:t>接收质疑函的方式</w:t>
      </w:r>
      <w:r>
        <w:rPr>
          <w:rFonts w:hint="eastAsia" w:ascii="宋体" w:hAnsi="宋体"/>
          <w:szCs w:val="21"/>
        </w:rPr>
        <w:t>：以书面形式递交</w:t>
      </w:r>
      <w:r>
        <w:rPr>
          <w:rFonts w:ascii="宋体" w:hAnsi="宋体"/>
          <w:szCs w:val="21"/>
        </w:rPr>
        <w:t>由法定代表人、主要负责人签字或者盖章，并加盖公章的质疑函</w:t>
      </w:r>
      <w:r>
        <w:rPr>
          <w:rFonts w:hint="eastAsia" w:ascii="宋体" w:hAnsi="宋体"/>
          <w:szCs w:val="21"/>
        </w:rPr>
        <w:t>原件</w:t>
      </w:r>
      <w:r>
        <w:rPr>
          <w:rFonts w:ascii="宋体" w:hAnsi="宋体"/>
          <w:szCs w:val="21"/>
        </w:rPr>
        <w:t>和</w:t>
      </w:r>
      <w:r>
        <w:rPr>
          <w:rFonts w:hint="eastAsia" w:ascii="宋体" w:hAnsi="宋体"/>
          <w:szCs w:val="21"/>
        </w:rPr>
        <w:t>必要的证明材料；邮寄送达的以邮件交邮日期为准。</w:t>
      </w:r>
    </w:p>
    <w:p w14:paraId="015CC3DE">
      <w:pPr>
        <w:spacing w:line="360" w:lineRule="auto"/>
        <w:ind w:firstLine="480" w:firstLineChars="200"/>
        <w:rPr>
          <w:rFonts w:hint="eastAsia" w:ascii="宋体" w:hAnsi="宋体" w:eastAsia="宋体" w:cs="宋体"/>
          <w:lang w:eastAsia="zh-CN"/>
        </w:rPr>
      </w:pPr>
      <w:r>
        <w:rPr>
          <w:rFonts w:hint="eastAsia" w:ascii="宋体" w:hAnsi="宋体" w:cs="宋体"/>
        </w:rPr>
        <w:t>质疑受理部门：</w:t>
      </w:r>
      <w:r>
        <w:rPr>
          <w:rFonts w:hint="eastAsia" w:ascii="宋体" w:hAnsi="宋体" w:cs="宋体"/>
          <w:lang w:eastAsia="zh-CN"/>
        </w:rPr>
        <w:t>云南彬钥工程管理有限公司</w:t>
      </w:r>
    </w:p>
    <w:p w14:paraId="716907E8">
      <w:pPr>
        <w:spacing w:line="360" w:lineRule="auto"/>
        <w:ind w:firstLine="480" w:firstLineChars="200"/>
        <w:rPr>
          <w:rFonts w:ascii="宋体" w:hAnsi="宋体" w:cs="宋体"/>
        </w:rPr>
      </w:pPr>
      <w:r>
        <w:rPr>
          <w:rFonts w:hint="eastAsia" w:ascii="宋体" w:hAnsi="宋体" w:cs="宋体"/>
        </w:rPr>
        <w:t>联系人：</w:t>
      </w:r>
      <w:r>
        <w:rPr>
          <w:rFonts w:hint="eastAsia" w:ascii="宋体" w:hAnsi="宋体" w:cs="宋体"/>
          <w:lang w:val="en-US" w:eastAsia="zh-CN"/>
        </w:rPr>
        <w:t>杨</w:t>
      </w:r>
      <w:r>
        <w:rPr>
          <w:rFonts w:hint="eastAsia" w:ascii="宋体" w:hAnsi="宋体" w:cs="宋体"/>
        </w:rPr>
        <w:t>先生</w:t>
      </w:r>
    </w:p>
    <w:p w14:paraId="15A28496">
      <w:pPr>
        <w:spacing w:line="360" w:lineRule="auto"/>
        <w:ind w:firstLine="480" w:firstLineChars="200"/>
        <w:rPr>
          <w:rFonts w:hint="default" w:ascii="宋体" w:hAnsi="宋体" w:eastAsia="宋体" w:cs="宋体"/>
          <w:lang w:val="en-US" w:eastAsia="zh-CN"/>
        </w:rPr>
      </w:pPr>
      <w:r>
        <w:rPr>
          <w:rFonts w:hint="eastAsia" w:ascii="宋体" w:hAnsi="宋体" w:cs="宋体"/>
        </w:rPr>
        <w:t>电话：</w:t>
      </w:r>
      <w:r>
        <w:rPr>
          <w:rFonts w:hint="eastAsia" w:ascii="宋体" w:hAnsi="宋体" w:cs="宋体"/>
          <w:lang w:val="en-US" w:eastAsia="zh-CN"/>
        </w:rPr>
        <w:t>13466130555</w:t>
      </w:r>
    </w:p>
    <w:p w14:paraId="26A26CEA">
      <w:pPr>
        <w:tabs>
          <w:tab w:val="left" w:pos="1070"/>
        </w:tabs>
        <w:spacing w:line="360" w:lineRule="auto"/>
        <w:ind w:firstLine="484" w:firstLineChars="202"/>
        <w:rPr>
          <w:rFonts w:ascii="宋体" w:hAnsi="宋体"/>
          <w:szCs w:val="21"/>
        </w:rPr>
      </w:pPr>
      <w:r>
        <w:rPr>
          <w:rFonts w:hint="eastAsia" w:ascii="宋体" w:hAnsi="宋体"/>
          <w:szCs w:val="21"/>
        </w:rPr>
        <w:t>35</w:t>
      </w:r>
      <w:r>
        <w:rPr>
          <w:rFonts w:ascii="宋体" w:hAnsi="宋体"/>
          <w:szCs w:val="21"/>
        </w:rPr>
        <w:t>.1</w:t>
      </w:r>
      <w:r>
        <w:rPr>
          <w:rFonts w:hint="eastAsia" w:ascii="宋体" w:hAnsi="宋体"/>
          <w:szCs w:val="21"/>
        </w:rPr>
        <w:t>.</w:t>
      </w:r>
      <w:r>
        <w:rPr>
          <w:rFonts w:ascii="宋体" w:hAnsi="宋体"/>
          <w:szCs w:val="21"/>
        </w:rPr>
        <w:t>5采购代理机构将在收到</w:t>
      </w:r>
      <w:r>
        <w:rPr>
          <w:rFonts w:hint="eastAsia" w:ascii="宋体" w:hAnsi="宋体"/>
          <w:szCs w:val="21"/>
        </w:rPr>
        <w:t>供应商</w:t>
      </w:r>
      <w:r>
        <w:rPr>
          <w:rFonts w:ascii="宋体" w:hAnsi="宋体"/>
          <w:szCs w:val="21"/>
        </w:rPr>
        <w:t>的质疑函后</w:t>
      </w:r>
      <w:r>
        <w:rPr>
          <w:rFonts w:hint="eastAsia" w:ascii="宋体" w:hAnsi="宋体"/>
          <w:szCs w:val="21"/>
        </w:rPr>
        <w:t>7</w:t>
      </w:r>
      <w:r>
        <w:rPr>
          <w:rFonts w:ascii="宋体" w:hAnsi="宋体"/>
          <w:szCs w:val="21"/>
        </w:rPr>
        <w:t>个工作日内</w:t>
      </w:r>
      <w:r>
        <w:rPr>
          <w:rFonts w:hint="eastAsia" w:ascii="宋体" w:hAnsi="宋体"/>
          <w:szCs w:val="21"/>
        </w:rPr>
        <w:t>作</w:t>
      </w:r>
      <w:r>
        <w:rPr>
          <w:rFonts w:ascii="宋体" w:hAnsi="宋体"/>
          <w:szCs w:val="21"/>
        </w:rPr>
        <w:t>出答复，</w:t>
      </w:r>
      <w:r>
        <w:rPr>
          <w:rFonts w:hint="eastAsia" w:ascii="宋体" w:hAnsi="宋体"/>
          <w:szCs w:val="21"/>
        </w:rPr>
        <w:t>并以书面形式通知质疑供应商和其他有关供应商。</w:t>
      </w:r>
    </w:p>
    <w:p w14:paraId="7922B6AD">
      <w:pPr>
        <w:pStyle w:val="4"/>
        <w:tabs>
          <w:tab w:val="left" w:pos="900"/>
          <w:tab w:val="left" w:pos="1070"/>
        </w:tabs>
        <w:ind w:firstLine="480" w:firstLineChars="200"/>
        <w:rPr>
          <w:rFonts w:ascii="宋体" w:hAnsi="宋体" w:eastAsia="宋体" w:cs="宋体"/>
          <w:bCs w:val="0"/>
          <w:kern w:val="0"/>
          <w:szCs w:val="24"/>
          <w:lang w:val="en-US"/>
        </w:rPr>
      </w:pPr>
      <w:bookmarkStart w:id="66" w:name="_Toc216"/>
      <w:bookmarkStart w:id="67" w:name="_Toc21483"/>
      <w:bookmarkStart w:id="68" w:name="_Toc128484590"/>
      <w:bookmarkStart w:id="69" w:name="_Toc28967"/>
      <w:bookmarkStart w:id="70" w:name="_Toc321836357"/>
      <w:bookmarkStart w:id="71" w:name="_Toc128484659"/>
      <w:bookmarkStart w:id="72" w:name="_Toc128473855"/>
      <w:bookmarkStart w:id="73" w:name="_Toc29797"/>
      <w:r>
        <w:rPr>
          <w:rFonts w:hint="eastAsia" w:ascii="宋体" w:hAnsi="宋体" w:eastAsia="宋体" w:cs="宋体"/>
          <w:bCs w:val="0"/>
          <w:kern w:val="0"/>
          <w:szCs w:val="24"/>
          <w:lang w:val="en-US"/>
        </w:rPr>
        <w:t>35.2投诉</w:t>
      </w:r>
      <w:bookmarkEnd w:id="66"/>
      <w:bookmarkEnd w:id="67"/>
      <w:bookmarkEnd w:id="68"/>
      <w:bookmarkEnd w:id="69"/>
      <w:bookmarkEnd w:id="70"/>
      <w:bookmarkEnd w:id="71"/>
      <w:bookmarkEnd w:id="72"/>
      <w:bookmarkEnd w:id="73"/>
    </w:p>
    <w:p w14:paraId="10EFC998">
      <w:pPr>
        <w:tabs>
          <w:tab w:val="left" w:pos="1070"/>
        </w:tabs>
        <w:spacing w:line="360" w:lineRule="auto"/>
        <w:ind w:firstLine="484" w:firstLineChars="202"/>
        <w:rPr>
          <w:rFonts w:ascii="宋体" w:hAnsi="宋体"/>
          <w:szCs w:val="21"/>
        </w:rPr>
      </w:pPr>
      <w:r>
        <w:rPr>
          <w:rFonts w:hint="eastAsia" w:ascii="宋体" w:hAnsi="宋体"/>
          <w:szCs w:val="21"/>
        </w:rPr>
        <w:t>35.</w:t>
      </w:r>
      <w:r>
        <w:rPr>
          <w:rFonts w:ascii="宋体" w:hAnsi="宋体"/>
          <w:szCs w:val="21"/>
        </w:rPr>
        <w:t>2.</w:t>
      </w:r>
      <w:r>
        <w:rPr>
          <w:rFonts w:hint="eastAsia" w:ascii="宋体" w:hAnsi="宋体"/>
          <w:szCs w:val="21"/>
        </w:rPr>
        <w:t>1</w:t>
      </w:r>
      <w:r>
        <w:rPr>
          <w:rFonts w:ascii="宋体" w:hAnsi="宋体"/>
          <w:szCs w:val="21"/>
        </w:rPr>
        <w:t>投诉必须首先经过质疑程序。质疑</w:t>
      </w:r>
      <w:r>
        <w:rPr>
          <w:rFonts w:hint="eastAsia" w:ascii="宋体" w:hAnsi="宋体"/>
          <w:szCs w:val="21"/>
        </w:rPr>
        <w:t>人</w:t>
      </w:r>
      <w:r>
        <w:rPr>
          <w:rFonts w:ascii="宋体" w:hAnsi="宋体"/>
          <w:szCs w:val="21"/>
        </w:rPr>
        <w:t>对采购人、采购代理机构的答复不满意，或者采购人、采购代理机构未在规定的时间内做出答复的，可以在答复期满后</w:t>
      </w:r>
      <w:r>
        <w:rPr>
          <w:rFonts w:hint="eastAsia" w:ascii="宋体" w:hAnsi="宋体"/>
          <w:szCs w:val="21"/>
        </w:rPr>
        <w:t>1</w:t>
      </w:r>
      <w:r>
        <w:rPr>
          <w:rFonts w:ascii="宋体" w:hAnsi="宋体"/>
          <w:szCs w:val="21"/>
        </w:rPr>
        <w:t>5个工作日内书面向</w:t>
      </w:r>
      <w:r>
        <w:rPr>
          <w:rFonts w:hint="eastAsia" w:ascii="宋体" w:hAnsi="宋体"/>
          <w:szCs w:val="21"/>
        </w:rPr>
        <w:t>同</w:t>
      </w:r>
      <w:r>
        <w:rPr>
          <w:rFonts w:ascii="宋体" w:hAnsi="宋体"/>
          <w:szCs w:val="21"/>
        </w:rPr>
        <w:t>级财政部门</w:t>
      </w:r>
      <w:r>
        <w:rPr>
          <w:rFonts w:hint="eastAsia" w:ascii="宋体" w:hAnsi="宋体"/>
          <w:szCs w:val="21"/>
        </w:rPr>
        <w:t>提出</w:t>
      </w:r>
      <w:r>
        <w:rPr>
          <w:rFonts w:ascii="宋体" w:hAnsi="宋体"/>
          <w:szCs w:val="21"/>
        </w:rPr>
        <w:t>投诉。</w:t>
      </w:r>
    </w:p>
    <w:p w14:paraId="2F3143DF">
      <w:pPr>
        <w:widowControl w:val="0"/>
        <w:spacing w:line="470" w:lineRule="exact"/>
        <w:ind w:firstLine="360" w:firstLineChars="150"/>
        <w:rPr>
          <w:rFonts w:ascii="宋体" w:hAnsi="宋体" w:cs="宋体"/>
        </w:rPr>
      </w:pPr>
    </w:p>
    <w:p w14:paraId="74641522">
      <w:pPr>
        <w:widowControl w:val="0"/>
        <w:tabs>
          <w:tab w:val="left" w:pos="0"/>
        </w:tabs>
        <w:snapToGrid w:val="0"/>
        <w:spacing w:line="360" w:lineRule="auto"/>
        <w:rPr>
          <w:rFonts w:ascii="宋体" w:hAnsi="宋体" w:cs="宋体"/>
        </w:rPr>
      </w:pPr>
      <w:r>
        <w:rPr>
          <w:rFonts w:hint="eastAsia" w:ascii="宋体" w:hAnsi="宋体" w:cs="宋体"/>
          <w:b/>
          <w:bCs/>
        </w:rPr>
        <w:t>36、其他事项</w:t>
      </w:r>
    </w:p>
    <w:p w14:paraId="57298F65">
      <w:pPr>
        <w:widowControl w:val="0"/>
        <w:snapToGrid w:val="0"/>
        <w:spacing w:line="360" w:lineRule="auto"/>
        <w:ind w:firstLine="480" w:firstLineChars="200"/>
        <w:rPr>
          <w:rFonts w:ascii="宋体" w:hAnsi="宋体" w:cs="宋体"/>
        </w:rPr>
      </w:pPr>
      <w:r>
        <w:rPr>
          <w:rFonts w:hint="eastAsia" w:ascii="宋体" w:hAnsi="宋体" w:cs="宋体"/>
        </w:rPr>
        <w:t>36.1本竞争性磋商文件是根据《中华人民共和国政府采购法》、《中华人民共和国政府采购法实施条例》、《政府采购货物和服务招标投标管理办法》（中华人民共和国财政部令第87号）、《政府采购质疑和投诉办法》（中华人民共和国财政部令第94号）等有关法律法规编制，解释权属招标代理机构。</w:t>
      </w:r>
    </w:p>
    <w:p w14:paraId="77B66528">
      <w:pPr>
        <w:widowControl w:val="0"/>
        <w:snapToGrid w:val="0"/>
        <w:spacing w:line="300" w:lineRule="auto"/>
        <w:jc w:val="center"/>
        <w:rPr>
          <w:rFonts w:ascii="宋体" w:hAnsi="宋体" w:cs="宋体"/>
        </w:rPr>
      </w:pPr>
    </w:p>
    <w:p w14:paraId="13835F97">
      <w:pPr>
        <w:pStyle w:val="3"/>
        <w:keepLines w:val="0"/>
        <w:pageBreakBefore w:val="0"/>
        <w:widowControl w:val="0"/>
        <w:numPr>
          <w:ilvl w:val="1"/>
          <w:numId w:val="0"/>
        </w:numPr>
        <w:shd w:val="clear"/>
        <w:tabs>
          <w:tab w:val="left" w:pos="596"/>
        </w:tabs>
        <w:kinsoku/>
        <w:wordWrap/>
        <w:topLinePunct w:val="0"/>
        <w:autoSpaceDE/>
        <w:autoSpaceDN/>
        <w:bidi w:val="0"/>
        <w:snapToGrid/>
        <w:spacing w:line="420" w:lineRule="exact"/>
        <w:jc w:val="center"/>
        <w:rPr>
          <w:rFonts w:hint="eastAsia" w:ascii="宋体" w:hAnsi="宋体" w:eastAsia="宋体" w:cs="宋体"/>
          <w:b/>
          <w:bCs w:val="0"/>
          <w:color w:val="auto"/>
          <w:sz w:val="24"/>
          <w:szCs w:val="24"/>
          <w:highlight w:val="none"/>
        </w:rPr>
      </w:pPr>
      <w:bookmarkStart w:id="74" w:name="_Toc17272"/>
      <w:bookmarkStart w:id="75" w:name="_Toc10987"/>
      <w:bookmarkStart w:id="76" w:name="_Toc14084"/>
      <w:r>
        <w:rPr>
          <w:rFonts w:hint="eastAsia" w:ascii="宋体" w:hAnsi="宋体" w:eastAsia="宋体" w:cs="宋体"/>
          <w:b/>
          <w:bCs w:val="0"/>
          <w:color w:val="auto"/>
          <w:sz w:val="24"/>
          <w:szCs w:val="24"/>
          <w:highlight w:val="none"/>
        </w:rPr>
        <w:t>落实政府采购相关政策内容</w:t>
      </w:r>
      <w:bookmarkEnd w:id="74"/>
      <w:bookmarkEnd w:id="75"/>
      <w:bookmarkEnd w:id="76"/>
    </w:p>
    <w:p w14:paraId="286C4D9B">
      <w:pPr>
        <w:pStyle w:val="30"/>
        <w:keepLines w:val="0"/>
        <w:pageBreakBefore w:val="0"/>
        <w:widowControl w:val="0"/>
        <w:shd w:val="clear"/>
        <w:kinsoku/>
        <w:wordWrap/>
        <w:topLinePunct w:val="0"/>
        <w:autoSpaceDE/>
        <w:autoSpaceDN/>
        <w:bidi w:val="0"/>
        <w:snapToGrid/>
        <w:spacing w:line="420" w:lineRule="exac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eastAsia="zh-CN"/>
        </w:rPr>
        <w:t>扶持中小企业政策</w:t>
      </w:r>
    </w:p>
    <w:p w14:paraId="2AB0ADAC">
      <w:pPr>
        <w:keepNext w:val="0"/>
        <w:keepLines w:val="0"/>
        <w:pageBreakBefore w:val="0"/>
        <w:widowControl w:val="0"/>
        <w:shd w:val="clear"/>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根据“国家统计局关于印发《统计上大中小微型企业划分办法（2017）》的通知”，《政府采购促进中小企业发展管理办法》（财库〔2020〕46 号）的规定。 </w:t>
      </w:r>
    </w:p>
    <w:p w14:paraId="40C098ED">
      <w:pPr>
        <w:keepNext w:val="0"/>
        <w:keepLines w:val="0"/>
        <w:pageBreakBefore w:val="0"/>
        <w:widowControl w:val="0"/>
        <w:shd w:val="clear"/>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符合中小企业划分标准； </w:t>
      </w:r>
    </w:p>
    <w:p w14:paraId="34A3708D">
      <w:pPr>
        <w:keepNext w:val="0"/>
        <w:keepLines w:val="0"/>
        <w:pageBreakBefore w:val="0"/>
        <w:widowControl w:val="0"/>
        <w:shd w:val="clear"/>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提供本企业制造的货物、承担的工程或者服务，或者提供其他中小企业制造的货物。本项所称货物不包括使用大型企业注册商标的货物。 </w:t>
      </w:r>
    </w:p>
    <w:p w14:paraId="55262A49">
      <w:pPr>
        <w:keepNext w:val="0"/>
        <w:keepLines w:val="0"/>
        <w:pageBreakBefore w:val="0"/>
        <w:widowControl w:val="0"/>
        <w:shd w:val="clear"/>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请</w:t>
      </w:r>
      <w:r>
        <w:rPr>
          <w:rFonts w:hint="eastAsia" w:ascii="宋体" w:hAnsi="宋体" w:eastAsia="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rPr>
        <w:t>根据“国家统计局关于印发《统计上大中小微型企业划分办法（2017）》的通知</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政府采购促进中小企业发展管理办法》（财库〔2020〕46 号）的规定，提供《中小企业声明函》，未提供的在价格评分时不进行扣除。</w:t>
      </w:r>
      <w:r>
        <w:rPr>
          <w:rFonts w:hint="eastAsia" w:ascii="宋体" w:hAnsi="宋体" w:eastAsia="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rPr>
        <w:t xml:space="preserve">对《中小企业声明函》的真实性负责。 </w:t>
      </w:r>
    </w:p>
    <w:p w14:paraId="4C6DB404">
      <w:pPr>
        <w:keepNext w:val="0"/>
        <w:keepLines w:val="0"/>
        <w:pageBreakBefore w:val="0"/>
        <w:widowControl w:val="0"/>
        <w:shd w:val="clear"/>
        <w:kinsoku/>
        <w:wordWrap/>
        <w:overflowPunct/>
        <w:topLinePunct w:val="0"/>
        <w:bidi w:val="0"/>
        <w:adjustRightInd/>
        <w:snapToGrid/>
        <w:spacing w:line="42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统计上大中小微型企业划分标准</w:t>
      </w:r>
    </w:p>
    <w:tbl>
      <w:tblPr>
        <w:tblStyle w:val="51"/>
        <w:tblW w:w="9156" w:type="dxa"/>
        <w:jc w:val="center"/>
        <w:tblLayout w:type="fixed"/>
        <w:tblCellMar>
          <w:top w:w="0" w:type="dxa"/>
          <w:left w:w="108" w:type="dxa"/>
          <w:bottom w:w="0" w:type="dxa"/>
          <w:right w:w="108" w:type="dxa"/>
        </w:tblCellMar>
      </w:tblPr>
      <w:tblGrid>
        <w:gridCol w:w="2046"/>
        <w:gridCol w:w="1341"/>
        <w:gridCol w:w="602"/>
        <w:gridCol w:w="1110"/>
        <w:gridCol w:w="1727"/>
        <w:gridCol w:w="1429"/>
        <w:gridCol w:w="901"/>
      </w:tblGrid>
      <w:tr w14:paraId="414FABD1">
        <w:tblPrEx>
          <w:tblCellMar>
            <w:top w:w="0" w:type="dxa"/>
            <w:left w:w="108" w:type="dxa"/>
            <w:bottom w:w="0" w:type="dxa"/>
            <w:right w:w="108" w:type="dxa"/>
          </w:tblCellMar>
        </w:tblPrEx>
        <w:trPr>
          <w:trHeight w:val="1250" w:hRule="exact"/>
          <w:jc w:val="center"/>
        </w:trPr>
        <w:tc>
          <w:tcPr>
            <w:tcW w:w="2046" w:type="dxa"/>
            <w:tcBorders>
              <w:top w:val="single" w:color="auto" w:sz="4" w:space="0"/>
              <w:left w:val="nil"/>
              <w:bottom w:val="single" w:color="auto" w:sz="4" w:space="0"/>
              <w:right w:val="single" w:color="auto" w:sz="4" w:space="0"/>
            </w:tcBorders>
            <w:noWrap w:val="0"/>
            <w:vAlign w:val="center"/>
          </w:tcPr>
          <w:p w14:paraId="398F5D5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行业名称</w:t>
            </w:r>
          </w:p>
        </w:tc>
        <w:tc>
          <w:tcPr>
            <w:tcW w:w="1341" w:type="dxa"/>
            <w:tcBorders>
              <w:top w:val="single" w:color="auto" w:sz="4" w:space="0"/>
              <w:left w:val="nil"/>
              <w:bottom w:val="single" w:color="auto" w:sz="4" w:space="0"/>
              <w:right w:val="single" w:color="auto" w:sz="4" w:space="0"/>
            </w:tcBorders>
            <w:noWrap w:val="0"/>
            <w:vAlign w:val="center"/>
          </w:tcPr>
          <w:p w14:paraId="1CC2763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指标名称</w:t>
            </w:r>
          </w:p>
        </w:tc>
        <w:tc>
          <w:tcPr>
            <w:tcW w:w="602" w:type="dxa"/>
            <w:tcBorders>
              <w:top w:val="single" w:color="auto" w:sz="4" w:space="0"/>
              <w:left w:val="nil"/>
              <w:bottom w:val="single" w:color="auto" w:sz="4" w:space="0"/>
              <w:right w:val="single" w:color="auto" w:sz="4" w:space="0"/>
            </w:tcBorders>
            <w:noWrap w:val="0"/>
            <w:vAlign w:val="center"/>
          </w:tcPr>
          <w:p w14:paraId="7225650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计量</w:t>
            </w:r>
          </w:p>
          <w:p w14:paraId="36F4A1F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单位</w:t>
            </w:r>
          </w:p>
        </w:tc>
        <w:tc>
          <w:tcPr>
            <w:tcW w:w="1110" w:type="dxa"/>
            <w:tcBorders>
              <w:top w:val="single" w:color="auto" w:sz="4" w:space="0"/>
              <w:left w:val="nil"/>
              <w:bottom w:val="single" w:color="auto" w:sz="4" w:space="0"/>
              <w:right w:val="single" w:color="auto" w:sz="4" w:space="0"/>
            </w:tcBorders>
            <w:noWrap w:val="0"/>
            <w:vAlign w:val="center"/>
          </w:tcPr>
          <w:p w14:paraId="0D585D9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大型</w:t>
            </w:r>
          </w:p>
        </w:tc>
        <w:tc>
          <w:tcPr>
            <w:tcW w:w="1727" w:type="dxa"/>
            <w:tcBorders>
              <w:top w:val="single" w:color="auto" w:sz="4" w:space="0"/>
              <w:left w:val="nil"/>
              <w:bottom w:val="single" w:color="auto" w:sz="4" w:space="0"/>
              <w:right w:val="single" w:color="auto" w:sz="4" w:space="0"/>
            </w:tcBorders>
            <w:noWrap w:val="0"/>
            <w:vAlign w:val="center"/>
          </w:tcPr>
          <w:p w14:paraId="511A7C5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中型</w:t>
            </w:r>
          </w:p>
        </w:tc>
        <w:tc>
          <w:tcPr>
            <w:tcW w:w="1429" w:type="dxa"/>
            <w:tcBorders>
              <w:top w:val="single" w:color="auto" w:sz="4" w:space="0"/>
              <w:left w:val="nil"/>
              <w:bottom w:val="single" w:color="auto" w:sz="4" w:space="0"/>
              <w:right w:val="single" w:color="auto" w:sz="4" w:space="0"/>
            </w:tcBorders>
            <w:noWrap w:val="0"/>
            <w:vAlign w:val="center"/>
          </w:tcPr>
          <w:p w14:paraId="59DB3B3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小型</w:t>
            </w:r>
          </w:p>
        </w:tc>
        <w:tc>
          <w:tcPr>
            <w:tcW w:w="901" w:type="dxa"/>
            <w:tcBorders>
              <w:top w:val="single" w:color="auto" w:sz="4" w:space="0"/>
              <w:left w:val="nil"/>
              <w:bottom w:val="single" w:color="auto" w:sz="4" w:space="0"/>
              <w:right w:val="nil"/>
            </w:tcBorders>
            <w:noWrap w:val="0"/>
            <w:vAlign w:val="center"/>
          </w:tcPr>
          <w:p w14:paraId="144F879E">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微型</w:t>
            </w:r>
          </w:p>
        </w:tc>
      </w:tr>
      <w:tr w14:paraId="4C3A1A4C">
        <w:tblPrEx>
          <w:tblCellMar>
            <w:top w:w="0" w:type="dxa"/>
            <w:left w:w="108" w:type="dxa"/>
            <w:bottom w:w="0" w:type="dxa"/>
            <w:right w:w="108" w:type="dxa"/>
          </w:tblCellMar>
        </w:tblPrEx>
        <w:trPr>
          <w:trHeight w:val="797" w:hRule="exact"/>
          <w:jc w:val="center"/>
        </w:trPr>
        <w:tc>
          <w:tcPr>
            <w:tcW w:w="2046" w:type="dxa"/>
            <w:tcBorders>
              <w:top w:val="nil"/>
              <w:left w:val="nil"/>
              <w:bottom w:val="single" w:color="auto" w:sz="4" w:space="0"/>
              <w:right w:val="single" w:color="auto" w:sz="4" w:space="0"/>
            </w:tcBorders>
            <w:noWrap w:val="0"/>
            <w:vAlign w:val="center"/>
          </w:tcPr>
          <w:p w14:paraId="69D7599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341" w:type="dxa"/>
            <w:tcBorders>
              <w:top w:val="nil"/>
              <w:left w:val="nil"/>
              <w:bottom w:val="single" w:color="auto" w:sz="4" w:space="0"/>
              <w:right w:val="single" w:color="auto" w:sz="4" w:space="0"/>
            </w:tcBorders>
            <w:noWrap w:val="0"/>
            <w:vAlign w:val="center"/>
          </w:tcPr>
          <w:p w14:paraId="7A477CF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388B5FC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49ECFF3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27" w:type="dxa"/>
            <w:tcBorders>
              <w:top w:val="nil"/>
              <w:left w:val="nil"/>
              <w:bottom w:val="single" w:color="auto" w:sz="4" w:space="0"/>
              <w:right w:val="single" w:color="auto" w:sz="4" w:space="0"/>
            </w:tcBorders>
            <w:noWrap w:val="0"/>
            <w:vAlign w:val="center"/>
          </w:tcPr>
          <w:p w14:paraId="661C526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500≤Y＜20000</w:t>
            </w:r>
          </w:p>
        </w:tc>
        <w:tc>
          <w:tcPr>
            <w:tcW w:w="1429" w:type="dxa"/>
            <w:tcBorders>
              <w:top w:val="nil"/>
              <w:left w:val="nil"/>
              <w:bottom w:val="single" w:color="auto" w:sz="4" w:space="0"/>
              <w:right w:val="single" w:color="auto" w:sz="4" w:space="0"/>
            </w:tcBorders>
            <w:noWrap w:val="0"/>
            <w:vAlign w:val="center"/>
          </w:tcPr>
          <w:p w14:paraId="581BEEB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50≤Y＜500</w:t>
            </w:r>
          </w:p>
        </w:tc>
        <w:tc>
          <w:tcPr>
            <w:tcW w:w="901" w:type="dxa"/>
            <w:tcBorders>
              <w:top w:val="nil"/>
              <w:left w:val="nil"/>
              <w:bottom w:val="single" w:color="auto" w:sz="4" w:space="0"/>
              <w:right w:val="nil"/>
            </w:tcBorders>
            <w:noWrap w:val="0"/>
            <w:vAlign w:val="center"/>
          </w:tcPr>
          <w:p w14:paraId="2D031C9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370D1127">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09FABF9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工业 *</w:t>
            </w:r>
          </w:p>
        </w:tc>
        <w:tc>
          <w:tcPr>
            <w:tcW w:w="1341" w:type="dxa"/>
            <w:tcBorders>
              <w:top w:val="nil"/>
              <w:left w:val="nil"/>
              <w:bottom w:val="nil"/>
              <w:right w:val="single" w:color="auto" w:sz="4" w:space="0"/>
            </w:tcBorders>
            <w:noWrap w:val="0"/>
            <w:vAlign w:val="center"/>
          </w:tcPr>
          <w:p w14:paraId="43EF227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22D2045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079AD76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27" w:type="dxa"/>
            <w:tcBorders>
              <w:top w:val="nil"/>
              <w:left w:val="nil"/>
              <w:bottom w:val="nil"/>
              <w:right w:val="single" w:color="auto" w:sz="4" w:space="0"/>
            </w:tcBorders>
            <w:noWrap w:val="0"/>
            <w:vAlign w:val="center"/>
          </w:tcPr>
          <w:p w14:paraId="2A253D4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9" w:type="dxa"/>
            <w:tcBorders>
              <w:top w:val="nil"/>
              <w:left w:val="nil"/>
              <w:bottom w:val="nil"/>
              <w:right w:val="single" w:color="auto" w:sz="4" w:space="0"/>
            </w:tcBorders>
            <w:noWrap w:val="0"/>
            <w:vAlign w:val="center"/>
          </w:tcPr>
          <w:p w14:paraId="56A80A4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01" w:type="dxa"/>
            <w:tcBorders>
              <w:top w:val="nil"/>
              <w:left w:val="nil"/>
              <w:bottom w:val="nil"/>
              <w:right w:val="nil"/>
            </w:tcBorders>
            <w:noWrap w:val="0"/>
            <w:vAlign w:val="center"/>
          </w:tcPr>
          <w:p w14:paraId="5E26A1C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0CD0FA80">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5A985A1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2EC55BF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6BB2B9F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7296624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27" w:type="dxa"/>
            <w:tcBorders>
              <w:top w:val="nil"/>
              <w:left w:val="nil"/>
              <w:bottom w:val="single" w:color="auto" w:sz="4" w:space="0"/>
              <w:right w:val="single" w:color="auto" w:sz="4" w:space="0"/>
            </w:tcBorders>
            <w:noWrap w:val="0"/>
            <w:vAlign w:val="center"/>
          </w:tcPr>
          <w:p w14:paraId="37574A9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2000≤Y＜40000</w:t>
            </w:r>
          </w:p>
        </w:tc>
        <w:tc>
          <w:tcPr>
            <w:tcW w:w="1429" w:type="dxa"/>
            <w:tcBorders>
              <w:top w:val="nil"/>
              <w:left w:val="nil"/>
              <w:bottom w:val="single" w:color="auto" w:sz="4" w:space="0"/>
              <w:right w:val="single" w:color="auto" w:sz="4" w:space="0"/>
            </w:tcBorders>
            <w:noWrap w:val="0"/>
            <w:vAlign w:val="center"/>
          </w:tcPr>
          <w:p w14:paraId="7DAFF9F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300≤Y＜2000</w:t>
            </w:r>
          </w:p>
        </w:tc>
        <w:tc>
          <w:tcPr>
            <w:tcW w:w="901" w:type="dxa"/>
            <w:tcBorders>
              <w:top w:val="nil"/>
              <w:left w:val="nil"/>
              <w:bottom w:val="single" w:color="auto" w:sz="4" w:space="0"/>
              <w:right w:val="nil"/>
            </w:tcBorders>
            <w:noWrap w:val="0"/>
            <w:vAlign w:val="center"/>
          </w:tcPr>
          <w:p w14:paraId="57AE96A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49FB31C8">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7718F1E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建筑业</w:t>
            </w:r>
          </w:p>
        </w:tc>
        <w:tc>
          <w:tcPr>
            <w:tcW w:w="1341" w:type="dxa"/>
            <w:tcBorders>
              <w:top w:val="nil"/>
              <w:left w:val="nil"/>
              <w:bottom w:val="nil"/>
              <w:right w:val="single" w:color="auto" w:sz="4" w:space="0"/>
            </w:tcBorders>
            <w:noWrap w:val="0"/>
            <w:vAlign w:val="center"/>
          </w:tcPr>
          <w:p w14:paraId="334D9BF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nil"/>
              <w:right w:val="single" w:color="auto" w:sz="4" w:space="0"/>
            </w:tcBorders>
            <w:noWrap w:val="0"/>
            <w:vAlign w:val="center"/>
          </w:tcPr>
          <w:p w14:paraId="3538E58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nil"/>
              <w:right w:val="single" w:color="auto" w:sz="4" w:space="0"/>
            </w:tcBorders>
            <w:noWrap w:val="0"/>
            <w:vAlign w:val="center"/>
          </w:tcPr>
          <w:p w14:paraId="6B03F00E">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727" w:type="dxa"/>
            <w:tcBorders>
              <w:top w:val="nil"/>
              <w:left w:val="nil"/>
              <w:bottom w:val="nil"/>
              <w:right w:val="single" w:color="auto" w:sz="4" w:space="0"/>
            </w:tcBorders>
            <w:noWrap w:val="0"/>
            <w:vAlign w:val="center"/>
          </w:tcPr>
          <w:p w14:paraId="7CC67C7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6000≤Y＜80000</w:t>
            </w:r>
          </w:p>
        </w:tc>
        <w:tc>
          <w:tcPr>
            <w:tcW w:w="1429" w:type="dxa"/>
            <w:tcBorders>
              <w:top w:val="nil"/>
              <w:left w:val="nil"/>
              <w:bottom w:val="nil"/>
              <w:right w:val="single" w:color="auto" w:sz="4" w:space="0"/>
            </w:tcBorders>
            <w:noWrap w:val="0"/>
            <w:vAlign w:val="center"/>
          </w:tcPr>
          <w:p w14:paraId="358152D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300≤Y＜6000</w:t>
            </w:r>
          </w:p>
        </w:tc>
        <w:tc>
          <w:tcPr>
            <w:tcW w:w="901" w:type="dxa"/>
            <w:tcBorders>
              <w:top w:val="nil"/>
              <w:left w:val="nil"/>
              <w:bottom w:val="nil"/>
              <w:right w:val="nil"/>
            </w:tcBorders>
            <w:noWrap w:val="0"/>
            <w:vAlign w:val="center"/>
          </w:tcPr>
          <w:p w14:paraId="5ACAA3D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1A675861">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282DF66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16D0B75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Z)</w:t>
            </w:r>
          </w:p>
        </w:tc>
        <w:tc>
          <w:tcPr>
            <w:tcW w:w="602" w:type="dxa"/>
            <w:tcBorders>
              <w:top w:val="nil"/>
              <w:left w:val="nil"/>
              <w:bottom w:val="single" w:color="auto" w:sz="4" w:space="0"/>
              <w:right w:val="single" w:color="auto" w:sz="4" w:space="0"/>
            </w:tcBorders>
            <w:noWrap w:val="0"/>
            <w:vAlign w:val="center"/>
          </w:tcPr>
          <w:p w14:paraId="4B80C8FE">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3AC3913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727" w:type="dxa"/>
            <w:tcBorders>
              <w:top w:val="nil"/>
              <w:left w:val="nil"/>
              <w:bottom w:val="single" w:color="auto" w:sz="4" w:space="0"/>
              <w:right w:val="single" w:color="auto" w:sz="4" w:space="0"/>
            </w:tcBorders>
            <w:noWrap w:val="0"/>
            <w:vAlign w:val="center"/>
          </w:tcPr>
          <w:p w14:paraId="69C6AA7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5000≤Z＜80000</w:t>
            </w:r>
          </w:p>
        </w:tc>
        <w:tc>
          <w:tcPr>
            <w:tcW w:w="1429" w:type="dxa"/>
            <w:tcBorders>
              <w:top w:val="nil"/>
              <w:left w:val="nil"/>
              <w:bottom w:val="single" w:color="auto" w:sz="4" w:space="0"/>
              <w:right w:val="single" w:color="auto" w:sz="4" w:space="0"/>
            </w:tcBorders>
            <w:noWrap w:val="0"/>
            <w:vAlign w:val="center"/>
          </w:tcPr>
          <w:p w14:paraId="74AACD7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300≤Z＜5000</w:t>
            </w:r>
          </w:p>
        </w:tc>
        <w:tc>
          <w:tcPr>
            <w:tcW w:w="901" w:type="dxa"/>
            <w:tcBorders>
              <w:top w:val="nil"/>
              <w:left w:val="nil"/>
              <w:bottom w:val="single" w:color="auto" w:sz="4" w:space="0"/>
              <w:right w:val="nil"/>
            </w:tcBorders>
            <w:noWrap w:val="0"/>
            <w:vAlign w:val="center"/>
          </w:tcPr>
          <w:p w14:paraId="6EB7F4D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Z＜300</w:t>
            </w:r>
          </w:p>
        </w:tc>
      </w:tr>
      <w:tr w14:paraId="6B4F6208">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66419C9E">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批发业</w:t>
            </w:r>
          </w:p>
        </w:tc>
        <w:tc>
          <w:tcPr>
            <w:tcW w:w="1341" w:type="dxa"/>
            <w:tcBorders>
              <w:top w:val="nil"/>
              <w:left w:val="nil"/>
              <w:bottom w:val="nil"/>
              <w:right w:val="single" w:color="auto" w:sz="4" w:space="0"/>
            </w:tcBorders>
            <w:noWrap w:val="0"/>
            <w:vAlign w:val="center"/>
          </w:tcPr>
          <w:p w14:paraId="21EF74D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4322056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15B8394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27" w:type="dxa"/>
            <w:tcBorders>
              <w:top w:val="nil"/>
              <w:left w:val="nil"/>
              <w:bottom w:val="nil"/>
              <w:right w:val="single" w:color="auto" w:sz="4" w:space="0"/>
            </w:tcBorders>
            <w:noWrap w:val="0"/>
            <w:vAlign w:val="center"/>
          </w:tcPr>
          <w:p w14:paraId="5BDBE65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20≤X＜200</w:t>
            </w:r>
          </w:p>
        </w:tc>
        <w:tc>
          <w:tcPr>
            <w:tcW w:w="1429" w:type="dxa"/>
            <w:tcBorders>
              <w:top w:val="nil"/>
              <w:left w:val="nil"/>
              <w:bottom w:val="nil"/>
              <w:right w:val="single" w:color="auto" w:sz="4" w:space="0"/>
            </w:tcBorders>
            <w:noWrap w:val="0"/>
            <w:vAlign w:val="center"/>
          </w:tcPr>
          <w:p w14:paraId="2933979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5≤X＜20</w:t>
            </w:r>
          </w:p>
        </w:tc>
        <w:tc>
          <w:tcPr>
            <w:tcW w:w="901" w:type="dxa"/>
            <w:tcBorders>
              <w:top w:val="nil"/>
              <w:left w:val="nil"/>
              <w:bottom w:val="nil"/>
              <w:right w:val="nil"/>
            </w:tcBorders>
            <w:noWrap w:val="0"/>
            <w:vAlign w:val="center"/>
          </w:tcPr>
          <w:p w14:paraId="0589E2A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X＜5</w:t>
            </w:r>
          </w:p>
        </w:tc>
      </w:tr>
      <w:tr w14:paraId="0BCD52E9">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1AF5907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442E13A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3453876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50A90BE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27" w:type="dxa"/>
            <w:tcBorders>
              <w:top w:val="nil"/>
              <w:left w:val="nil"/>
              <w:bottom w:val="single" w:color="auto" w:sz="4" w:space="0"/>
              <w:right w:val="single" w:color="auto" w:sz="4" w:space="0"/>
            </w:tcBorders>
            <w:noWrap w:val="0"/>
            <w:vAlign w:val="center"/>
          </w:tcPr>
          <w:p w14:paraId="5DBFEB4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5000≤Y＜40000</w:t>
            </w:r>
          </w:p>
        </w:tc>
        <w:tc>
          <w:tcPr>
            <w:tcW w:w="1429" w:type="dxa"/>
            <w:tcBorders>
              <w:top w:val="nil"/>
              <w:left w:val="nil"/>
              <w:bottom w:val="single" w:color="auto" w:sz="4" w:space="0"/>
              <w:right w:val="single" w:color="auto" w:sz="4" w:space="0"/>
            </w:tcBorders>
            <w:noWrap w:val="0"/>
            <w:vAlign w:val="center"/>
          </w:tcPr>
          <w:p w14:paraId="3678E88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901" w:type="dxa"/>
            <w:tcBorders>
              <w:top w:val="nil"/>
              <w:left w:val="nil"/>
              <w:bottom w:val="single" w:color="auto" w:sz="4" w:space="0"/>
              <w:right w:val="nil"/>
            </w:tcBorders>
            <w:noWrap w:val="0"/>
            <w:vAlign w:val="center"/>
          </w:tcPr>
          <w:p w14:paraId="542EE71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w:t>
            </w:r>
          </w:p>
        </w:tc>
      </w:tr>
      <w:tr w14:paraId="37BEAD54">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6057B40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零售业</w:t>
            </w:r>
          </w:p>
        </w:tc>
        <w:tc>
          <w:tcPr>
            <w:tcW w:w="1341" w:type="dxa"/>
            <w:tcBorders>
              <w:top w:val="nil"/>
              <w:left w:val="nil"/>
              <w:bottom w:val="nil"/>
              <w:right w:val="single" w:color="auto" w:sz="4" w:space="0"/>
            </w:tcBorders>
            <w:noWrap w:val="0"/>
            <w:vAlign w:val="center"/>
          </w:tcPr>
          <w:p w14:paraId="68824C0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2D66EF3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2B23776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27" w:type="dxa"/>
            <w:tcBorders>
              <w:top w:val="nil"/>
              <w:left w:val="nil"/>
              <w:bottom w:val="nil"/>
              <w:right w:val="single" w:color="auto" w:sz="4" w:space="0"/>
            </w:tcBorders>
            <w:noWrap w:val="0"/>
            <w:vAlign w:val="center"/>
          </w:tcPr>
          <w:p w14:paraId="0813195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50≤X＜300</w:t>
            </w:r>
          </w:p>
        </w:tc>
        <w:tc>
          <w:tcPr>
            <w:tcW w:w="1429" w:type="dxa"/>
            <w:tcBorders>
              <w:top w:val="nil"/>
              <w:left w:val="nil"/>
              <w:bottom w:val="nil"/>
              <w:right w:val="single" w:color="auto" w:sz="4" w:space="0"/>
            </w:tcBorders>
            <w:noWrap w:val="0"/>
            <w:vAlign w:val="center"/>
          </w:tcPr>
          <w:p w14:paraId="2A931B5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10≤X＜50 </w:t>
            </w:r>
          </w:p>
        </w:tc>
        <w:tc>
          <w:tcPr>
            <w:tcW w:w="901" w:type="dxa"/>
            <w:tcBorders>
              <w:top w:val="nil"/>
              <w:left w:val="nil"/>
              <w:bottom w:val="nil"/>
              <w:right w:val="nil"/>
            </w:tcBorders>
            <w:noWrap w:val="0"/>
            <w:vAlign w:val="center"/>
          </w:tcPr>
          <w:p w14:paraId="3590F13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0543E028">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6EBFC740">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6ED62DD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0A2B9C9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65AA63F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27" w:type="dxa"/>
            <w:tcBorders>
              <w:top w:val="nil"/>
              <w:left w:val="nil"/>
              <w:bottom w:val="single" w:color="auto" w:sz="4" w:space="0"/>
              <w:right w:val="single" w:color="auto" w:sz="4" w:space="0"/>
            </w:tcBorders>
            <w:noWrap w:val="0"/>
            <w:vAlign w:val="center"/>
          </w:tcPr>
          <w:p w14:paraId="3B77AE7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500≤Y＜20000</w:t>
            </w:r>
          </w:p>
        </w:tc>
        <w:tc>
          <w:tcPr>
            <w:tcW w:w="1429" w:type="dxa"/>
            <w:tcBorders>
              <w:top w:val="nil"/>
              <w:left w:val="nil"/>
              <w:bottom w:val="single" w:color="auto" w:sz="4" w:space="0"/>
              <w:right w:val="single" w:color="auto" w:sz="4" w:space="0"/>
            </w:tcBorders>
            <w:noWrap w:val="0"/>
            <w:vAlign w:val="center"/>
          </w:tcPr>
          <w:p w14:paraId="21CF972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100≤Y＜500 </w:t>
            </w:r>
          </w:p>
        </w:tc>
        <w:tc>
          <w:tcPr>
            <w:tcW w:w="901" w:type="dxa"/>
            <w:tcBorders>
              <w:top w:val="nil"/>
              <w:left w:val="nil"/>
              <w:bottom w:val="single" w:color="auto" w:sz="4" w:space="0"/>
              <w:right w:val="nil"/>
            </w:tcBorders>
            <w:noWrap w:val="0"/>
            <w:vAlign w:val="center"/>
          </w:tcPr>
          <w:p w14:paraId="7896E7E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1D248D1E">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492A5BD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 *</w:t>
            </w:r>
          </w:p>
        </w:tc>
        <w:tc>
          <w:tcPr>
            <w:tcW w:w="1341" w:type="dxa"/>
            <w:tcBorders>
              <w:top w:val="nil"/>
              <w:left w:val="nil"/>
              <w:bottom w:val="nil"/>
              <w:right w:val="single" w:color="auto" w:sz="4" w:space="0"/>
            </w:tcBorders>
            <w:noWrap w:val="0"/>
            <w:vAlign w:val="center"/>
          </w:tcPr>
          <w:p w14:paraId="04F53A0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19E2340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4F1F54C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27" w:type="dxa"/>
            <w:tcBorders>
              <w:top w:val="nil"/>
              <w:left w:val="nil"/>
              <w:bottom w:val="nil"/>
              <w:right w:val="single" w:color="auto" w:sz="4" w:space="0"/>
            </w:tcBorders>
            <w:noWrap w:val="0"/>
            <w:vAlign w:val="center"/>
          </w:tcPr>
          <w:p w14:paraId="78D3163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9" w:type="dxa"/>
            <w:tcBorders>
              <w:top w:val="nil"/>
              <w:left w:val="nil"/>
              <w:bottom w:val="nil"/>
              <w:right w:val="single" w:color="auto" w:sz="4" w:space="0"/>
            </w:tcBorders>
            <w:noWrap w:val="0"/>
            <w:vAlign w:val="center"/>
          </w:tcPr>
          <w:p w14:paraId="46E1F89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01" w:type="dxa"/>
            <w:tcBorders>
              <w:top w:val="nil"/>
              <w:left w:val="nil"/>
              <w:bottom w:val="nil"/>
              <w:right w:val="nil"/>
            </w:tcBorders>
            <w:noWrap w:val="0"/>
            <w:vAlign w:val="center"/>
          </w:tcPr>
          <w:p w14:paraId="1D6F701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33E239CB">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183131D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0E7AF87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63D3A04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7884580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27" w:type="dxa"/>
            <w:tcBorders>
              <w:top w:val="nil"/>
              <w:left w:val="nil"/>
              <w:bottom w:val="single" w:color="auto" w:sz="4" w:space="0"/>
              <w:right w:val="single" w:color="auto" w:sz="4" w:space="0"/>
            </w:tcBorders>
            <w:noWrap w:val="0"/>
            <w:vAlign w:val="center"/>
          </w:tcPr>
          <w:p w14:paraId="7E17DB8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3000≤Y＜30000</w:t>
            </w:r>
          </w:p>
        </w:tc>
        <w:tc>
          <w:tcPr>
            <w:tcW w:w="1429" w:type="dxa"/>
            <w:tcBorders>
              <w:top w:val="nil"/>
              <w:left w:val="nil"/>
              <w:bottom w:val="single" w:color="auto" w:sz="4" w:space="0"/>
              <w:right w:val="single" w:color="auto" w:sz="4" w:space="0"/>
            </w:tcBorders>
            <w:noWrap w:val="0"/>
            <w:vAlign w:val="center"/>
          </w:tcPr>
          <w:p w14:paraId="07F1FB2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200≤Y＜3000</w:t>
            </w:r>
          </w:p>
        </w:tc>
        <w:tc>
          <w:tcPr>
            <w:tcW w:w="901" w:type="dxa"/>
            <w:tcBorders>
              <w:top w:val="nil"/>
              <w:left w:val="nil"/>
              <w:bottom w:val="single" w:color="auto" w:sz="4" w:space="0"/>
              <w:right w:val="nil"/>
            </w:tcBorders>
            <w:noWrap w:val="0"/>
            <w:vAlign w:val="center"/>
          </w:tcPr>
          <w:p w14:paraId="1E97D40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w:t>
            </w:r>
          </w:p>
        </w:tc>
      </w:tr>
      <w:tr w14:paraId="66C7F1CE">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0FA3E72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341" w:type="dxa"/>
            <w:tcBorders>
              <w:top w:val="nil"/>
              <w:left w:val="nil"/>
              <w:bottom w:val="nil"/>
              <w:right w:val="single" w:color="auto" w:sz="4" w:space="0"/>
            </w:tcBorders>
            <w:noWrap w:val="0"/>
            <w:vAlign w:val="center"/>
          </w:tcPr>
          <w:p w14:paraId="46F2E85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13279A0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71D2B40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27" w:type="dxa"/>
            <w:tcBorders>
              <w:top w:val="nil"/>
              <w:left w:val="nil"/>
              <w:bottom w:val="nil"/>
              <w:right w:val="single" w:color="auto" w:sz="4" w:space="0"/>
            </w:tcBorders>
            <w:noWrap w:val="0"/>
            <w:vAlign w:val="center"/>
          </w:tcPr>
          <w:p w14:paraId="550B315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w:t>
            </w:r>
          </w:p>
        </w:tc>
        <w:tc>
          <w:tcPr>
            <w:tcW w:w="1429" w:type="dxa"/>
            <w:tcBorders>
              <w:top w:val="nil"/>
              <w:left w:val="nil"/>
              <w:bottom w:val="nil"/>
              <w:right w:val="single" w:color="auto" w:sz="4" w:space="0"/>
            </w:tcBorders>
            <w:noWrap w:val="0"/>
            <w:vAlign w:val="center"/>
          </w:tcPr>
          <w:p w14:paraId="557AECC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20≤X＜100</w:t>
            </w:r>
          </w:p>
        </w:tc>
        <w:tc>
          <w:tcPr>
            <w:tcW w:w="901" w:type="dxa"/>
            <w:tcBorders>
              <w:top w:val="nil"/>
              <w:left w:val="nil"/>
              <w:bottom w:val="nil"/>
              <w:right w:val="nil"/>
            </w:tcBorders>
            <w:noWrap w:val="0"/>
            <w:vAlign w:val="center"/>
          </w:tcPr>
          <w:p w14:paraId="2B4F0A5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3F5A3919">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73BFCE1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20123E6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5B047DC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1FCA5B1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27" w:type="dxa"/>
            <w:tcBorders>
              <w:top w:val="nil"/>
              <w:left w:val="nil"/>
              <w:bottom w:val="single" w:color="auto" w:sz="4" w:space="0"/>
              <w:right w:val="single" w:color="auto" w:sz="4" w:space="0"/>
            </w:tcBorders>
            <w:noWrap w:val="0"/>
            <w:vAlign w:val="center"/>
          </w:tcPr>
          <w:p w14:paraId="70917D4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1000≤Y＜30000</w:t>
            </w:r>
          </w:p>
        </w:tc>
        <w:tc>
          <w:tcPr>
            <w:tcW w:w="1429" w:type="dxa"/>
            <w:tcBorders>
              <w:top w:val="nil"/>
              <w:left w:val="nil"/>
              <w:bottom w:val="single" w:color="auto" w:sz="4" w:space="0"/>
              <w:right w:val="single" w:color="auto" w:sz="4" w:space="0"/>
            </w:tcBorders>
            <w:noWrap w:val="0"/>
            <w:vAlign w:val="center"/>
          </w:tcPr>
          <w:p w14:paraId="4F5D56A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01" w:type="dxa"/>
            <w:tcBorders>
              <w:top w:val="nil"/>
              <w:left w:val="nil"/>
              <w:bottom w:val="single" w:color="auto" w:sz="4" w:space="0"/>
              <w:right w:val="nil"/>
            </w:tcBorders>
            <w:noWrap w:val="0"/>
            <w:vAlign w:val="center"/>
          </w:tcPr>
          <w:p w14:paraId="56CD82C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17CEC0FB">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2FC95ED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341" w:type="dxa"/>
            <w:tcBorders>
              <w:top w:val="nil"/>
              <w:left w:val="nil"/>
              <w:bottom w:val="nil"/>
              <w:right w:val="single" w:color="auto" w:sz="4" w:space="0"/>
            </w:tcBorders>
            <w:noWrap w:val="0"/>
            <w:vAlign w:val="center"/>
          </w:tcPr>
          <w:p w14:paraId="448C34A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1A8642D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2B82217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27" w:type="dxa"/>
            <w:tcBorders>
              <w:top w:val="nil"/>
              <w:left w:val="nil"/>
              <w:bottom w:val="nil"/>
              <w:right w:val="single" w:color="auto" w:sz="4" w:space="0"/>
            </w:tcBorders>
            <w:noWrap w:val="0"/>
            <w:vAlign w:val="center"/>
          </w:tcPr>
          <w:p w14:paraId="5924763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9" w:type="dxa"/>
            <w:tcBorders>
              <w:top w:val="nil"/>
              <w:left w:val="nil"/>
              <w:bottom w:val="nil"/>
              <w:right w:val="single" w:color="auto" w:sz="4" w:space="0"/>
            </w:tcBorders>
            <w:noWrap w:val="0"/>
            <w:vAlign w:val="center"/>
          </w:tcPr>
          <w:p w14:paraId="5CBCF28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01" w:type="dxa"/>
            <w:tcBorders>
              <w:top w:val="nil"/>
              <w:left w:val="nil"/>
              <w:bottom w:val="nil"/>
              <w:right w:val="nil"/>
            </w:tcBorders>
            <w:noWrap w:val="0"/>
            <w:vAlign w:val="center"/>
          </w:tcPr>
          <w:p w14:paraId="3FE2F24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55F75B42">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32E2BA1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1271D62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70BAB61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66A967B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27" w:type="dxa"/>
            <w:tcBorders>
              <w:top w:val="nil"/>
              <w:left w:val="nil"/>
              <w:bottom w:val="single" w:color="auto" w:sz="4" w:space="0"/>
              <w:right w:val="single" w:color="auto" w:sz="4" w:space="0"/>
            </w:tcBorders>
            <w:noWrap w:val="0"/>
            <w:vAlign w:val="center"/>
          </w:tcPr>
          <w:p w14:paraId="1DA355A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2000≤Y＜30000</w:t>
            </w:r>
          </w:p>
        </w:tc>
        <w:tc>
          <w:tcPr>
            <w:tcW w:w="1429" w:type="dxa"/>
            <w:tcBorders>
              <w:top w:val="nil"/>
              <w:left w:val="nil"/>
              <w:bottom w:val="single" w:color="auto" w:sz="4" w:space="0"/>
              <w:right w:val="single" w:color="auto" w:sz="4" w:space="0"/>
            </w:tcBorders>
            <w:noWrap w:val="0"/>
            <w:vAlign w:val="center"/>
          </w:tcPr>
          <w:p w14:paraId="6765B49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01" w:type="dxa"/>
            <w:tcBorders>
              <w:top w:val="nil"/>
              <w:left w:val="nil"/>
              <w:bottom w:val="single" w:color="auto" w:sz="4" w:space="0"/>
              <w:right w:val="nil"/>
            </w:tcBorders>
            <w:noWrap w:val="0"/>
            <w:vAlign w:val="center"/>
          </w:tcPr>
          <w:p w14:paraId="4C906BF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1AEA9E7E">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214AFE1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341" w:type="dxa"/>
            <w:tcBorders>
              <w:top w:val="nil"/>
              <w:left w:val="nil"/>
              <w:bottom w:val="nil"/>
              <w:right w:val="single" w:color="auto" w:sz="4" w:space="0"/>
            </w:tcBorders>
            <w:noWrap w:val="0"/>
            <w:vAlign w:val="center"/>
          </w:tcPr>
          <w:p w14:paraId="701A688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5155510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6EF04BB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27" w:type="dxa"/>
            <w:tcBorders>
              <w:top w:val="nil"/>
              <w:left w:val="nil"/>
              <w:bottom w:val="nil"/>
              <w:right w:val="single" w:color="auto" w:sz="4" w:space="0"/>
            </w:tcBorders>
            <w:noWrap w:val="0"/>
            <w:vAlign w:val="center"/>
          </w:tcPr>
          <w:p w14:paraId="29FCA70E">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9" w:type="dxa"/>
            <w:tcBorders>
              <w:top w:val="nil"/>
              <w:left w:val="nil"/>
              <w:bottom w:val="nil"/>
              <w:right w:val="single" w:color="auto" w:sz="4" w:space="0"/>
            </w:tcBorders>
            <w:noWrap w:val="0"/>
            <w:vAlign w:val="center"/>
          </w:tcPr>
          <w:p w14:paraId="465741A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01" w:type="dxa"/>
            <w:tcBorders>
              <w:top w:val="nil"/>
              <w:left w:val="nil"/>
              <w:bottom w:val="nil"/>
              <w:right w:val="nil"/>
            </w:tcBorders>
            <w:noWrap w:val="0"/>
            <w:vAlign w:val="center"/>
          </w:tcPr>
          <w:p w14:paraId="4993762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730ED8AA">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7A3C9B5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3038D840">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5270382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432A70F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27" w:type="dxa"/>
            <w:tcBorders>
              <w:top w:val="nil"/>
              <w:left w:val="nil"/>
              <w:bottom w:val="single" w:color="auto" w:sz="4" w:space="0"/>
              <w:right w:val="single" w:color="auto" w:sz="4" w:space="0"/>
            </w:tcBorders>
            <w:noWrap w:val="0"/>
            <w:vAlign w:val="center"/>
          </w:tcPr>
          <w:p w14:paraId="0802B84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9" w:type="dxa"/>
            <w:tcBorders>
              <w:top w:val="nil"/>
              <w:left w:val="nil"/>
              <w:bottom w:val="single" w:color="auto" w:sz="4" w:space="0"/>
              <w:right w:val="single" w:color="auto" w:sz="4" w:space="0"/>
            </w:tcBorders>
            <w:noWrap w:val="0"/>
            <w:vAlign w:val="center"/>
          </w:tcPr>
          <w:p w14:paraId="3905C7B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01" w:type="dxa"/>
            <w:tcBorders>
              <w:top w:val="nil"/>
              <w:left w:val="nil"/>
              <w:bottom w:val="single" w:color="auto" w:sz="4" w:space="0"/>
              <w:right w:val="nil"/>
            </w:tcBorders>
            <w:noWrap w:val="0"/>
            <w:vAlign w:val="center"/>
          </w:tcPr>
          <w:p w14:paraId="2CDDE5E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75318BED">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225CA81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341" w:type="dxa"/>
            <w:tcBorders>
              <w:top w:val="nil"/>
              <w:left w:val="nil"/>
              <w:bottom w:val="nil"/>
              <w:right w:val="single" w:color="auto" w:sz="4" w:space="0"/>
            </w:tcBorders>
            <w:noWrap w:val="0"/>
            <w:vAlign w:val="center"/>
          </w:tcPr>
          <w:p w14:paraId="04EA24F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5620B01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0C333CC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27" w:type="dxa"/>
            <w:tcBorders>
              <w:top w:val="nil"/>
              <w:left w:val="nil"/>
              <w:bottom w:val="nil"/>
              <w:right w:val="single" w:color="auto" w:sz="4" w:space="0"/>
            </w:tcBorders>
            <w:noWrap w:val="0"/>
            <w:vAlign w:val="center"/>
          </w:tcPr>
          <w:p w14:paraId="6F51223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9" w:type="dxa"/>
            <w:tcBorders>
              <w:top w:val="nil"/>
              <w:left w:val="nil"/>
              <w:bottom w:val="nil"/>
              <w:right w:val="single" w:color="auto" w:sz="4" w:space="0"/>
            </w:tcBorders>
            <w:noWrap w:val="0"/>
            <w:vAlign w:val="center"/>
          </w:tcPr>
          <w:p w14:paraId="3D564D5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01" w:type="dxa"/>
            <w:tcBorders>
              <w:top w:val="nil"/>
              <w:left w:val="nil"/>
              <w:bottom w:val="nil"/>
              <w:right w:val="nil"/>
            </w:tcBorders>
            <w:noWrap w:val="0"/>
            <w:vAlign w:val="center"/>
          </w:tcPr>
          <w:p w14:paraId="54773FF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327C6415">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7115EA6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6D15818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41B8F71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59935A2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27" w:type="dxa"/>
            <w:tcBorders>
              <w:top w:val="nil"/>
              <w:left w:val="nil"/>
              <w:bottom w:val="single" w:color="auto" w:sz="4" w:space="0"/>
              <w:right w:val="single" w:color="auto" w:sz="4" w:space="0"/>
            </w:tcBorders>
            <w:noWrap w:val="0"/>
            <w:vAlign w:val="center"/>
          </w:tcPr>
          <w:p w14:paraId="44F58C4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9" w:type="dxa"/>
            <w:tcBorders>
              <w:top w:val="nil"/>
              <w:left w:val="nil"/>
              <w:bottom w:val="single" w:color="auto" w:sz="4" w:space="0"/>
              <w:right w:val="single" w:color="auto" w:sz="4" w:space="0"/>
            </w:tcBorders>
            <w:noWrap w:val="0"/>
            <w:vAlign w:val="center"/>
          </w:tcPr>
          <w:p w14:paraId="141E434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01" w:type="dxa"/>
            <w:tcBorders>
              <w:top w:val="nil"/>
              <w:left w:val="nil"/>
              <w:bottom w:val="single" w:color="auto" w:sz="4" w:space="0"/>
              <w:right w:val="nil"/>
            </w:tcBorders>
            <w:noWrap w:val="0"/>
            <w:vAlign w:val="center"/>
          </w:tcPr>
          <w:p w14:paraId="6E00890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43C22B2E">
        <w:tblPrEx>
          <w:tblCellMar>
            <w:top w:w="0" w:type="dxa"/>
            <w:left w:w="108" w:type="dxa"/>
            <w:bottom w:w="0" w:type="dxa"/>
            <w:right w:w="108" w:type="dxa"/>
          </w:tblCellMar>
        </w:tblPrEx>
        <w:trPr>
          <w:trHeight w:val="797" w:hRule="exact"/>
          <w:jc w:val="center"/>
        </w:trPr>
        <w:tc>
          <w:tcPr>
            <w:tcW w:w="2046" w:type="dxa"/>
            <w:vMerge w:val="restart"/>
            <w:tcBorders>
              <w:top w:val="nil"/>
              <w:left w:val="nil"/>
              <w:bottom w:val="single" w:color="auto" w:sz="4" w:space="0"/>
              <w:right w:val="single" w:color="auto" w:sz="4" w:space="0"/>
            </w:tcBorders>
            <w:noWrap w:val="0"/>
            <w:vAlign w:val="center"/>
          </w:tcPr>
          <w:p w14:paraId="0C0B0BA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 *</w:t>
            </w:r>
          </w:p>
        </w:tc>
        <w:tc>
          <w:tcPr>
            <w:tcW w:w="1341" w:type="dxa"/>
            <w:tcBorders>
              <w:top w:val="nil"/>
              <w:left w:val="nil"/>
              <w:bottom w:val="nil"/>
              <w:right w:val="single" w:color="auto" w:sz="4" w:space="0"/>
            </w:tcBorders>
            <w:noWrap w:val="0"/>
            <w:vAlign w:val="center"/>
          </w:tcPr>
          <w:p w14:paraId="6E984D8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023AD9E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22490A9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727" w:type="dxa"/>
            <w:tcBorders>
              <w:top w:val="nil"/>
              <w:left w:val="nil"/>
              <w:bottom w:val="nil"/>
              <w:right w:val="single" w:color="auto" w:sz="4" w:space="0"/>
            </w:tcBorders>
            <w:noWrap w:val="0"/>
            <w:vAlign w:val="center"/>
          </w:tcPr>
          <w:p w14:paraId="4481021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100≤X＜2000</w:t>
            </w:r>
          </w:p>
        </w:tc>
        <w:tc>
          <w:tcPr>
            <w:tcW w:w="1429" w:type="dxa"/>
            <w:tcBorders>
              <w:top w:val="nil"/>
              <w:left w:val="nil"/>
              <w:bottom w:val="nil"/>
              <w:right w:val="single" w:color="auto" w:sz="4" w:space="0"/>
            </w:tcBorders>
            <w:noWrap w:val="0"/>
            <w:vAlign w:val="center"/>
          </w:tcPr>
          <w:p w14:paraId="67684F3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01" w:type="dxa"/>
            <w:tcBorders>
              <w:top w:val="nil"/>
              <w:left w:val="nil"/>
              <w:bottom w:val="nil"/>
              <w:right w:val="nil"/>
            </w:tcBorders>
            <w:noWrap w:val="0"/>
            <w:vAlign w:val="center"/>
          </w:tcPr>
          <w:p w14:paraId="78F5B75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7EBCB40E">
        <w:tblPrEx>
          <w:tblCellMar>
            <w:top w:w="0" w:type="dxa"/>
            <w:left w:w="108" w:type="dxa"/>
            <w:bottom w:w="0" w:type="dxa"/>
            <w:right w:w="108" w:type="dxa"/>
          </w:tblCellMar>
        </w:tblPrEx>
        <w:trPr>
          <w:trHeight w:val="797" w:hRule="exact"/>
          <w:jc w:val="center"/>
        </w:trPr>
        <w:tc>
          <w:tcPr>
            <w:tcW w:w="2046" w:type="dxa"/>
            <w:vMerge w:val="continue"/>
            <w:tcBorders>
              <w:top w:val="nil"/>
              <w:left w:val="nil"/>
              <w:bottom w:val="single" w:color="auto" w:sz="4" w:space="0"/>
              <w:right w:val="single" w:color="auto" w:sz="4" w:space="0"/>
            </w:tcBorders>
            <w:noWrap w:val="0"/>
            <w:vAlign w:val="center"/>
          </w:tcPr>
          <w:p w14:paraId="584A57A0">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17ED680E">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1FEDB81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70ED86F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727" w:type="dxa"/>
            <w:tcBorders>
              <w:top w:val="nil"/>
              <w:left w:val="nil"/>
              <w:bottom w:val="single" w:color="auto" w:sz="4" w:space="0"/>
              <w:right w:val="single" w:color="auto" w:sz="4" w:space="0"/>
            </w:tcBorders>
            <w:noWrap w:val="0"/>
            <w:vAlign w:val="center"/>
          </w:tcPr>
          <w:p w14:paraId="396AB2B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1000≤Y＜100000</w:t>
            </w:r>
          </w:p>
        </w:tc>
        <w:tc>
          <w:tcPr>
            <w:tcW w:w="1429" w:type="dxa"/>
            <w:tcBorders>
              <w:top w:val="nil"/>
              <w:left w:val="nil"/>
              <w:bottom w:val="single" w:color="auto" w:sz="4" w:space="0"/>
              <w:right w:val="single" w:color="auto" w:sz="4" w:space="0"/>
            </w:tcBorders>
            <w:noWrap w:val="0"/>
            <w:vAlign w:val="center"/>
          </w:tcPr>
          <w:p w14:paraId="4405440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01" w:type="dxa"/>
            <w:tcBorders>
              <w:top w:val="nil"/>
              <w:left w:val="nil"/>
              <w:bottom w:val="single" w:color="auto" w:sz="4" w:space="0"/>
              <w:right w:val="nil"/>
            </w:tcBorders>
            <w:noWrap w:val="0"/>
            <w:vAlign w:val="center"/>
          </w:tcPr>
          <w:p w14:paraId="0D9AFEF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5D7F403F">
        <w:tblPrEx>
          <w:tblCellMar>
            <w:top w:w="0" w:type="dxa"/>
            <w:left w:w="108" w:type="dxa"/>
            <w:bottom w:w="0" w:type="dxa"/>
            <w:right w:w="108" w:type="dxa"/>
          </w:tblCellMar>
        </w:tblPrEx>
        <w:trPr>
          <w:trHeight w:val="681" w:hRule="exact"/>
          <w:jc w:val="center"/>
        </w:trPr>
        <w:tc>
          <w:tcPr>
            <w:tcW w:w="2046" w:type="dxa"/>
            <w:vMerge w:val="restart"/>
            <w:tcBorders>
              <w:top w:val="single" w:color="auto" w:sz="4" w:space="0"/>
              <w:left w:val="nil"/>
              <w:bottom w:val="single" w:color="auto" w:sz="4" w:space="0"/>
              <w:right w:val="single" w:color="auto" w:sz="4" w:space="0"/>
            </w:tcBorders>
            <w:noWrap w:val="0"/>
            <w:vAlign w:val="center"/>
          </w:tcPr>
          <w:p w14:paraId="77A2042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软件和信息技术服务业</w:t>
            </w:r>
          </w:p>
        </w:tc>
        <w:tc>
          <w:tcPr>
            <w:tcW w:w="1341" w:type="dxa"/>
            <w:tcBorders>
              <w:top w:val="nil"/>
              <w:left w:val="nil"/>
              <w:bottom w:val="nil"/>
              <w:right w:val="single" w:color="auto" w:sz="4" w:space="0"/>
            </w:tcBorders>
            <w:noWrap w:val="0"/>
            <w:vAlign w:val="center"/>
          </w:tcPr>
          <w:p w14:paraId="5CBDBAD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761F327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5D95DE5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27" w:type="dxa"/>
            <w:tcBorders>
              <w:top w:val="nil"/>
              <w:left w:val="nil"/>
              <w:bottom w:val="nil"/>
              <w:right w:val="single" w:color="auto" w:sz="4" w:space="0"/>
            </w:tcBorders>
            <w:noWrap w:val="0"/>
            <w:vAlign w:val="center"/>
          </w:tcPr>
          <w:p w14:paraId="5D95DFF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9" w:type="dxa"/>
            <w:tcBorders>
              <w:top w:val="nil"/>
              <w:left w:val="nil"/>
              <w:bottom w:val="nil"/>
              <w:right w:val="single" w:color="auto" w:sz="4" w:space="0"/>
            </w:tcBorders>
            <w:noWrap w:val="0"/>
            <w:vAlign w:val="center"/>
          </w:tcPr>
          <w:p w14:paraId="07C251A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01" w:type="dxa"/>
            <w:tcBorders>
              <w:top w:val="nil"/>
              <w:left w:val="nil"/>
              <w:bottom w:val="nil"/>
              <w:right w:val="nil"/>
            </w:tcBorders>
            <w:noWrap w:val="0"/>
            <w:vAlign w:val="center"/>
          </w:tcPr>
          <w:p w14:paraId="4507822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2770CAC4">
        <w:tblPrEx>
          <w:tblCellMar>
            <w:top w:w="0" w:type="dxa"/>
            <w:left w:w="108" w:type="dxa"/>
            <w:bottom w:w="0" w:type="dxa"/>
            <w:right w:w="108" w:type="dxa"/>
          </w:tblCellMar>
        </w:tblPrEx>
        <w:trPr>
          <w:trHeight w:val="681" w:hRule="exact"/>
          <w:jc w:val="center"/>
        </w:trPr>
        <w:tc>
          <w:tcPr>
            <w:tcW w:w="2046" w:type="dxa"/>
            <w:vMerge w:val="continue"/>
            <w:tcBorders>
              <w:top w:val="single" w:color="auto" w:sz="4" w:space="0"/>
              <w:left w:val="nil"/>
              <w:bottom w:val="single" w:color="auto" w:sz="4" w:space="0"/>
              <w:right w:val="single" w:color="auto" w:sz="4" w:space="0"/>
            </w:tcBorders>
            <w:noWrap w:val="0"/>
            <w:vAlign w:val="center"/>
          </w:tcPr>
          <w:p w14:paraId="59C24D3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0EBFEFA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4EEC70C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52C9D47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27" w:type="dxa"/>
            <w:tcBorders>
              <w:top w:val="nil"/>
              <w:left w:val="nil"/>
              <w:bottom w:val="single" w:color="auto" w:sz="4" w:space="0"/>
              <w:right w:val="single" w:color="auto" w:sz="4" w:space="0"/>
            </w:tcBorders>
            <w:noWrap w:val="0"/>
            <w:vAlign w:val="center"/>
          </w:tcPr>
          <w:p w14:paraId="6A3A42A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w:t>
            </w:r>
          </w:p>
        </w:tc>
        <w:tc>
          <w:tcPr>
            <w:tcW w:w="1429" w:type="dxa"/>
            <w:tcBorders>
              <w:top w:val="nil"/>
              <w:left w:val="nil"/>
              <w:bottom w:val="single" w:color="auto" w:sz="4" w:space="0"/>
              <w:right w:val="single" w:color="auto" w:sz="4" w:space="0"/>
            </w:tcBorders>
            <w:noWrap w:val="0"/>
            <w:vAlign w:val="center"/>
          </w:tcPr>
          <w:p w14:paraId="7AC066E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50≤Y＜1000</w:t>
            </w:r>
          </w:p>
        </w:tc>
        <w:tc>
          <w:tcPr>
            <w:tcW w:w="901" w:type="dxa"/>
            <w:tcBorders>
              <w:top w:val="nil"/>
              <w:left w:val="nil"/>
              <w:bottom w:val="single" w:color="auto" w:sz="4" w:space="0"/>
              <w:right w:val="nil"/>
            </w:tcBorders>
            <w:noWrap w:val="0"/>
            <w:vAlign w:val="center"/>
          </w:tcPr>
          <w:p w14:paraId="388EEB7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65D3CDA3">
        <w:tblPrEx>
          <w:tblCellMar>
            <w:top w:w="0" w:type="dxa"/>
            <w:left w:w="108" w:type="dxa"/>
            <w:bottom w:w="0" w:type="dxa"/>
            <w:right w:w="108" w:type="dxa"/>
          </w:tblCellMar>
        </w:tblPrEx>
        <w:trPr>
          <w:trHeight w:val="681" w:hRule="exact"/>
          <w:jc w:val="center"/>
        </w:trPr>
        <w:tc>
          <w:tcPr>
            <w:tcW w:w="2046" w:type="dxa"/>
            <w:vMerge w:val="restart"/>
            <w:tcBorders>
              <w:top w:val="nil"/>
              <w:left w:val="nil"/>
              <w:bottom w:val="single" w:color="auto" w:sz="4" w:space="0"/>
              <w:right w:val="single" w:color="auto" w:sz="4" w:space="0"/>
            </w:tcBorders>
            <w:noWrap w:val="0"/>
            <w:vAlign w:val="center"/>
          </w:tcPr>
          <w:p w14:paraId="5D7A2A9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341" w:type="dxa"/>
            <w:tcBorders>
              <w:top w:val="nil"/>
              <w:left w:val="nil"/>
              <w:bottom w:val="nil"/>
              <w:right w:val="single" w:color="auto" w:sz="4" w:space="0"/>
            </w:tcBorders>
            <w:noWrap w:val="0"/>
            <w:vAlign w:val="center"/>
          </w:tcPr>
          <w:p w14:paraId="7748D1F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nil"/>
              <w:right w:val="single" w:color="auto" w:sz="4" w:space="0"/>
            </w:tcBorders>
            <w:noWrap w:val="0"/>
            <w:vAlign w:val="center"/>
          </w:tcPr>
          <w:p w14:paraId="795D4B9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nil"/>
              <w:right w:val="single" w:color="auto" w:sz="4" w:space="0"/>
            </w:tcBorders>
            <w:noWrap w:val="0"/>
            <w:vAlign w:val="center"/>
          </w:tcPr>
          <w:p w14:paraId="62B92D1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727" w:type="dxa"/>
            <w:tcBorders>
              <w:top w:val="nil"/>
              <w:left w:val="nil"/>
              <w:bottom w:val="nil"/>
              <w:right w:val="single" w:color="auto" w:sz="4" w:space="0"/>
            </w:tcBorders>
            <w:noWrap w:val="0"/>
            <w:vAlign w:val="center"/>
          </w:tcPr>
          <w:p w14:paraId="18E4C4F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1000≤Y＜200000</w:t>
            </w:r>
          </w:p>
        </w:tc>
        <w:tc>
          <w:tcPr>
            <w:tcW w:w="1429" w:type="dxa"/>
            <w:tcBorders>
              <w:top w:val="nil"/>
              <w:left w:val="nil"/>
              <w:bottom w:val="nil"/>
              <w:right w:val="single" w:color="auto" w:sz="4" w:space="0"/>
            </w:tcBorders>
            <w:noWrap w:val="0"/>
            <w:vAlign w:val="center"/>
          </w:tcPr>
          <w:p w14:paraId="479164A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01" w:type="dxa"/>
            <w:tcBorders>
              <w:top w:val="nil"/>
              <w:left w:val="nil"/>
              <w:bottom w:val="nil"/>
              <w:right w:val="nil"/>
            </w:tcBorders>
            <w:noWrap w:val="0"/>
            <w:vAlign w:val="center"/>
          </w:tcPr>
          <w:p w14:paraId="6BFBD1AA">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03DC00C0">
        <w:tblPrEx>
          <w:tblCellMar>
            <w:top w:w="0" w:type="dxa"/>
            <w:left w:w="108" w:type="dxa"/>
            <w:bottom w:w="0" w:type="dxa"/>
            <w:right w:w="108" w:type="dxa"/>
          </w:tblCellMar>
        </w:tblPrEx>
        <w:trPr>
          <w:trHeight w:val="681" w:hRule="exact"/>
          <w:jc w:val="center"/>
        </w:trPr>
        <w:tc>
          <w:tcPr>
            <w:tcW w:w="2046" w:type="dxa"/>
            <w:vMerge w:val="continue"/>
            <w:tcBorders>
              <w:top w:val="nil"/>
              <w:left w:val="nil"/>
              <w:bottom w:val="single" w:color="auto" w:sz="4" w:space="0"/>
              <w:right w:val="single" w:color="auto" w:sz="4" w:space="0"/>
            </w:tcBorders>
            <w:noWrap w:val="0"/>
            <w:vAlign w:val="center"/>
          </w:tcPr>
          <w:p w14:paraId="32EC89D0">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42A40E8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Z)</w:t>
            </w:r>
          </w:p>
        </w:tc>
        <w:tc>
          <w:tcPr>
            <w:tcW w:w="602" w:type="dxa"/>
            <w:tcBorders>
              <w:top w:val="nil"/>
              <w:left w:val="nil"/>
              <w:bottom w:val="single" w:color="auto" w:sz="4" w:space="0"/>
              <w:right w:val="single" w:color="auto" w:sz="4" w:space="0"/>
            </w:tcBorders>
            <w:noWrap w:val="0"/>
            <w:vAlign w:val="center"/>
          </w:tcPr>
          <w:p w14:paraId="0AC37EE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05D9932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727" w:type="dxa"/>
            <w:tcBorders>
              <w:top w:val="nil"/>
              <w:left w:val="nil"/>
              <w:bottom w:val="single" w:color="auto" w:sz="4" w:space="0"/>
              <w:right w:val="single" w:color="auto" w:sz="4" w:space="0"/>
            </w:tcBorders>
            <w:noWrap w:val="0"/>
            <w:vAlign w:val="center"/>
          </w:tcPr>
          <w:p w14:paraId="23A65079">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5000≤Z＜10000</w:t>
            </w:r>
          </w:p>
        </w:tc>
        <w:tc>
          <w:tcPr>
            <w:tcW w:w="1429" w:type="dxa"/>
            <w:tcBorders>
              <w:top w:val="nil"/>
              <w:left w:val="nil"/>
              <w:bottom w:val="single" w:color="auto" w:sz="4" w:space="0"/>
              <w:right w:val="single" w:color="auto" w:sz="4" w:space="0"/>
            </w:tcBorders>
            <w:noWrap w:val="0"/>
            <w:vAlign w:val="center"/>
          </w:tcPr>
          <w:p w14:paraId="3172516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2000≤Z＜5000   </w:t>
            </w:r>
          </w:p>
        </w:tc>
        <w:tc>
          <w:tcPr>
            <w:tcW w:w="901" w:type="dxa"/>
            <w:tcBorders>
              <w:top w:val="nil"/>
              <w:left w:val="nil"/>
              <w:bottom w:val="single" w:color="auto" w:sz="4" w:space="0"/>
              <w:right w:val="nil"/>
            </w:tcBorders>
            <w:noWrap w:val="0"/>
            <w:vAlign w:val="center"/>
          </w:tcPr>
          <w:p w14:paraId="2CC3E97F">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Z＜2000</w:t>
            </w:r>
          </w:p>
        </w:tc>
      </w:tr>
      <w:tr w14:paraId="6E41BF7E">
        <w:tblPrEx>
          <w:tblCellMar>
            <w:top w:w="0" w:type="dxa"/>
            <w:left w:w="108" w:type="dxa"/>
            <w:bottom w:w="0" w:type="dxa"/>
            <w:right w:w="108" w:type="dxa"/>
          </w:tblCellMar>
        </w:tblPrEx>
        <w:trPr>
          <w:trHeight w:val="681" w:hRule="exact"/>
          <w:jc w:val="center"/>
        </w:trPr>
        <w:tc>
          <w:tcPr>
            <w:tcW w:w="2046" w:type="dxa"/>
            <w:vMerge w:val="restart"/>
            <w:tcBorders>
              <w:top w:val="nil"/>
              <w:left w:val="nil"/>
              <w:bottom w:val="single" w:color="auto" w:sz="4" w:space="0"/>
              <w:right w:val="single" w:color="auto" w:sz="4" w:space="0"/>
            </w:tcBorders>
            <w:noWrap w:val="0"/>
            <w:vAlign w:val="center"/>
          </w:tcPr>
          <w:p w14:paraId="19A04440">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341" w:type="dxa"/>
            <w:tcBorders>
              <w:top w:val="nil"/>
              <w:left w:val="nil"/>
              <w:bottom w:val="nil"/>
              <w:right w:val="single" w:color="auto" w:sz="4" w:space="0"/>
            </w:tcBorders>
            <w:noWrap w:val="0"/>
            <w:vAlign w:val="center"/>
          </w:tcPr>
          <w:p w14:paraId="2983D00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560866A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2AC4FA7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27" w:type="dxa"/>
            <w:tcBorders>
              <w:top w:val="nil"/>
              <w:left w:val="nil"/>
              <w:bottom w:val="nil"/>
              <w:right w:val="single" w:color="auto" w:sz="4" w:space="0"/>
            </w:tcBorders>
            <w:noWrap w:val="0"/>
            <w:vAlign w:val="center"/>
          </w:tcPr>
          <w:p w14:paraId="4779185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9" w:type="dxa"/>
            <w:tcBorders>
              <w:top w:val="nil"/>
              <w:left w:val="nil"/>
              <w:bottom w:val="nil"/>
              <w:right w:val="single" w:color="auto" w:sz="4" w:space="0"/>
            </w:tcBorders>
            <w:noWrap w:val="0"/>
            <w:vAlign w:val="center"/>
          </w:tcPr>
          <w:p w14:paraId="7A73CFE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901" w:type="dxa"/>
            <w:tcBorders>
              <w:top w:val="nil"/>
              <w:left w:val="nil"/>
              <w:bottom w:val="nil"/>
              <w:right w:val="nil"/>
            </w:tcBorders>
            <w:noWrap w:val="0"/>
            <w:vAlign w:val="center"/>
          </w:tcPr>
          <w:p w14:paraId="29BA0F0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w:t>
            </w:r>
          </w:p>
        </w:tc>
      </w:tr>
      <w:tr w14:paraId="6A0DD49C">
        <w:tblPrEx>
          <w:tblCellMar>
            <w:top w:w="0" w:type="dxa"/>
            <w:left w:w="108" w:type="dxa"/>
            <w:bottom w:w="0" w:type="dxa"/>
            <w:right w:w="108" w:type="dxa"/>
          </w:tblCellMar>
        </w:tblPrEx>
        <w:trPr>
          <w:trHeight w:val="681" w:hRule="exact"/>
          <w:jc w:val="center"/>
        </w:trPr>
        <w:tc>
          <w:tcPr>
            <w:tcW w:w="2046" w:type="dxa"/>
            <w:vMerge w:val="continue"/>
            <w:tcBorders>
              <w:top w:val="nil"/>
              <w:left w:val="nil"/>
              <w:bottom w:val="single" w:color="auto" w:sz="4" w:space="0"/>
              <w:right w:val="single" w:color="auto" w:sz="4" w:space="0"/>
            </w:tcBorders>
            <w:noWrap w:val="0"/>
            <w:vAlign w:val="center"/>
          </w:tcPr>
          <w:p w14:paraId="3FE39F38">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488C8734">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Y)</w:t>
            </w:r>
          </w:p>
        </w:tc>
        <w:tc>
          <w:tcPr>
            <w:tcW w:w="602" w:type="dxa"/>
            <w:tcBorders>
              <w:top w:val="nil"/>
              <w:left w:val="nil"/>
              <w:bottom w:val="single" w:color="auto" w:sz="4" w:space="0"/>
              <w:right w:val="single" w:color="auto" w:sz="4" w:space="0"/>
            </w:tcBorders>
            <w:noWrap w:val="0"/>
            <w:vAlign w:val="center"/>
          </w:tcPr>
          <w:p w14:paraId="5DE29480">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44D248F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727" w:type="dxa"/>
            <w:tcBorders>
              <w:top w:val="nil"/>
              <w:left w:val="nil"/>
              <w:bottom w:val="single" w:color="auto" w:sz="4" w:space="0"/>
              <w:right w:val="single" w:color="auto" w:sz="4" w:space="0"/>
            </w:tcBorders>
            <w:noWrap w:val="0"/>
            <w:vAlign w:val="center"/>
          </w:tcPr>
          <w:p w14:paraId="61AE0C2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1000≤Y＜5000 </w:t>
            </w:r>
          </w:p>
        </w:tc>
        <w:tc>
          <w:tcPr>
            <w:tcW w:w="1429" w:type="dxa"/>
            <w:tcBorders>
              <w:top w:val="nil"/>
              <w:left w:val="nil"/>
              <w:bottom w:val="single" w:color="auto" w:sz="4" w:space="0"/>
              <w:right w:val="single" w:color="auto" w:sz="4" w:space="0"/>
            </w:tcBorders>
            <w:noWrap w:val="0"/>
            <w:vAlign w:val="center"/>
          </w:tcPr>
          <w:p w14:paraId="5136025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500≤Y＜1000</w:t>
            </w:r>
          </w:p>
        </w:tc>
        <w:tc>
          <w:tcPr>
            <w:tcW w:w="901" w:type="dxa"/>
            <w:tcBorders>
              <w:top w:val="nil"/>
              <w:left w:val="nil"/>
              <w:bottom w:val="single" w:color="auto" w:sz="4" w:space="0"/>
              <w:right w:val="nil"/>
            </w:tcBorders>
            <w:noWrap w:val="0"/>
            <w:vAlign w:val="center"/>
          </w:tcPr>
          <w:p w14:paraId="4AE52CB1">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w:t>
            </w:r>
          </w:p>
        </w:tc>
      </w:tr>
      <w:tr w14:paraId="7E5C7850">
        <w:tblPrEx>
          <w:tblCellMar>
            <w:top w:w="0" w:type="dxa"/>
            <w:left w:w="108" w:type="dxa"/>
            <w:bottom w:w="0" w:type="dxa"/>
            <w:right w:w="108" w:type="dxa"/>
          </w:tblCellMar>
        </w:tblPrEx>
        <w:trPr>
          <w:trHeight w:val="681" w:hRule="exact"/>
          <w:jc w:val="center"/>
        </w:trPr>
        <w:tc>
          <w:tcPr>
            <w:tcW w:w="2046" w:type="dxa"/>
            <w:vMerge w:val="restart"/>
            <w:tcBorders>
              <w:top w:val="nil"/>
              <w:left w:val="nil"/>
              <w:bottom w:val="single" w:color="auto" w:sz="4" w:space="0"/>
              <w:right w:val="single" w:color="auto" w:sz="4" w:space="0"/>
            </w:tcBorders>
            <w:noWrap w:val="0"/>
            <w:vAlign w:val="center"/>
          </w:tcPr>
          <w:p w14:paraId="67E4CA4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341" w:type="dxa"/>
            <w:tcBorders>
              <w:top w:val="nil"/>
              <w:left w:val="nil"/>
              <w:bottom w:val="nil"/>
              <w:right w:val="single" w:color="auto" w:sz="4" w:space="0"/>
            </w:tcBorders>
            <w:noWrap w:val="0"/>
            <w:vAlign w:val="center"/>
          </w:tcPr>
          <w:p w14:paraId="150CBE8E">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nil"/>
              <w:right w:val="single" w:color="auto" w:sz="4" w:space="0"/>
            </w:tcBorders>
            <w:noWrap w:val="0"/>
            <w:vAlign w:val="center"/>
          </w:tcPr>
          <w:p w14:paraId="321E89A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nil"/>
              <w:right w:val="single" w:color="auto" w:sz="4" w:space="0"/>
            </w:tcBorders>
            <w:noWrap w:val="0"/>
            <w:vAlign w:val="center"/>
          </w:tcPr>
          <w:p w14:paraId="7B31412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27" w:type="dxa"/>
            <w:tcBorders>
              <w:top w:val="nil"/>
              <w:left w:val="nil"/>
              <w:bottom w:val="nil"/>
              <w:right w:val="single" w:color="auto" w:sz="4" w:space="0"/>
            </w:tcBorders>
            <w:noWrap w:val="0"/>
            <w:vAlign w:val="center"/>
          </w:tcPr>
          <w:p w14:paraId="5ACEB3C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9" w:type="dxa"/>
            <w:tcBorders>
              <w:top w:val="nil"/>
              <w:left w:val="nil"/>
              <w:bottom w:val="nil"/>
              <w:right w:val="single" w:color="auto" w:sz="4" w:space="0"/>
            </w:tcBorders>
            <w:noWrap w:val="0"/>
            <w:vAlign w:val="center"/>
          </w:tcPr>
          <w:p w14:paraId="38AD4382">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01" w:type="dxa"/>
            <w:tcBorders>
              <w:top w:val="nil"/>
              <w:left w:val="nil"/>
              <w:bottom w:val="nil"/>
              <w:right w:val="nil"/>
            </w:tcBorders>
            <w:noWrap w:val="0"/>
            <w:vAlign w:val="center"/>
          </w:tcPr>
          <w:p w14:paraId="7B1BBDEB">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439CF58B">
        <w:tblPrEx>
          <w:tblCellMar>
            <w:top w:w="0" w:type="dxa"/>
            <w:left w:w="108" w:type="dxa"/>
            <w:bottom w:w="0" w:type="dxa"/>
            <w:right w:w="108" w:type="dxa"/>
          </w:tblCellMar>
        </w:tblPrEx>
        <w:trPr>
          <w:trHeight w:val="681" w:hRule="exact"/>
          <w:jc w:val="center"/>
        </w:trPr>
        <w:tc>
          <w:tcPr>
            <w:tcW w:w="2046" w:type="dxa"/>
            <w:vMerge w:val="continue"/>
            <w:tcBorders>
              <w:top w:val="nil"/>
              <w:left w:val="nil"/>
              <w:bottom w:val="single" w:color="auto" w:sz="4" w:space="0"/>
              <w:right w:val="single" w:color="auto" w:sz="4" w:space="0"/>
            </w:tcBorders>
            <w:noWrap w:val="0"/>
            <w:vAlign w:val="center"/>
          </w:tcPr>
          <w:p w14:paraId="1587A9A5">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p>
        </w:tc>
        <w:tc>
          <w:tcPr>
            <w:tcW w:w="1341" w:type="dxa"/>
            <w:tcBorders>
              <w:top w:val="nil"/>
              <w:left w:val="nil"/>
              <w:bottom w:val="single" w:color="auto" w:sz="4" w:space="0"/>
              <w:right w:val="single" w:color="auto" w:sz="4" w:space="0"/>
            </w:tcBorders>
            <w:noWrap w:val="0"/>
            <w:vAlign w:val="center"/>
          </w:tcPr>
          <w:p w14:paraId="63BACD8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Z)</w:t>
            </w:r>
          </w:p>
        </w:tc>
        <w:tc>
          <w:tcPr>
            <w:tcW w:w="602" w:type="dxa"/>
            <w:tcBorders>
              <w:top w:val="nil"/>
              <w:left w:val="nil"/>
              <w:bottom w:val="single" w:color="auto" w:sz="4" w:space="0"/>
              <w:right w:val="single" w:color="auto" w:sz="4" w:space="0"/>
            </w:tcBorders>
            <w:noWrap w:val="0"/>
            <w:vAlign w:val="center"/>
          </w:tcPr>
          <w:p w14:paraId="4F391A3D">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10" w:type="dxa"/>
            <w:tcBorders>
              <w:top w:val="nil"/>
              <w:left w:val="nil"/>
              <w:bottom w:val="single" w:color="auto" w:sz="4" w:space="0"/>
              <w:right w:val="single" w:color="auto" w:sz="4" w:space="0"/>
            </w:tcBorders>
            <w:noWrap w:val="0"/>
            <w:vAlign w:val="center"/>
          </w:tcPr>
          <w:p w14:paraId="1F0E0900">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727" w:type="dxa"/>
            <w:tcBorders>
              <w:top w:val="nil"/>
              <w:left w:val="nil"/>
              <w:bottom w:val="single" w:color="auto" w:sz="4" w:space="0"/>
              <w:right w:val="single" w:color="auto" w:sz="4" w:space="0"/>
            </w:tcBorders>
            <w:noWrap w:val="0"/>
            <w:vAlign w:val="center"/>
          </w:tcPr>
          <w:p w14:paraId="0417C83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8000≤Z＜120000</w:t>
            </w:r>
          </w:p>
        </w:tc>
        <w:tc>
          <w:tcPr>
            <w:tcW w:w="1429" w:type="dxa"/>
            <w:tcBorders>
              <w:top w:val="nil"/>
              <w:left w:val="nil"/>
              <w:bottom w:val="single" w:color="auto" w:sz="4" w:space="0"/>
              <w:right w:val="single" w:color="auto" w:sz="4" w:space="0"/>
            </w:tcBorders>
            <w:noWrap w:val="0"/>
            <w:vAlign w:val="center"/>
          </w:tcPr>
          <w:p w14:paraId="4ECFB8C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100≤Z＜8000</w:t>
            </w:r>
          </w:p>
        </w:tc>
        <w:tc>
          <w:tcPr>
            <w:tcW w:w="901" w:type="dxa"/>
            <w:tcBorders>
              <w:top w:val="nil"/>
              <w:left w:val="nil"/>
              <w:bottom w:val="single" w:color="auto" w:sz="4" w:space="0"/>
              <w:right w:val="nil"/>
            </w:tcBorders>
            <w:noWrap w:val="0"/>
            <w:vAlign w:val="center"/>
          </w:tcPr>
          <w:p w14:paraId="61E6F356">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w:t>
            </w:r>
          </w:p>
        </w:tc>
      </w:tr>
      <w:tr w14:paraId="31768FE7">
        <w:tblPrEx>
          <w:tblCellMar>
            <w:top w:w="0" w:type="dxa"/>
            <w:left w:w="108" w:type="dxa"/>
            <w:bottom w:w="0" w:type="dxa"/>
            <w:right w:w="108" w:type="dxa"/>
          </w:tblCellMar>
        </w:tblPrEx>
        <w:trPr>
          <w:trHeight w:val="862" w:hRule="exact"/>
          <w:jc w:val="center"/>
        </w:trPr>
        <w:tc>
          <w:tcPr>
            <w:tcW w:w="2046" w:type="dxa"/>
            <w:tcBorders>
              <w:top w:val="nil"/>
              <w:left w:val="nil"/>
              <w:bottom w:val="single" w:color="auto" w:sz="4" w:space="0"/>
              <w:right w:val="single" w:color="auto" w:sz="4" w:space="0"/>
            </w:tcBorders>
            <w:noWrap w:val="0"/>
            <w:vAlign w:val="center"/>
          </w:tcPr>
          <w:p w14:paraId="370ED18C">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 *</w:t>
            </w:r>
          </w:p>
        </w:tc>
        <w:tc>
          <w:tcPr>
            <w:tcW w:w="1341" w:type="dxa"/>
            <w:tcBorders>
              <w:top w:val="nil"/>
              <w:left w:val="nil"/>
              <w:bottom w:val="single" w:color="auto" w:sz="4" w:space="0"/>
              <w:right w:val="single" w:color="auto" w:sz="4" w:space="0"/>
            </w:tcBorders>
            <w:noWrap w:val="0"/>
            <w:vAlign w:val="center"/>
          </w:tcPr>
          <w:p w14:paraId="7B4FF4D0">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X)</w:t>
            </w:r>
          </w:p>
        </w:tc>
        <w:tc>
          <w:tcPr>
            <w:tcW w:w="602" w:type="dxa"/>
            <w:tcBorders>
              <w:top w:val="nil"/>
              <w:left w:val="nil"/>
              <w:bottom w:val="single" w:color="auto" w:sz="4" w:space="0"/>
              <w:right w:val="single" w:color="auto" w:sz="4" w:space="0"/>
            </w:tcBorders>
            <w:noWrap w:val="0"/>
            <w:vAlign w:val="center"/>
          </w:tcPr>
          <w:p w14:paraId="50C88383">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10" w:type="dxa"/>
            <w:tcBorders>
              <w:top w:val="nil"/>
              <w:left w:val="nil"/>
              <w:bottom w:val="single" w:color="auto" w:sz="4" w:space="0"/>
              <w:right w:val="single" w:color="auto" w:sz="4" w:space="0"/>
            </w:tcBorders>
            <w:noWrap w:val="0"/>
            <w:vAlign w:val="center"/>
          </w:tcPr>
          <w:p w14:paraId="75B29320">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27" w:type="dxa"/>
            <w:tcBorders>
              <w:top w:val="nil"/>
              <w:left w:val="nil"/>
              <w:bottom w:val="single" w:color="auto" w:sz="4" w:space="0"/>
              <w:right w:val="single" w:color="auto" w:sz="4" w:space="0"/>
            </w:tcBorders>
            <w:noWrap w:val="0"/>
            <w:vAlign w:val="center"/>
          </w:tcPr>
          <w:p w14:paraId="4C9F907E">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9" w:type="dxa"/>
            <w:tcBorders>
              <w:top w:val="nil"/>
              <w:left w:val="nil"/>
              <w:bottom w:val="single" w:color="auto" w:sz="4" w:space="0"/>
              <w:right w:val="single" w:color="auto" w:sz="4" w:space="0"/>
            </w:tcBorders>
            <w:noWrap w:val="0"/>
            <w:vAlign w:val="center"/>
          </w:tcPr>
          <w:p w14:paraId="3205BB3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01" w:type="dxa"/>
            <w:tcBorders>
              <w:top w:val="nil"/>
              <w:left w:val="nil"/>
              <w:bottom w:val="single" w:color="auto" w:sz="4" w:space="0"/>
              <w:right w:val="nil"/>
            </w:tcBorders>
            <w:noWrap w:val="0"/>
            <w:vAlign w:val="center"/>
          </w:tcPr>
          <w:p w14:paraId="3E7AEF47">
            <w:pPr>
              <w:keepNext w:val="0"/>
              <w:keepLines w:val="0"/>
              <w:pageBreakBefore w:val="0"/>
              <w:widowControl w:val="0"/>
              <w:shd w:val="clear"/>
              <w:kinsoku/>
              <w:wordWrap/>
              <w:overflowPunct/>
              <w:topLinePunct w:val="0"/>
              <w:bidi w:val="0"/>
              <w:adjustRightInd/>
              <w:snapToGrid/>
              <w:spacing w:line="42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bl>
    <w:p w14:paraId="67DE07D4">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67079E50">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w:t>
      </w:r>
      <w:r>
        <w:rPr>
          <w:rFonts w:hint="eastAsia" w:ascii="宋体" w:hAnsi="宋体" w:cs="宋体"/>
          <w:color w:val="auto"/>
          <w:sz w:val="21"/>
          <w:szCs w:val="21"/>
          <w:highlight w:val="none"/>
          <w:lang w:eastAsia="zh-CN"/>
        </w:rPr>
        <w:t>只需</w:t>
      </w:r>
      <w:r>
        <w:rPr>
          <w:rFonts w:hint="eastAsia" w:ascii="宋体" w:hAnsi="宋体" w:eastAsia="宋体" w:cs="宋体"/>
          <w:color w:val="auto"/>
          <w:sz w:val="21"/>
          <w:szCs w:val="21"/>
          <w:highlight w:val="none"/>
        </w:rPr>
        <w:t>满足所列指标中的一项即可。</w:t>
      </w:r>
    </w:p>
    <w:p w14:paraId="0D076F17">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B0675BB">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8FB2AD">
      <w:pPr>
        <w:pStyle w:val="30"/>
        <w:keepLines w:val="0"/>
        <w:pageBreakBefore w:val="0"/>
        <w:widowControl w:val="0"/>
        <w:shd w:val="clear"/>
        <w:kinsoku/>
        <w:wordWrap/>
        <w:topLinePunct w:val="0"/>
        <w:autoSpaceDE/>
        <w:autoSpaceDN/>
        <w:bidi w:val="0"/>
        <w:snapToGrid/>
        <w:spacing w:line="42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监狱企业 </w:t>
      </w:r>
    </w:p>
    <w:p w14:paraId="6F91AFC0">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 </w:t>
      </w:r>
    </w:p>
    <w:p w14:paraId="534DF0D9">
      <w:pPr>
        <w:pStyle w:val="30"/>
        <w:keepLines w:val="0"/>
        <w:pageBreakBefore w:val="0"/>
        <w:widowControl w:val="0"/>
        <w:shd w:val="clear"/>
        <w:kinsoku/>
        <w:wordWrap/>
        <w:topLinePunct w:val="0"/>
        <w:autoSpaceDE/>
        <w:autoSpaceDN/>
        <w:bidi w:val="0"/>
        <w:snapToGrid/>
        <w:spacing w:line="42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残疾人福利性单位 </w:t>
      </w:r>
    </w:p>
    <w:p w14:paraId="45F1D98E">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根据《财政部 民政部 中国残疾人联合会关于促进残疾人就业政府采购政策的通知》，享受政府采购支持政策的残疾人福利性单位应当同时满足以下条件： </w:t>
      </w:r>
    </w:p>
    <w:p w14:paraId="27BFC770">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安置的残疾人占本单位在职职工人数的比例不低于 25%（含 25%），并且安置的残疾人人数不少于 10 人（含 10 人）； </w:t>
      </w:r>
    </w:p>
    <w:p w14:paraId="5268F480">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依法与安置的每位残疾人签订了一年以上（含一年）的劳动合同或服务协议； </w:t>
      </w:r>
    </w:p>
    <w:p w14:paraId="2C41BFC2">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为安置的每位残疾人按月足额</w:t>
      </w:r>
      <w:r>
        <w:rPr>
          <w:rFonts w:hint="eastAsia" w:ascii="宋体" w:hAnsi="宋体" w:cs="宋体"/>
          <w:color w:val="auto"/>
          <w:sz w:val="21"/>
          <w:szCs w:val="21"/>
          <w:highlight w:val="none"/>
          <w:lang w:eastAsia="zh-CN"/>
        </w:rPr>
        <w:t>交纳</w:t>
      </w:r>
      <w:r>
        <w:rPr>
          <w:rFonts w:hint="eastAsia" w:ascii="宋体" w:hAnsi="宋体" w:eastAsia="宋体" w:cs="宋体"/>
          <w:color w:val="auto"/>
          <w:sz w:val="21"/>
          <w:szCs w:val="21"/>
          <w:highlight w:val="none"/>
        </w:rPr>
        <w:t xml:space="preserve">了基本养老保险、基本医疗保险、失业保险、工伤保险和生育保险等社会保险费； </w:t>
      </w:r>
    </w:p>
    <w:p w14:paraId="314B89F6">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通过银行等金融机构向安置的每位残疾人，按月支付了不低于单位所在区县适用的经省级人民政府批准的月最低工资标准的工资； </w:t>
      </w:r>
    </w:p>
    <w:p w14:paraId="1863DECB">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提供本单位制造的货物、承担的工程或者服务（以下简称产品），或者提供其他残疾人福利性单位制造的货物（不包括使用非残疾人福利性单位注册商标的货物）。 </w:t>
      </w:r>
    </w:p>
    <w:p w14:paraId="4866E170">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 </w:t>
      </w:r>
    </w:p>
    <w:p w14:paraId="7DAE4254">
      <w:pPr>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31.2</w:t>
      </w:r>
      <w:r>
        <w:rPr>
          <w:rFonts w:hint="eastAsia" w:ascii="宋体" w:hAnsi="宋体" w:eastAsia="宋体" w:cs="宋体"/>
          <w:color w:val="auto"/>
          <w:sz w:val="21"/>
          <w:szCs w:val="21"/>
          <w:highlight w:val="none"/>
        </w:rPr>
        <w:t xml:space="preserve">符合条件的残疾人福利性单位在参加政府采购活动时，应当提供《残疾人福利性单位声明函》，并对声明的真实性负责。 </w:t>
      </w:r>
    </w:p>
    <w:p w14:paraId="6CE1187A">
      <w:pPr>
        <w:pStyle w:val="30"/>
        <w:keepLines w:val="0"/>
        <w:pageBreakBefore w:val="0"/>
        <w:widowControl w:val="0"/>
        <w:shd w:val="clear"/>
        <w:kinsoku/>
        <w:wordWrap/>
        <w:topLinePunct w:val="0"/>
        <w:autoSpaceDE/>
        <w:autoSpaceDN/>
        <w:bidi w:val="0"/>
        <w:snapToGrid/>
        <w:spacing w:line="42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节能产品</w:t>
      </w:r>
    </w:p>
    <w:p w14:paraId="1893AFD9">
      <w:pPr>
        <w:pageBreakBefore w:val="0"/>
        <w:widowControl w:val="0"/>
        <w:numPr>
          <w:ilvl w:val="0"/>
          <w:numId w:val="0"/>
        </w:numPr>
        <w:shd w:val="clear"/>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国家公布的节能产品政府采购清单中属于强制采购的产品，予以强制采购。属于非强制采购的产品，在技术、服务等指标同等条件下，予以优先采购。执行政策文件：《国务院办公厅关于建立政府强制采购节能产品制度的通知》（国办发〔2007〕51号）等文件、财库〔2019〕19号文件。</w:t>
      </w:r>
    </w:p>
    <w:p w14:paraId="3495A467">
      <w:pPr>
        <w:pStyle w:val="30"/>
        <w:keepLines w:val="0"/>
        <w:pageBreakBefore w:val="0"/>
        <w:widowControl w:val="0"/>
        <w:shd w:val="clear"/>
        <w:kinsoku/>
        <w:wordWrap/>
        <w:topLinePunct w:val="0"/>
        <w:autoSpaceDE/>
        <w:autoSpaceDN/>
        <w:bidi w:val="0"/>
        <w:snapToGrid/>
        <w:spacing w:line="42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鼓励环保政策 </w:t>
      </w:r>
    </w:p>
    <w:p w14:paraId="0A0B9085">
      <w:pPr>
        <w:pageBreakBefore w:val="0"/>
        <w:widowControl w:val="0"/>
        <w:numPr>
          <w:ilvl w:val="0"/>
          <w:numId w:val="0"/>
        </w:numPr>
        <w:shd w:val="clear"/>
        <w:kinsoku/>
        <w:wordWrap/>
        <w:overflowPunct/>
        <w:topLinePunct w:val="0"/>
        <w:autoSpaceDE w:val="0"/>
        <w:autoSpaceDN w:val="0"/>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在技术、服务等指标同等条件下，优先采购国家公布的属于环境标志产品政府采购清单中产品。执行政策文件：《财政部 环保总局关于环境标志产品政府采购实施的意见》（财库〔2006〕90号）</w:t>
      </w:r>
      <w:r>
        <w:rPr>
          <w:rFonts w:hint="eastAsia" w:ascii="宋体" w:hAnsi="宋体" w:cs="宋体"/>
          <w:color w:val="auto"/>
          <w:sz w:val="21"/>
          <w:szCs w:val="21"/>
          <w:highlight w:val="none"/>
          <w:lang w:eastAsia="zh-CN"/>
        </w:rPr>
        <w:t>等文件</w:t>
      </w:r>
      <w:r>
        <w:rPr>
          <w:rFonts w:hint="eastAsia" w:ascii="宋体" w:hAnsi="宋体" w:eastAsia="宋体" w:cs="宋体"/>
          <w:color w:val="auto"/>
          <w:sz w:val="21"/>
          <w:szCs w:val="21"/>
          <w:highlight w:val="none"/>
          <w:lang w:eastAsia="zh-CN"/>
        </w:rPr>
        <w:t>。</w:t>
      </w:r>
    </w:p>
    <w:p w14:paraId="367CECEB">
      <w:pPr>
        <w:widowControl w:val="0"/>
        <w:snapToGrid w:val="0"/>
        <w:spacing w:line="300" w:lineRule="auto"/>
        <w:jc w:val="center"/>
        <w:rPr>
          <w:rFonts w:ascii="宋体" w:hAnsi="宋体" w:cs="宋体"/>
        </w:rPr>
      </w:pPr>
    </w:p>
    <w:p w14:paraId="559C560A">
      <w:pPr>
        <w:pStyle w:val="23"/>
        <w:widowControl w:val="0"/>
        <w:ind w:left="480"/>
        <w:rPr>
          <w:rFonts w:hint="default" w:hAnsi="宋体" w:cs="宋体"/>
          <w:color w:val="auto"/>
        </w:rPr>
      </w:pPr>
    </w:p>
    <w:p w14:paraId="221CBAD3">
      <w:pPr>
        <w:pStyle w:val="23"/>
        <w:widowControl w:val="0"/>
        <w:ind w:left="480"/>
        <w:rPr>
          <w:rFonts w:hint="default" w:hAnsi="宋体" w:cs="宋体"/>
          <w:color w:val="auto"/>
        </w:rPr>
      </w:pPr>
    </w:p>
    <w:p w14:paraId="6DEE2F52">
      <w:pPr>
        <w:pStyle w:val="23"/>
        <w:widowControl w:val="0"/>
        <w:ind w:left="480"/>
        <w:rPr>
          <w:rFonts w:hint="default" w:hAnsi="宋体" w:cs="宋体"/>
          <w:color w:val="auto"/>
        </w:rPr>
      </w:pPr>
    </w:p>
    <w:p w14:paraId="73B33E58">
      <w:pPr>
        <w:pStyle w:val="23"/>
        <w:widowControl w:val="0"/>
        <w:ind w:left="480"/>
        <w:rPr>
          <w:rFonts w:hint="default" w:hAnsi="宋体" w:cs="宋体"/>
          <w:color w:val="auto"/>
        </w:rPr>
      </w:pPr>
    </w:p>
    <w:p w14:paraId="1E57FA38">
      <w:pPr>
        <w:pStyle w:val="23"/>
        <w:widowControl w:val="0"/>
        <w:ind w:left="480"/>
        <w:rPr>
          <w:rFonts w:hint="default" w:hAnsi="宋体" w:cs="宋体"/>
          <w:color w:val="auto"/>
        </w:rPr>
      </w:pPr>
    </w:p>
    <w:p w14:paraId="24F4EF29">
      <w:pPr>
        <w:pStyle w:val="23"/>
        <w:widowControl w:val="0"/>
        <w:ind w:left="480"/>
        <w:rPr>
          <w:rFonts w:hint="default" w:hAnsi="宋体" w:cs="宋体"/>
          <w:color w:val="auto"/>
        </w:rPr>
      </w:pPr>
    </w:p>
    <w:p w14:paraId="23A158C9">
      <w:pPr>
        <w:pStyle w:val="23"/>
        <w:widowControl w:val="0"/>
        <w:ind w:left="480"/>
        <w:rPr>
          <w:rFonts w:hint="default" w:hAnsi="宋体" w:cs="宋体"/>
          <w:color w:val="auto"/>
        </w:rPr>
      </w:pPr>
    </w:p>
    <w:p w14:paraId="3F69EF45">
      <w:pPr>
        <w:pStyle w:val="23"/>
        <w:widowControl w:val="0"/>
        <w:ind w:left="480"/>
        <w:rPr>
          <w:rFonts w:hint="default" w:hAnsi="宋体" w:cs="宋体"/>
          <w:color w:val="auto"/>
        </w:rPr>
      </w:pPr>
    </w:p>
    <w:p w14:paraId="6F571CFC">
      <w:pPr>
        <w:pStyle w:val="23"/>
        <w:widowControl w:val="0"/>
        <w:ind w:left="480"/>
        <w:rPr>
          <w:rFonts w:hint="default" w:hAnsi="宋体" w:cs="宋体"/>
          <w:color w:val="auto"/>
        </w:rPr>
      </w:pPr>
    </w:p>
    <w:p w14:paraId="4196E57F">
      <w:pPr>
        <w:pStyle w:val="23"/>
        <w:widowControl w:val="0"/>
        <w:ind w:left="480"/>
        <w:rPr>
          <w:rFonts w:hint="default" w:hAnsi="宋体" w:cs="宋体"/>
          <w:color w:val="auto"/>
        </w:rPr>
      </w:pPr>
    </w:p>
    <w:p w14:paraId="2CDBDB8C">
      <w:pPr>
        <w:pStyle w:val="23"/>
        <w:widowControl w:val="0"/>
        <w:ind w:left="480"/>
        <w:rPr>
          <w:rFonts w:hint="default" w:hAnsi="宋体" w:cs="宋体"/>
          <w:color w:val="auto"/>
        </w:rPr>
      </w:pPr>
    </w:p>
    <w:p w14:paraId="2FE5CD00">
      <w:pPr>
        <w:pStyle w:val="23"/>
        <w:widowControl w:val="0"/>
        <w:ind w:left="480"/>
        <w:rPr>
          <w:rFonts w:hint="default" w:hAnsi="宋体" w:cs="宋体"/>
          <w:color w:val="auto"/>
        </w:rPr>
      </w:pPr>
    </w:p>
    <w:p w14:paraId="300DF72E">
      <w:pPr>
        <w:pStyle w:val="23"/>
        <w:widowControl w:val="0"/>
        <w:ind w:left="480"/>
        <w:rPr>
          <w:rFonts w:hint="default" w:hAnsi="宋体" w:cs="宋体"/>
          <w:color w:val="auto"/>
        </w:rPr>
      </w:pPr>
    </w:p>
    <w:p w14:paraId="272491B0">
      <w:pPr>
        <w:pStyle w:val="23"/>
        <w:widowControl w:val="0"/>
        <w:ind w:left="480"/>
        <w:rPr>
          <w:rFonts w:hint="default" w:hAnsi="宋体" w:cs="宋体"/>
          <w:color w:val="auto"/>
        </w:rPr>
      </w:pPr>
    </w:p>
    <w:p w14:paraId="5BF74F45">
      <w:pPr>
        <w:widowControl w:val="0"/>
        <w:snapToGrid w:val="0"/>
        <w:spacing w:line="300" w:lineRule="auto"/>
        <w:jc w:val="center"/>
        <w:rPr>
          <w:rFonts w:ascii="宋体" w:hAnsi="宋体" w:cs="宋体"/>
        </w:rPr>
      </w:pPr>
    </w:p>
    <w:p w14:paraId="26BC268A">
      <w:pPr>
        <w:widowControl w:val="0"/>
        <w:snapToGrid w:val="0"/>
        <w:spacing w:line="300" w:lineRule="auto"/>
        <w:jc w:val="center"/>
        <w:rPr>
          <w:rFonts w:ascii="宋体" w:hAnsi="宋体" w:cs="宋体"/>
        </w:rPr>
      </w:pPr>
    </w:p>
    <w:p w14:paraId="31EFF2DD">
      <w:pPr>
        <w:widowControl w:val="0"/>
        <w:jc w:val="center"/>
        <w:outlineLvl w:val="0"/>
        <w:rPr>
          <w:rFonts w:hint="eastAsia" w:ascii="宋体" w:hAnsi="宋体" w:cs="宋体"/>
          <w:b/>
          <w:bCs/>
          <w:sz w:val="48"/>
          <w:szCs w:val="48"/>
        </w:rPr>
      </w:pPr>
      <w:bookmarkStart w:id="77" w:name="_Toc31416"/>
      <w:bookmarkStart w:id="78" w:name="_Toc66457126"/>
      <w:bookmarkStart w:id="79" w:name="_Toc19814"/>
      <w:bookmarkStart w:id="80" w:name="_Toc66736814"/>
      <w:bookmarkStart w:id="81" w:name="_Toc331341767"/>
      <w:bookmarkStart w:id="82" w:name="_Toc331427672"/>
      <w:bookmarkStart w:id="83" w:name="_Toc508109940"/>
      <w:bookmarkStart w:id="84" w:name="_Toc508110229"/>
    </w:p>
    <w:p w14:paraId="63D43724">
      <w:pPr>
        <w:widowControl w:val="0"/>
        <w:jc w:val="center"/>
        <w:outlineLvl w:val="0"/>
        <w:rPr>
          <w:rFonts w:hint="eastAsia" w:ascii="宋体" w:hAnsi="宋体" w:cs="宋体"/>
          <w:b/>
          <w:bCs/>
          <w:sz w:val="48"/>
          <w:szCs w:val="48"/>
        </w:rPr>
      </w:pPr>
    </w:p>
    <w:p w14:paraId="3E630C10">
      <w:pPr>
        <w:widowControl w:val="0"/>
        <w:jc w:val="center"/>
        <w:outlineLvl w:val="0"/>
        <w:rPr>
          <w:rFonts w:hint="eastAsia" w:ascii="宋体" w:hAnsi="宋体" w:cs="宋体"/>
          <w:b/>
          <w:bCs/>
          <w:sz w:val="48"/>
          <w:szCs w:val="48"/>
        </w:rPr>
      </w:pPr>
    </w:p>
    <w:p w14:paraId="74AD998C">
      <w:pPr>
        <w:widowControl w:val="0"/>
        <w:jc w:val="center"/>
        <w:outlineLvl w:val="0"/>
        <w:rPr>
          <w:rFonts w:hint="eastAsia" w:ascii="宋体" w:hAnsi="宋体" w:cs="宋体"/>
          <w:b/>
          <w:bCs/>
          <w:sz w:val="48"/>
          <w:szCs w:val="48"/>
        </w:rPr>
      </w:pPr>
    </w:p>
    <w:p w14:paraId="5980AA70">
      <w:pPr>
        <w:widowControl w:val="0"/>
        <w:jc w:val="center"/>
        <w:outlineLvl w:val="0"/>
        <w:rPr>
          <w:rFonts w:hint="eastAsia" w:ascii="宋体" w:hAnsi="宋体" w:cs="宋体"/>
          <w:b/>
          <w:bCs/>
          <w:sz w:val="48"/>
          <w:szCs w:val="48"/>
        </w:rPr>
      </w:pPr>
    </w:p>
    <w:p w14:paraId="4BAB54FE">
      <w:pPr>
        <w:widowControl w:val="0"/>
        <w:jc w:val="center"/>
        <w:outlineLvl w:val="0"/>
        <w:rPr>
          <w:rFonts w:hint="eastAsia" w:ascii="宋体" w:hAnsi="宋体" w:cs="宋体"/>
          <w:b/>
          <w:bCs/>
          <w:sz w:val="48"/>
          <w:szCs w:val="48"/>
        </w:rPr>
      </w:pPr>
    </w:p>
    <w:p w14:paraId="6EB467FC">
      <w:pPr>
        <w:widowControl w:val="0"/>
        <w:jc w:val="center"/>
        <w:outlineLvl w:val="0"/>
        <w:rPr>
          <w:rFonts w:hint="eastAsia" w:ascii="宋体" w:hAnsi="宋体" w:cs="宋体"/>
          <w:b/>
          <w:bCs/>
          <w:sz w:val="48"/>
          <w:szCs w:val="48"/>
        </w:rPr>
      </w:pPr>
    </w:p>
    <w:p w14:paraId="6828C74E">
      <w:pPr>
        <w:widowControl w:val="0"/>
        <w:jc w:val="center"/>
        <w:outlineLvl w:val="0"/>
        <w:rPr>
          <w:rFonts w:hint="eastAsia" w:ascii="宋体" w:hAnsi="宋体" w:cs="宋体"/>
          <w:b/>
          <w:bCs/>
          <w:sz w:val="48"/>
          <w:szCs w:val="48"/>
        </w:rPr>
      </w:pPr>
    </w:p>
    <w:p w14:paraId="341E8BC5">
      <w:pPr>
        <w:widowControl w:val="0"/>
        <w:jc w:val="center"/>
        <w:outlineLvl w:val="0"/>
        <w:rPr>
          <w:rFonts w:ascii="宋体" w:hAnsi="宋体" w:cs="宋体"/>
          <w:b/>
          <w:bCs/>
          <w:sz w:val="48"/>
          <w:szCs w:val="48"/>
        </w:rPr>
      </w:pPr>
      <w:r>
        <w:rPr>
          <w:rFonts w:hint="eastAsia" w:ascii="宋体" w:hAnsi="宋体" w:cs="宋体"/>
          <w:b/>
          <w:bCs/>
          <w:sz w:val="48"/>
          <w:szCs w:val="48"/>
        </w:rPr>
        <w:t>第三章  评标办法</w:t>
      </w:r>
      <w:bookmarkEnd w:id="77"/>
      <w:bookmarkEnd w:id="78"/>
      <w:bookmarkEnd w:id="79"/>
      <w:bookmarkEnd w:id="80"/>
      <w:bookmarkEnd w:id="81"/>
      <w:bookmarkEnd w:id="82"/>
      <w:bookmarkEnd w:id="83"/>
      <w:bookmarkEnd w:id="84"/>
    </w:p>
    <w:p w14:paraId="4CEE71D7">
      <w:pPr>
        <w:widowControl w:val="0"/>
        <w:spacing w:line="300" w:lineRule="auto"/>
        <w:rPr>
          <w:rFonts w:ascii="宋体" w:hAnsi="宋体" w:cs="宋体"/>
        </w:rPr>
      </w:pPr>
    </w:p>
    <w:p w14:paraId="77FC7084">
      <w:pPr>
        <w:widowControl w:val="0"/>
        <w:spacing w:before="100" w:beforeAutospacing="1" w:after="100" w:afterAutospacing="1"/>
        <w:jc w:val="center"/>
        <w:rPr>
          <w:rFonts w:ascii="宋体" w:hAnsi="宋体" w:cs="宋体"/>
          <w:b/>
          <w:sz w:val="44"/>
          <w:szCs w:val="44"/>
        </w:rPr>
      </w:pPr>
      <w:bookmarkStart w:id="85" w:name="_Toc331341768"/>
      <w:r>
        <w:rPr>
          <w:rFonts w:hint="eastAsia" w:ascii="宋体" w:hAnsi="宋体" w:cs="宋体"/>
          <w:bCs/>
        </w:rPr>
        <w:br w:type="page"/>
      </w:r>
      <w:bookmarkEnd w:id="85"/>
    </w:p>
    <w:p w14:paraId="37D95BEA">
      <w:pPr>
        <w:widowControl w:val="0"/>
        <w:jc w:val="center"/>
        <w:outlineLvl w:val="1"/>
        <w:rPr>
          <w:rFonts w:hint="eastAsia" w:ascii="宋体" w:hAnsi="宋体" w:cs="宋体"/>
          <w:b/>
          <w:bCs/>
          <w:color w:val="auto"/>
          <w:sz w:val="32"/>
        </w:rPr>
      </w:pPr>
      <w:bookmarkStart w:id="86" w:name="_Toc508109941"/>
      <w:bookmarkStart w:id="87" w:name="_Toc4301"/>
      <w:bookmarkStart w:id="88" w:name="_Toc331341769"/>
      <w:bookmarkStart w:id="89" w:name="_Toc66457127"/>
      <w:bookmarkStart w:id="90" w:name="_Toc66736815"/>
      <w:bookmarkStart w:id="91" w:name="_Toc3401"/>
      <w:bookmarkStart w:id="92" w:name="_Toc518822537"/>
      <w:bookmarkStart w:id="93" w:name="_Toc508110230"/>
      <w:bookmarkStart w:id="94" w:name="_Toc331427673"/>
      <w:bookmarkStart w:id="95" w:name="_Toc331427674"/>
      <w:bookmarkStart w:id="96" w:name="_Toc331341770"/>
      <w:bookmarkStart w:id="97" w:name="_Toc508109942"/>
      <w:bookmarkStart w:id="98" w:name="_Toc508110231"/>
      <w:r>
        <w:rPr>
          <w:rFonts w:hint="eastAsia" w:ascii="宋体" w:hAnsi="宋体" w:cs="宋体"/>
          <w:b/>
          <w:bCs/>
          <w:color w:val="auto"/>
          <w:sz w:val="32"/>
        </w:rPr>
        <w:t>评标办法前附表</w:t>
      </w:r>
      <w:bookmarkEnd w:id="86"/>
      <w:bookmarkEnd w:id="87"/>
      <w:bookmarkEnd w:id="88"/>
      <w:bookmarkEnd w:id="89"/>
      <w:bookmarkEnd w:id="90"/>
      <w:bookmarkEnd w:id="91"/>
      <w:bookmarkEnd w:id="92"/>
      <w:bookmarkEnd w:id="93"/>
      <w:bookmarkEnd w:id="94"/>
    </w:p>
    <w:p w14:paraId="7F0CB073">
      <w:pPr>
        <w:pStyle w:val="23"/>
        <w:ind w:left="0" w:leftChars="0" w:firstLine="0" w:firstLineChars="0"/>
        <w:jc w:val="center"/>
        <w:rPr>
          <w:b/>
          <w:bCs/>
        </w:rPr>
      </w:pPr>
      <w:r>
        <w:rPr>
          <w:rFonts w:hint="eastAsia"/>
          <w:b/>
          <w:bCs/>
          <w:lang w:eastAsia="zh-CN"/>
        </w:rPr>
        <w:t>（</w:t>
      </w:r>
      <w:r>
        <w:rPr>
          <w:rFonts w:hint="eastAsia"/>
          <w:b/>
          <w:bCs/>
        </w:rPr>
        <w:t>综合评分法</w:t>
      </w:r>
      <w:r>
        <w:rPr>
          <w:rFonts w:hint="eastAsia"/>
          <w:b/>
          <w:bCs/>
          <w:lang w:eastAsia="zh-CN"/>
        </w:rPr>
        <w:t>）</w:t>
      </w:r>
    </w:p>
    <w:tbl>
      <w:tblPr>
        <w:tblStyle w:val="51"/>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90"/>
        <w:gridCol w:w="2427"/>
        <w:gridCol w:w="5602"/>
      </w:tblGrid>
      <w:tr w14:paraId="667F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749" w:type="dxa"/>
            <w:gridSpan w:val="2"/>
            <w:vAlign w:val="center"/>
          </w:tcPr>
          <w:p w14:paraId="4240CC5F">
            <w:pPr>
              <w:widowControl w:val="0"/>
              <w:spacing w:before="100" w:beforeAutospacing="1" w:after="100" w:afterAutospacing="1" w:line="380" w:lineRule="exact"/>
              <w:jc w:val="center"/>
              <w:rPr>
                <w:rFonts w:ascii="宋体" w:hAnsi="宋体" w:cs="宋体"/>
                <w:b/>
                <w:bCs/>
              </w:rPr>
            </w:pPr>
            <w:r>
              <w:rPr>
                <w:rFonts w:hint="eastAsia" w:ascii="宋体" w:hAnsi="宋体" w:cs="宋体"/>
                <w:b/>
                <w:bCs/>
              </w:rPr>
              <w:t>条款号</w:t>
            </w:r>
          </w:p>
        </w:tc>
        <w:tc>
          <w:tcPr>
            <w:tcW w:w="2427" w:type="dxa"/>
            <w:vAlign w:val="center"/>
          </w:tcPr>
          <w:p w14:paraId="75C36930">
            <w:pPr>
              <w:widowControl w:val="0"/>
              <w:spacing w:before="100" w:beforeAutospacing="1" w:after="100" w:afterAutospacing="1" w:line="380" w:lineRule="exact"/>
              <w:jc w:val="center"/>
              <w:rPr>
                <w:rFonts w:ascii="宋体" w:hAnsi="宋体" w:cs="宋体"/>
                <w:b/>
                <w:bCs/>
              </w:rPr>
            </w:pPr>
            <w:r>
              <w:rPr>
                <w:rFonts w:hint="eastAsia" w:ascii="宋体" w:hAnsi="宋体" w:cs="宋体"/>
                <w:b/>
                <w:bCs/>
              </w:rPr>
              <w:t>审 查 内 容</w:t>
            </w:r>
          </w:p>
        </w:tc>
        <w:tc>
          <w:tcPr>
            <w:tcW w:w="5602" w:type="dxa"/>
            <w:vAlign w:val="center"/>
          </w:tcPr>
          <w:p w14:paraId="2C30954E">
            <w:pPr>
              <w:widowControl w:val="0"/>
              <w:spacing w:before="100" w:beforeAutospacing="1" w:after="100" w:afterAutospacing="1" w:line="380" w:lineRule="exact"/>
              <w:jc w:val="center"/>
              <w:rPr>
                <w:rFonts w:ascii="宋体" w:hAnsi="宋体" w:cs="宋体"/>
                <w:b/>
                <w:bCs/>
              </w:rPr>
            </w:pPr>
            <w:r>
              <w:rPr>
                <w:rFonts w:hint="eastAsia" w:ascii="宋体" w:hAnsi="宋体" w:cs="宋体"/>
                <w:b/>
                <w:bCs/>
              </w:rPr>
              <w:t>审 查 标 准</w:t>
            </w:r>
          </w:p>
        </w:tc>
      </w:tr>
      <w:tr w14:paraId="68A0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restart"/>
            <w:vAlign w:val="center"/>
          </w:tcPr>
          <w:p w14:paraId="4BE4F825">
            <w:pPr>
              <w:widowControl w:val="0"/>
              <w:spacing w:before="100" w:beforeAutospacing="1" w:after="100" w:afterAutospacing="1" w:line="380" w:lineRule="exact"/>
              <w:jc w:val="center"/>
              <w:rPr>
                <w:rFonts w:ascii="宋体" w:hAnsi="宋体" w:cs="宋体"/>
              </w:rPr>
            </w:pPr>
            <w:r>
              <w:rPr>
                <w:rFonts w:hint="eastAsia" w:ascii="宋体" w:hAnsi="宋体" w:cs="宋体"/>
              </w:rPr>
              <w:t>1</w:t>
            </w:r>
          </w:p>
        </w:tc>
        <w:tc>
          <w:tcPr>
            <w:tcW w:w="990" w:type="dxa"/>
            <w:vMerge w:val="restart"/>
            <w:vAlign w:val="center"/>
          </w:tcPr>
          <w:p w14:paraId="7FC89F2A">
            <w:pPr>
              <w:widowControl w:val="0"/>
              <w:spacing w:before="100" w:beforeAutospacing="1" w:after="100" w:afterAutospacing="1" w:line="380" w:lineRule="exact"/>
              <w:jc w:val="center"/>
              <w:rPr>
                <w:rFonts w:ascii="宋体" w:hAnsi="宋体" w:cs="宋体"/>
              </w:rPr>
            </w:pPr>
            <w:r>
              <w:rPr>
                <w:rFonts w:hint="eastAsia" w:ascii="宋体" w:hAnsi="宋体" w:cs="宋体"/>
              </w:rPr>
              <w:t>资格审查</w:t>
            </w:r>
          </w:p>
        </w:tc>
        <w:tc>
          <w:tcPr>
            <w:tcW w:w="2427" w:type="dxa"/>
            <w:vMerge w:val="restart"/>
            <w:vAlign w:val="center"/>
          </w:tcPr>
          <w:p w14:paraId="32F1B2ED">
            <w:pPr>
              <w:widowControl w:val="0"/>
              <w:spacing w:line="380" w:lineRule="exact"/>
              <w:jc w:val="center"/>
              <w:rPr>
                <w:rFonts w:ascii="宋体" w:hAnsi="宋体" w:cs="宋体"/>
              </w:rPr>
            </w:pPr>
            <w:r>
              <w:rPr>
                <w:rFonts w:hint="eastAsia" w:ascii="宋体" w:hAnsi="宋体" w:cs="宋体"/>
              </w:rPr>
              <w:t>资格条件</w:t>
            </w:r>
          </w:p>
        </w:tc>
        <w:tc>
          <w:tcPr>
            <w:tcW w:w="5602" w:type="dxa"/>
            <w:vAlign w:val="center"/>
          </w:tcPr>
          <w:p w14:paraId="0E57F7DD">
            <w:pPr>
              <w:widowControl w:val="0"/>
              <w:spacing w:before="100" w:beforeAutospacing="1" w:after="100" w:afterAutospacing="1" w:line="380" w:lineRule="exact"/>
              <w:rPr>
                <w:rFonts w:hint="eastAsia" w:ascii="宋体" w:hAnsi="宋体" w:eastAsia="宋体" w:cs="宋体"/>
                <w:lang w:eastAsia="zh-CN"/>
              </w:rPr>
            </w:pPr>
            <w:r>
              <w:rPr>
                <w:rFonts w:hint="eastAsia" w:ascii="宋体" w:hAnsi="宋体" w:cs="宋体"/>
              </w:rPr>
              <w:t>具有独立承担民事责任的能力（提供有效营业执照）</w:t>
            </w:r>
            <w:r>
              <w:rPr>
                <w:rFonts w:hint="eastAsia" w:ascii="宋体" w:hAnsi="宋体" w:cs="宋体"/>
                <w:lang w:eastAsia="zh-CN"/>
              </w:rPr>
              <w:t>。</w:t>
            </w:r>
          </w:p>
        </w:tc>
      </w:tr>
      <w:tr w14:paraId="36AB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vAlign w:val="center"/>
          </w:tcPr>
          <w:p w14:paraId="228E9D25">
            <w:pPr>
              <w:widowControl w:val="0"/>
              <w:spacing w:before="100" w:beforeAutospacing="1" w:after="100" w:afterAutospacing="1" w:line="380" w:lineRule="exact"/>
              <w:jc w:val="center"/>
              <w:rPr>
                <w:rFonts w:ascii="宋体" w:hAnsi="宋体" w:cs="宋体"/>
              </w:rPr>
            </w:pPr>
          </w:p>
        </w:tc>
        <w:tc>
          <w:tcPr>
            <w:tcW w:w="990" w:type="dxa"/>
            <w:vMerge w:val="continue"/>
            <w:vAlign w:val="center"/>
          </w:tcPr>
          <w:p w14:paraId="3981BCA3">
            <w:pPr>
              <w:widowControl w:val="0"/>
              <w:spacing w:before="100" w:beforeAutospacing="1" w:after="100" w:afterAutospacing="1" w:line="380" w:lineRule="exact"/>
              <w:jc w:val="center"/>
              <w:rPr>
                <w:rFonts w:ascii="宋体" w:hAnsi="宋体" w:cs="宋体"/>
              </w:rPr>
            </w:pPr>
          </w:p>
        </w:tc>
        <w:tc>
          <w:tcPr>
            <w:tcW w:w="2427" w:type="dxa"/>
            <w:vMerge w:val="continue"/>
            <w:vAlign w:val="center"/>
          </w:tcPr>
          <w:p w14:paraId="5C7381B9">
            <w:pPr>
              <w:widowControl w:val="0"/>
              <w:spacing w:line="380" w:lineRule="exact"/>
              <w:jc w:val="center"/>
              <w:rPr>
                <w:rFonts w:ascii="宋体" w:hAnsi="宋体" w:cs="宋体"/>
              </w:rPr>
            </w:pPr>
          </w:p>
        </w:tc>
        <w:tc>
          <w:tcPr>
            <w:tcW w:w="5602" w:type="dxa"/>
            <w:vAlign w:val="center"/>
          </w:tcPr>
          <w:p w14:paraId="376F73CD">
            <w:pPr>
              <w:widowControl w:val="0"/>
              <w:spacing w:line="360" w:lineRule="auto"/>
              <w:rPr>
                <w:rFonts w:hint="eastAsia" w:ascii="宋体" w:hAnsi="宋体" w:eastAsia="宋体" w:cs="宋体"/>
                <w:lang w:eastAsia="zh-CN"/>
              </w:rPr>
            </w:pPr>
            <w:r>
              <w:rPr>
                <w:rFonts w:hint="eastAsia" w:ascii="宋体" w:hAnsi="宋体" w:cs="宋体"/>
              </w:rPr>
              <w:t>具有良好的商业信誉和健全的财务会计制度（投标人提供2023年度或2024年度经第三方审计的财务报告及报表或企业自身出具的合法有效的财务报表；投标人成立不足1年的，可提供企业成立至今合法有效的财务资料）</w:t>
            </w:r>
            <w:r>
              <w:rPr>
                <w:rFonts w:hint="eastAsia" w:ascii="宋体" w:hAnsi="宋体" w:cs="宋体"/>
                <w:lang w:eastAsia="zh-CN"/>
              </w:rPr>
              <w:t>。</w:t>
            </w:r>
          </w:p>
        </w:tc>
      </w:tr>
      <w:tr w14:paraId="75BD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vAlign w:val="center"/>
          </w:tcPr>
          <w:p w14:paraId="684D8040">
            <w:pPr>
              <w:widowControl w:val="0"/>
              <w:spacing w:before="100" w:beforeAutospacing="1" w:after="100" w:afterAutospacing="1" w:line="380" w:lineRule="exact"/>
              <w:rPr>
                <w:rFonts w:ascii="宋体" w:hAnsi="宋体" w:cs="宋体"/>
              </w:rPr>
            </w:pPr>
          </w:p>
        </w:tc>
        <w:tc>
          <w:tcPr>
            <w:tcW w:w="990" w:type="dxa"/>
            <w:vMerge w:val="continue"/>
            <w:vAlign w:val="center"/>
          </w:tcPr>
          <w:p w14:paraId="27D1645E">
            <w:pPr>
              <w:widowControl w:val="0"/>
              <w:spacing w:before="100" w:beforeAutospacing="1" w:after="100" w:afterAutospacing="1" w:line="380" w:lineRule="exact"/>
              <w:rPr>
                <w:rFonts w:ascii="宋体" w:hAnsi="宋体" w:cs="宋体"/>
              </w:rPr>
            </w:pPr>
          </w:p>
        </w:tc>
        <w:tc>
          <w:tcPr>
            <w:tcW w:w="2427" w:type="dxa"/>
            <w:vMerge w:val="continue"/>
            <w:vAlign w:val="center"/>
          </w:tcPr>
          <w:p w14:paraId="4E3B12E7">
            <w:pPr>
              <w:widowControl w:val="0"/>
              <w:spacing w:line="380" w:lineRule="exact"/>
              <w:jc w:val="center"/>
              <w:rPr>
                <w:rFonts w:ascii="宋体" w:hAnsi="宋体" w:cs="宋体"/>
              </w:rPr>
            </w:pPr>
          </w:p>
        </w:tc>
        <w:tc>
          <w:tcPr>
            <w:tcW w:w="5602" w:type="dxa"/>
            <w:vAlign w:val="center"/>
          </w:tcPr>
          <w:p w14:paraId="50712B4B">
            <w:pPr>
              <w:widowControl w:val="0"/>
              <w:spacing w:before="100" w:beforeAutospacing="1" w:after="100" w:afterAutospacing="1" w:line="380" w:lineRule="exact"/>
              <w:rPr>
                <w:rFonts w:hint="eastAsia" w:ascii="宋体" w:hAnsi="宋体" w:eastAsia="宋体" w:cs="宋体"/>
                <w:lang w:eastAsia="zh-CN"/>
              </w:rPr>
            </w:pPr>
            <w:r>
              <w:rPr>
                <w:rFonts w:hint="eastAsia" w:ascii="宋体" w:hAnsi="宋体" w:cs="宋体"/>
                <w:lang w:eastAsia="zh-CN"/>
              </w:rPr>
              <w:t>具有履行合同所必需的设备和专业技术能力（提供书面声明）。</w:t>
            </w:r>
          </w:p>
        </w:tc>
      </w:tr>
      <w:tr w14:paraId="3616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vAlign w:val="center"/>
          </w:tcPr>
          <w:p w14:paraId="0831B957">
            <w:pPr>
              <w:widowControl w:val="0"/>
              <w:spacing w:before="100" w:beforeAutospacing="1" w:after="100" w:afterAutospacing="1" w:line="380" w:lineRule="exact"/>
              <w:rPr>
                <w:rFonts w:ascii="宋体" w:hAnsi="宋体" w:cs="宋体"/>
              </w:rPr>
            </w:pPr>
          </w:p>
        </w:tc>
        <w:tc>
          <w:tcPr>
            <w:tcW w:w="990" w:type="dxa"/>
            <w:vMerge w:val="continue"/>
            <w:vAlign w:val="center"/>
          </w:tcPr>
          <w:p w14:paraId="79FA0FB4">
            <w:pPr>
              <w:widowControl w:val="0"/>
              <w:spacing w:before="100" w:beforeAutospacing="1" w:after="100" w:afterAutospacing="1" w:line="380" w:lineRule="exact"/>
              <w:rPr>
                <w:rFonts w:ascii="宋体" w:hAnsi="宋体" w:cs="宋体"/>
              </w:rPr>
            </w:pPr>
          </w:p>
        </w:tc>
        <w:tc>
          <w:tcPr>
            <w:tcW w:w="2427" w:type="dxa"/>
            <w:vMerge w:val="continue"/>
            <w:vAlign w:val="center"/>
          </w:tcPr>
          <w:p w14:paraId="38F23CBD">
            <w:pPr>
              <w:widowControl w:val="0"/>
              <w:spacing w:line="380" w:lineRule="exact"/>
              <w:jc w:val="center"/>
              <w:rPr>
                <w:rFonts w:ascii="宋体" w:hAnsi="宋体" w:cs="宋体"/>
              </w:rPr>
            </w:pPr>
          </w:p>
        </w:tc>
        <w:tc>
          <w:tcPr>
            <w:tcW w:w="5602" w:type="dxa"/>
            <w:vAlign w:val="center"/>
          </w:tcPr>
          <w:p w14:paraId="7ED33D6A">
            <w:pPr>
              <w:widowControl w:val="0"/>
              <w:spacing w:line="360" w:lineRule="auto"/>
              <w:rPr>
                <w:rFonts w:hint="eastAsia" w:ascii="宋体" w:hAnsi="宋体" w:eastAsia="宋体" w:cs="宋体"/>
                <w:lang w:eastAsia="zh-CN"/>
              </w:rPr>
            </w:pPr>
            <w:r>
              <w:rPr>
                <w:rFonts w:hint="eastAsia" w:ascii="宋体" w:hAnsi="宋体" w:cs="宋体"/>
              </w:rPr>
              <w:t>有依法缴纳税收和社会保障资金的良好记录（投标人提供缴税所属时间在2024年01月至本项目投标响应文件提交截止时间前任意1个月的税务局税收通用缴款书或银行电子缴税（费）凭证或税务局出具纳税情况的相关证明，依法免税的，应提供依法免税的相关证明文件；至开标截止时间投标人成立时间不足1个月的可根据自身情况提供依法缴纳税收相关材料或提供书面情况说明；投标人提供缴费所属时间在2024年01月至本项目投标响应文件提交截止时间前任意1个月的社会保险费缴款书或银行电子缴税（费）凭证或社保管理部门出具的有效的缴款证明，依法免缴的，应提供依法免缴的相关证明文件；至开标截止时间投标人成立时间不足1个月的可根据自身情况提供依法缴纳社会保障资金相关材料或提供书面情况说明。）</w:t>
            </w:r>
            <w:r>
              <w:rPr>
                <w:rFonts w:hint="eastAsia" w:ascii="宋体" w:hAnsi="宋体" w:cs="宋体"/>
                <w:lang w:eastAsia="zh-CN"/>
              </w:rPr>
              <w:t>。</w:t>
            </w:r>
          </w:p>
        </w:tc>
      </w:tr>
      <w:tr w14:paraId="42EC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vAlign w:val="center"/>
          </w:tcPr>
          <w:p w14:paraId="74D9C0B0">
            <w:pPr>
              <w:widowControl w:val="0"/>
              <w:spacing w:before="100" w:beforeAutospacing="1" w:after="100" w:afterAutospacing="1" w:line="380" w:lineRule="exact"/>
              <w:rPr>
                <w:rFonts w:ascii="宋体" w:hAnsi="宋体" w:cs="宋体"/>
              </w:rPr>
            </w:pPr>
          </w:p>
        </w:tc>
        <w:tc>
          <w:tcPr>
            <w:tcW w:w="990" w:type="dxa"/>
            <w:vMerge w:val="continue"/>
            <w:vAlign w:val="center"/>
          </w:tcPr>
          <w:p w14:paraId="5E95D736">
            <w:pPr>
              <w:widowControl w:val="0"/>
              <w:spacing w:before="100" w:beforeAutospacing="1" w:after="100" w:afterAutospacing="1" w:line="380" w:lineRule="exact"/>
              <w:rPr>
                <w:rFonts w:ascii="宋体" w:hAnsi="宋体" w:cs="宋体"/>
              </w:rPr>
            </w:pPr>
          </w:p>
        </w:tc>
        <w:tc>
          <w:tcPr>
            <w:tcW w:w="2427" w:type="dxa"/>
            <w:vMerge w:val="continue"/>
            <w:vAlign w:val="center"/>
          </w:tcPr>
          <w:p w14:paraId="08E281D3">
            <w:pPr>
              <w:widowControl w:val="0"/>
              <w:spacing w:line="380" w:lineRule="exact"/>
              <w:jc w:val="center"/>
              <w:rPr>
                <w:rFonts w:ascii="宋体" w:hAnsi="宋体" w:cs="宋体"/>
              </w:rPr>
            </w:pPr>
          </w:p>
        </w:tc>
        <w:tc>
          <w:tcPr>
            <w:tcW w:w="5602" w:type="dxa"/>
            <w:vAlign w:val="center"/>
          </w:tcPr>
          <w:p w14:paraId="359B9709">
            <w:pPr>
              <w:widowControl w:val="0"/>
              <w:spacing w:line="360" w:lineRule="auto"/>
              <w:rPr>
                <w:rFonts w:hint="eastAsia" w:ascii="宋体" w:hAnsi="宋体" w:eastAsia="宋体" w:cs="宋体"/>
                <w:lang w:eastAsia="zh-CN"/>
              </w:rPr>
            </w:pPr>
            <w:r>
              <w:rPr>
                <w:rFonts w:hint="eastAsia" w:ascii="宋体" w:hAnsi="宋体" w:cs="宋体"/>
              </w:rPr>
              <w:t>参加政府采购活动前三年内，在经营活动中没有重大违法记录（自行承诺）</w:t>
            </w:r>
            <w:r>
              <w:rPr>
                <w:rFonts w:hint="eastAsia" w:ascii="宋体" w:hAnsi="宋体" w:cs="宋体"/>
                <w:lang w:eastAsia="zh-CN"/>
              </w:rPr>
              <w:t>。</w:t>
            </w:r>
          </w:p>
        </w:tc>
      </w:tr>
      <w:tr w14:paraId="021D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vAlign w:val="center"/>
          </w:tcPr>
          <w:p w14:paraId="6D93AD9B">
            <w:pPr>
              <w:widowControl w:val="0"/>
              <w:spacing w:before="100" w:beforeAutospacing="1" w:after="100" w:afterAutospacing="1" w:line="380" w:lineRule="exact"/>
              <w:rPr>
                <w:rFonts w:ascii="宋体" w:hAnsi="宋体" w:cs="宋体"/>
              </w:rPr>
            </w:pPr>
          </w:p>
        </w:tc>
        <w:tc>
          <w:tcPr>
            <w:tcW w:w="990" w:type="dxa"/>
            <w:vMerge w:val="continue"/>
            <w:vAlign w:val="center"/>
          </w:tcPr>
          <w:p w14:paraId="501DBB51">
            <w:pPr>
              <w:widowControl w:val="0"/>
              <w:spacing w:before="100" w:beforeAutospacing="1" w:after="100" w:afterAutospacing="1" w:line="380" w:lineRule="exact"/>
              <w:rPr>
                <w:rFonts w:ascii="宋体" w:hAnsi="宋体" w:cs="宋体"/>
              </w:rPr>
            </w:pPr>
          </w:p>
        </w:tc>
        <w:tc>
          <w:tcPr>
            <w:tcW w:w="2427" w:type="dxa"/>
            <w:vMerge w:val="continue"/>
            <w:vAlign w:val="center"/>
          </w:tcPr>
          <w:p w14:paraId="699D2293">
            <w:pPr>
              <w:widowControl w:val="0"/>
              <w:spacing w:line="380" w:lineRule="exact"/>
              <w:jc w:val="center"/>
              <w:rPr>
                <w:rFonts w:ascii="宋体" w:hAnsi="宋体" w:cs="宋体"/>
              </w:rPr>
            </w:pPr>
          </w:p>
        </w:tc>
        <w:tc>
          <w:tcPr>
            <w:tcW w:w="5602" w:type="dxa"/>
            <w:vAlign w:val="center"/>
          </w:tcPr>
          <w:p w14:paraId="16B81F96">
            <w:pPr>
              <w:widowControl w:val="0"/>
              <w:spacing w:line="360" w:lineRule="auto"/>
              <w:rPr>
                <w:rFonts w:hint="eastAsia" w:ascii="宋体" w:hAnsi="宋体" w:eastAsia="宋体" w:cs="宋体"/>
                <w:lang w:eastAsia="zh-CN"/>
              </w:rPr>
            </w:pPr>
            <w:r>
              <w:rPr>
                <w:rFonts w:hint="eastAsia" w:ascii="宋体" w:hAnsi="宋体" w:cs="宋体"/>
              </w:rPr>
              <w:t>法律、行政法规规定的其他条件（自行承诺）</w:t>
            </w:r>
            <w:r>
              <w:rPr>
                <w:rFonts w:hint="eastAsia" w:ascii="宋体" w:hAnsi="宋体" w:cs="宋体"/>
                <w:lang w:eastAsia="zh-CN"/>
              </w:rPr>
              <w:t>。</w:t>
            </w:r>
          </w:p>
        </w:tc>
      </w:tr>
      <w:tr w14:paraId="50BB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vAlign w:val="center"/>
          </w:tcPr>
          <w:p w14:paraId="3311336F">
            <w:pPr>
              <w:widowControl w:val="0"/>
              <w:spacing w:before="100" w:beforeAutospacing="1" w:after="100" w:afterAutospacing="1" w:line="380" w:lineRule="exact"/>
              <w:rPr>
                <w:rFonts w:ascii="宋体" w:hAnsi="宋体" w:cs="宋体"/>
              </w:rPr>
            </w:pPr>
          </w:p>
        </w:tc>
        <w:tc>
          <w:tcPr>
            <w:tcW w:w="990" w:type="dxa"/>
            <w:vMerge w:val="continue"/>
            <w:vAlign w:val="center"/>
          </w:tcPr>
          <w:p w14:paraId="6899916B">
            <w:pPr>
              <w:widowControl w:val="0"/>
              <w:spacing w:before="100" w:beforeAutospacing="1" w:after="100" w:afterAutospacing="1" w:line="380" w:lineRule="exact"/>
              <w:rPr>
                <w:rFonts w:ascii="宋体" w:hAnsi="宋体" w:cs="宋体"/>
              </w:rPr>
            </w:pPr>
          </w:p>
        </w:tc>
        <w:tc>
          <w:tcPr>
            <w:tcW w:w="2427" w:type="dxa"/>
            <w:vMerge w:val="continue"/>
            <w:vAlign w:val="center"/>
          </w:tcPr>
          <w:p w14:paraId="5FB95933">
            <w:pPr>
              <w:widowControl w:val="0"/>
              <w:spacing w:line="380" w:lineRule="exact"/>
              <w:jc w:val="center"/>
              <w:rPr>
                <w:rFonts w:ascii="宋体" w:hAnsi="宋体" w:cs="宋体"/>
              </w:rPr>
            </w:pPr>
          </w:p>
        </w:tc>
        <w:tc>
          <w:tcPr>
            <w:tcW w:w="5602" w:type="dxa"/>
            <w:vAlign w:val="center"/>
          </w:tcPr>
          <w:p w14:paraId="1DC02E60">
            <w:pPr>
              <w:widowControl w:val="0"/>
              <w:spacing w:line="360" w:lineRule="auto"/>
              <w:rPr>
                <w:rFonts w:hint="eastAsia" w:ascii="宋体" w:hAnsi="宋体" w:eastAsia="宋体" w:cs="宋体"/>
                <w:lang w:eastAsia="zh-CN"/>
              </w:rPr>
            </w:pPr>
            <w:r>
              <w:rPr>
                <w:rFonts w:hint="eastAsia" w:ascii="宋体" w:hAnsi="宋体" w:cs="宋体"/>
              </w:rPr>
              <w:t>单位负责人为同一人或者存在直接控股、管理关系的不同磋商申请人，不得参加同一合同项下的政府采购活动（自行承诺）</w:t>
            </w:r>
            <w:r>
              <w:rPr>
                <w:rFonts w:hint="eastAsia" w:ascii="宋体" w:hAnsi="宋体" w:cs="宋体"/>
                <w:lang w:eastAsia="zh-CN"/>
              </w:rPr>
              <w:t>。</w:t>
            </w:r>
          </w:p>
        </w:tc>
      </w:tr>
      <w:tr w14:paraId="2DB2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vAlign w:val="center"/>
          </w:tcPr>
          <w:p w14:paraId="706C439E">
            <w:pPr>
              <w:widowControl w:val="0"/>
              <w:spacing w:before="100" w:beforeAutospacing="1" w:after="100" w:afterAutospacing="1" w:line="380" w:lineRule="exact"/>
              <w:rPr>
                <w:rFonts w:ascii="宋体" w:hAnsi="宋体" w:cs="宋体"/>
              </w:rPr>
            </w:pPr>
          </w:p>
        </w:tc>
        <w:tc>
          <w:tcPr>
            <w:tcW w:w="990" w:type="dxa"/>
            <w:vMerge w:val="continue"/>
            <w:vAlign w:val="center"/>
          </w:tcPr>
          <w:p w14:paraId="2A45CBCB">
            <w:pPr>
              <w:widowControl w:val="0"/>
              <w:spacing w:before="100" w:beforeAutospacing="1" w:after="100" w:afterAutospacing="1" w:line="380" w:lineRule="exact"/>
              <w:rPr>
                <w:rFonts w:ascii="宋体" w:hAnsi="宋体" w:cs="宋体"/>
              </w:rPr>
            </w:pPr>
          </w:p>
        </w:tc>
        <w:tc>
          <w:tcPr>
            <w:tcW w:w="2427" w:type="dxa"/>
            <w:vMerge w:val="continue"/>
            <w:vAlign w:val="center"/>
          </w:tcPr>
          <w:p w14:paraId="4E894B95">
            <w:pPr>
              <w:widowControl w:val="0"/>
              <w:spacing w:line="380" w:lineRule="exact"/>
              <w:jc w:val="center"/>
              <w:rPr>
                <w:rFonts w:ascii="宋体" w:hAnsi="宋体" w:cs="宋体"/>
              </w:rPr>
            </w:pPr>
          </w:p>
        </w:tc>
        <w:tc>
          <w:tcPr>
            <w:tcW w:w="5602" w:type="dxa"/>
            <w:vAlign w:val="center"/>
          </w:tcPr>
          <w:p w14:paraId="38129ABB">
            <w:pPr>
              <w:widowControl w:val="0"/>
              <w:snapToGrid w:val="0"/>
              <w:spacing w:line="420" w:lineRule="atLeast"/>
              <w:rPr>
                <w:rFonts w:ascii="宋体" w:hAnsi="宋体" w:cs="宋体"/>
              </w:rPr>
            </w:pPr>
            <w:r>
              <w:rPr>
                <w:rFonts w:hint="eastAsia" w:ascii="宋体" w:hAnsi="宋体" w:cs="宋体"/>
              </w:rPr>
              <w:t>申请人须具备</w:t>
            </w:r>
            <w:r>
              <w:rPr>
                <w:rFonts w:hint="eastAsia" w:ascii="宋体" w:hAnsi="宋体" w:cs="宋体"/>
                <w:lang w:eastAsia="zh-CN"/>
              </w:rPr>
              <w:t>水利水电工程施工总承包叁级（含叁级）以上资质。</w:t>
            </w:r>
          </w:p>
        </w:tc>
      </w:tr>
      <w:tr w14:paraId="2996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vAlign w:val="center"/>
          </w:tcPr>
          <w:p w14:paraId="02D67F5E">
            <w:pPr>
              <w:widowControl w:val="0"/>
              <w:spacing w:before="100" w:beforeAutospacing="1" w:after="100" w:afterAutospacing="1" w:line="380" w:lineRule="exact"/>
              <w:rPr>
                <w:rFonts w:ascii="宋体" w:hAnsi="宋体" w:cs="宋体"/>
              </w:rPr>
            </w:pPr>
          </w:p>
        </w:tc>
        <w:tc>
          <w:tcPr>
            <w:tcW w:w="990" w:type="dxa"/>
            <w:vMerge w:val="continue"/>
            <w:vAlign w:val="center"/>
          </w:tcPr>
          <w:p w14:paraId="0B50AFC4">
            <w:pPr>
              <w:widowControl w:val="0"/>
              <w:spacing w:before="100" w:beforeAutospacing="1" w:after="100" w:afterAutospacing="1" w:line="380" w:lineRule="exact"/>
              <w:rPr>
                <w:rFonts w:ascii="宋体" w:hAnsi="宋体" w:cs="宋体"/>
              </w:rPr>
            </w:pPr>
          </w:p>
        </w:tc>
        <w:tc>
          <w:tcPr>
            <w:tcW w:w="2427" w:type="dxa"/>
            <w:vMerge w:val="continue"/>
            <w:vAlign w:val="center"/>
          </w:tcPr>
          <w:p w14:paraId="420C4495">
            <w:pPr>
              <w:widowControl w:val="0"/>
              <w:spacing w:line="380" w:lineRule="exact"/>
              <w:jc w:val="center"/>
              <w:rPr>
                <w:rFonts w:ascii="宋体" w:hAnsi="宋体" w:cs="宋体"/>
              </w:rPr>
            </w:pPr>
          </w:p>
        </w:tc>
        <w:tc>
          <w:tcPr>
            <w:tcW w:w="5602" w:type="dxa"/>
            <w:vAlign w:val="center"/>
          </w:tcPr>
          <w:p w14:paraId="0A64FEFC">
            <w:pPr>
              <w:widowControl w:val="0"/>
              <w:snapToGrid w:val="0"/>
              <w:spacing w:line="420" w:lineRule="atLeast"/>
              <w:rPr>
                <w:rFonts w:hint="eastAsia" w:ascii="宋体" w:hAnsi="宋体" w:cs="宋体"/>
              </w:rPr>
            </w:pPr>
            <w:r>
              <w:rPr>
                <w:rFonts w:hint="eastAsia" w:ascii="宋体" w:hAnsi="宋体" w:cs="宋体"/>
              </w:rPr>
              <w:t>且具备有效的安全生产许可证。</w:t>
            </w:r>
          </w:p>
        </w:tc>
      </w:tr>
      <w:tr w14:paraId="586D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759" w:type="dxa"/>
            <w:vMerge w:val="continue"/>
            <w:vAlign w:val="center"/>
          </w:tcPr>
          <w:p w14:paraId="7EEA1EFB">
            <w:pPr>
              <w:widowControl w:val="0"/>
              <w:spacing w:before="100" w:beforeAutospacing="1" w:after="100" w:afterAutospacing="1" w:line="380" w:lineRule="exact"/>
              <w:rPr>
                <w:rFonts w:ascii="宋体" w:hAnsi="宋体" w:cs="宋体"/>
              </w:rPr>
            </w:pPr>
          </w:p>
        </w:tc>
        <w:tc>
          <w:tcPr>
            <w:tcW w:w="990" w:type="dxa"/>
            <w:vMerge w:val="continue"/>
            <w:vAlign w:val="center"/>
          </w:tcPr>
          <w:p w14:paraId="0CF21E0E">
            <w:pPr>
              <w:widowControl w:val="0"/>
              <w:spacing w:before="100" w:beforeAutospacing="1" w:after="100" w:afterAutospacing="1" w:line="380" w:lineRule="exact"/>
              <w:rPr>
                <w:rFonts w:ascii="宋体" w:hAnsi="宋体" w:cs="宋体"/>
              </w:rPr>
            </w:pPr>
          </w:p>
        </w:tc>
        <w:tc>
          <w:tcPr>
            <w:tcW w:w="2427" w:type="dxa"/>
            <w:vMerge w:val="continue"/>
            <w:vAlign w:val="center"/>
          </w:tcPr>
          <w:p w14:paraId="1624E1F4">
            <w:pPr>
              <w:widowControl w:val="0"/>
              <w:spacing w:line="380" w:lineRule="exact"/>
              <w:jc w:val="center"/>
              <w:rPr>
                <w:rFonts w:ascii="宋体" w:hAnsi="宋体" w:cs="宋体"/>
              </w:rPr>
            </w:pPr>
          </w:p>
        </w:tc>
        <w:tc>
          <w:tcPr>
            <w:tcW w:w="5602" w:type="dxa"/>
            <w:vAlign w:val="center"/>
          </w:tcPr>
          <w:p w14:paraId="545B624A">
            <w:pPr>
              <w:widowControl w:val="0"/>
              <w:spacing w:line="360" w:lineRule="auto"/>
              <w:rPr>
                <w:rFonts w:ascii="宋体" w:hAnsi="宋体" w:cs="宋体"/>
              </w:rPr>
            </w:pPr>
            <w:r>
              <w:rPr>
                <w:rFonts w:hint="eastAsia" w:ascii="宋体" w:hAnsi="宋体" w:cs="宋体"/>
              </w:rPr>
              <w:t>拟投入的项目经理须具备</w:t>
            </w:r>
            <w:r>
              <w:rPr>
                <w:rFonts w:hint="eastAsia" w:ascii="宋体" w:hAnsi="宋体" w:cs="宋体"/>
                <w:lang w:eastAsia="zh-CN"/>
              </w:rPr>
              <w:t>水利水电工程</w:t>
            </w:r>
            <w:r>
              <w:rPr>
                <w:rFonts w:hint="eastAsia" w:ascii="宋体" w:hAnsi="宋体" w:cs="宋体"/>
              </w:rPr>
              <w:t>专业二级及以上注册建造师、具备有效的全生产考核合格证书 B 证，且不得在其他在建工程施工项目中担任项目经理（提供承诺书），提供社保证明材料。</w:t>
            </w:r>
          </w:p>
        </w:tc>
      </w:tr>
      <w:tr w14:paraId="711D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restart"/>
            <w:tcBorders>
              <w:top w:val="single" w:color="auto" w:sz="4" w:space="0"/>
              <w:left w:val="single" w:color="auto" w:sz="4" w:space="0"/>
              <w:right w:val="single" w:color="auto" w:sz="4" w:space="0"/>
            </w:tcBorders>
            <w:vAlign w:val="center"/>
          </w:tcPr>
          <w:p w14:paraId="4BA5C586">
            <w:pPr>
              <w:widowControl w:val="0"/>
              <w:spacing w:before="100" w:beforeAutospacing="1" w:after="100" w:afterAutospacing="1" w:line="380" w:lineRule="exact"/>
              <w:jc w:val="center"/>
              <w:rPr>
                <w:rFonts w:ascii="宋体" w:hAnsi="宋体" w:cs="宋体"/>
              </w:rPr>
            </w:pPr>
            <w:r>
              <w:rPr>
                <w:rFonts w:hint="eastAsia" w:ascii="宋体" w:hAnsi="宋体" w:cs="宋体"/>
              </w:rPr>
              <w:t>2</w:t>
            </w:r>
          </w:p>
        </w:tc>
        <w:tc>
          <w:tcPr>
            <w:tcW w:w="990" w:type="dxa"/>
            <w:vMerge w:val="restart"/>
            <w:tcBorders>
              <w:top w:val="single" w:color="auto" w:sz="4" w:space="0"/>
              <w:left w:val="single" w:color="auto" w:sz="4" w:space="0"/>
              <w:right w:val="single" w:color="auto" w:sz="4" w:space="0"/>
            </w:tcBorders>
            <w:vAlign w:val="center"/>
          </w:tcPr>
          <w:p w14:paraId="4A936D35">
            <w:pPr>
              <w:widowControl w:val="0"/>
              <w:spacing w:line="380" w:lineRule="exact"/>
              <w:jc w:val="center"/>
              <w:rPr>
                <w:rFonts w:ascii="宋体" w:hAnsi="宋体" w:cs="宋体"/>
              </w:rPr>
            </w:pPr>
            <w:r>
              <w:rPr>
                <w:rFonts w:hint="eastAsia" w:ascii="宋体" w:hAnsi="宋体" w:cs="宋体"/>
              </w:rPr>
              <w:t>符</w:t>
            </w:r>
          </w:p>
          <w:p w14:paraId="10BD3B86">
            <w:pPr>
              <w:widowControl w:val="0"/>
              <w:spacing w:line="380" w:lineRule="exact"/>
              <w:jc w:val="center"/>
              <w:rPr>
                <w:rFonts w:ascii="宋体" w:hAnsi="宋体" w:cs="宋体"/>
              </w:rPr>
            </w:pPr>
            <w:r>
              <w:rPr>
                <w:rFonts w:hint="eastAsia" w:ascii="宋体" w:hAnsi="宋体" w:cs="宋体"/>
              </w:rPr>
              <w:t>合</w:t>
            </w:r>
          </w:p>
          <w:p w14:paraId="78F15F13">
            <w:pPr>
              <w:widowControl w:val="0"/>
              <w:spacing w:line="380" w:lineRule="exact"/>
              <w:jc w:val="center"/>
              <w:rPr>
                <w:rFonts w:ascii="宋体" w:hAnsi="宋体" w:cs="宋体"/>
              </w:rPr>
            </w:pPr>
            <w:r>
              <w:rPr>
                <w:rFonts w:hint="eastAsia" w:ascii="宋体" w:hAnsi="宋体" w:cs="宋体"/>
              </w:rPr>
              <w:t>性</w:t>
            </w:r>
          </w:p>
          <w:p w14:paraId="7B23E170">
            <w:pPr>
              <w:widowControl w:val="0"/>
              <w:spacing w:line="380" w:lineRule="exact"/>
              <w:jc w:val="center"/>
              <w:rPr>
                <w:rFonts w:ascii="宋体" w:hAnsi="宋体" w:cs="宋体"/>
              </w:rPr>
            </w:pPr>
            <w:r>
              <w:rPr>
                <w:rFonts w:hint="eastAsia" w:ascii="宋体" w:hAnsi="宋体" w:cs="宋体"/>
              </w:rPr>
              <w:t>评</w:t>
            </w:r>
          </w:p>
          <w:p w14:paraId="250FA647">
            <w:pPr>
              <w:widowControl w:val="0"/>
              <w:spacing w:line="380" w:lineRule="exact"/>
              <w:jc w:val="center"/>
              <w:rPr>
                <w:rFonts w:ascii="宋体" w:hAnsi="宋体" w:cs="宋体"/>
              </w:rPr>
            </w:pPr>
            <w:r>
              <w:rPr>
                <w:rFonts w:hint="eastAsia" w:ascii="宋体" w:hAnsi="宋体" w:cs="宋体"/>
              </w:rPr>
              <w:t>审</w:t>
            </w:r>
          </w:p>
        </w:tc>
        <w:tc>
          <w:tcPr>
            <w:tcW w:w="2427" w:type="dxa"/>
            <w:tcBorders>
              <w:top w:val="single" w:color="auto" w:sz="4" w:space="0"/>
              <w:left w:val="single" w:color="auto" w:sz="4" w:space="0"/>
              <w:bottom w:val="single" w:color="auto" w:sz="4" w:space="0"/>
              <w:right w:val="single" w:color="auto" w:sz="4" w:space="0"/>
            </w:tcBorders>
            <w:vAlign w:val="center"/>
          </w:tcPr>
          <w:p w14:paraId="4B32F0B4">
            <w:pPr>
              <w:widowControl w:val="0"/>
              <w:spacing w:line="380" w:lineRule="exact"/>
              <w:jc w:val="center"/>
              <w:rPr>
                <w:rFonts w:ascii="宋体" w:hAnsi="宋体" w:cs="宋体"/>
              </w:rPr>
            </w:pPr>
            <w:r>
              <w:rPr>
                <w:rFonts w:hint="eastAsia" w:ascii="宋体" w:hAnsi="宋体" w:cs="宋体"/>
              </w:rPr>
              <w:t>签字盖章</w:t>
            </w:r>
          </w:p>
        </w:tc>
        <w:tc>
          <w:tcPr>
            <w:tcW w:w="5602" w:type="dxa"/>
            <w:tcBorders>
              <w:top w:val="single" w:color="auto" w:sz="4" w:space="0"/>
              <w:left w:val="single" w:color="auto" w:sz="4" w:space="0"/>
              <w:bottom w:val="single" w:color="auto" w:sz="4" w:space="0"/>
              <w:right w:val="single" w:color="auto" w:sz="4" w:space="0"/>
            </w:tcBorders>
            <w:vAlign w:val="center"/>
          </w:tcPr>
          <w:p w14:paraId="0A629E4B">
            <w:pPr>
              <w:widowControl w:val="0"/>
              <w:spacing w:line="380" w:lineRule="exact"/>
              <w:rPr>
                <w:rFonts w:ascii="宋体" w:hAnsi="宋体" w:cs="宋体"/>
              </w:rPr>
            </w:pPr>
            <w:r>
              <w:rPr>
                <w:rFonts w:hint="eastAsia" w:ascii="宋体" w:hAnsi="宋体" w:cs="宋体"/>
              </w:rPr>
              <w:t>按竞争性磋商文件的要求签字盖章；</w:t>
            </w:r>
          </w:p>
        </w:tc>
      </w:tr>
      <w:tr w14:paraId="0B8C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tcBorders>
              <w:left w:val="single" w:color="auto" w:sz="4" w:space="0"/>
              <w:right w:val="single" w:color="auto" w:sz="4" w:space="0"/>
            </w:tcBorders>
            <w:vAlign w:val="center"/>
          </w:tcPr>
          <w:p w14:paraId="554C3174">
            <w:pPr>
              <w:widowControl w:val="0"/>
              <w:spacing w:before="100" w:beforeAutospacing="1" w:after="100" w:afterAutospacing="1" w:line="380" w:lineRule="exact"/>
              <w:jc w:val="center"/>
              <w:rPr>
                <w:rFonts w:ascii="宋体" w:hAnsi="宋体" w:cs="宋体"/>
              </w:rPr>
            </w:pPr>
          </w:p>
        </w:tc>
        <w:tc>
          <w:tcPr>
            <w:tcW w:w="990" w:type="dxa"/>
            <w:vMerge w:val="continue"/>
            <w:tcBorders>
              <w:left w:val="single" w:color="auto" w:sz="4" w:space="0"/>
              <w:right w:val="single" w:color="auto" w:sz="4" w:space="0"/>
            </w:tcBorders>
            <w:vAlign w:val="center"/>
          </w:tcPr>
          <w:p w14:paraId="1DAAE22F">
            <w:pPr>
              <w:widowControl w:val="0"/>
              <w:spacing w:line="380" w:lineRule="exact"/>
              <w:jc w:val="center"/>
              <w:rPr>
                <w:rFonts w:ascii="宋体" w:hAnsi="宋体" w:cs="宋体"/>
              </w:rPr>
            </w:pPr>
          </w:p>
        </w:tc>
        <w:tc>
          <w:tcPr>
            <w:tcW w:w="2427" w:type="dxa"/>
            <w:tcBorders>
              <w:top w:val="single" w:color="auto" w:sz="4" w:space="0"/>
              <w:left w:val="single" w:color="auto" w:sz="4" w:space="0"/>
              <w:bottom w:val="single" w:color="auto" w:sz="4" w:space="0"/>
              <w:right w:val="single" w:color="auto" w:sz="4" w:space="0"/>
            </w:tcBorders>
            <w:vAlign w:val="center"/>
          </w:tcPr>
          <w:p w14:paraId="776B9FAE">
            <w:pPr>
              <w:widowControl w:val="0"/>
              <w:spacing w:line="380" w:lineRule="exact"/>
              <w:jc w:val="center"/>
              <w:rPr>
                <w:rFonts w:ascii="宋体" w:hAnsi="宋体" w:cs="宋体"/>
              </w:rPr>
            </w:pPr>
            <w:r>
              <w:rPr>
                <w:rFonts w:hint="eastAsia" w:ascii="宋体" w:hAnsi="宋体" w:cs="宋体"/>
              </w:rPr>
              <w:t>投标文件格式</w:t>
            </w:r>
          </w:p>
        </w:tc>
        <w:tc>
          <w:tcPr>
            <w:tcW w:w="5602" w:type="dxa"/>
            <w:tcBorders>
              <w:top w:val="single" w:color="auto" w:sz="4" w:space="0"/>
              <w:left w:val="single" w:color="auto" w:sz="4" w:space="0"/>
              <w:bottom w:val="single" w:color="auto" w:sz="4" w:space="0"/>
              <w:right w:val="single" w:color="auto" w:sz="4" w:space="0"/>
            </w:tcBorders>
            <w:vAlign w:val="center"/>
          </w:tcPr>
          <w:p w14:paraId="656F6C4C">
            <w:pPr>
              <w:widowControl w:val="0"/>
              <w:spacing w:line="380" w:lineRule="exact"/>
              <w:rPr>
                <w:rFonts w:ascii="宋体" w:hAnsi="宋体" w:cs="宋体"/>
              </w:rPr>
            </w:pPr>
            <w:r>
              <w:rPr>
                <w:rFonts w:hint="eastAsia" w:ascii="宋体" w:hAnsi="宋体" w:cs="宋体"/>
              </w:rPr>
              <w:t>按竞争性磋商文件规定的格式填写，内容齐全；</w:t>
            </w:r>
          </w:p>
        </w:tc>
      </w:tr>
      <w:tr w14:paraId="0CFC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tcBorders>
              <w:left w:val="single" w:color="auto" w:sz="4" w:space="0"/>
              <w:right w:val="single" w:color="auto" w:sz="4" w:space="0"/>
            </w:tcBorders>
            <w:vAlign w:val="center"/>
          </w:tcPr>
          <w:p w14:paraId="35B796A9">
            <w:pPr>
              <w:widowControl w:val="0"/>
              <w:spacing w:before="100" w:beforeAutospacing="1" w:after="100" w:afterAutospacing="1" w:line="380" w:lineRule="exact"/>
              <w:jc w:val="center"/>
              <w:rPr>
                <w:rFonts w:ascii="宋体" w:hAnsi="宋体" w:cs="宋体"/>
              </w:rPr>
            </w:pPr>
          </w:p>
        </w:tc>
        <w:tc>
          <w:tcPr>
            <w:tcW w:w="990" w:type="dxa"/>
            <w:vMerge w:val="continue"/>
            <w:tcBorders>
              <w:left w:val="single" w:color="auto" w:sz="4" w:space="0"/>
              <w:right w:val="single" w:color="auto" w:sz="4" w:space="0"/>
            </w:tcBorders>
            <w:vAlign w:val="center"/>
          </w:tcPr>
          <w:p w14:paraId="326F6295">
            <w:pPr>
              <w:widowControl w:val="0"/>
              <w:spacing w:line="380" w:lineRule="exact"/>
              <w:jc w:val="center"/>
              <w:rPr>
                <w:rFonts w:ascii="宋体" w:hAnsi="宋体" w:cs="宋体"/>
              </w:rPr>
            </w:pPr>
          </w:p>
        </w:tc>
        <w:tc>
          <w:tcPr>
            <w:tcW w:w="2427" w:type="dxa"/>
            <w:tcBorders>
              <w:top w:val="single" w:color="auto" w:sz="4" w:space="0"/>
              <w:left w:val="single" w:color="auto" w:sz="4" w:space="0"/>
              <w:bottom w:val="single" w:color="auto" w:sz="4" w:space="0"/>
              <w:right w:val="single" w:color="auto" w:sz="4" w:space="0"/>
            </w:tcBorders>
            <w:vAlign w:val="center"/>
          </w:tcPr>
          <w:p w14:paraId="7770F7BD">
            <w:pPr>
              <w:widowControl w:val="0"/>
              <w:spacing w:line="380" w:lineRule="exact"/>
              <w:jc w:val="center"/>
              <w:rPr>
                <w:rFonts w:ascii="宋体" w:hAnsi="宋体" w:cs="宋体"/>
              </w:rPr>
            </w:pPr>
            <w:r>
              <w:rPr>
                <w:rFonts w:hint="eastAsia" w:ascii="宋体" w:hAnsi="宋体" w:cs="宋体"/>
              </w:rPr>
              <w:t>投标保证金</w:t>
            </w:r>
          </w:p>
        </w:tc>
        <w:tc>
          <w:tcPr>
            <w:tcW w:w="5602" w:type="dxa"/>
            <w:tcBorders>
              <w:top w:val="single" w:color="auto" w:sz="4" w:space="0"/>
              <w:left w:val="single" w:color="auto" w:sz="4" w:space="0"/>
              <w:bottom w:val="single" w:color="auto" w:sz="4" w:space="0"/>
              <w:right w:val="single" w:color="auto" w:sz="4" w:space="0"/>
            </w:tcBorders>
            <w:vAlign w:val="center"/>
          </w:tcPr>
          <w:p w14:paraId="2B0CBDD4">
            <w:pPr>
              <w:widowControl w:val="0"/>
              <w:spacing w:before="100" w:beforeAutospacing="1" w:after="100" w:afterAutospacing="1" w:line="380" w:lineRule="exact"/>
              <w:rPr>
                <w:rFonts w:ascii="宋体" w:hAnsi="宋体" w:cs="宋体"/>
              </w:rPr>
            </w:pPr>
            <w:r>
              <w:rPr>
                <w:rFonts w:hint="eastAsia" w:ascii="宋体" w:hAnsi="宋体" w:cs="宋体"/>
              </w:rPr>
              <w:t>必须按竞争性磋商文件规定提交保证金；</w:t>
            </w:r>
          </w:p>
        </w:tc>
      </w:tr>
      <w:tr w14:paraId="35B8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tcBorders>
              <w:left w:val="single" w:color="auto" w:sz="4" w:space="0"/>
              <w:right w:val="single" w:color="auto" w:sz="4" w:space="0"/>
            </w:tcBorders>
            <w:vAlign w:val="center"/>
          </w:tcPr>
          <w:p w14:paraId="539291D2">
            <w:pPr>
              <w:widowControl w:val="0"/>
              <w:spacing w:before="100" w:beforeAutospacing="1" w:after="100" w:afterAutospacing="1" w:line="380" w:lineRule="exact"/>
              <w:jc w:val="center"/>
              <w:rPr>
                <w:rFonts w:ascii="宋体" w:hAnsi="宋体" w:cs="宋体"/>
              </w:rPr>
            </w:pPr>
          </w:p>
        </w:tc>
        <w:tc>
          <w:tcPr>
            <w:tcW w:w="990" w:type="dxa"/>
            <w:vMerge w:val="continue"/>
            <w:tcBorders>
              <w:left w:val="single" w:color="auto" w:sz="4" w:space="0"/>
              <w:right w:val="single" w:color="auto" w:sz="4" w:space="0"/>
            </w:tcBorders>
            <w:vAlign w:val="center"/>
          </w:tcPr>
          <w:p w14:paraId="13704F9E">
            <w:pPr>
              <w:widowControl w:val="0"/>
              <w:spacing w:line="380" w:lineRule="exact"/>
              <w:jc w:val="center"/>
              <w:rPr>
                <w:rFonts w:ascii="宋体" w:hAnsi="宋体" w:cs="宋体"/>
              </w:rPr>
            </w:pPr>
          </w:p>
        </w:tc>
        <w:tc>
          <w:tcPr>
            <w:tcW w:w="2427" w:type="dxa"/>
            <w:tcBorders>
              <w:top w:val="single" w:color="auto" w:sz="4" w:space="0"/>
              <w:left w:val="single" w:color="auto" w:sz="4" w:space="0"/>
              <w:bottom w:val="single" w:color="auto" w:sz="4" w:space="0"/>
              <w:right w:val="single" w:color="auto" w:sz="4" w:space="0"/>
            </w:tcBorders>
            <w:vAlign w:val="center"/>
          </w:tcPr>
          <w:p w14:paraId="7D530904">
            <w:pPr>
              <w:widowControl w:val="0"/>
              <w:spacing w:line="380" w:lineRule="exact"/>
              <w:jc w:val="center"/>
              <w:rPr>
                <w:rFonts w:ascii="宋体" w:hAnsi="宋体" w:cs="宋体"/>
              </w:rPr>
            </w:pPr>
            <w:r>
              <w:rPr>
                <w:rFonts w:hint="eastAsia" w:ascii="宋体" w:hAnsi="宋体" w:cs="宋体"/>
              </w:rPr>
              <w:t>投标有效期</w:t>
            </w:r>
          </w:p>
        </w:tc>
        <w:tc>
          <w:tcPr>
            <w:tcW w:w="5602" w:type="dxa"/>
            <w:tcBorders>
              <w:top w:val="single" w:color="auto" w:sz="4" w:space="0"/>
              <w:left w:val="single" w:color="auto" w:sz="4" w:space="0"/>
              <w:bottom w:val="single" w:color="auto" w:sz="4" w:space="0"/>
              <w:right w:val="single" w:color="auto" w:sz="4" w:space="0"/>
            </w:tcBorders>
            <w:vAlign w:val="center"/>
          </w:tcPr>
          <w:p w14:paraId="69EFF2B1">
            <w:pPr>
              <w:widowControl w:val="0"/>
              <w:spacing w:line="380" w:lineRule="exact"/>
              <w:rPr>
                <w:rFonts w:ascii="宋体" w:hAnsi="宋体" w:cs="宋体"/>
              </w:rPr>
            </w:pPr>
            <w:r>
              <w:rPr>
                <w:rFonts w:hint="eastAsia" w:ascii="宋体" w:hAnsi="宋体" w:cs="宋体"/>
              </w:rPr>
              <w:t>投标有效期满足竞争性磋商文件要求；</w:t>
            </w:r>
          </w:p>
        </w:tc>
      </w:tr>
      <w:tr w14:paraId="752B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tcBorders>
              <w:left w:val="single" w:color="auto" w:sz="4" w:space="0"/>
              <w:right w:val="single" w:color="auto" w:sz="4" w:space="0"/>
            </w:tcBorders>
            <w:vAlign w:val="center"/>
          </w:tcPr>
          <w:p w14:paraId="6A69EFE0">
            <w:pPr>
              <w:widowControl w:val="0"/>
              <w:spacing w:line="380" w:lineRule="exact"/>
              <w:rPr>
                <w:rFonts w:ascii="宋体" w:hAnsi="宋体" w:cs="宋体"/>
              </w:rPr>
            </w:pPr>
          </w:p>
        </w:tc>
        <w:tc>
          <w:tcPr>
            <w:tcW w:w="990" w:type="dxa"/>
            <w:vMerge w:val="continue"/>
            <w:tcBorders>
              <w:left w:val="single" w:color="auto" w:sz="4" w:space="0"/>
              <w:right w:val="single" w:color="auto" w:sz="4" w:space="0"/>
            </w:tcBorders>
            <w:vAlign w:val="center"/>
          </w:tcPr>
          <w:p w14:paraId="3277F1AE">
            <w:pPr>
              <w:widowControl w:val="0"/>
              <w:spacing w:line="380" w:lineRule="exact"/>
              <w:rPr>
                <w:rFonts w:ascii="宋体" w:hAnsi="宋体" w:cs="宋体"/>
              </w:rPr>
            </w:pPr>
          </w:p>
        </w:tc>
        <w:tc>
          <w:tcPr>
            <w:tcW w:w="2427" w:type="dxa"/>
            <w:tcBorders>
              <w:top w:val="single" w:color="auto" w:sz="4" w:space="0"/>
              <w:left w:val="single" w:color="auto" w:sz="4" w:space="0"/>
              <w:bottom w:val="single" w:color="auto" w:sz="4" w:space="0"/>
              <w:right w:val="single" w:color="auto" w:sz="4" w:space="0"/>
            </w:tcBorders>
            <w:vAlign w:val="center"/>
          </w:tcPr>
          <w:p w14:paraId="4CAA9F33">
            <w:pPr>
              <w:widowControl w:val="0"/>
              <w:spacing w:line="380" w:lineRule="exact"/>
              <w:jc w:val="center"/>
              <w:rPr>
                <w:rFonts w:ascii="宋体" w:hAnsi="宋体" w:cs="宋体"/>
              </w:rPr>
            </w:pPr>
            <w:r>
              <w:rPr>
                <w:rFonts w:hint="eastAsia" w:ascii="宋体" w:hAnsi="宋体" w:cs="宋体"/>
              </w:rPr>
              <w:t>投标报价</w:t>
            </w:r>
          </w:p>
        </w:tc>
        <w:tc>
          <w:tcPr>
            <w:tcW w:w="5602" w:type="dxa"/>
            <w:tcBorders>
              <w:top w:val="single" w:color="auto" w:sz="4" w:space="0"/>
              <w:left w:val="single" w:color="auto" w:sz="4" w:space="0"/>
              <w:bottom w:val="single" w:color="auto" w:sz="4" w:space="0"/>
              <w:right w:val="single" w:color="auto" w:sz="4" w:space="0"/>
            </w:tcBorders>
            <w:vAlign w:val="center"/>
          </w:tcPr>
          <w:p w14:paraId="369EBFF3">
            <w:pPr>
              <w:widowControl w:val="0"/>
              <w:spacing w:line="380" w:lineRule="exact"/>
              <w:rPr>
                <w:rFonts w:ascii="宋体" w:hAnsi="宋体" w:cs="宋体"/>
              </w:rPr>
            </w:pPr>
            <w:r>
              <w:rPr>
                <w:rFonts w:hint="eastAsia" w:ascii="宋体" w:hAnsi="宋体" w:cs="宋体"/>
              </w:rPr>
              <w:t>未超过采购预算控制价，对所投所有内容作出完整唯一的投标报价；</w:t>
            </w:r>
          </w:p>
        </w:tc>
      </w:tr>
      <w:tr w14:paraId="6F27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tcBorders>
              <w:left w:val="single" w:color="auto" w:sz="4" w:space="0"/>
              <w:right w:val="single" w:color="auto" w:sz="4" w:space="0"/>
            </w:tcBorders>
            <w:vAlign w:val="center"/>
          </w:tcPr>
          <w:p w14:paraId="5D9946E3">
            <w:pPr>
              <w:widowControl w:val="0"/>
              <w:spacing w:line="380" w:lineRule="exact"/>
              <w:rPr>
                <w:rFonts w:ascii="宋体" w:hAnsi="宋体" w:cs="宋体"/>
              </w:rPr>
            </w:pPr>
          </w:p>
        </w:tc>
        <w:tc>
          <w:tcPr>
            <w:tcW w:w="990" w:type="dxa"/>
            <w:vMerge w:val="continue"/>
            <w:tcBorders>
              <w:left w:val="single" w:color="auto" w:sz="4" w:space="0"/>
              <w:right w:val="single" w:color="auto" w:sz="4" w:space="0"/>
            </w:tcBorders>
            <w:vAlign w:val="center"/>
          </w:tcPr>
          <w:p w14:paraId="40096C24">
            <w:pPr>
              <w:widowControl w:val="0"/>
              <w:spacing w:line="380" w:lineRule="exact"/>
              <w:rPr>
                <w:rFonts w:ascii="宋体" w:hAnsi="宋体" w:cs="宋体"/>
              </w:rPr>
            </w:pPr>
          </w:p>
        </w:tc>
        <w:tc>
          <w:tcPr>
            <w:tcW w:w="2427" w:type="dxa"/>
            <w:tcBorders>
              <w:top w:val="single" w:color="auto" w:sz="4" w:space="0"/>
              <w:left w:val="single" w:color="auto" w:sz="4" w:space="0"/>
              <w:bottom w:val="single" w:color="auto" w:sz="4" w:space="0"/>
              <w:right w:val="single" w:color="auto" w:sz="4" w:space="0"/>
            </w:tcBorders>
            <w:vAlign w:val="center"/>
          </w:tcPr>
          <w:p w14:paraId="35F8D3CB">
            <w:pPr>
              <w:widowControl w:val="0"/>
              <w:spacing w:line="380" w:lineRule="exact"/>
              <w:jc w:val="center"/>
              <w:rPr>
                <w:rFonts w:ascii="宋体" w:hAnsi="宋体" w:cs="宋体"/>
              </w:rPr>
            </w:pPr>
            <w:r>
              <w:rPr>
                <w:rFonts w:hint="eastAsia" w:ascii="宋体" w:hAnsi="宋体" w:cs="宋体"/>
              </w:rPr>
              <w:t>响应竞争性磋商文件</w:t>
            </w:r>
          </w:p>
        </w:tc>
        <w:tc>
          <w:tcPr>
            <w:tcW w:w="5602" w:type="dxa"/>
            <w:tcBorders>
              <w:top w:val="single" w:color="auto" w:sz="4" w:space="0"/>
              <w:left w:val="single" w:color="auto" w:sz="4" w:space="0"/>
              <w:bottom w:val="single" w:color="auto" w:sz="4" w:space="0"/>
              <w:right w:val="single" w:color="auto" w:sz="4" w:space="0"/>
            </w:tcBorders>
            <w:vAlign w:val="center"/>
          </w:tcPr>
          <w:p w14:paraId="2FF327C9">
            <w:pPr>
              <w:widowControl w:val="0"/>
              <w:spacing w:line="380" w:lineRule="exact"/>
              <w:rPr>
                <w:rFonts w:ascii="宋体" w:hAnsi="宋体" w:cs="宋体"/>
              </w:rPr>
            </w:pPr>
            <w:r>
              <w:rPr>
                <w:rFonts w:hint="eastAsia" w:ascii="宋体" w:hAnsi="宋体" w:cs="宋体"/>
              </w:rPr>
              <w:t>磋商申请人对竞争性磋商文件作出实质性响应；</w:t>
            </w:r>
          </w:p>
        </w:tc>
      </w:tr>
      <w:tr w14:paraId="305A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Merge w:val="continue"/>
            <w:tcBorders>
              <w:left w:val="single" w:color="auto" w:sz="4" w:space="0"/>
              <w:bottom w:val="single" w:color="auto" w:sz="4" w:space="0"/>
              <w:right w:val="single" w:color="auto" w:sz="4" w:space="0"/>
            </w:tcBorders>
            <w:vAlign w:val="center"/>
          </w:tcPr>
          <w:p w14:paraId="31CDFD3D">
            <w:pPr>
              <w:widowControl w:val="0"/>
              <w:spacing w:line="380" w:lineRule="exact"/>
              <w:rPr>
                <w:rFonts w:ascii="宋体" w:hAnsi="宋体" w:cs="宋体"/>
              </w:rPr>
            </w:pPr>
          </w:p>
        </w:tc>
        <w:tc>
          <w:tcPr>
            <w:tcW w:w="990" w:type="dxa"/>
            <w:vMerge w:val="continue"/>
            <w:tcBorders>
              <w:left w:val="single" w:color="auto" w:sz="4" w:space="0"/>
              <w:bottom w:val="single" w:color="auto" w:sz="4" w:space="0"/>
              <w:right w:val="single" w:color="auto" w:sz="4" w:space="0"/>
            </w:tcBorders>
            <w:vAlign w:val="center"/>
          </w:tcPr>
          <w:p w14:paraId="3D0D3A77">
            <w:pPr>
              <w:widowControl w:val="0"/>
              <w:spacing w:line="380" w:lineRule="exact"/>
              <w:rPr>
                <w:rFonts w:ascii="宋体" w:hAnsi="宋体" w:cs="宋体"/>
              </w:rPr>
            </w:pPr>
          </w:p>
        </w:tc>
        <w:tc>
          <w:tcPr>
            <w:tcW w:w="2427" w:type="dxa"/>
            <w:tcBorders>
              <w:top w:val="single" w:color="auto" w:sz="4" w:space="0"/>
              <w:left w:val="single" w:color="auto" w:sz="4" w:space="0"/>
              <w:bottom w:val="single" w:color="auto" w:sz="4" w:space="0"/>
              <w:right w:val="single" w:color="auto" w:sz="4" w:space="0"/>
            </w:tcBorders>
            <w:vAlign w:val="center"/>
          </w:tcPr>
          <w:p w14:paraId="2430A88E">
            <w:pPr>
              <w:widowControl w:val="0"/>
              <w:spacing w:line="380" w:lineRule="exact"/>
              <w:jc w:val="center"/>
              <w:rPr>
                <w:rFonts w:ascii="宋体" w:hAnsi="宋体" w:cs="宋体"/>
              </w:rPr>
            </w:pPr>
            <w:r>
              <w:rPr>
                <w:rFonts w:hint="eastAsia" w:ascii="宋体" w:hAnsi="宋体" w:cs="宋体"/>
              </w:rPr>
              <w:t>其他</w:t>
            </w:r>
          </w:p>
        </w:tc>
        <w:tc>
          <w:tcPr>
            <w:tcW w:w="5602" w:type="dxa"/>
            <w:tcBorders>
              <w:top w:val="single" w:color="auto" w:sz="4" w:space="0"/>
              <w:left w:val="single" w:color="auto" w:sz="4" w:space="0"/>
              <w:bottom w:val="single" w:color="auto" w:sz="4" w:space="0"/>
              <w:right w:val="single" w:color="auto" w:sz="4" w:space="0"/>
            </w:tcBorders>
            <w:vAlign w:val="center"/>
          </w:tcPr>
          <w:p w14:paraId="7E60D9D6">
            <w:pPr>
              <w:widowControl w:val="0"/>
              <w:spacing w:line="380" w:lineRule="exact"/>
              <w:rPr>
                <w:rFonts w:ascii="宋体" w:hAnsi="宋体" w:cs="宋体"/>
              </w:rPr>
            </w:pPr>
            <w:r>
              <w:rPr>
                <w:rFonts w:hint="eastAsia" w:ascii="宋体" w:hAnsi="宋体" w:cs="宋体"/>
              </w:rPr>
              <w:t>竞争性磋商文件规定的其他无效投标情形。</w:t>
            </w:r>
          </w:p>
        </w:tc>
      </w:tr>
    </w:tbl>
    <w:p w14:paraId="4B006590">
      <w:pPr>
        <w:widowControl w:val="0"/>
        <w:rPr>
          <w:rFonts w:ascii="宋体" w:hAnsi="宋体" w:cs="宋体"/>
          <w:sz w:val="32"/>
        </w:rPr>
      </w:pPr>
      <w:r>
        <w:rPr>
          <w:rFonts w:hint="eastAsia" w:ascii="宋体" w:hAnsi="宋体" w:cs="宋体"/>
          <w:sz w:val="32"/>
        </w:rPr>
        <w:br w:type="page"/>
      </w:r>
      <w:bookmarkStart w:id="99" w:name="_Toc66736816"/>
      <w:bookmarkStart w:id="100" w:name="_Toc66457128"/>
      <w:bookmarkStart w:id="101" w:name="_Toc992"/>
    </w:p>
    <w:p w14:paraId="6B9C4F65">
      <w:pPr>
        <w:pStyle w:val="68"/>
        <w:jc w:val="center"/>
        <w:outlineLvl w:val="1"/>
        <w:rPr>
          <w:rFonts w:hint="default" w:ascii="宋体" w:hAnsi="宋体" w:cs="宋体"/>
          <w:sz w:val="28"/>
          <w:szCs w:val="28"/>
        </w:rPr>
      </w:pPr>
      <w:bookmarkStart w:id="102" w:name="_Toc13996"/>
      <w:r>
        <w:rPr>
          <w:rFonts w:ascii="宋体" w:hAnsi="宋体" w:cs="宋体"/>
          <w:b/>
          <w:sz w:val="28"/>
          <w:szCs w:val="28"/>
        </w:rPr>
        <w:t>评标方法及分值构成</w:t>
      </w:r>
      <w:bookmarkEnd w:id="102"/>
    </w:p>
    <w:tbl>
      <w:tblPr>
        <w:tblStyle w:val="51"/>
        <w:tblW w:w="10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1"/>
        <w:gridCol w:w="835"/>
        <w:gridCol w:w="832"/>
        <w:gridCol w:w="6158"/>
        <w:gridCol w:w="2064"/>
      </w:tblGrid>
      <w:tr w14:paraId="07D0D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 w:hRule="atLeast"/>
          <w:jc w:val="center"/>
        </w:trPr>
        <w:tc>
          <w:tcPr>
            <w:tcW w:w="651" w:type="dxa"/>
            <w:tcBorders>
              <w:top w:val="single" w:color="auto" w:sz="4" w:space="0"/>
              <w:bottom w:val="single" w:color="auto" w:sz="4" w:space="0"/>
              <w:right w:val="single" w:color="auto" w:sz="4" w:space="0"/>
            </w:tcBorders>
            <w:vAlign w:val="center"/>
          </w:tcPr>
          <w:p w14:paraId="3B3B0010">
            <w:pPr>
              <w:widowControl w:val="0"/>
              <w:spacing w:line="500" w:lineRule="exact"/>
              <w:rPr>
                <w:rFonts w:ascii="宋体" w:hAnsi="宋体" w:cs="宋体"/>
                <w:b/>
                <w:bCs/>
              </w:rPr>
            </w:pPr>
            <w:r>
              <w:rPr>
                <w:rFonts w:hint="eastAsia" w:ascii="宋体" w:hAnsi="宋体" w:cs="宋体"/>
                <w:b/>
                <w:bCs/>
              </w:rPr>
              <w:t>序号</w:t>
            </w:r>
          </w:p>
        </w:tc>
        <w:tc>
          <w:tcPr>
            <w:tcW w:w="835" w:type="dxa"/>
            <w:tcBorders>
              <w:top w:val="single" w:color="auto" w:sz="4" w:space="0"/>
              <w:left w:val="single" w:color="auto" w:sz="4" w:space="0"/>
              <w:bottom w:val="single" w:color="auto" w:sz="4" w:space="0"/>
              <w:right w:val="single" w:color="auto" w:sz="4" w:space="0"/>
            </w:tcBorders>
            <w:vAlign w:val="center"/>
          </w:tcPr>
          <w:p w14:paraId="7FF1FE6E">
            <w:pPr>
              <w:widowControl w:val="0"/>
              <w:spacing w:line="500" w:lineRule="exact"/>
              <w:rPr>
                <w:rFonts w:ascii="宋体" w:hAnsi="宋体" w:cs="宋体"/>
                <w:b/>
                <w:bCs/>
              </w:rPr>
            </w:pPr>
            <w:r>
              <w:rPr>
                <w:rFonts w:hint="eastAsia" w:ascii="宋体" w:hAnsi="宋体" w:cs="宋体"/>
                <w:b/>
                <w:bCs/>
              </w:rPr>
              <w:t>评分因素</w:t>
            </w:r>
          </w:p>
        </w:tc>
        <w:tc>
          <w:tcPr>
            <w:tcW w:w="832" w:type="dxa"/>
            <w:tcBorders>
              <w:top w:val="single" w:color="auto" w:sz="4" w:space="0"/>
              <w:left w:val="single" w:color="auto" w:sz="4" w:space="0"/>
              <w:bottom w:val="single" w:color="auto" w:sz="4" w:space="0"/>
              <w:right w:val="single" w:color="auto" w:sz="4" w:space="0"/>
            </w:tcBorders>
            <w:vAlign w:val="center"/>
          </w:tcPr>
          <w:p w14:paraId="1C655ABE">
            <w:pPr>
              <w:widowControl w:val="0"/>
              <w:spacing w:line="500" w:lineRule="exact"/>
              <w:jc w:val="center"/>
              <w:rPr>
                <w:rFonts w:ascii="宋体" w:hAnsi="宋体" w:cs="宋体"/>
                <w:b/>
                <w:bCs/>
              </w:rPr>
            </w:pPr>
            <w:r>
              <w:rPr>
                <w:rFonts w:hint="eastAsia" w:ascii="宋体" w:hAnsi="宋体" w:cs="宋体"/>
                <w:b/>
                <w:bCs/>
              </w:rPr>
              <w:t>分值</w:t>
            </w:r>
          </w:p>
        </w:tc>
        <w:tc>
          <w:tcPr>
            <w:tcW w:w="6158" w:type="dxa"/>
            <w:tcBorders>
              <w:top w:val="single" w:color="auto" w:sz="4" w:space="0"/>
              <w:left w:val="single" w:color="auto" w:sz="4" w:space="0"/>
              <w:bottom w:val="single" w:color="auto" w:sz="4" w:space="0"/>
              <w:right w:val="single" w:color="auto" w:sz="4" w:space="0"/>
            </w:tcBorders>
            <w:vAlign w:val="center"/>
          </w:tcPr>
          <w:p w14:paraId="3311D0EB">
            <w:pPr>
              <w:widowControl w:val="0"/>
              <w:spacing w:line="500" w:lineRule="exact"/>
              <w:jc w:val="center"/>
              <w:rPr>
                <w:rFonts w:ascii="宋体" w:hAnsi="宋体" w:cs="宋体"/>
                <w:b/>
                <w:bCs/>
              </w:rPr>
            </w:pPr>
            <w:r>
              <w:rPr>
                <w:rFonts w:hint="eastAsia" w:ascii="宋体" w:hAnsi="宋体" w:cs="宋体"/>
                <w:b/>
                <w:bCs/>
              </w:rPr>
              <w:t>评分标准</w:t>
            </w:r>
          </w:p>
        </w:tc>
        <w:tc>
          <w:tcPr>
            <w:tcW w:w="2064" w:type="dxa"/>
            <w:tcBorders>
              <w:top w:val="single" w:color="auto" w:sz="4" w:space="0"/>
              <w:left w:val="single" w:color="auto" w:sz="4" w:space="0"/>
              <w:bottom w:val="single" w:color="auto" w:sz="4" w:space="0"/>
            </w:tcBorders>
            <w:vAlign w:val="center"/>
          </w:tcPr>
          <w:p w14:paraId="5C9C6EC0">
            <w:pPr>
              <w:widowControl w:val="0"/>
              <w:spacing w:line="500" w:lineRule="exact"/>
              <w:rPr>
                <w:rFonts w:ascii="宋体" w:hAnsi="宋体" w:cs="宋体"/>
                <w:b/>
                <w:bCs/>
              </w:rPr>
            </w:pPr>
            <w:r>
              <w:rPr>
                <w:rFonts w:hint="eastAsia" w:ascii="宋体" w:hAnsi="宋体" w:cs="宋体"/>
                <w:b/>
                <w:bCs/>
              </w:rPr>
              <w:t xml:space="preserve">       备注</w:t>
            </w:r>
          </w:p>
        </w:tc>
      </w:tr>
      <w:tr w14:paraId="676D8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51" w:type="dxa"/>
            <w:tcBorders>
              <w:top w:val="single" w:color="auto" w:sz="4" w:space="0"/>
              <w:bottom w:val="single" w:color="auto" w:sz="4" w:space="0"/>
              <w:right w:val="single" w:color="auto" w:sz="4" w:space="0"/>
            </w:tcBorders>
            <w:vAlign w:val="center"/>
          </w:tcPr>
          <w:p w14:paraId="4D1DA14F">
            <w:pPr>
              <w:widowControl w:val="0"/>
              <w:spacing w:line="500" w:lineRule="exact"/>
              <w:jc w:val="center"/>
              <w:rPr>
                <w:rFonts w:ascii="宋体" w:hAnsi="宋体" w:cs="宋体"/>
              </w:rPr>
            </w:pPr>
            <w:r>
              <w:rPr>
                <w:rFonts w:hint="eastAsia" w:ascii="宋体" w:hAnsi="宋体" w:cs="宋体"/>
              </w:rPr>
              <w:t>1</w:t>
            </w:r>
          </w:p>
        </w:tc>
        <w:tc>
          <w:tcPr>
            <w:tcW w:w="835" w:type="dxa"/>
            <w:tcBorders>
              <w:top w:val="single" w:color="auto" w:sz="4" w:space="0"/>
              <w:left w:val="single" w:color="auto" w:sz="4" w:space="0"/>
              <w:bottom w:val="single" w:color="auto" w:sz="4" w:space="0"/>
              <w:right w:val="single" w:color="auto" w:sz="4" w:space="0"/>
            </w:tcBorders>
            <w:vAlign w:val="center"/>
          </w:tcPr>
          <w:p w14:paraId="2B1375FF">
            <w:pPr>
              <w:widowControl w:val="0"/>
              <w:spacing w:line="500" w:lineRule="exact"/>
              <w:jc w:val="center"/>
              <w:rPr>
                <w:rFonts w:ascii="宋体" w:hAnsi="宋体" w:cs="宋体"/>
                <w:color w:val="auto"/>
              </w:rPr>
            </w:pPr>
            <w:r>
              <w:rPr>
                <w:rFonts w:hint="eastAsia" w:ascii="宋体" w:hAnsi="宋体" w:cs="宋体"/>
                <w:color w:val="auto"/>
              </w:rPr>
              <w:t>投标报价</w:t>
            </w:r>
          </w:p>
        </w:tc>
        <w:tc>
          <w:tcPr>
            <w:tcW w:w="832" w:type="dxa"/>
            <w:tcBorders>
              <w:top w:val="single" w:color="auto" w:sz="4" w:space="0"/>
              <w:left w:val="single" w:color="auto" w:sz="4" w:space="0"/>
              <w:bottom w:val="single" w:color="auto" w:sz="4" w:space="0"/>
              <w:right w:val="single" w:color="auto" w:sz="4" w:space="0"/>
            </w:tcBorders>
            <w:vAlign w:val="center"/>
          </w:tcPr>
          <w:p w14:paraId="79832CC7">
            <w:pPr>
              <w:widowControl w:val="0"/>
              <w:spacing w:line="500" w:lineRule="exact"/>
              <w:jc w:val="center"/>
              <w:rPr>
                <w:rFonts w:ascii="宋体" w:hAnsi="宋体" w:cs="宋体"/>
                <w:color w:val="auto"/>
              </w:rPr>
            </w:pPr>
            <w:r>
              <w:rPr>
                <w:rFonts w:hint="eastAsia" w:ascii="宋体" w:hAnsi="宋体" w:cs="宋体"/>
                <w:color w:val="auto"/>
              </w:rPr>
              <w:t>30分</w:t>
            </w:r>
          </w:p>
        </w:tc>
        <w:tc>
          <w:tcPr>
            <w:tcW w:w="6158" w:type="dxa"/>
            <w:tcBorders>
              <w:top w:val="single" w:color="auto" w:sz="4" w:space="0"/>
              <w:left w:val="single" w:color="auto" w:sz="4" w:space="0"/>
              <w:bottom w:val="single" w:color="auto" w:sz="4" w:space="0"/>
              <w:right w:val="single" w:color="auto" w:sz="4" w:space="0"/>
            </w:tcBorders>
            <w:vAlign w:val="center"/>
          </w:tcPr>
          <w:p w14:paraId="138DD53A">
            <w:pPr>
              <w:widowControl w:val="0"/>
              <w:spacing w:line="500" w:lineRule="exact"/>
              <w:rPr>
                <w:rFonts w:ascii="宋体" w:hAnsi="宋体" w:cs="宋体"/>
                <w:color w:val="auto"/>
              </w:rPr>
            </w:pPr>
            <w:r>
              <w:rPr>
                <w:rFonts w:hint="eastAsia" w:ascii="宋体" w:hAnsi="宋体" w:cs="宋体"/>
                <w:color w:val="auto"/>
              </w:rPr>
              <w:t>以满足竞争性磋商文件要求且二次投标价格最低的有效投标报价为评标基准价，其报价分为满分。</w:t>
            </w:r>
          </w:p>
          <w:p w14:paraId="18A8ADF3">
            <w:pPr>
              <w:widowControl w:val="0"/>
              <w:spacing w:line="500" w:lineRule="exact"/>
              <w:rPr>
                <w:rFonts w:ascii="宋体" w:hAnsi="宋体" w:cs="宋体"/>
                <w:color w:val="auto"/>
              </w:rPr>
            </w:pPr>
            <w:r>
              <w:rPr>
                <w:rFonts w:hint="eastAsia" w:ascii="宋体" w:hAnsi="宋体" w:cs="宋体"/>
                <w:color w:val="auto"/>
              </w:rPr>
              <w:t>投标报价分计算公式：投标报价得分=(评标基准价／磋商申请人二次报价)×30。</w:t>
            </w:r>
          </w:p>
          <w:p w14:paraId="128C8EA8">
            <w:pPr>
              <w:widowControl w:val="0"/>
              <w:spacing w:line="500" w:lineRule="exact"/>
              <w:rPr>
                <w:rFonts w:ascii="宋体" w:hAnsi="宋体" w:cs="宋体"/>
                <w:color w:val="auto"/>
              </w:rPr>
            </w:pPr>
          </w:p>
        </w:tc>
        <w:tc>
          <w:tcPr>
            <w:tcW w:w="2064" w:type="dxa"/>
            <w:tcBorders>
              <w:top w:val="single" w:color="auto" w:sz="4" w:space="0"/>
              <w:left w:val="single" w:color="auto" w:sz="4" w:space="0"/>
              <w:bottom w:val="single" w:color="auto" w:sz="4" w:space="0"/>
            </w:tcBorders>
            <w:vAlign w:val="center"/>
          </w:tcPr>
          <w:p w14:paraId="7C992888">
            <w:pPr>
              <w:widowControl w:val="0"/>
              <w:spacing w:line="500" w:lineRule="exact"/>
              <w:rPr>
                <w:rFonts w:ascii="宋体" w:hAnsi="宋体" w:cs="宋体"/>
                <w:color w:val="auto"/>
              </w:rPr>
            </w:pPr>
            <w:r>
              <w:rPr>
                <w:rFonts w:hint="eastAsia" w:ascii="宋体" w:hAnsi="宋体" w:cs="宋体"/>
                <w:color w:val="auto"/>
              </w:rPr>
              <w:t>投标报价超过采购预算、低于成本价、投标单位的资格评审、响应性评审不满足竞争性磋商文件要求的为无效报价，不参与评标办法评分。</w:t>
            </w:r>
          </w:p>
        </w:tc>
      </w:tr>
      <w:tr w14:paraId="56DA3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4" w:hRule="atLeast"/>
          <w:jc w:val="center"/>
        </w:trPr>
        <w:tc>
          <w:tcPr>
            <w:tcW w:w="651" w:type="dxa"/>
            <w:vMerge w:val="restart"/>
            <w:tcBorders>
              <w:top w:val="single" w:color="auto" w:sz="4" w:space="0"/>
              <w:right w:val="single" w:color="auto" w:sz="4" w:space="0"/>
            </w:tcBorders>
            <w:vAlign w:val="center"/>
          </w:tcPr>
          <w:p w14:paraId="349C0265">
            <w:pPr>
              <w:widowControl w:val="0"/>
              <w:spacing w:line="500" w:lineRule="exact"/>
              <w:jc w:val="center"/>
              <w:rPr>
                <w:rFonts w:ascii="宋体" w:hAnsi="宋体" w:cs="宋体"/>
              </w:rPr>
            </w:pPr>
            <w:r>
              <w:rPr>
                <w:rFonts w:hint="eastAsia" w:ascii="宋体" w:hAnsi="宋体" w:cs="宋体"/>
              </w:rPr>
              <w:t>2</w:t>
            </w:r>
          </w:p>
        </w:tc>
        <w:tc>
          <w:tcPr>
            <w:tcW w:w="835" w:type="dxa"/>
            <w:vMerge w:val="restart"/>
            <w:tcBorders>
              <w:top w:val="single" w:color="auto" w:sz="4" w:space="0"/>
              <w:left w:val="single" w:color="auto" w:sz="4" w:space="0"/>
              <w:right w:val="single" w:color="auto" w:sz="4" w:space="0"/>
            </w:tcBorders>
            <w:vAlign w:val="center"/>
          </w:tcPr>
          <w:p w14:paraId="477588D0">
            <w:pPr>
              <w:widowControl w:val="0"/>
              <w:spacing w:line="500" w:lineRule="exact"/>
              <w:rPr>
                <w:rFonts w:ascii="宋体" w:hAnsi="宋体" w:cs="宋体"/>
              </w:rPr>
            </w:pPr>
            <w:r>
              <w:rPr>
                <w:rFonts w:hint="eastAsia" w:ascii="宋体" w:hAnsi="宋体" w:cs="宋体"/>
              </w:rPr>
              <w:t>技术部分</w:t>
            </w:r>
          </w:p>
        </w:tc>
        <w:tc>
          <w:tcPr>
            <w:tcW w:w="832" w:type="dxa"/>
            <w:vMerge w:val="restart"/>
            <w:tcBorders>
              <w:top w:val="single" w:color="auto" w:sz="4" w:space="0"/>
              <w:left w:val="single" w:color="auto" w:sz="4" w:space="0"/>
              <w:right w:val="single" w:color="auto" w:sz="4" w:space="0"/>
            </w:tcBorders>
            <w:vAlign w:val="center"/>
          </w:tcPr>
          <w:p w14:paraId="5450BC8B">
            <w:pPr>
              <w:widowControl w:val="0"/>
              <w:spacing w:line="500" w:lineRule="exact"/>
              <w:jc w:val="center"/>
              <w:rPr>
                <w:rFonts w:ascii="宋体" w:hAnsi="宋体" w:cs="宋体"/>
              </w:rPr>
            </w:pPr>
            <w:r>
              <w:rPr>
                <w:rFonts w:hint="eastAsia" w:ascii="宋体" w:hAnsi="宋体" w:cs="宋体"/>
              </w:rPr>
              <w:t>70分</w:t>
            </w:r>
          </w:p>
        </w:tc>
        <w:tc>
          <w:tcPr>
            <w:tcW w:w="6158" w:type="dxa"/>
            <w:tcBorders>
              <w:top w:val="single" w:color="auto" w:sz="4" w:space="0"/>
              <w:left w:val="single" w:color="auto" w:sz="4" w:space="0"/>
              <w:bottom w:val="single" w:color="auto" w:sz="4" w:space="0"/>
              <w:right w:val="single" w:color="auto" w:sz="4" w:space="0"/>
            </w:tcBorders>
            <w:vAlign w:val="center"/>
          </w:tcPr>
          <w:p w14:paraId="0E70C26C">
            <w:pPr>
              <w:widowControl w:val="0"/>
              <w:spacing w:line="360" w:lineRule="exact"/>
              <w:rPr>
                <w:rFonts w:ascii="宋体" w:hAnsi="宋体" w:cs="宋体"/>
                <w:b/>
                <w:bCs/>
                <w:szCs w:val="21"/>
              </w:rPr>
            </w:pPr>
            <w:r>
              <w:rPr>
                <w:rFonts w:hint="eastAsia" w:ascii="宋体" w:hAnsi="宋体" w:cs="宋体"/>
                <w:b/>
                <w:bCs/>
                <w:szCs w:val="21"/>
              </w:rPr>
              <w:t>施工方案与技术措施（满分15分）</w:t>
            </w:r>
          </w:p>
          <w:p w14:paraId="2DF23E91">
            <w:pPr>
              <w:pStyle w:val="44"/>
              <w:spacing w:line="400" w:lineRule="exact"/>
              <w:ind w:firstLine="480"/>
              <w:rPr>
                <w:color w:val="auto"/>
                <w:sz w:val="24"/>
                <w:szCs w:val="24"/>
              </w:rPr>
            </w:pPr>
            <w:r>
              <w:rPr>
                <w:rFonts w:hint="eastAsia"/>
                <w:color w:val="auto"/>
                <w:sz w:val="24"/>
                <w:szCs w:val="24"/>
              </w:rPr>
              <w:t>磋商小组对所有磋商响应文件的“项目实施方案”中“施工方案与技术措施”部分内容进行详细地审查后，综合评审评分：</w:t>
            </w:r>
          </w:p>
          <w:p w14:paraId="6BB838E1">
            <w:pPr>
              <w:pStyle w:val="44"/>
              <w:spacing w:line="400" w:lineRule="exact"/>
              <w:ind w:firstLine="480"/>
              <w:rPr>
                <w:color w:val="auto"/>
                <w:sz w:val="24"/>
                <w:szCs w:val="24"/>
              </w:rPr>
            </w:pPr>
            <w:r>
              <w:rPr>
                <w:rFonts w:hint="eastAsia"/>
                <w:color w:val="auto"/>
                <w:sz w:val="24"/>
                <w:szCs w:val="24"/>
              </w:rPr>
              <w:t>第一档次（15分）：对项目总体概况表述清晰、完整；项目施工部署安排及施工方法和技术措施先进、可靠，提供详细完整的施工总平面图，符合环保、安全、文明生产要求。</w:t>
            </w:r>
          </w:p>
          <w:p w14:paraId="65EDC1EB">
            <w:pPr>
              <w:pStyle w:val="44"/>
              <w:spacing w:line="400" w:lineRule="exact"/>
              <w:ind w:firstLine="480"/>
              <w:rPr>
                <w:color w:val="auto"/>
                <w:sz w:val="24"/>
                <w:szCs w:val="24"/>
              </w:rPr>
            </w:pPr>
            <w:r>
              <w:rPr>
                <w:rFonts w:hint="eastAsia"/>
                <w:color w:val="auto"/>
                <w:sz w:val="24"/>
                <w:szCs w:val="24"/>
              </w:rPr>
              <w:t>第二档次（12分）：对项目总体概况表述较清晰、完整；项目施工部署安排及施工方法和技术措施具体较可靠；提供完整的施工总平面图，较符合环保、安全、文明生产要求。</w:t>
            </w:r>
          </w:p>
          <w:p w14:paraId="7E7563B1">
            <w:pPr>
              <w:pStyle w:val="44"/>
              <w:spacing w:line="400" w:lineRule="exact"/>
              <w:ind w:firstLine="480"/>
              <w:rPr>
                <w:color w:val="auto"/>
                <w:sz w:val="24"/>
                <w:szCs w:val="24"/>
              </w:rPr>
            </w:pPr>
            <w:r>
              <w:rPr>
                <w:rFonts w:hint="eastAsia"/>
                <w:color w:val="auto"/>
                <w:sz w:val="24"/>
                <w:szCs w:val="24"/>
              </w:rPr>
              <w:t>第三档次（9分）：对项目总体概况表述不够清晰，项目施工部署安排及施工方法和技术措施不够具体；提供的施工总平面图存在缺陷，对项目主要及关键方案表述不够清晰。</w:t>
            </w:r>
          </w:p>
          <w:p w14:paraId="3BDD571C">
            <w:pPr>
              <w:pStyle w:val="44"/>
              <w:spacing w:line="400" w:lineRule="exact"/>
              <w:ind w:firstLine="480"/>
              <w:rPr>
                <w:color w:val="auto"/>
                <w:sz w:val="24"/>
                <w:szCs w:val="24"/>
              </w:rPr>
            </w:pPr>
            <w:r>
              <w:rPr>
                <w:rFonts w:hint="eastAsia"/>
                <w:color w:val="auto"/>
                <w:sz w:val="24"/>
                <w:szCs w:val="24"/>
              </w:rPr>
              <w:t>第四档次（6分）：对项目总体概况表述一般、无针对性，项目施工部署安排及施工方法和技术措施不够具体，提供的施工总平面图存在缺陷，对项目主要及关键方案表述不够清晰。</w:t>
            </w:r>
          </w:p>
          <w:p w14:paraId="22BAAE70">
            <w:pPr>
              <w:pStyle w:val="44"/>
              <w:spacing w:line="400" w:lineRule="exact"/>
              <w:ind w:firstLine="480"/>
              <w:rPr>
                <w:color w:val="auto"/>
                <w:sz w:val="24"/>
                <w:szCs w:val="24"/>
              </w:rPr>
            </w:pPr>
            <w:r>
              <w:rPr>
                <w:rFonts w:hint="eastAsia"/>
                <w:color w:val="auto"/>
                <w:sz w:val="24"/>
                <w:szCs w:val="24"/>
              </w:rPr>
              <w:t>第五档次（3分）：对项目总体概况表述一般、无针对性，不符项目实际情况，项目施工部署安排及施工方法和技术措施一般化；提供的施工总平面图存在缺陷，无对项目主要及关键方案表述的。</w:t>
            </w:r>
          </w:p>
          <w:p w14:paraId="3BB235C6">
            <w:pPr>
              <w:pStyle w:val="44"/>
              <w:spacing w:line="400" w:lineRule="exact"/>
              <w:ind w:firstLine="480"/>
              <w:rPr>
                <w:color w:val="auto"/>
                <w:sz w:val="21"/>
                <w:szCs w:val="21"/>
              </w:rPr>
            </w:pPr>
            <w:r>
              <w:rPr>
                <w:rFonts w:hint="eastAsia"/>
                <w:color w:val="auto"/>
                <w:sz w:val="24"/>
                <w:szCs w:val="24"/>
              </w:rPr>
              <w:t>无“施工方案与技术措施”的，不得分。</w:t>
            </w:r>
          </w:p>
        </w:tc>
        <w:tc>
          <w:tcPr>
            <w:tcW w:w="2064" w:type="dxa"/>
            <w:tcBorders>
              <w:top w:val="single" w:color="auto" w:sz="4" w:space="0"/>
              <w:left w:val="single" w:color="auto" w:sz="4" w:space="0"/>
              <w:bottom w:val="single" w:color="auto" w:sz="4" w:space="0"/>
            </w:tcBorders>
            <w:vAlign w:val="center"/>
          </w:tcPr>
          <w:p w14:paraId="09248114">
            <w:pPr>
              <w:widowControl w:val="0"/>
              <w:spacing w:line="500" w:lineRule="exact"/>
              <w:rPr>
                <w:rFonts w:ascii="宋体" w:hAnsi="宋体" w:cs="宋体"/>
              </w:rPr>
            </w:pPr>
          </w:p>
        </w:tc>
      </w:tr>
      <w:tr w14:paraId="42D00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51" w:type="dxa"/>
            <w:vMerge w:val="continue"/>
            <w:tcBorders>
              <w:right w:val="single" w:color="auto" w:sz="4" w:space="0"/>
            </w:tcBorders>
            <w:vAlign w:val="center"/>
          </w:tcPr>
          <w:p w14:paraId="65953821">
            <w:pPr>
              <w:widowControl w:val="0"/>
              <w:spacing w:line="500" w:lineRule="exact"/>
              <w:jc w:val="center"/>
              <w:rPr>
                <w:rFonts w:ascii="宋体" w:hAnsi="宋体" w:cs="宋体"/>
              </w:rPr>
            </w:pPr>
          </w:p>
        </w:tc>
        <w:tc>
          <w:tcPr>
            <w:tcW w:w="835" w:type="dxa"/>
            <w:vMerge w:val="continue"/>
            <w:tcBorders>
              <w:left w:val="single" w:color="auto" w:sz="4" w:space="0"/>
              <w:right w:val="single" w:color="auto" w:sz="4" w:space="0"/>
            </w:tcBorders>
            <w:vAlign w:val="center"/>
          </w:tcPr>
          <w:p w14:paraId="11836E72">
            <w:pPr>
              <w:widowControl w:val="0"/>
              <w:spacing w:line="500" w:lineRule="exact"/>
              <w:jc w:val="center"/>
              <w:rPr>
                <w:rFonts w:ascii="宋体" w:hAnsi="宋体" w:cs="宋体"/>
              </w:rPr>
            </w:pPr>
          </w:p>
        </w:tc>
        <w:tc>
          <w:tcPr>
            <w:tcW w:w="832" w:type="dxa"/>
            <w:vMerge w:val="continue"/>
            <w:tcBorders>
              <w:left w:val="single" w:color="auto" w:sz="4" w:space="0"/>
              <w:right w:val="single" w:color="auto" w:sz="4" w:space="0"/>
            </w:tcBorders>
            <w:vAlign w:val="center"/>
          </w:tcPr>
          <w:p w14:paraId="7622E79B">
            <w:pPr>
              <w:widowControl w:val="0"/>
              <w:spacing w:line="500" w:lineRule="exact"/>
              <w:jc w:val="center"/>
              <w:rPr>
                <w:rFonts w:ascii="宋体" w:hAnsi="宋体" w:cs="宋体"/>
              </w:rPr>
            </w:pPr>
          </w:p>
        </w:tc>
        <w:tc>
          <w:tcPr>
            <w:tcW w:w="6158" w:type="dxa"/>
            <w:tcBorders>
              <w:top w:val="single" w:color="auto" w:sz="4" w:space="0"/>
              <w:left w:val="single" w:color="auto" w:sz="4" w:space="0"/>
              <w:bottom w:val="single" w:color="auto" w:sz="4" w:space="0"/>
              <w:right w:val="single" w:color="auto" w:sz="4" w:space="0"/>
            </w:tcBorders>
            <w:vAlign w:val="center"/>
          </w:tcPr>
          <w:p w14:paraId="66620645">
            <w:pPr>
              <w:snapToGrid w:val="0"/>
              <w:spacing w:line="400" w:lineRule="exact"/>
              <w:rPr>
                <w:rFonts w:ascii="宋体" w:hAnsi="宋体" w:cs="宋体"/>
                <w:b/>
                <w:bCs/>
                <w:szCs w:val="21"/>
              </w:rPr>
            </w:pPr>
            <w:r>
              <w:rPr>
                <w:rFonts w:hint="eastAsia" w:ascii="宋体" w:hAnsi="宋体" w:cs="宋体"/>
                <w:b/>
                <w:bCs/>
                <w:szCs w:val="21"/>
              </w:rPr>
              <w:t>质量管理体系与措施（满分15分）</w:t>
            </w:r>
          </w:p>
          <w:p w14:paraId="4E113556">
            <w:pPr>
              <w:pStyle w:val="44"/>
              <w:spacing w:line="420" w:lineRule="exact"/>
              <w:ind w:firstLine="480"/>
              <w:rPr>
                <w:color w:val="auto"/>
                <w:sz w:val="24"/>
                <w:szCs w:val="24"/>
              </w:rPr>
            </w:pPr>
            <w:r>
              <w:rPr>
                <w:rFonts w:hint="eastAsia"/>
                <w:color w:val="auto"/>
                <w:sz w:val="24"/>
                <w:szCs w:val="24"/>
              </w:rPr>
              <w:t>磋商小组对所有磋商响应文件的“项目实施方案”中“质量管理体系与措施”部分内容进行详细地审查后，综合评审评分：</w:t>
            </w:r>
          </w:p>
          <w:p w14:paraId="6ACD7C64">
            <w:pPr>
              <w:pStyle w:val="44"/>
              <w:spacing w:line="420" w:lineRule="exact"/>
              <w:ind w:firstLine="480"/>
              <w:rPr>
                <w:color w:val="auto"/>
                <w:sz w:val="24"/>
                <w:szCs w:val="24"/>
              </w:rPr>
            </w:pPr>
            <w:r>
              <w:rPr>
                <w:rFonts w:hint="eastAsia"/>
                <w:color w:val="auto"/>
                <w:sz w:val="24"/>
                <w:szCs w:val="24"/>
              </w:rPr>
              <w:t>第一档次（15分）：施工质量管理目标符合或优于竞争性磋商文件要求且目标明确：质量管理机构健全，职责分工明确，管理制度齐全，质量管理实施与监控技术措施全面、有效。</w:t>
            </w:r>
          </w:p>
          <w:p w14:paraId="793B2A9F">
            <w:pPr>
              <w:pStyle w:val="44"/>
              <w:spacing w:line="420" w:lineRule="exact"/>
              <w:ind w:firstLine="480"/>
              <w:rPr>
                <w:color w:val="auto"/>
                <w:sz w:val="24"/>
                <w:szCs w:val="24"/>
              </w:rPr>
            </w:pPr>
            <w:r>
              <w:rPr>
                <w:rFonts w:hint="eastAsia"/>
                <w:color w:val="auto"/>
                <w:sz w:val="24"/>
                <w:szCs w:val="24"/>
              </w:rPr>
              <w:t>第二档次（12分）：施工质量管理目标符合或优于竞争性磋商文件要求且目标明确；管理机构健全，职责分工较明确，管理制度较齐全，质量管理实施与监控技术措施较完整。</w:t>
            </w:r>
          </w:p>
          <w:p w14:paraId="7152976B">
            <w:pPr>
              <w:pStyle w:val="44"/>
              <w:spacing w:line="420" w:lineRule="exact"/>
              <w:ind w:firstLine="480"/>
              <w:rPr>
                <w:color w:val="auto"/>
                <w:sz w:val="24"/>
                <w:szCs w:val="24"/>
              </w:rPr>
            </w:pPr>
            <w:r>
              <w:rPr>
                <w:rFonts w:hint="eastAsia"/>
                <w:color w:val="auto"/>
                <w:sz w:val="24"/>
                <w:szCs w:val="24"/>
              </w:rPr>
              <w:t>第三档次（9分）：施工质量管理目标符合竞争性磋商文件要求且目标明确：管理机构基本健全，职责分工基本明确，管理制度基本齐全，质量管理实施与监控技术措施基本完整。</w:t>
            </w:r>
          </w:p>
          <w:p w14:paraId="476F5036">
            <w:pPr>
              <w:pStyle w:val="44"/>
              <w:spacing w:line="420" w:lineRule="exact"/>
              <w:ind w:firstLine="480"/>
              <w:rPr>
                <w:color w:val="auto"/>
                <w:sz w:val="24"/>
                <w:szCs w:val="24"/>
              </w:rPr>
            </w:pPr>
            <w:r>
              <w:rPr>
                <w:rFonts w:hint="eastAsia"/>
                <w:color w:val="auto"/>
                <w:sz w:val="24"/>
                <w:szCs w:val="24"/>
              </w:rPr>
              <w:t>第四档次（6分）：施工质量管理目标基本符合竞争性磋商文件要求且目标明确一般：管理机构基本健全，职责分工基本不够明确，管理制度基本齐全，质量管理实施与监控技术措施基本完整。</w:t>
            </w:r>
          </w:p>
          <w:p w14:paraId="45736DB1">
            <w:pPr>
              <w:pStyle w:val="44"/>
              <w:spacing w:line="420" w:lineRule="exact"/>
              <w:ind w:firstLine="480"/>
              <w:rPr>
                <w:color w:val="auto"/>
                <w:sz w:val="24"/>
                <w:szCs w:val="24"/>
              </w:rPr>
            </w:pPr>
            <w:r>
              <w:rPr>
                <w:rFonts w:hint="eastAsia"/>
                <w:color w:val="auto"/>
                <w:sz w:val="24"/>
                <w:szCs w:val="24"/>
              </w:rPr>
              <w:t>第五档次（3分）：施工质量管理目标基本符合竞争性磋商文件要求且目标不明确：管理机构基本健全，职责分工基本不明确，管理制度不齐全，质量管理实施与监控技术措施不够完整。</w:t>
            </w:r>
          </w:p>
          <w:p w14:paraId="3589D3B6">
            <w:pPr>
              <w:pStyle w:val="44"/>
              <w:spacing w:line="420" w:lineRule="exact"/>
              <w:ind w:firstLine="480"/>
            </w:pPr>
            <w:r>
              <w:rPr>
                <w:rFonts w:hint="eastAsia"/>
                <w:color w:val="auto"/>
                <w:sz w:val="24"/>
                <w:szCs w:val="24"/>
              </w:rPr>
              <w:t>无“质量管理体系与措施”的，不得分。</w:t>
            </w:r>
          </w:p>
        </w:tc>
        <w:tc>
          <w:tcPr>
            <w:tcW w:w="2064" w:type="dxa"/>
            <w:tcBorders>
              <w:top w:val="single" w:color="auto" w:sz="4" w:space="0"/>
              <w:left w:val="single" w:color="auto" w:sz="4" w:space="0"/>
              <w:bottom w:val="single" w:color="auto" w:sz="4" w:space="0"/>
            </w:tcBorders>
            <w:vAlign w:val="center"/>
          </w:tcPr>
          <w:p w14:paraId="73350367">
            <w:pPr>
              <w:widowControl w:val="0"/>
              <w:spacing w:line="500" w:lineRule="exact"/>
              <w:rPr>
                <w:rFonts w:ascii="宋体" w:hAnsi="宋体" w:cs="宋体"/>
              </w:rPr>
            </w:pPr>
          </w:p>
        </w:tc>
      </w:tr>
      <w:tr w14:paraId="0E22E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81" w:hRule="atLeast"/>
          <w:jc w:val="center"/>
        </w:trPr>
        <w:tc>
          <w:tcPr>
            <w:tcW w:w="651" w:type="dxa"/>
            <w:vMerge w:val="continue"/>
            <w:tcBorders>
              <w:right w:val="single" w:color="auto" w:sz="4" w:space="0"/>
            </w:tcBorders>
            <w:vAlign w:val="center"/>
          </w:tcPr>
          <w:p w14:paraId="3A31B3B4">
            <w:pPr>
              <w:widowControl w:val="0"/>
              <w:spacing w:line="500" w:lineRule="exact"/>
              <w:jc w:val="center"/>
              <w:rPr>
                <w:rFonts w:ascii="宋体" w:hAnsi="宋体" w:cs="宋体"/>
              </w:rPr>
            </w:pPr>
          </w:p>
        </w:tc>
        <w:tc>
          <w:tcPr>
            <w:tcW w:w="835" w:type="dxa"/>
            <w:vMerge w:val="continue"/>
            <w:tcBorders>
              <w:left w:val="single" w:color="auto" w:sz="4" w:space="0"/>
              <w:right w:val="single" w:color="auto" w:sz="4" w:space="0"/>
            </w:tcBorders>
            <w:vAlign w:val="center"/>
          </w:tcPr>
          <w:p w14:paraId="0C6BB248">
            <w:pPr>
              <w:widowControl w:val="0"/>
              <w:spacing w:line="500" w:lineRule="exact"/>
              <w:rPr>
                <w:rFonts w:ascii="宋体" w:hAnsi="宋体" w:cs="宋体"/>
              </w:rPr>
            </w:pPr>
          </w:p>
        </w:tc>
        <w:tc>
          <w:tcPr>
            <w:tcW w:w="832" w:type="dxa"/>
            <w:vMerge w:val="continue"/>
            <w:tcBorders>
              <w:left w:val="single" w:color="auto" w:sz="4" w:space="0"/>
              <w:right w:val="single" w:color="auto" w:sz="4" w:space="0"/>
            </w:tcBorders>
            <w:vAlign w:val="center"/>
          </w:tcPr>
          <w:p w14:paraId="28A06AFD">
            <w:pPr>
              <w:widowControl w:val="0"/>
              <w:spacing w:line="500" w:lineRule="exact"/>
              <w:jc w:val="center"/>
              <w:rPr>
                <w:rFonts w:ascii="宋体" w:hAnsi="宋体" w:cs="宋体"/>
              </w:rPr>
            </w:pPr>
          </w:p>
        </w:tc>
        <w:tc>
          <w:tcPr>
            <w:tcW w:w="6158" w:type="dxa"/>
            <w:tcBorders>
              <w:top w:val="single" w:color="auto" w:sz="4" w:space="0"/>
              <w:left w:val="single" w:color="auto" w:sz="4" w:space="0"/>
              <w:bottom w:val="single" w:color="auto" w:sz="4" w:space="0"/>
              <w:right w:val="single" w:color="auto" w:sz="4" w:space="0"/>
            </w:tcBorders>
            <w:vAlign w:val="center"/>
          </w:tcPr>
          <w:p w14:paraId="1567FC0E">
            <w:pPr>
              <w:snapToGrid w:val="0"/>
              <w:spacing w:line="400" w:lineRule="exact"/>
              <w:rPr>
                <w:rFonts w:ascii="宋体" w:hAnsi="宋体" w:cs="宋体"/>
                <w:b/>
                <w:bCs/>
                <w:szCs w:val="21"/>
              </w:rPr>
            </w:pPr>
            <w:r>
              <w:rPr>
                <w:rFonts w:hint="eastAsia" w:ascii="宋体" w:hAnsi="宋体" w:cs="宋体"/>
                <w:b/>
                <w:bCs/>
                <w:szCs w:val="21"/>
              </w:rPr>
              <w:t>环境保护安全管理体系与措施（满分10分）</w:t>
            </w:r>
          </w:p>
          <w:p w14:paraId="4EF0415E">
            <w:pPr>
              <w:pStyle w:val="44"/>
              <w:spacing w:line="420" w:lineRule="exact"/>
              <w:ind w:firstLine="480"/>
              <w:rPr>
                <w:color w:val="auto"/>
                <w:sz w:val="24"/>
                <w:szCs w:val="24"/>
              </w:rPr>
            </w:pPr>
            <w:r>
              <w:rPr>
                <w:rFonts w:hint="eastAsia"/>
                <w:color w:val="auto"/>
                <w:sz w:val="24"/>
                <w:szCs w:val="24"/>
              </w:rPr>
              <w:t>磋商小组对所有磋商响应文件的“项目实施方案”中“环境保护安全管理体系与措施”部分内容进行详细地审查后，综合评审评分：</w:t>
            </w:r>
          </w:p>
          <w:p w14:paraId="2D35A695">
            <w:pPr>
              <w:pStyle w:val="44"/>
              <w:spacing w:line="420" w:lineRule="exact"/>
              <w:ind w:firstLine="480"/>
              <w:rPr>
                <w:color w:val="auto"/>
                <w:sz w:val="24"/>
                <w:szCs w:val="24"/>
              </w:rPr>
            </w:pPr>
            <w:r>
              <w:rPr>
                <w:rFonts w:hint="eastAsia"/>
                <w:color w:val="auto"/>
                <w:sz w:val="24"/>
                <w:szCs w:val="24"/>
              </w:rPr>
              <w:t>第一档次（10分）：环境保护安全目标符合或优于竞争性磋商文件的要求；安全管理机构健全，职责分工明确；管理制度齐全；环境保护安全管理实施与监控技术措施全面、有效。</w:t>
            </w:r>
          </w:p>
          <w:p w14:paraId="72AECB78">
            <w:pPr>
              <w:pStyle w:val="44"/>
              <w:spacing w:line="420" w:lineRule="exact"/>
              <w:ind w:firstLine="480"/>
              <w:rPr>
                <w:color w:val="auto"/>
                <w:sz w:val="24"/>
                <w:szCs w:val="24"/>
              </w:rPr>
            </w:pPr>
            <w:r>
              <w:rPr>
                <w:rFonts w:hint="eastAsia"/>
                <w:color w:val="auto"/>
                <w:sz w:val="24"/>
                <w:szCs w:val="24"/>
              </w:rPr>
              <w:t>第二档次（7.5分）：环境保护安全目标符合或优于竞争性磋商文件要求：管理机构健全，职责分工较明确；管理制度较齐全；环境保护安全管理实施与监控技术措施较完整。</w:t>
            </w:r>
          </w:p>
          <w:p w14:paraId="56ED459D">
            <w:pPr>
              <w:pStyle w:val="44"/>
              <w:spacing w:line="420" w:lineRule="exact"/>
              <w:ind w:firstLine="480"/>
              <w:rPr>
                <w:color w:val="auto"/>
                <w:sz w:val="24"/>
                <w:szCs w:val="24"/>
              </w:rPr>
            </w:pPr>
            <w:r>
              <w:rPr>
                <w:rFonts w:hint="eastAsia"/>
                <w:color w:val="auto"/>
                <w:sz w:val="24"/>
                <w:szCs w:val="24"/>
              </w:rPr>
              <w:t>第三档次（5分）：环境保护安全目标符合竞争性磋商文件要求：管理机构基本健全，职责分工基本明确；管理制度基本齐全；环境保护安全管理实施与监控技术措施基本完整。</w:t>
            </w:r>
          </w:p>
          <w:p w14:paraId="2FF7A129">
            <w:pPr>
              <w:pStyle w:val="44"/>
              <w:spacing w:line="420" w:lineRule="exact"/>
              <w:ind w:firstLine="480"/>
              <w:rPr>
                <w:color w:val="auto"/>
                <w:sz w:val="24"/>
                <w:szCs w:val="24"/>
              </w:rPr>
            </w:pPr>
            <w:r>
              <w:rPr>
                <w:rFonts w:hint="eastAsia"/>
                <w:color w:val="auto"/>
                <w:sz w:val="24"/>
                <w:szCs w:val="24"/>
              </w:rPr>
              <w:t>第四档次（2.5分）：环境保护安全目标基本符合竞争性磋商文件要求：管理机构不够健全，职责分工不明确；管理制度不齐全；环境保护安全管理实施与监控技术措施一般。</w:t>
            </w:r>
          </w:p>
          <w:p w14:paraId="20DDDC85">
            <w:pPr>
              <w:pStyle w:val="44"/>
              <w:spacing w:line="420" w:lineRule="exact"/>
              <w:ind w:firstLine="480"/>
            </w:pPr>
            <w:r>
              <w:rPr>
                <w:rFonts w:hint="eastAsia"/>
                <w:color w:val="auto"/>
                <w:sz w:val="24"/>
                <w:szCs w:val="24"/>
              </w:rPr>
              <w:t>第五档次（0分）：环境保护安全目标不符合竞争性磋商文件要求：管理机构不健全，职责分工不明确；管理制度不齐全；无环境保护安全管理实施与监控技术措施。</w:t>
            </w:r>
          </w:p>
        </w:tc>
        <w:tc>
          <w:tcPr>
            <w:tcW w:w="2064" w:type="dxa"/>
            <w:tcBorders>
              <w:top w:val="single" w:color="auto" w:sz="4" w:space="0"/>
              <w:left w:val="single" w:color="auto" w:sz="4" w:space="0"/>
              <w:bottom w:val="single" w:color="auto" w:sz="4" w:space="0"/>
            </w:tcBorders>
            <w:vAlign w:val="center"/>
          </w:tcPr>
          <w:p w14:paraId="3DFF9D2E">
            <w:pPr>
              <w:widowControl w:val="0"/>
              <w:spacing w:line="500" w:lineRule="exact"/>
              <w:rPr>
                <w:rFonts w:ascii="宋体" w:hAnsi="宋体" w:cs="宋体"/>
              </w:rPr>
            </w:pPr>
          </w:p>
        </w:tc>
      </w:tr>
      <w:tr w14:paraId="1D2A5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81" w:hRule="atLeast"/>
          <w:jc w:val="center"/>
        </w:trPr>
        <w:tc>
          <w:tcPr>
            <w:tcW w:w="651" w:type="dxa"/>
            <w:vMerge w:val="continue"/>
            <w:tcBorders>
              <w:right w:val="single" w:color="auto" w:sz="4" w:space="0"/>
            </w:tcBorders>
            <w:vAlign w:val="center"/>
          </w:tcPr>
          <w:p w14:paraId="7B2AF4AA">
            <w:pPr>
              <w:widowControl w:val="0"/>
              <w:spacing w:line="500" w:lineRule="exact"/>
              <w:jc w:val="center"/>
              <w:rPr>
                <w:rFonts w:ascii="宋体" w:hAnsi="宋体" w:cs="宋体"/>
              </w:rPr>
            </w:pPr>
          </w:p>
        </w:tc>
        <w:tc>
          <w:tcPr>
            <w:tcW w:w="835" w:type="dxa"/>
            <w:vMerge w:val="continue"/>
            <w:tcBorders>
              <w:left w:val="single" w:color="auto" w:sz="4" w:space="0"/>
              <w:right w:val="single" w:color="auto" w:sz="4" w:space="0"/>
            </w:tcBorders>
            <w:vAlign w:val="center"/>
          </w:tcPr>
          <w:p w14:paraId="57E6A021">
            <w:pPr>
              <w:widowControl w:val="0"/>
              <w:spacing w:line="500" w:lineRule="exact"/>
              <w:rPr>
                <w:rFonts w:ascii="宋体" w:hAnsi="宋体" w:cs="宋体"/>
              </w:rPr>
            </w:pPr>
          </w:p>
        </w:tc>
        <w:tc>
          <w:tcPr>
            <w:tcW w:w="832" w:type="dxa"/>
            <w:vMerge w:val="continue"/>
            <w:tcBorders>
              <w:left w:val="single" w:color="auto" w:sz="4" w:space="0"/>
              <w:right w:val="single" w:color="auto" w:sz="4" w:space="0"/>
            </w:tcBorders>
            <w:vAlign w:val="center"/>
          </w:tcPr>
          <w:p w14:paraId="10A8A863">
            <w:pPr>
              <w:widowControl w:val="0"/>
              <w:spacing w:line="500" w:lineRule="exact"/>
              <w:jc w:val="center"/>
              <w:rPr>
                <w:rFonts w:ascii="宋体" w:hAnsi="宋体" w:cs="宋体"/>
              </w:rPr>
            </w:pPr>
          </w:p>
        </w:tc>
        <w:tc>
          <w:tcPr>
            <w:tcW w:w="6158" w:type="dxa"/>
            <w:tcBorders>
              <w:top w:val="single" w:color="auto" w:sz="4" w:space="0"/>
              <w:left w:val="single" w:color="auto" w:sz="4" w:space="0"/>
              <w:bottom w:val="single" w:color="auto" w:sz="4" w:space="0"/>
              <w:right w:val="single" w:color="auto" w:sz="4" w:space="0"/>
            </w:tcBorders>
            <w:vAlign w:val="center"/>
          </w:tcPr>
          <w:p w14:paraId="70DBF614">
            <w:pPr>
              <w:snapToGrid w:val="0"/>
              <w:spacing w:line="400" w:lineRule="exact"/>
              <w:rPr>
                <w:rFonts w:ascii="宋体" w:hAnsi="宋体" w:cs="宋体"/>
                <w:b/>
                <w:bCs/>
                <w:szCs w:val="21"/>
              </w:rPr>
            </w:pPr>
            <w:r>
              <w:rPr>
                <w:rFonts w:hint="eastAsia" w:ascii="宋体" w:hAnsi="宋体" w:cs="宋体"/>
                <w:b/>
                <w:bCs/>
                <w:szCs w:val="21"/>
              </w:rPr>
              <w:t>工程进度计划与保证措施（满分10分）</w:t>
            </w:r>
          </w:p>
          <w:p w14:paraId="64AEB81A">
            <w:pPr>
              <w:pStyle w:val="44"/>
              <w:spacing w:line="420" w:lineRule="exact"/>
              <w:ind w:firstLine="480"/>
              <w:rPr>
                <w:color w:val="auto"/>
                <w:sz w:val="24"/>
                <w:szCs w:val="24"/>
              </w:rPr>
            </w:pPr>
            <w:r>
              <w:rPr>
                <w:rFonts w:hint="eastAsia"/>
                <w:color w:val="auto"/>
                <w:sz w:val="24"/>
                <w:szCs w:val="24"/>
              </w:rPr>
              <w:t>磋商小组对所有磋商响应文件的“项目实施方案”中“工程进度计划与保证措施”部分内容进行详细地审查后，综合评审评分：</w:t>
            </w:r>
          </w:p>
          <w:p w14:paraId="0069F6CC">
            <w:pPr>
              <w:pStyle w:val="44"/>
              <w:spacing w:line="420" w:lineRule="exact"/>
              <w:ind w:firstLine="480"/>
              <w:rPr>
                <w:color w:val="auto"/>
                <w:sz w:val="24"/>
                <w:szCs w:val="24"/>
              </w:rPr>
            </w:pPr>
            <w:r>
              <w:rPr>
                <w:rFonts w:hint="eastAsia"/>
                <w:color w:val="auto"/>
                <w:sz w:val="24"/>
                <w:szCs w:val="24"/>
              </w:rPr>
              <w:t>第一档次（10分）：总工期及节点工期满足竞争性磋商文件要求：施工进度计划内容全面，线路清晰、准确、完整，计划编制合理可行，有详细完整地计划开、竣工日期和施工进度网络图；计划安排保障措施有力、合理、可行。</w:t>
            </w:r>
          </w:p>
          <w:p w14:paraId="0434A391">
            <w:pPr>
              <w:pStyle w:val="44"/>
              <w:spacing w:line="420" w:lineRule="exact"/>
              <w:ind w:firstLine="480"/>
              <w:rPr>
                <w:color w:val="auto"/>
                <w:sz w:val="24"/>
                <w:szCs w:val="24"/>
              </w:rPr>
            </w:pPr>
            <w:r>
              <w:rPr>
                <w:rFonts w:hint="eastAsia"/>
                <w:color w:val="auto"/>
                <w:sz w:val="24"/>
                <w:szCs w:val="24"/>
              </w:rPr>
              <w:t>第二档次（7.5分）：总工期及节点工期满足竞争性磋商文件要求：施工进度计划内容较全面，线路较清晰，计划编制较合理，有完整的计划开、竣工日期和施工进度网络图；计划安排保障措施可行。</w:t>
            </w:r>
          </w:p>
          <w:p w14:paraId="3D54B050">
            <w:pPr>
              <w:pStyle w:val="44"/>
              <w:spacing w:line="420" w:lineRule="exact"/>
              <w:ind w:firstLine="480"/>
              <w:rPr>
                <w:color w:val="auto"/>
                <w:sz w:val="24"/>
                <w:szCs w:val="24"/>
              </w:rPr>
            </w:pPr>
            <w:r>
              <w:rPr>
                <w:rFonts w:hint="eastAsia"/>
                <w:color w:val="auto"/>
                <w:sz w:val="24"/>
                <w:szCs w:val="24"/>
              </w:rPr>
              <w:t>第三档次（5分）：总工期及节点工期满足竞争性磋商文件要求：施工进度计划内容不够全面，线路不够清晰，计划编制不够合理，计划开、竣工日期和施工进度网络图存在缺陷；计划安排保障措施基本可行。</w:t>
            </w:r>
          </w:p>
          <w:p w14:paraId="6D52AD84">
            <w:pPr>
              <w:pStyle w:val="44"/>
              <w:spacing w:line="420" w:lineRule="exact"/>
              <w:ind w:firstLine="480"/>
              <w:rPr>
                <w:color w:val="auto"/>
                <w:sz w:val="24"/>
                <w:szCs w:val="24"/>
              </w:rPr>
            </w:pPr>
            <w:r>
              <w:rPr>
                <w:rFonts w:hint="eastAsia"/>
                <w:color w:val="auto"/>
                <w:sz w:val="24"/>
                <w:szCs w:val="24"/>
              </w:rPr>
              <w:t>第四档次（2.5分）：总工期及节点工期满足竞争性磋商文件要求：施工进度计划内容不够全面，线路不够清晰，计划编制不够合理，无计划开、竣工日期和施工进度网络；计划安排保障措施保障一般。</w:t>
            </w:r>
          </w:p>
          <w:p w14:paraId="1B900E41">
            <w:pPr>
              <w:pStyle w:val="44"/>
              <w:spacing w:line="420" w:lineRule="exact"/>
              <w:ind w:firstLine="480"/>
            </w:pPr>
            <w:r>
              <w:rPr>
                <w:rFonts w:hint="eastAsia"/>
                <w:color w:val="auto"/>
                <w:sz w:val="24"/>
                <w:szCs w:val="24"/>
              </w:rPr>
              <w:t>第五档次（0分）：总工期及节点工期不满足竞争性磋商文件要求：施工进度计划内容不够全面，线路不够清晰，计划编制不够合理，无计划开、竣工日期和施工进度网络图；无计划安排保障措施。</w:t>
            </w:r>
          </w:p>
        </w:tc>
        <w:tc>
          <w:tcPr>
            <w:tcW w:w="2064" w:type="dxa"/>
            <w:tcBorders>
              <w:top w:val="single" w:color="auto" w:sz="4" w:space="0"/>
              <w:left w:val="single" w:color="auto" w:sz="4" w:space="0"/>
              <w:bottom w:val="single" w:color="auto" w:sz="4" w:space="0"/>
            </w:tcBorders>
            <w:vAlign w:val="center"/>
          </w:tcPr>
          <w:p w14:paraId="17A952CD">
            <w:pPr>
              <w:widowControl w:val="0"/>
              <w:spacing w:line="500" w:lineRule="exact"/>
              <w:rPr>
                <w:rFonts w:ascii="宋体" w:hAnsi="宋体" w:cs="宋体"/>
              </w:rPr>
            </w:pPr>
          </w:p>
        </w:tc>
      </w:tr>
      <w:tr w14:paraId="130E5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31" w:hRule="atLeast"/>
          <w:jc w:val="center"/>
        </w:trPr>
        <w:tc>
          <w:tcPr>
            <w:tcW w:w="651" w:type="dxa"/>
            <w:vMerge w:val="continue"/>
            <w:tcBorders>
              <w:right w:val="single" w:color="auto" w:sz="4" w:space="0"/>
            </w:tcBorders>
            <w:vAlign w:val="center"/>
          </w:tcPr>
          <w:p w14:paraId="3BDE4E92">
            <w:pPr>
              <w:widowControl w:val="0"/>
              <w:spacing w:line="500" w:lineRule="exact"/>
              <w:jc w:val="center"/>
              <w:rPr>
                <w:rFonts w:ascii="宋体" w:hAnsi="宋体" w:cs="宋体"/>
              </w:rPr>
            </w:pPr>
            <w:bookmarkStart w:id="103" w:name="_Toc6087"/>
            <w:bookmarkStart w:id="104" w:name="_Toc10763"/>
            <w:bookmarkStart w:id="105" w:name="_Toc21390"/>
            <w:bookmarkStart w:id="106" w:name="_Toc9893"/>
          </w:p>
        </w:tc>
        <w:tc>
          <w:tcPr>
            <w:tcW w:w="835" w:type="dxa"/>
            <w:vMerge w:val="continue"/>
            <w:tcBorders>
              <w:left w:val="single" w:color="auto" w:sz="4" w:space="0"/>
              <w:right w:val="single" w:color="auto" w:sz="4" w:space="0"/>
            </w:tcBorders>
            <w:vAlign w:val="center"/>
          </w:tcPr>
          <w:p w14:paraId="0FAF17BB">
            <w:pPr>
              <w:widowControl w:val="0"/>
              <w:spacing w:line="500" w:lineRule="exact"/>
              <w:rPr>
                <w:rFonts w:ascii="宋体" w:hAnsi="宋体" w:cs="宋体"/>
              </w:rPr>
            </w:pPr>
          </w:p>
        </w:tc>
        <w:tc>
          <w:tcPr>
            <w:tcW w:w="832" w:type="dxa"/>
            <w:vMerge w:val="continue"/>
            <w:tcBorders>
              <w:left w:val="single" w:color="auto" w:sz="4" w:space="0"/>
              <w:right w:val="single" w:color="auto" w:sz="4" w:space="0"/>
            </w:tcBorders>
            <w:vAlign w:val="center"/>
          </w:tcPr>
          <w:p w14:paraId="62422327">
            <w:pPr>
              <w:widowControl w:val="0"/>
              <w:spacing w:line="500" w:lineRule="exact"/>
              <w:jc w:val="center"/>
              <w:rPr>
                <w:rFonts w:ascii="宋体" w:hAnsi="宋体" w:cs="宋体"/>
              </w:rPr>
            </w:pPr>
          </w:p>
        </w:tc>
        <w:tc>
          <w:tcPr>
            <w:tcW w:w="6158" w:type="dxa"/>
            <w:tcBorders>
              <w:top w:val="single" w:color="auto" w:sz="4" w:space="0"/>
              <w:left w:val="single" w:color="auto" w:sz="4" w:space="0"/>
              <w:bottom w:val="single" w:color="auto" w:sz="4" w:space="0"/>
              <w:right w:val="single" w:color="auto" w:sz="4" w:space="0"/>
            </w:tcBorders>
          </w:tcPr>
          <w:p w14:paraId="625CFA72">
            <w:pPr>
              <w:snapToGrid w:val="0"/>
              <w:spacing w:line="400" w:lineRule="exact"/>
              <w:rPr>
                <w:rFonts w:ascii="宋体" w:hAnsi="宋体" w:cs="宋体"/>
                <w:b/>
                <w:bCs/>
                <w:szCs w:val="21"/>
              </w:rPr>
            </w:pPr>
            <w:r>
              <w:rPr>
                <w:rFonts w:hint="eastAsia" w:ascii="宋体" w:hAnsi="宋体" w:cs="宋体"/>
                <w:b/>
                <w:bCs/>
                <w:szCs w:val="21"/>
              </w:rPr>
              <w:t>资源配备计划（满分</w:t>
            </w:r>
            <w:r>
              <w:rPr>
                <w:rFonts w:hint="eastAsia" w:ascii="宋体" w:hAnsi="宋体" w:cs="宋体"/>
                <w:b/>
                <w:bCs/>
                <w:szCs w:val="21"/>
                <w:lang w:val="en-US" w:eastAsia="zh-CN"/>
              </w:rPr>
              <w:t>10</w:t>
            </w:r>
            <w:r>
              <w:rPr>
                <w:rFonts w:hint="eastAsia" w:ascii="宋体" w:hAnsi="宋体" w:cs="宋体"/>
                <w:b/>
                <w:bCs/>
                <w:szCs w:val="21"/>
              </w:rPr>
              <w:t>分）</w:t>
            </w:r>
          </w:p>
          <w:p w14:paraId="04861C42">
            <w:pPr>
              <w:pStyle w:val="44"/>
              <w:spacing w:line="420" w:lineRule="exact"/>
              <w:ind w:firstLine="480"/>
              <w:rPr>
                <w:color w:val="auto"/>
                <w:sz w:val="24"/>
                <w:szCs w:val="24"/>
              </w:rPr>
            </w:pPr>
            <w:r>
              <w:rPr>
                <w:rFonts w:hint="eastAsia"/>
                <w:color w:val="auto"/>
                <w:sz w:val="24"/>
                <w:szCs w:val="24"/>
              </w:rPr>
              <w:t>磋商小组对所有磋商响应文件的“项目实施方案”中“资源配备计划”部分内容进行详细地审查后，综合评审评分：</w:t>
            </w:r>
          </w:p>
          <w:p w14:paraId="14B543CD">
            <w:pPr>
              <w:pStyle w:val="44"/>
              <w:spacing w:line="420" w:lineRule="exact"/>
              <w:ind w:firstLine="480"/>
              <w:rPr>
                <w:color w:val="auto"/>
                <w:sz w:val="24"/>
                <w:szCs w:val="24"/>
              </w:rPr>
            </w:pPr>
            <w:r>
              <w:rPr>
                <w:rFonts w:hint="eastAsia"/>
                <w:color w:val="auto"/>
                <w:sz w:val="24"/>
                <w:szCs w:val="24"/>
              </w:rPr>
              <w:t>第一档次（</w:t>
            </w:r>
            <w:r>
              <w:rPr>
                <w:rFonts w:hint="eastAsia"/>
                <w:color w:val="auto"/>
                <w:sz w:val="24"/>
                <w:szCs w:val="24"/>
                <w:lang w:val="en-US" w:eastAsia="zh-CN"/>
              </w:rPr>
              <w:t>10</w:t>
            </w:r>
            <w:r>
              <w:rPr>
                <w:rFonts w:hint="eastAsia"/>
                <w:color w:val="auto"/>
                <w:sz w:val="24"/>
                <w:szCs w:val="24"/>
              </w:rPr>
              <w:t>分）：劳动力计划、周转材料计划、施工机具计划、主要材料一次性需用量计划等资源投入计划与施工部署、施工方法及进度计划呼应，有详细完整的劳动力计划表、拟投入的主要施工机具表，很好的满足施工需要，调配投入计划合理、准确全面。</w:t>
            </w:r>
          </w:p>
          <w:p w14:paraId="35258B65">
            <w:pPr>
              <w:pStyle w:val="44"/>
              <w:spacing w:line="420" w:lineRule="exact"/>
              <w:ind w:firstLine="480"/>
              <w:rPr>
                <w:color w:val="auto"/>
                <w:sz w:val="24"/>
                <w:szCs w:val="24"/>
              </w:rPr>
            </w:pPr>
            <w:r>
              <w:rPr>
                <w:rFonts w:hint="eastAsia"/>
                <w:color w:val="auto"/>
                <w:sz w:val="24"/>
                <w:szCs w:val="24"/>
              </w:rPr>
              <w:t>第二档次（</w:t>
            </w:r>
            <w:r>
              <w:rPr>
                <w:rFonts w:hint="eastAsia"/>
                <w:color w:val="auto"/>
                <w:sz w:val="24"/>
                <w:szCs w:val="24"/>
                <w:lang w:val="en-US" w:eastAsia="zh-CN"/>
              </w:rPr>
              <w:t>7.5</w:t>
            </w:r>
            <w:r>
              <w:rPr>
                <w:rFonts w:hint="eastAsia"/>
                <w:color w:val="auto"/>
                <w:sz w:val="24"/>
                <w:szCs w:val="24"/>
              </w:rPr>
              <w:t>分）：劳动力计划、周转材料计划、施工机具计划、主要材料一次性需用量计划等资源投入计划与施工部署、施工方法及进度计划呼应，有完整的劳动力计划表、拟投入的主要施工机具表，较好地满足施工需要，调配投入计划合理。</w:t>
            </w:r>
          </w:p>
          <w:p w14:paraId="6B5FC86E">
            <w:pPr>
              <w:pStyle w:val="44"/>
              <w:spacing w:line="420" w:lineRule="exact"/>
              <w:ind w:firstLine="480"/>
              <w:rPr>
                <w:color w:val="auto"/>
                <w:sz w:val="24"/>
                <w:szCs w:val="24"/>
              </w:rPr>
            </w:pPr>
            <w:r>
              <w:rPr>
                <w:rFonts w:hint="eastAsia"/>
                <w:color w:val="auto"/>
                <w:sz w:val="24"/>
                <w:szCs w:val="24"/>
              </w:rPr>
              <w:t>第三档次（</w:t>
            </w:r>
            <w:r>
              <w:rPr>
                <w:rFonts w:hint="eastAsia"/>
                <w:color w:val="auto"/>
                <w:sz w:val="24"/>
                <w:szCs w:val="24"/>
                <w:lang w:val="en-US" w:eastAsia="zh-CN"/>
              </w:rPr>
              <w:t>5</w:t>
            </w:r>
            <w:r>
              <w:rPr>
                <w:rFonts w:hint="eastAsia"/>
                <w:color w:val="auto"/>
                <w:sz w:val="24"/>
                <w:szCs w:val="24"/>
              </w:rPr>
              <w:t>分）：劳动力计划、周转材料计划、施工机具计划、主要材料一次性需用量计划等资源投入计划与施工部署、施工方法及进度计划基本满足施工需要，无“劳动力计划表、拟投入的主要施工机具表”；调配投入计划基本合理。</w:t>
            </w:r>
          </w:p>
          <w:p w14:paraId="317D98FA">
            <w:pPr>
              <w:pStyle w:val="44"/>
              <w:spacing w:line="420" w:lineRule="exact"/>
              <w:ind w:firstLine="480"/>
              <w:rPr>
                <w:color w:val="auto"/>
                <w:sz w:val="24"/>
                <w:szCs w:val="24"/>
              </w:rPr>
            </w:pPr>
            <w:r>
              <w:rPr>
                <w:rFonts w:hint="eastAsia"/>
                <w:color w:val="auto"/>
                <w:sz w:val="24"/>
                <w:szCs w:val="24"/>
              </w:rPr>
              <w:t>第四档次（</w:t>
            </w:r>
            <w:r>
              <w:rPr>
                <w:rFonts w:hint="eastAsia"/>
                <w:color w:val="auto"/>
                <w:sz w:val="24"/>
                <w:szCs w:val="24"/>
                <w:lang w:val="en-US" w:eastAsia="zh-CN"/>
              </w:rPr>
              <w:t>2.5</w:t>
            </w:r>
            <w:r>
              <w:rPr>
                <w:rFonts w:hint="eastAsia"/>
                <w:color w:val="auto"/>
                <w:sz w:val="24"/>
                <w:szCs w:val="24"/>
              </w:rPr>
              <w:t>分）：劳动力计划、周转材料计划、施工机具计划、主要材料一次性需用量计划等资源投入计划与施工部署、施工方法及进度计划不满足施工需要，无“劳动力计划表、拟投入的主要施工机具表”；调配投入计划一般。</w:t>
            </w:r>
          </w:p>
          <w:p w14:paraId="47919F6C">
            <w:pPr>
              <w:pStyle w:val="44"/>
              <w:spacing w:line="420" w:lineRule="exact"/>
              <w:ind w:firstLine="480"/>
              <w:rPr>
                <w:sz w:val="24"/>
                <w:szCs w:val="24"/>
              </w:rPr>
            </w:pPr>
            <w:r>
              <w:rPr>
                <w:rFonts w:hint="eastAsia"/>
                <w:color w:val="auto"/>
                <w:sz w:val="24"/>
                <w:szCs w:val="24"/>
              </w:rPr>
              <w:t>第五档次（0分）：无劳动力计划、周转材料计划、施工机具计划、主要材料一次性需用量计划等资源投入计划与施工部署、施工方法及进度计划，有“劳动力计划表、拟投入的主要施工机具表”；调配投入计划不符合要求。</w:t>
            </w:r>
          </w:p>
        </w:tc>
        <w:tc>
          <w:tcPr>
            <w:tcW w:w="2064" w:type="dxa"/>
            <w:tcBorders>
              <w:top w:val="single" w:color="auto" w:sz="4" w:space="0"/>
              <w:left w:val="single" w:color="auto" w:sz="4" w:space="0"/>
              <w:bottom w:val="single" w:color="auto" w:sz="4" w:space="0"/>
            </w:tcBorders>
            <w:vAlign w:val="center"/>
          </w:tcPr>
          <w:p w14:paraId="2A7CC3DA">
            <w:pPr>
              <w:widowControl w:val="0"/>
              <w:spacing w:line="500" w:lineRule="exact"/>
              <w:rPr>
                <w:rFonts w:ascii="宋体" w:hAnsi="宋体" w:cs="宋体"/>
              </w:rPr>
            </w:pPr>
          </w:p>
        </w:tc>
      </w:tr>
      <w:tr w14:paraId="50CD0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3" w:hRule="atLeast"/>
          <w:jc w:val="center"/>
        </w:trPr>
        <w:tc>
          <w:tcPr>
            <w:tcW w:w="651" w:type="dxa"/>
            <w:vMerge w:val="continue"/>
            <w:tcBorders>
              <w:bottom w:val="single" w:color="auto" w:sz="4" w:space="0"/>
              <w:right w:val="single" w:color="auto" w:sz="4" w:space="0"/>
            </w:tcBorders>
            <w:vAlign w:val="center"/>
          </w:tcPr>
          <w:p w14:paraId="20EFD2CE">
            <w:pPr>
              <w:widowControl w:val="0"/>
              <w:spacing w:line="500" w:lineRule="exact"/>
              <w:jc w:val="center"/>
              <w:rPr>
                <w:rFonts w:ascii="宋体" w:hAnsi="宋体" w:cs="宋体"/>
              </w:rPr>
            </w:pPr>
          </w:p>
        </w:tc>
        <w:tc>
          <w:tcPr>
            <w:tcW w:w="835" w:type="dxa"/>
            <w:vMerge w:val="continue"/>
            <w:tcBorders>
              <w:left w:val="single" w:color="auto" w:sz="4" w:space="0"/>
              <w:bottom w:val="single" w:color="auto" w:sz="4" w:space="0"/>
              <w:right w:val="single" w:color="auto" w:sz="4" w:space="0"/>
            </w:tcBorders>
            <w:vAlign w:val="center"/>
          </w:tcPr>
          <w:p w14:paraId="4224A59E">
            <w:pPr>
              <w:widowControl w:val="0"/>
              <w:spacing w:line="500" w:lineRule="exact"/>
              <w:rPr>
                <w:rFonts w:ascii="宋体" w:hAnsi="宋体" w:cs="宋体"/>
              </w:rPr>
            </w:pPr>
          </w:p>
        </w:tc>
        <w:tc>
          <w:tcPr>
            <w:tcW w:w="832" w:type="dxa"/>
            <w:vMerge w:val="continue"/>
            <w:tcBorders>
              <w:left w:val="single" w:color="auto" w:sz="4" w:space="0"/>
              <w:bottom w:val="single" w:color="auto" w:sz="4" w:space="0"/>
              <w:right w:val="single" w:color="auto" w:sz="4" w:space="0"/>
            </w:tcBorders>
            <w:vAlign w:val="center"/>
          </w:tcPr>
          <w:p w14:paraId="75F50A2D">
            <w:pPr>
              <w:widowControl w:val="0"/>
              <w:spacing w:line="500" w:lineRule="exact"/>
              <w:jc w:val="center"/>
              <w:rPr>
                <w:rFonts w:ascii="宋体" w:hAnsi="宋体" w:cs="宋体"/>
              </w:rPr>
            </w:pPr>
          </w:p>
        </w:tc>
        <w:tc>
          <w:tcPr>
            <w:tcW w:w="6158" w:type="dxa"/>
            <w:tcBorders>
              <w:top w:val="single" w:color="auto" w:sz="4" w:space="0"/>
              <w:left w:val="single" w:color="auto" w:sz="4" w:space="0"/>
              <w:bottom w:val="single" w:color="auto" w:sz="4" w:space="0"/>
              <w:right w:val="single" w:color="auto" w:sz="4" w:space="0"/>
            </w:tcBorders>
          </w:tcPr>
          <w:p w14:paraId="31E38265">
            <w:pPr>
              <w:pStyle w:val="44"/>
              <w:spacing w:line="420" w:lineRule="exact"/>
              <w:ind w:firstLine="0" w:firstLineChars="0"/>
              <w:rPr>
                <w:b/>
                <w:bCs/>
                <w:color w:val="auto"/>
                <w:kern w:val="0"/>
                <w:sz w:val="24"/>
                <w:szCs w:val="21"/>
              </w:rPr>
            </w:pPr>
            <w:r>
              <w:rPr>
                <w:rFonts w:hint="eastAsia"/>
                <w:b/>
                <w:bCs/>
                <w:color w:val="auto"/>
                <w:kern w:val="0"/>
                <w:sz w:val="24"/>
                <w:szCs w:val="21"/>
              </w:rPr>
              <w:t>项目管理机构配置（满分10分）</w:t>
            </w:r>
          </w:p>
          <w:p w14:paraId="04BCA8B6">
            <w:pPr>
              <w:pStyle w:val="44"/>
              <w:spacing w:line="420" w:lineRule="exact"/>
              <w:ind w:firstLine="480"/>
              <w:rPr>
                <w:color w:val="auto"/>
                <w:sz w:val="24"/>
                <w:szCs w:val="24"/>
              </w:rPr>
            </w:pPr>
            <w:r>
              <w:rPr>
                <w:rFonts w:hint="eastAsia"/>
                <w:color w:val="auto"/>
                <w:sz w:val="24"/>
                <w:szCs w:val="24"/>
              </w:rPr>
              <w:t>磋商小组对所有磋商响应文件的“项目管理机构配置”进行详细地审查后，综合评审评分：</w:t>
            </w:r>
          </w:p>
          <w:p w14:paraId="24148D2D">
            <w:pPr>
              <w:pStyle w:val="44"/>
              <w:spacing w:line="420" w:lineRule="exact"/>
              <w:ind w:firstLine="480"/>
              <w:rPr>
                <w:color w:val="auto"/>
                <w:sz w:val="24"/>
                <w:szCs w:val="24"/>
              </w:rPr>
            </w:pPr>
            <w:r>
              <w:rPr>
                <w:rFonts w:hint="eastAsia"/>
                <w:color w:val="auto"/>
                <w:sz w:val="24"/>
                <w:szCs w:val="24"/>
              </w:rPr>
              <w:t>第一档次（10分）：项目管理人员针对工程实际配置且合理，能满足工程管理需要且有针对性，项目管理人员持证上岗。</w:t>
            </w:r>
          </w:p>
          <w:p w14:paraId="21DF3CB4">
            <w:pPr>
              <w:pStyle w:val="44"/>
              <w:spacing w:line="420" w:lineRule="exact"/>
              <w:ind w:firstLine="480"/>
              <w:rPr>
                <w:color w:val="auto"/>
                <w:sz w:val="24"/>
                <w:szCs w:val="24"/>
              </w:rPr>
            </w:pPr>
            <w:r>
              <w:rPr>
                <w:rFonts w:hint="eastAsia"/>
                <w:color w:val="auto"/>
                <w:sz w:val="24"/>
                <w:szCs w:val="24"/>
              </w:rPr>
              <w:t>第二档次（7.5分）：项目管理人员配置合理，能满足工程管理需要，但专业配置针对性一般，项目主要管理人员持证上岗。</w:t>
            </w:r>
          </w:p>
          <w:p w14:paraId="525A17CA">
            <w:pPr>
              <w:pStyle w:val="44"/>
              <w:spacing w:line="420" w:lineRule="exact"/>
              <w:ind w:firstLine="480"/>
              <w:rPr>
                <w:color w:val="auto"/>
                <w:sz w:val="24"/>
                <w:szCs w:val="24"/>
              </w:rPr>
            </w:pPr>
            <w:r>
              <w:rPr>
                <w:rFonts w:hint="eastAsia"/>
                <w:color w:val="auto"/>
                <w:sz w:val="24"/>
                <w:szCs w:val="24"/>
              </w:rPr>
              <w:t>第三档次（5分）：项目管理人员配置基本满足工程管理需要，专业配置缺乏针对性，项目主要管理人员持证上岗。</w:t>
            </w:r>
          </w:p>
          <w:p w14:paraId="1BFE5737">
            <w:pPr>
              <w:pStyle w:val="44"/>
              <w:spacing w:line="420" w:lineRule="exact"/>
              <w:ind w:firstLine="480"/>
              <w:rPr>
                <w:color w:val="auto"/>
                <w:sz w:val="24"/>
                <w:szCs w:val="24"/>
              </w:rPr>
            </w:pPr>
            <w:r>
              <w:rPr>
                <w:rFonts w:hint="eastAsia"/>
                <w:color w:val="auto"/>
                <w:sz w:val="24"/>
                <w:szCs w:val="24"/>
              </w:rPr>
              <w:t>第四档次（2.5分）：项目管理人员配置不满足工程管理需要，项目主要管理人员持证上岗。</w:t>
            </w:r>
          </w:p>
          <w:p w14:paraId="710FB5E4">
            <w:pPr>
              <w:pStyle w:val="44"/>
              <w:spacing w:line="420" w:lineRule="exact"/>
              <w:ind w:firstLine="480"/>
              <w:rPr>
                <w:color w:val="auto"/>
                <w:sz w:val="21"/>
                <w:szCs w:val="21"/>
              </w:rPr>
            </w:pPr>
            <w:r>
              <w:rPr>
                <w:rFonts w:hint="eastAsia"/>
                <w:color w:val="auto"/>
                <w:sz w:val="24"/>
                <w:szCs w:val="24"/>
              </w:rPr>
              <w:t>注：对项目管理人员没有说明的本项不得分。</w:t>
            </w:r>
          </w:p>
        </w:tc>
        <w:tc>
          <w:tcPr>
            <w:tcW w:w="2064" w:type="dxa"/>
            <w:tcBorders>
              <w:top w:val="single" w:color="auto" w:sz="4" w:space="0"/>
              <w:left w:val="single" w:color="auto" w:sz="4" w:space="0"/>
              <w:bottom w:val="single" w:color="auto" w:sz="4" w:space="0"/>
            </w:tcBorders>
            <w:vAlign w:val="center"/>
          </w:tcPr>
          <w:p w14:paraId="6026DB06">
            <w:pPr>
              <w:widowControl w:val="0"/>
              <w:spacing w:line="500" w:lineRule="exact"/>
              <w:rPr>
                <w:rFonts w:ascii="宋体" w:hAnsi="宋体" w:cs="宋体"/>
              </w:rPr>
            </w:pPr>
          </w:p>
        </w:tc>
      </w:tr>
      <w:bookmarkEnd w:id="95"/>
      <w:bookmarkEnd w:id="96"/>
      <w:bookmarkEnd w:id="97"/>
      <w:bookmarkEnd w:id="98"/>
      <w:bookmarkEnd w:id="99"/>
      <w:bookmarkEnd w:id="100"/>
      <w:bookmarkEnd w:id="101"/>
    </w:tbl>
    <w:p w14:paraId="34D3B276">
      <w:pPr>
        <w:pStyle w:val="30"/>
        <w:widowControl w:val="0"/>
        <w:spacing w:line="360" w:lineRule="auto"/>
        <w:rPr>
          <w:rFonts w:hAnsi="宋体" w:cs="宋体"/>
          <w:b/>
          <w:sz w:val="24"/>
          <w:szCs w:val="24"/>
        </w:rPr>
      </w:pPr>
    </w:p>
    <w:p w14:paraId="3B1102E8">
      <w:pPr>
        <w:pStyle w:val="30"/>
        <w:widowControl w:val="0"/>
        <w:spacing w:line="360" w:lineRule="auto"/>
        <w:rPr>
          <w:rFonts w:hAnsi="宋体" w:cs="宋体"/>
          <w:b/>
          <w:sz w:val="24"/>
          <w:szCs w:val="24"/>
        </w:rPr>
      </w:pPr>
      <w:r>
        <w:rPr>
          <w:rFonts w:hint="eastAsia" w:hAnsi="宋体" w:cs="宋体"/>
          <w:b/>
          <w:sz w:val="24"/>
          <w:szCs w:val="24"/>
        </w:rPr>
        <w:t>一、磋商小组的组成</w:t>
      </w:r>
      <w:bookmarkEnd w:id="103"/>
      <w:bookmarkEnd w:id="104"/>
      <w:bookmarkEnd w:id="105"/>
      <w:bookmarkEnd w:id="106"/>
    </w:p>
    <w:p w14:paraId="3A5BBF9C">
      <w:pPr>
        <w:widowControl w:val="0"/>
        <w:spacing w:line="440" w:lineRule="exact"/>
        <w:ind w:left="-22" w:leftChars="-9" w:firstLine="501" w:firstLineChars="209"/>
        <w:rPr>
          <w:rFonts w:ascii="宋体" w:hAnsi="宋体" w:cs="宋体"/>
        </w:rPr>
      </w:pPr>
      <w:r>
        <w:rPr>
          <w:rFonts w:hint="eastAsia" w:ascii="宋体" w:hAnsi="宋体" w:cs="宋体"/>
        </w:rPr>
        <w:t>根据本次招标项目的特点依法组建磋商小组，评审专家开标前从“云南省政府采购信息管理系统”中随机抽取2人和采购方代表1人，共3人组成。磋商小组对磋商响应文件进行审查、质疑、评估和比较。</w:t>
      </w:r>
    </w:p>
    <w:p w14:paraId="6F7289FA">
      <w:pPr>
        <w:widowControl w:val="0"/>
        <w:spacing w:line="360" w:lineRule="auto"/>
        <w:rPr>
          <w:rFonts w:ascii="宋体" w:hAnsi="宋体" w:cs="宋体"/>
        </w:rPr>
      </w:pPr>
      <w:r>
        <w:rPr>
          <w:rFonts w:hint="eastAsia" w:ascii="宋体" w:hAnsi="宋体" w:cs="宋体"/>
        </w:rPr>
        <w:t xml:space="preserve">    综合评分法：磋商小组将根据评审办法计算出各投标单位的综合得分，按得分由高到低推荐成交候选人排序，最终评标委员会将根据评审后的总得分由高到低顺序排列推荐成交候选人。</w:t>
      </w:r>
    </w:p>
    <w:p w14:paraId="2B68C48F">
      <w:pPr>
        <w:widowControl w:val="0"/>
        <w:snapToGrid w:val="0"/>
        <w:spacing w:line="500" w:lineRule="exact"/>
        <w:ind w:right="53" w:firstLine="480" w:firstLineChars="200"/>
        <w:textAlignment w:val="bottom"/>
        <w:rPr>
          <w:rFonts w:ascii="宋体" w:hAnsi="宋体" w:cs="宋体"/>
        </w:rPr>
      </w:pPr>
      <w:r>
        <w:rPr>
          <w:rFonts w:hint="eastAsia" w:ascii="宋体" w:hAnsi="宋体" w:cs="宋体"/>
        </w:rPr>
        <w:t xml:space="preserve">评标时，除价格得分外，评标委员会各成员将独立对每个有效磋商申请人的响应文件进行评价、打分，然后将每个磋商申请人各项评分因素的得分汇总后计算评标委员会各成员独立评分的算术平均值（保留2位小数），得出每个磋商申请人的最终得分。     </w:t>
      </w:r>
    </w:p>
    <w:p w14:paraId="4EFB3D5D">
      <w:pPr>
        <w:widowControl w:val="0"/>
        <w:snapToGrid w:val="0"/>
        <w:spacing w:line="500" w:lineRule="exact"/>
        <w:ind w:right="53"/>
        <w:textAlignment w:val="bottom"/>
        <w:rPr>
          <w:rFonts w:ascii="宋体" w:hAnsi="宋体" w:cs="宋体"/>
          <w:b/>
          <w:bCs/>
        </w:rPr>
      </w:pPr>
      <w:bookmarkStart w:id="107" w:name="_Toc16019"/>
      <w:bookmarkStart w:id="108" w:name="_Toc32515"/>
      <w:bookmarkStart w:id="109" w:name="_Toc8099"/>
      <w:bookmarkStart w:id="110" w:name="_Toc29245"/>
      <w:r>
        <w:rPr>
          <w:rFonts w:hint="eastAsia" w:ascii="宋体" w:hAnsi="宋体" w:cs="宋体"/>
          <w:b/>
          <w:bCs/>
        </w:rPr>
        <w:t>二、评标工作的基本原则</w:t>
      </w:r>
      <w:bookmarkEnd w:id="107"/>
      <w:bookmarkEnd w:id="108"/>
      <w:bookmarkEnd w:id="109"/>
      <w:bookmarkEnd w:id="110"/>
    </w:p>
    <w:p w14:paraId="3362FA78">
      <w:pPr>
        <w:widowControl w:val="0"/>
        <w:spacing w:line="360" w:lineRule="auto"/>
        <w:ind w:firstLine="480" w:firstLineChars="200"/>
        <w:rPr>
          <w:rFonts w:ascii="宋体" w:hAnsi="宋体" w:cs="宋体"/>
        </w:rPr>
      </w:pPr>
      <w:r>
        <w:rPr>
          <w:rFonts w:hint="eastAsia" w:ascii="宋体" w:hAnsi="宋体" w:cs="宋体"/>
        </w:rPr>
        <w:t>（1）认真贯彻国家有关法律、法规、维护国家利益。</w:t>
      </w:r>
    </w:p>
    <w:p w14:paraId="7914863B">
      <w:pPr>
        <w:widowControl w:val="0"/>
        <w:spacing w:line="360" w:lineRule="auto"/>
        <w:ind w:firstLine="480" w:firstLineChars="200"/>
        <w:rPr>
          <w:rFonts w:ascii="宋体" w:hAnsi="宋体" w:cs="宋体"/>
        </w:rPr>
      </w:pPr>
      <w:r>
        <w:rPr>
          <w:rFonts w:hint="eastAsia" w:ascii="宋体" w:hAnsi="宋体" w:cs="宋体"/>
        </w:rPr>
        <w:t>（2）保护发包人的各项合法利益。</w:t>
      </w:r>
    </w:p>
    <w:p w14:paraId="103CE2C6">
      <w:pPr>
        <w:widowControl w:val="0"/>
        <w:spacing w:line="360" w:lineRule="auto"/>
        <w:ind w:firstLine="480" w:firstLineChars="200"/>
        <w:rPr>
          <w:rFonts w:ascii="宋体" w:hAnsi="宋体" w:cs="宋体"/>
        </w:rPr>
      </w:pPr>
      <w:r>
        <w:rPr>
          <w:rFonts w:hint="eastAsia" w:ascii="宋体" w:hAnsi="宋体" w:cs="宋体"/>
        </w:rPr>
        <w:t>（3）客观、公正地对待所有磋商申请人，对所有磋商申请人的投标评价，均采用相同的程序和标准。</w:t>
      </w:r>
    </w:p>
    <w:p w14:paraId="0243C401">
      <w:pPr>
        <w:pStyle w:val="185"/>
        <w:widowControl w:val="0"/>
        <w:shd w:val="clear" w:color="auto" w:fill="auto"/>
        <w:spacing w:before="0" w:line="300" w:lineRule="auto"/>
        <w:ind w:firstLine="524" w:firstLineChars="200"/>
        <w:jc w:val="left"/>
        <w:rPr>
          <w:rStyle w:val="182"/>
          <w:rFonts w:ascii="宋体" w:hAnsi="宋体" w:eastAsia="宋体" w:cs="宋体"/>
          <w:color w:val="auto"/>
          <w:spacing w:val="0"/>
          <w:sz w:val="24"/>
          <w:szCs w:val="24"/>
        </w:rPr>
      </w:pPr>
      <w:r>
        <w:rPr>
          <w:rFonts w:hint="eastAsia" w:ascii="宋体" w:hAnsi="宋体" w:eastAsia="宋体" w:cs="宋体"/>
          <w:sz w:val="24"/>
          <w:szCs w:val="24"/>
        </w:rPr>
        <w:t>（4）竞争性磋商文件是评标的依据。</w:t>
      </w:r>
    </w:p>
    <w:p w14:paraId="5DDCB3FC">
      <w:pPr>
        <w:widowControl w:val="0"/>
        <w:snapToGrid w:val="0"/>
        <w:spacing w:line="300" w:lineRule="auto"/>
        <w:ind w:firstLine="480" w:firstLineChars="200"/>
        <w:rPr>
          <w:rFonts w:ascii="宋体" w:hAnsi="宋体" w:cs="宋体"/>
          <w:lang w:val="zh-TW"/>
        </w:rPr>
      </w:pPr>
    </w:p>
    <w:p w14:paraId="496BB6AE">
      <w:pPr>
        <w:widowControl w:val="0"/>
        <w:snapToGrid w:val="0"/>
        <w:spacing w:line="360" w:lineRule="auto"/>
        <w:ind w:firstLine="482" w:firstLineChars="200"/>
        <w:rPr>
          <w:rFonts w:ascii="宋体" w:hAnsi="宋体" w:cs="宋体"/>
          <w:b/>
        </w:rPr>
      </w:pPr>
      <w:r>
        <w:rPr>
          <w:rFonts w:hint="eastAsia" w:ascii="宋体" w:hAnsi="宋体" w:cs="宋体"/>
          <w:b/>
        </w:rPr>
        <w:t>1、计算错误的修改</w:t>
      </w:r>
    </w:p>
    <w:p w14:paraId="0E4ECFED">
      <w:pPr>
        <w:widowControl w:val="0"/>
        <w:snapToGrid w:val="0"/>
        <w:spacing w:line="500" w:lineRule="exact"/>
        <w:ind w:right="53" w:firstLine="480" w:firstLineChars="200"/>
        <w:textAlignment w:val="bottom"/>
        <w:rPr>
          <w:rFonts w:ascii="宋体" w:hAnsi="宋体" w:cs="宋体"/>
        </w:rPr>
      </w:pPr>
      <w:r>
        <w:rPr>
          <w:rFonts w:hint="eastAsia" w:ascii="宋体" w:hAnsi="宋体" w:cs="宋体"/>
        </w:rPr>
        <w:t>磋商响应文件中如果出现计算上或累加上的算术错误，可按以下原则进行修改：</w:t>
      </w:r>
    </w:p>
    <w:p w14:paraId="7D79C6BF">
      <w:pPr>
        <w:widowControl w:val="0"/>
        <w:snapToGrid w:val="0"/>
        <w:spacing w:line="500" w:lineRule="exact"/>
        <w:ind w:right="53" w:firstLine="480" w:firstLineChars="200"/>
        <w:textAlignment w:val="bottom"/>
        <w:rPr>
          <w:rFonts w:ascii="宋体" w:hAnsi="宋体" w:cs="宋体"/>
        </w:rPr>
      </w:pPr>
      <w:r>
        <w:rPr>
          <w:rFonts w:hint="eastAsia" w:ascii="宋体" w:hAnsi="宋体" w:cs="宋体"/>
        </w:rPr>
        <w:t>（1）用数字表示的金额和用文字表示的金额不一致，应以文字表示的金额为准。</w:t>
      </w:r>
    </w:p>
    <w:p w14:paraId="70D6B58C">
      <w:pPr>
        <w:widowControl w:val="0"/>
        <w:snapToGrid w:val="0"/>
        <w:spacing w:line="500" w:lineRule="exact"/>
        <w:ind w:right="53" w:firstLine="480" w:firstLineChars="200"/>
        <w:textAlignment w:val="bottom"/>
        <w:rPr>
          <w:rFonts w:ascii="宋体" w:hAnsi="宋体" w:cs="宋体"/>
        </w:rPr>
      </w:pPr>
      <w:r>
        <w:rPr>
          <w:rFonts w:hint="eastAsia" w:ascii="宋体" w:hAnsi="宋体" w:cs="宋体"/>
        </w:rPr>
        <w:t>（2）单价和数量的乘积与总价不一致时，以单价为准，并修正总价。</w:t>
      </w:r>
    </w:p>
    <w:p w14:paraId="59148C8E">
      <w:pPr>
        <w:widowControl w:val="0"/>
        <w:snapToGrid w:val="0"/>
        <w:spacing w:line="500" w:lineRule="exact"/>
        <w:ind w:right="53" w:firstLine="480" w:firstLineChars="200"/>
        <w:textAlignment w:val="bottom"/>
        <w:rPr>
          <w:rFonts w:ascii="宋体" w:hAnsi="宋体" w:cs="宋体"/>
        </w:rPr>
      </w:pPr>
      <w:r>
        <w:rPr>
          <w:rFonts w:hint="eastAsia" w:ascii="宋体" w:hAnsi="宋体" w:cs="宋体"/>
        </w:rPr>
        <w:t>（3）单价金额小数点有明显错误的，以总价为准，修正单价。</w:t>
      </w:r>
    </w:p>
    <w:p w14:paraId="15E8B757">
      <w:pPr>
        <w:widowControl w:val="0"/>
        <w:snapToGrid w:val="0"/>
        <w:spacing w:line="500" w:lineRule="exact"/>
        <w:ind w:right="53" w:firstLine="480" w:firstLineChars="200"/>
        <w:textAlignment w:val="bottom"/>
        <w:rPr>
          <w:rFonts w:ascii="宋体" w:hAnsi="宋体" w:cs="宋体"/>
        </w:rPr>
      </w:pPr>
      <w:r>
        <w:rPr>
          <w:rFonts w:hint="eastAsia" w:ascii="宋体" w:hAnsi="宋体" w:cs="宋体"/>
        </w:rPr>
        <w:t>（4） 按上述修正错误的方法调整的投标报价应对磋商申请人具有约束力。如果磋商申请人不接受修正后的价格，其投标将被拒绝。</w:t>
      </w:r>
    </w:p>
    <w:p w14:paraId="3BA592F4">
      <w:pPr>
        <w:widowControl w:val="0"/>
        <w:snapToGrid w:val="0"/>
        <w:spacing w:line="500" w:lineRule="exact"/>
        <w:ind w:right="53"/>
        <w:textAlignment w:val="bottom"/>
        <w:rPr>
          <w:rFonts w:ascii="宋体" w:hAnsi="宋体" w:cs="宋体"/>
          <w:b/>
          <w:bCs/>
        </w:rPr>
      </w:pPr>
      <w:r>
        <w:rPr>
          <w:rFonts w:hint="eastAsia" w:ascii="宋体" w:hAnsi="宋体" w:cs="宋体"/>
          <w:b/>
          <w:bCs/>
        </w:rPr>
        <w:t xml:space="preserve">    2、统计分数原则</w:t>
      </w:r>
    </w:p>
    <w:p w14:paraId="11E83D57">
      <w:pPr>
        <w:widowControl w:val="0"/>
        <w:snapToGrid w:val="0"/>
        <w:spacing w:line="500" w:lineRule="exact"/>
        <w:ind w:right="53" w:firstLine="480"/>
        <w:textAlignment w:val="bottom"/>
        <w:rPr>
          <w:rFonts w:ascii="宋体" w:hAnsi="宋体" w:cs="宋体"/>
        </w:rPr>
      </w:pPr>
      <w:r>
        <w:rPr>
          <w:rFonts w:hint="eastAsia" w:ascii="宋体" w:hAnsi="宋体" w:cs="宋体"/>
        </w:rPr>
        <w:t>计算所有评委有效评分的算术平均分值为磋商申请人的综合得分 (保留小数点后两位，小数点后三位四舍五入)。</w:t>
      </w:r>
    </w:p>
    <w:p w14:paraId="64E31FB0">
      <w:pPr>
        <w:widowControl w:val="0"/>
        <w:snapToGrid w:val="0"/>
        <w:spacing w:line="300" w:lineRule="auto"/>
        <w:jc w:val="center"/>
        <w:rPr>
          <w:rFonts w:ascii="宋体" w:hAnsi="宋体" w:cs="宋体"/>
          <w:lang w:val="zh-TW"/>
        </w:rPr>
      </w:pPr>
    </w:p>
    <w:p w14:paraId="04097576">
      <w:pPr>
        <w:widowControl w:val="0"/>
        <w:snapToGrid w:val="0"/>
        <w:spacing w:line="300" w:lineRule="auto"/>
        <w:jc w:val="center"/>
        <w:rPr>
          <w:rFonts w:ascii="宋体" w:hAnsi="宋体" w:cs="宋体"/>
          <w:lang w:val="zh-TW"/>
        </w:rPr>
      </w:pPr>
    </w:p>
    <w:p w14:paraId="3522222A">
      <w:pPr>
        <w:pStyle w:val="23"/>
        <w:widowControl w:val="0"/>
        <w:ind w:left="480"/>
        <w:rPr>
          <w:rFonts w:hint="default" w:hAnsi="宋体" w:cs="宋体"/>
          <w:color w:val="auto"/>
          <w:lang w:eastAsia="zh-TW"/>
        </w:rPr>
      </w:pPr>
    </w:p>
    <w:p w14:paraId="072A2BB0">
      <w:pPr>
        <w:pStyle w:val="23"/>
        <w:widowControl w:val="0"/>
        <w:ind w:left="480"/>
        <w:rPr>
          <w:rFonts w:hint="default" w:hAnsi="宋体" w:cs="宋体"/>
          <w:color w:val="auto"/>
          <w:lang w:eastAsia="zh-TW"/>
        </w:rPr>
      </w:pPr>
    </w:p>
    <w:p w14:paraId="0A28341B">
      <w:pPr>
        <w:pStyle w:val="23"/>
        <w:widowControl w:val="0"/>
        <w:ind w:left="480"/>
        <w:rPr>
          <w:rFonts w:hint="default" w:hAnsi="宋体" w:cs="宋体"/>
          <w:color w:val="auto"/>
          <w:lang w:eastAsia="zh-TW"/>
        </w:rPr>
      </w:pPr>
    </w:p>
    <w:p w14:paraId="3031B617">
      <w:pPr>
        <w:pStyle w:val="23"/>
        <w:widowControl w:val="0"/>
        <w:ind w:left="480"/>
        <w:rPr>
          <w:rFonts w:hint="default" w:hAnsi="宋体" w:cs="宋体"/>
          <w:color w:val="auto"/>
          <w:lang w:eastAsia="zh-TW"/>
        </w:rPr>
      </w:pPr>
    </w:p>
    <w:p w14:paraId="25E170DE">
      <w:pPr>
        <w:pStyle w:val="23"/>
        <w:widowControl w:val="0"/>
        <w:ind w:left="480"/>
        <w:rPr>
          <w:rFonts w:hint="default" w:hAnsi="宋体" w:cs="宋体"/>
          <w:color w:val="auto"/>
          <w:lang w:eastAsia="zh-TW"/>
        </w:rPr>
      </w:pPr>
    </w:p>
    <w:p w14:paraId="57071528">
      <w:pPr>
        <w:pStyle w:val="23"/>
        <w:widowControl w:val="0"/>
        <w:ind w:left="480"/>
        <w:rPr>
          <w:rFonts w:hint="default" w:hAnsi="宋体" w:cs="宋体"/>
          <w:color w:val="auto"/>
          <w:lang w:eastAsia="zh-TW"/>
        </w:rPr>
      </w:pPr>
    </w:p>
    <w:p w14:paraId="371DDA8C">
      <w:pPr>
        <w:pStyle w:val="23"/>
        <w:widowControl w:val="0"/>
        <w:ind w:left="480"/>
        <w:rPr>
          <w:rFonts w:hint="default" w:hAnsi="宋体" w:cs="宋体"/>
          <w:color w:val="auto"/>
          <w:lang w:eastAsia="zh-TW"/>
        </w:rPr>
      </w:pPr>
    </w:p>
    <w:p w14:paraId="4D961A15">
      <w:pPr>
        <w:pStyle w:val="23"/>
        <w:widowControl w:val="0"/>
        <w:ind w:left="480"/>
        <w:rPr>
          <w:rFonts w:hint="default" w:hAnsi="宋体" w:cs="宋体"/>
          <w:color w:val="auto"/>
          <w:lang w:eastAsia="zh-TW"/>
        </w:rPr>
      </w:pPr>
    </w:p>
    <w:p w14:paraId="0EA2A612">
      <w:pPr>
        <w:pStyle w:val="23"/>
        <w:widowControl w:val="0"/>
        <w:ind w:left="480"/>
        <w:rPr>
          <w:rFonts w:hint="default" w:hAnsi="宋体" w:cs="宋体"/>
          <w:color w:val="auto"/>
          <w:lang w:eastAsia="zh-TW"/>
        </w:rPr>
      </w:pPr>
    </w:p>
    <w:p w14:paraId="1A445DFB">
      <w:pPr>
        <w:pStyle w:val="23"/>
        <w:widowControl w:val="0"/>
        <w:ind w:left="480"/>
        <w:rPr>
          <w:rFonts w:hint="default" w:hAnsi="宋体" w:cs="宋体"/>
          <w:color w:val="auto"/>
          <w:lang w:eastAsia="zh-TW"/>
        </w:rPr>
      </w:pPr>
    </w:p>
    <w:p w14:paraId="7FCB9F7F">
      <w:pPr>
        <w:pStyle w:val="23"/>
        <w:widowControl w:val="0"/>
        <w:ind w:left="480"/>
        <w:rPr>
          <w:rFonts w:hint="default" w:hAnsi="宋体" w:cs="宋体"/>
          <w:color w:val="auto"/>
          <w:lang w:eastAsia="zh-TW"/>
        </w:rPr>
      </w:pPr>
    </w:p>
    <w:p w14:paraId="1C544078">
      <w:pPr>
        <w:pStyle w:val="23"/>
        <w:widowControl w:val="0"/>
        <w:ind w:left="480"/>
        <w:rPr>
          <w:rFonts w:hint="default" w:hAnsi="宋体" w:cs="宋体"/>
          <w:color w:val="auto"/>
          <w:lang w:eastAsia="zh-TW"/>
        </w:rPr>
      </w:pPr>
    </w:p>
    <w:p w14:paraId="0AC6F5FA">
      <w:pPr>
        <w:widowControl w:val="0"/>
        <w:snapToGrid w:val="0"/>
        <w:spacing w:line="300" w:lineRule="auto"/>
        <w:jc w:val="center"/>
        <w:rPr>
          <w:rFonts w:ascii="宋体" w:hAnsi="宋体" w:cs="宋体"/>
          <w:lang w:eastAsia="zh-TW"/>
        </w:rPr>
      </w:pPr>
    </w:p>
    <w:p w14:paraId="791C8702">
      <w:pPr>
        <w:widowControl w:val="0"/>
        <w:jc w:val="center"/>
        <w:outlineLvl w:val="0"/>
        <w:rPr>
          <w:rFonts w:hint="eastAsia" w:ascii="宋体" w:hAnsi="宋体" w:cs="宋体"/>
          <w:b/>
          <w:bCs/>
          <w:sz w:val="48"/>
          <w:szCs w:val="48"/>
        </w:rPr>
      </w:pPr>
      <w:bookmarkStart w:id="111" w:name="_Toc331427678"/>
      <w:bookmarkStart w:id="112" w:name="_Toc331341774"/>
      <w:bookmarkStart w:id="113" w:name="_Toc66457134"/>
      <w:bookmarkStart w:id="114" w:name="_Toc508110430"/>
      <w:bookmarkStart w:id="115" w:name="_Toc25137"/>
      <w:bookmarkStart w:id="116" w:name="_Toc16673"/>
      <w:bookmarkStart w:id="117" w:name="_Toc508110141"/>
      <w:bookmarkStart w:id="118" w:name="_Toc66736822"/>
    </w:p>
    <w:p w14:paraId="6D19E763">
      <w:pPr>
        <w:widowControl w:val="0"/>
        <w:jc w:val="center"/>
        <w:outlineLvl w:val="0"/>
        <w:rPr>
          <w:rFonts w:hint="eastAsia" w:ascii="宋体" w:hAnsi="宋体" w:cs="宋体"/>
          <w:b/>
          <w:bCs/>
          <w:sz w:val="48"/>
          <w:szCs w:val="48"/>
        </w:rPr>
      </w:pPr>
    </w:p>
    <w:p w14:paraId="7ADA594B">
      <w:pPr>
        <w:widowControl w:val="0"/>
        <w:jc w:val="center"/>
        <w:outlineLvl w:val="0"/>
        <w:rPr>
          <w:rFonts w:hint="eastAsia" w:ascii="宋体" w:hAnsi="宋体" w:cs="宋体"/>
          <w:b/>
          <w:bCs/>
          <w:sz w:val="48"/>
          <w:szCs w:val="48"/>
        </w:rPr>
      </w:pPr>
    </w:p>
    <w:p w14:paraId="16B7A835">
      <w:pPr>
        <w:widowControl w:val="0"/>
        <w:jc w:val="center"/>
        <w:outlineLvl w:val="0"/>
        <w:rPr>
          <w:rFonts w:hint="eastAsia" w:ascii="宋体" w:hAnsi="宋体" w:cs="宋体"/>
          <w:b/>
          <w:bCs/>
          <w:sz w:val="48"/>
          <w:szCs w:val="48"/>
        </w:rPr>
      </w:pPr>
    </w:p>
    <w:p w14:paraId="0022AEEB">
      <w:pPr>
        <w:widowControl w:val="0"/>
        <w:jc w:val="center"/>
        <w:outlineLvl w:val="0"/>
        <w:rPr>
          <w:rFonts w:hint="eastAsia" w:ascii="宋体" w:hAnsi="宋体" w:cs="宋体"/>
          <w:b/>
          <w:bCs/>
          <w:sz w:val="48"/>
          <w:szCs w:val="48"/>
        </w:rPr>
      </w:pPr>
    </w:p>
    <w:p w14:paraId="1BA65ECC">
      <w:pPr>
        <w:widowControl w:val="0"/>
        <w:jc w:val="center"/>
        <w:outlineLvl w:val="0"/>
        <w:rPr>
          <w:rFonts w:hint="eastAsia" w:ascii="宋体" w:hAnsi="宋体" w:cs="宋体"/>
          <w:b/>
          <w:bCs/>
          <w:sz w:val="48"/>
          <w:szCs w:val="48"/>
        </w:rPr>
      </w:pPr>
    </w:p>
    <w:p w14:paraId="1D88E83C">
      <w:pPr>
        <w:widowControl w:val="0"/>
        <w:jc w:val="center"/>
        <w:outlineLvl w:val="0"/>
        <w:rPr>
          <w:rFonts w:hint="eastAsia" w:ascii="宋体" w:hAnsi="宋体" w:cs="宋体"/>
          <w:b/>
          <w:bCs/>
          <w:sz w:val="48"/>
          <w:szCs w:val="48"/>
        </w:rPr>
      </w:pPr>
    </w:p>
    <w:p w14:paraId="1EB46A91">
      <w:pPr>
        <w:widowControl w:val="0"/>
        <w:jc w:val="center"/>
        <w:outlineLvl w:val="0"/>
        <w:rPr>
          <w:rFonts w:hint="eastAsia" w:ascii="宋体" w:hAnsi="宋体" w:cs="宋体"/>
          <w:b/>
          <w:bCs/>
          <w:sz w:val="48"/>
          <w:szCs w:val="48"/>
        </w:rPr>
      </w:pPr>
    </w:p>
    <w:p w14:paraId="21396715">
      <w:pPr>
        <w:widowControl w:val="0"/>
        <w:jc w:val="center"/>
        <w:outlineLvl w:val="0"/>
        <w:rPr>
          <w:rFonts w:hint="eastAsia" w:ascii="宋体" w:hAnsi="宋体" w:cs="宋体"/>
          <w:b/>
          <w:bCs/>
          <w:sz w:val="48"/>
          <w:szCs w:val="48"/>
        </w:rPr>
      </w:pPr>
    </w:p>
    <w:p w14:paraId="213007DF">
      <w:pPr>
        <w:widowControl w:val="0"/>
        <w:jc w:val="center"/>
        <w:outlineLvl w:val="0"/>
        <w:rPr>
          <w:rFonts w:hint="eastAsia" w:ascii="宋体" w:hAnsi="宋体" w:cs="宋体"/>
          <w:b/>
          <w:bCs/>
          <w:sz w:val="48"/>
          <w:szCs w:val="48"/>
        </w:rPr>
      </w:pPr>
    </w:p>
    <w:p w14:paraId="58C254B0">
      <w:pPr>
        <w:widowControl w:val="0"/>
        <w:jc w:val="center"/>
        <w:outlineLvl w:val="0"/>
        <w:rPr>
          <w:rFonts w:ascii="宋体" w:hAnsi="宋体" w:cs="宋体"/>
          <w:b/>
          <w:bCs/>
          <w:sz w:val="48"/>
          <w:szCs w:val="48"/>
        </w:rPr>
      </w:pPr>
      <w:r>
        <w:rPr>
          <w:rFonts w:hint="eastAsia" w:ascii="宋体" w:hAnsi="宋体" w:cs="宋体"/>
          <w:b/>
          <w:bCs/>
          <w:sz w:val="48"/>
          <w:szCs w:val="48"/>
        </w:rPr>
        <w:t>第四章  磋商响应文件格式</w:t>
      </w:r>
      <w:bookmarkEnd w:id="111"/>
      <w:bookmarkEnd w:id="112"/>
      <w:bookmarkEnd w:id="113"/>
      <w:bookmarkEnd w:id="114"/>
      <w:bookmarkEnd w:id="115"/>
      <w:bookmarkEnd w:id="116"/>
      <w:bookmarkEnd w:id="117"/>
      <w:bookmarkEnd w:id="118"/>
    </w:p>
    <w:p w14:paraId="2CA4C1FE">
      <w:pPr>
        <w:widowControl w:val="0"/>
        <w:snapToGrid w:val="0"/>
        <w:spacing w:line="300" w:lineRule="auto"/>
        <w:jc w:val="center"/>
        <w:rPr>
          <w:rFonts w:ascii="宋体" w:hAnsi="宋体" w:cs="宋体"/>
        </w:rPr>
      </w:pPr>
    </w:p>
    <w:p w14:paraId="4EF4EEBF">
      <w:pPr>
        <w:widowControl w:val="0"/>
        <w:snapToGrid w:val="0"/>
        <w:spacing w:line="300" w:lineRule="auto"/>
        <w:jc w:val="center"/>
        <w:rPr>
          <w:rFonts w:ascii="宋体" w:hAnsi="宋体" w:cs="宋体"/>
        </w:rPr>
      </w:pPr>
    </w:p>
    <w:p w14:paraId="305564E5">
      <w:pPr>
        <w:widowControl w:val="0"/>
        <w:snapToGrid w:val="0"/>
        <w:spacing w:line="300" w:lineRule="auto"/>
        <w:jc w:val="center"/>
        <w:rPr>
          <w:rFonts w:ascii="宋体" w:hAnsi="宋体" w:cs="宋体"/>
        </w:rPr>
      </w:pPr>
    </w:p>
    <w:p w14:paraId="4B9E93D7">
      <w:pPr>
        <w:widowControl w:val="0"/>
        <w:snapToGrid w:val="0"/>
        <w:spacing w:line="300" w:lineRule="auto"/>
        <w:jc w:val="center"/>
        <w:rPr>
          <w:rFonts w:ascii="宋体" w:hAnsi="宋体" w:cs="宋体"/>
        </w:rPr>
      </w:pPr>
      <w:r>
        <w:rPr>
          <w:rFonts w:hint="eastAsia" w:ascii="宋体" w:hAnsi="宋体" w:cs="宋体"/>
        </w:rPr>
        <w:br w:type="page"/>
      </w:r>
    </w:p>
    <w:p w14:paraId="2713B7C5">
      <w:pPr>
        <w:pStyle w:val="68"/>
        <w:rPr>
          <w:rFonts w:hint="default" w:ascii="宋体" w:hAnsi="宋体" w:cs="宋体"/>
        </w:rPr>
      </w:pPr>
    </w:p>
    <w:p w14:paraId="46F70518">
      <w:pPr>
        <w:widowControl w:val="0"/>
        <w:pBdr>
          <w:top w:val="dashed" w:color="auto" w:sz="4" w:space="1"/>
          <w:left w:val="dashed" w:color="auto" w:sz="4" w:space="4"/>
          <w:bottom w:val="dashed" w:color="auto" w:sz="4" w:space="1"/>
          <w:right w:val="dashed" w:color="auto" w:sz="4" w:space="4"/>
        </w:pBdr>
        <w:jc w:val="center"/>
        <w:rPr>
          <w:rFonts w:hint="eastAsia" w:eastAsia="宋体"/>
          <w:b/>
          <w:bCs/>
          <w:kern w:val="2"/>
          <w:sz w:val="48"/>
          <w:szCs w:val="48"/>
          <w:lang w:val="zh-CN" w:eastAsia="zh-CN"/>
        </w:rPr>
      </w:pPr>
      <w:r>
        <w:rPr>
          <w:rFonts w:hint="eastAsia"/>
          <w:sz w:val="48"/>
          <w:szCs w:val="48"/>
          <w:lang w:eastAsia="zh-CN"/>
        </w:rPr>
        <w:t>施甸县东山清水沟矿业有限公司尾矿库风险隐患治理项目</w:t>
      </w:r>
    </w:p>
    <w:p w14:paraId="16874781">
      <w:pPr>
        <w:widowControl w:val="0"/>
        <w:pBdr>
          <w:top w:val="dashed" w:color="auto" w:sz="4" w:space="1"/>
          <w:left w:val="dashed" w:color="auto" w:sz="4" w:space="4"/>
          <w:bottom w:val="dashed" w:color="auto" w:sz="4" w:space="1"/>
          <w:right w:val="dashed" w:color="auto" w:sz="4" w:space="4"/>
        </w:pBdr>
        <w:jc w:val="center"/>
        <w:rPr>
          <w:b/>
          <w:bCs/>
          <w:kern w:val="2"/>
          <w:sz w:val="48"/>
          <w:szCs w:val="48"/>
          <w:lang w:val="zh-CN"/>
        </w:rPr>
      </w:pPr>
    </w:p>
    <w:p w14:paraId="3C04B8EF">
      <w:pPr>
        <w:widowControl w:val="0"/>
        <w:pBdr>
          <w:top w:val="dashed" w:color="auto" w:sz="4" w:space="1"/>
          <w:left w:val="dashed" w:color="auto" w:sz="4" w:space="4"/>
          <w:bottom w:val="dashed" w:color="auto" w:sz="4" w:space="1"/>
          <w:right w:val="dashed" w:color="auto" w:sz="4" w:space="4"/>
        </w:pBdr>
        <w:jc w:val="center"/>
        <w:rPr>
          <w:b/>
          <w:bCs/>
          <w:kern w:val="2"/>
          <w:sz w:val="48"/>
          <w:szCs w:val="48"/>
          <w:lang w:val="zh-CN"/>
        </w:rPr>
      </w:pPr>
    </w:p>
    <w:p w14:paraId="549706F0">
      <w:pPr>
        <w:widowControl w:val="0"/>
        <w:pBdr>
          <w:top w:val="dashed" w:color="auto" w:sz="4" w:space="1"/>
          <w:left w:val="dashed" w:color="auto" w:sz="4" w:space="4"/>
          <w:bottom w:val="dashed" w:color="auto" w:sz="4" w:space="1"/>
          <w:right w:val="dashed" w:color="auto" w:sz="4" w:space="4"/>
        </w:pBdr>
        <w:jc w:val="center"/>
        <w:rPr>
          <w:rFonts w:ascii="宋体" w:hAnsi="宋体" w:cs="宋体"/>
          <w:sz w:val="96"/>
          <w:szCs w:val="96"/>
        </w:rPr>
      </w:pPr>
      <w:r>
        <w:rPr>
          <w:rFonts w:hint="eastAsia"/>
          <w:b/>
          <w:bCs/>
          <w:kern w:val="2"/>
          <w:sz w:val="52"/>
          <w:szCs w:val="52"/>
          <w:lang w:val="zh-CN"/>
        </w:rPr>
        <w:t xml:space="preserve"> </w:t>
      </w:r>
    </w:p>
    <w:p w14:paraId="50CE0588">
      <w:pPr>
        <w:widowControl w:val="0"/>
        <w:pBdr>
          <w:top w:val="dashed" w:color="auto" w:sz="4" w:space="1"/>
          <w:left w:val="dashed" w:color="auto" w:sz="4" w:space="4"/>
          <w:bottom w:val="dashed" w:color="auto" w:sz="4" w:space="1"/>
          <w:right w:val="dashed" w:color="auto" w:sz="4" w:space="4"/>
        </w:pBdr>
        <w:jc w:val="center"/>
        <w:rPr>
          <w:rFonts w:hint="eastAsia" w:ascii="宋体" w:hAnsi="宋体" w:cs="宋体"/>
          <w:sz w:val="96"/>
          <w:szCs w:val="96"/>
        </w:rPr>
      </w:pPr>
      <w:r>
        <w:rPr>
          <w:rFonts w:hint="eastAsia" w:ascii="宋体" w:hAnsi="宋体" w:cs="宋体"/>
          <w:sz w:val="96"/>
          <w:szCs w:val="96"/>
        </w:rPr>
        <w:t>磋商响应文件</w:t>
      </w:r>
    </w:p>
    <w:p w14:paraId="61A97C11">
      <w:pPr>
        <w:widowControl w:val="0"/>
        <w:pBdr>
          <w:top w:val="dashed" w:color="auto" w:sz="4" w:space="1"/>
          <w:left w:val="dashed" w:color="auto" w:sz="4" w:space="4"/>
          <w:bottom w:val="dashed" w:color="auto" w:sz="4" w:space="1"/>
          <w:right w:val="dashed" w:color="auto" w:sz="4" w:space="4"/>
        </w:pBdr>
        <w:jc w:val="both"/>
        <w:rPr>
          <w:rFonts w:hint="eastAsia" w:ascii="宋体" w:hAnsi="宋体" w:cs="宋体"/>
          <w:sz w:val="96"/>
          <w:szCs w:val="96"/>
        </w:rPr>
      </w:pPr>
    </w:p>
    <w:p w14:paraId="5595B98D">
      <w:pPr>
        <w:widowControl w:val="0"/>
        <w:pBdr>
          <w:top w:val="dashed" w:color="auto" w:sz="4" w:space="1"/>
          <w:left w:val="dashed" w:color="auto" w:sz="4" w:space="4"/>
          <w:bottom w:val="dashed" w:color="auto" w:sz="4" w:space="1"/>
          <w:right w:val="dashed" w:color="auto" w:sz="4" w:space="4"/>
        </w:pBdr>
        <w:spacing w:line="360" w:lineRule="auto"/>
        <w:jc w:val="center"/>
        <w:rPr>
          <w:rFonts w:ascii="宋体" w:hAnsi="宋体" w:cs="宋体"/>
          <w:sz w:val="32"/>
          <w:szCs w:val="32"/>
        </w:rPr>
      </w:pPr>
    </w:p>
    <w:p w14:paraId="468FB1CA">
      <w:pPr>
        <w:widowControl w:val="0"/>
        <w:pBdr>
          <w:top w:val="dashed" w:color="auto" w:sz="4" w:space="1"/>
          <w:left w:val="dashed" w:color="auto" w:sz="4" w:space="4"/>
          <w:bottom w:val="dashed" w:color="auto" w:sz="4" w:space="1"/>
          <w:right w:val="dashed" w:color="auto" w:sz="4" w:space="4"/>
        </w:pBdr>
        <w:spacing w:line="360" w:lineRule="auto"/>
        <w:jc w:val="center"/>
        <w:rPr>
          <w:rFonts w:ascii="宋体" w:hAnsi="宋体" w:cs="宋体"/>
          <w:sz w:val="32"/>
          <w:szCs w:val="32"/>
        </w:rPr>
      </w:pPr>
    </w:p>
    <w:p w14:paraId="2176C733">
      <w:pPr>
        <w:widowControl w:val="0"/>
        <w:pBdr>
          <w:top w:val="dashed" w:color="auto" w:sz="4" w:space="1"/>
          <w:left w:val="dashed" w:color="auto" w:sz="4" w:space="4"/>
          <w:bottom w:val="dashed" w:color="auto" w:sz="4" w:space="1"/>
          <w:right w:val="dashed" w:color="auto" w:sz="4" w:space="4"/>
        </w:pBdr>
        <w:spacing w:line="360" w:lineRule="auto"/>
        <w:jc w:val="center"/>
        <w:rPr>
          <w:rFonts w:ascii="宋体" w:hAnsi="宋体" w:cs="宋体"/>
          <w:sz w:val="32"/>
          <w:szCs w:val="32"/>
        </w:rPr>
      </w:pPr>
    </w:p>
    <w:p w14:paraId="2892620D">
      <w:pPr>
        <w:widowControl w:val="0"/>
        <w:pBdr>
          <w:top w:val="dashed" w:color="auto" w:sz="4" w:space="1"/>
          <w:left w:val="dashed" w:color="auto" w:sz="4" w:space="4"/>
          <w:bottom w:val="dashed" w:color="auto" w:sz="4" w:space="1"/>
          <w:right w:val="dashed" w:color="auto" w:sz="4" w:space="4"/>
        </w:pBdr>
        <w:spacing w:line="360" w:lineRule="auto"/>
        <w:jc w:val="both"/>
        <w:rPr>
          <w:rFonts w:ascii="宋体" w:hAnsi="宋体" w:cs="宋体"/>
          <w:sz w:val="32"/>
          <w:szCs w:val="32"/>
        </w:rPr>
      </w:pPr>
    </w:p>
    <w:p w14:paraId="0C413445">
      <w:pPr>
        <w:widowControl w:val="0"/>
        <w:pBdr>
          <w:top w:val="dashed" w:color="auto" w:sz="4" w:space="1"/>
          <w:left w:val="dashed" w:color="auto" w:sz="4" w:space="4"/>
          <w:bottom w:val="dashed" w:color="auto" w:sz="4" w:space="1"/>
          <w:right w:val="dashed" w:color="auto" w:sz="4" w:space="4"/>
        </w:pBdr>
        <w:spacing w:line="360" w:lineRule="auto"/>
        <w:jc w:val="center"/>
        <w:rPr>
          <w:rFonts w:ascii="宋体" w:hAnsi="宋体" w:cs="宋体"/>
          <w:sz w:val="32"/>
          <w:szCs w:val="32"/>
        </w:rPr>
      </w:pPr>
      <w:r>
        <w:rPr>
          <w:rFonts w:hint="eastAsia" w:ascii="宋体" w:hAnsi="宋体" w:cs="宋体"/>
          <w:sz w:val="32"/>
          <w:szCs w:val="32"/>
        </w:rPr>
        <w:t>磋商申请人：</w:t>
      </w:r>
      <w:r>
        <w:rPr>
          <w:rFonts w:hint="eastAsia" w:ascii="宋体" w:hAnsi="宋体" w:cs="宋体"/>
          <w:sz w:val="32"/>
          <w:szCs w:val="32"/>
          <w:u w:val="single"/>
        </w:rPr>
        <w:t xml:space="preserve">          </w:t>
      </w:r>
      <w:r>
        <w:rPr>
          <w:rFonts w:hint="eastAsia" w:ascii="宋体" w:hAnsi="宋体" w:cs="宋体"/>
          <w:sz w:val="32"/>
          <w:szCs w:val="32"/>
        </w:rPr>
        <w:t>（盖章或电子签章）</w:t>
      </w:r>
    </w:p>
    <w:p w14:paraId="6F6A6EBC">
      <w:pPr>
        <w:widowControl w:val="0"/>
        <w:pBdr>
          <w:top w:val="dashed" w:color="auto" w:sz="4" w:space="1"/>
          <w:left w:val="dashed" w:color="auto" w:sz="4" w:space="4"/>
          <w:bottom w:val="dashed" w:color="auto" w:sz="4" w:space="1"/>
          <w:right w:val="dashed" w:color="auto" w:sz="4" w:space="4"/>
        </w:pBdr>
        <w:spacing w:line="360" w:lineRule="auto"/>
        <w:jc w:val="center"/>
        <w:rPr>
          <w:rFonts w:hint="eastAsia" w:ascii="宋体" w:hAnsi="宋体" w:cs="宋体"/>
          <w:sz w:val="32"/>
          <w:szCs w:val="32"/>
        </w:rPr>
      </w:pPr>
      <w:r>
        <w:rPr>
          <w:rFonts w:hint="eastAsia" w:ascii="宋体" w:hAnsi="宋体" w:cs="宋体"/>
          <w:sz w:val="32"/>
          <w:szCs w:val="32"/>
        </w:rPr>
        <w:t>法定代表人或授权委托人：</w:t>
      </w:r>
      <w:r>
        <w:rPr>
          <w:rFonts w:hint="eastAsia" w:ascii="宋体" w:hAnsi="宋体" w:cs="宋体"/>
          <w:sz w:val="32"/>
          <w:szCs w:val="32"/>
          <w:u w:val="single"/>
        </w:rPr>
        <w:t xml:space="preserve">              </w:t>
      </w:r>
      <w:r>
        <w:rPr>
          <w:rFonts w:hint="eastAsia" w:ascii="宋体" w:hAnsi="宋体" w:cs="宋体"/>
          <w:sz w:val="32"/>
          <w:szCs w:val="32"/>
        </w:rPr>
        <w:t>（签字或盖章）</w:t>
      </w:r>
    </w:p>
    <w:p w14:paraId="18593A1E">
      <w:pPr>
        <w:widowControl w:val="0"/>
        <w:pBdr>
          <w:top w:val="dashed" w:color="auto" w:sz="4" w:space="1"/>
          <w:left w:val="dashed" w:color="auto" w:sz="4" w:space="4"/>
          <w:bottom w:val="dashed" w:color="auto" w:sz="4" w:space="1"/>
          <w:right w:val="dashed" w:color="auto" w:sz="4" w:space="4"/>
        </w:pBdr>
        <w:spacing w:line="360" w:lineRule="auto"/>
        <w:jc w:val="center"/>
        <w:rPr>
          <w:rFonts w:ascii="宋体" w:hAnsi="宋体" w:cs="宋体"/>
          <w:sz w:val="32"/>
          <w:szCs w:val="32"/>
        </w:rPr>
      </w:pPr>
      <w:r>
        <w:rPr>
          <w:rFonts w:hint="eastAsia" w:ascii="宋体" w:hAnsi="宋体" w:cs="宋体"/>
          <w:sz w:val="32"/>
          <w:szCs w:val="32"/>
          <w:lang w:val="en-US" w:eastAsia="zh-CN"/>
        </w:rPr>
        <w:t>联系电话：</w:t>
      </w:r>
      <w:r>
        <w:rPr>
          <w:rFonts w:hint="eastAsia" w:ascii="宋体" w:hAnsi="宋体" w:cs="宋体"/>
          <w:sz w:val="32"/>
          <w:szCs w:val="32"/>
          <w:u w:val="single"/>
          <w:lang w:val="en-US" w:eastAsia="zh-CN"/>
        </w:rPr>
        <w:t xml:space="preserve">          </w:t>
      </w:r>
      <w:r>
        <w:rPr>
          <w:rFonts w:hint="eastAsia" w:ascii="宋体" w:hAnsi="宋体" w:cs="宋体"/>
          <w:sz w:val="32"/>
          <w:szCs w:val="32"/>
        </w:rPr>
        <w:t xml:space="preserve"> </w:t>
      </w:r>
    </w:p>
    <w:p w14:paraId="0689FD86">
      <w:pPr>
        <w:widowControl w:val="0"/>
        <w:pBdr>
          <w:top w:val="dashed" w:color="auto" w:sz="4" w:space="1"/>
          <w:left w:val="dashed" w:color="auto" w:sz="4" w:space="4"/>
          <w:bottom w:val="dashed" w:color="auto" w:sz="4" w:space="1"/>
          <w:right w:val="dashed" w:color="auto" w:sz="4" w:space="4"/>
        </w:pBdr>
        <w:spacing w:line="360" w:lineRule="auto"/>
        <w:jc w:val="center"/>
        <w:rPr>
          <w:rFonts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日</w:t>
      </w:r>
    </w:p>
    <w:p w14:paraId="59B6A3ED">
      <w:pPr>
        <w:widowControl w:val="0"/>
        <w:pBdr>
          <w:top w:val="dashed" w:color="auto" w:sz="4" w:space="1"/>
          <w:left w:val="dashed" w:color="auto" w:sz="4" w:space="4"/>
          <w:bottom w:val="dashed" w:color="auto" w:sz="4" w:space="1"/>
          <w:right w:val="dashed" w:color="auto" w:sz="4" w:space="4"/>
        </w:pBdr>
        <w:spacing w:line="360" w:lineRule="auto"/>
        <w:jc w:val="center"/>
        <w:rPr>
          <w:rFonts w:ascii="宋体" w:hAnsi="宋体" w:cs="宋体"/>
          <w:sz w:val="32"/>
          <w:szCs w:val="32"/>
        </w:rPr>
      </w:pPr>
    </w:p>
    <w:p w14:paraId="64D93C3B">
      <w:pPr>
        <w:widowControl w:val="0"/>
        <w:pBdr>
          <w:top w:val="dashed" w:color="auto" w:sz="4" w:space="1"/>
          <w:left w:val="dashed" w:color="auto" w:sz="4" w:space="4"/>
          <w:bottom w:val="dashed" w:color="auto" w:sz="4" w:space="1"/>
          <w:right w:val="dashed" w:color="auto" w:sz="4" w:space="4"/>
        </w:pBdr>
        <w:spacing w:line="360" w:lineRule="auto"/>
        <w:jc w:val="center"/>
        <w:rPr>
          <w:rFonts w:ascii="宋体" w:hAnsi="宋体" w:cs="宋体"/>
          <w:sz w:val="32"/>
          <w:szCs w:val="32"/>
        </w:rPr>
      </w:pPr>
    </w:p>
    <w:p w14:paraId="404CCFBD">
      <w:pPr>
        <w:widowControl w:val="0"/>
        <w:jc w:val="center"/>
        <w:rPr>
          <w:rFonts w:ascii="宋体" w:hAnsi="宋体" w:cs="宋体"/>
        </w:rPr>
      </w:pPr>
      <w:r>
        <w:rPr>
          <w:rFonts w:hint="eastAsia" w:ascii="宋体" w:hAnsi="宋体" w:cs="宋体"/>
        </w:rPr>
        <w:br w:type="page"/>
      </w:r>
    </w:p>
    <w:p w14:paraId="704FB4B7">
      <w:pPr>
        <w:widowControl w:val="0"/>
        <w:tabs>
          <w:tab w:val="left" w:pos="0"/>
        </w:tabs>
        <w:snapToGrid w:val="0"/>
        <w:spacing w:after="100" w:afterAutospacing="1" w:line="360" w:lineRule="auto"/>
        <w:jc w:val="center"/>
        <w:outlineLvl w:val="1"/>
        <w:rPr>
          <w:rFonts w:ascii="宋体" w:hAnsi="宋体" w:cs="宋体"/>
          <w:b/>
          <w:bCs/>
        </w:rPr>
      </w:pPr>
      <w:bookmarkStart w:id="119" w:name="_Toc18376"/>
      <w:bookmarkStart w:id="120" w:name="_Toc3309"/>
      <w:bookmarkStart w:id="121" w:name="_Toc66457135"/>
      <w:bookmarkStart w:id="122" w:name="_Toc66736823"/>
      <w:bookmarkStart w:id="123" w:name="_Toc331341781"/>
      <w:bookmarkStart w:id="124" w:name="_Toc506195183"/>
      <w:bookmarkStart w:id="125" w:name="_Toc13857"/>
      <w:r>
        <w:rPr>
          <w:rFonts w:hint="eastAsia" w:ascii="宋体" w:hAnsi="宋体" w:cs="宋体"/>
          <w:b/>
          <w:bCs/>
        </w:rPr>
        <w:t>一、投标报价一览表</w:t>
      </w:r>
      <w:bookmarkEnd w:id="119"/>
    </w:p>
    <w:tbl>
      <w:tblPr>
        <w:tblStyle w:val="51"/>
        <w:tblW w:w="9364" w:type="dxa"/>
        <w:jc w:val="center"/>
        <w:tblLayout w:type="fixed"/>
        <w:tblCellMar>
          <w:top w:w="0" w:type="dxa"/>
          <w:left w:w="108" w:type="dxa"/>
          <w:bottom w:w="0" w:type="dxa"/>
          <w:right w:w="108" w:type="dxa"/>
        </w:tblCellMar>
      </w:tblPr>
      <w:tblGrid>
        <w:gridCol w:w="1065"/>
        <w:gridCol w:w="2276"/>
        <w:gridCol w:w="6023"/>
      </w:tblGrid>
      <w:tr w14:paraId="73F3CC35">
        <w:tblPrEx>
          <w:tblCellMar>
            <w:top w:w="0" w:type="dxa"/>
            <w:left w:w="108" w:type="dxa"/>
            <w:bottom w:w="0" w:type="dxa"/>
            <w:right w:w="108" w:type="dxa"/>
          </w:tblCellMar>
        </w:tblPrEx>
        <w:trPr>
          <w:trHeight w:val="1040" w:hRule="atLeast"/>
          <w:jc w:val="center"/>
        </w:trPr>
        <w:tc>
          <w:tcPr>
            <w:tcW w:w="9364" w:type="dxa"/>
            <w:gridSpan w:val="3"/>
            <w:tcBorders>
              <w:top w:val="single" w:color="auto" w:sz="4" w:space="0"/>
              <w:left w:val="single" w:color="auto" w:sz="4" w:space="0"/>
              <w:bottom w:val="single" w:color="auto" w:sz="4" w:space="0"/>
              <w:right w:val="single" w:color="auto" w:sz="4" w:space="0"/>
            </w:tcBorders>
            <w:vAlign w:val="center"/>
          </w:tcPr>
          <w:p w14:paraId="39332272">
            <w:pPr>
              <w:widowControl w:val="0"/>
              <w:rPr>
                <w:rFonts w:ascii="宋体" w:hAnsi="宋体" w:cs="宋体"/>
              </w:rPr>
            </w:pPr>
            <w:r>
              <w:rPr>
                <w:rFonts w:hint="eastAsia" w:ascii="宋体" w:hAnsi="宋体" w:cs="宋体"/>
              </w:rPr>
              <w:t>项目名称:</w:t>
            </w:r>
            <w:r>
              <w:rPr>
                <w:rFonts w:hint="eastAsia" w:ascii="宋体" w:hAnsi="宋体" w:cs="宋体"/>
                <w:lang w:eastAsia="zh-CN"/>
              </w:rPr>
              <w:t>施甸县东山清水沟矿业有限公司尾矿库风险隐患治理项目</w:t>
            </w:r>
            <w:r>
              <w:rPr>
                <w:rFonts w:hint="eastAsia" w:ascii="宋体" w:hAnsi="宋体" w:cs="宋体"/>
                <w:lang w:val="zh-CN"/>
              </w:rPr>
              <w:t xml:space="preserve"> </w:t>
            </w:r>
          </w:p>
        </w:tc>
      </w:tr>
      <w:tr w14:paraId="41DF29D9">
        <w:tblPrEx>
          <w:tblCellMar>
            <w:top w:w="0" w:type="dxa"/>
            <w:left w:w="108" w:type="dxa"/>
            <w:bottom w:w="0" w:type="dxa"/>
            <w:right w:w="108" w:type="dxa"/>
          </w:tblCellMar>
        </w:tblPrEx>
        <w:trPr>
          <w:trHeight w:val="685"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18D42C6D">
            <w:pPr>
              <w:widowControl w:val="0"/>
              <w:jc w:val="center"/>
              <w:rPr>
                <w:rFonts w:ascii="宋体" w:hAnsi="宋体" w:cs="宋体"/>
              </w:rPr>
            </w:pPr>
            <w:r>
              <w:rPr>
                <w:rFonts w:hint="eastAsia" w:ascii="宋体" w:hAnsi="宋体" w:cs="宋体"/>
              </w:rPr>
              <w:t>序号</w:t>
            </w:r>
          </w:p>
        </w:tc>
        <w:tc>
          <w:tcPr>
            <w:tcW w:w="8299" w:type="dxa"/>
            <w:gridSpan w:val="2"/>
            <w:tcBorders>
              <w:top w:val="single" w:color="auto" w:sz="4" w:space="0"/>
              <w:left w:val="single" w:color="auto" w:sz="4" w:space="0"/>
              <w:bottom w:val="single" w:color="auto" w:sz="4" w:space="0"/>
              <w:right w:val="single" w:color="auto" w:sz="4" w:space="0"/>
            </w:tcBorders>
            <w:vAlign w:val="center"/>
          </w:tcPr>
          <w:p w14:paraId="4E61965A">
            <w:pPr>
              <w:widowControl w:val="0"/>
              <w:jc w:val="center"/>
              <w:rPr>
                <w:rFonts w:ascii="宋体" w:hAnsi="宋体" w:cs="宋体"/>
              </w:rPr>
            </w:pPr>
            <w:r>
              <w:rPr>
                <w:rFonts w:hint="eastAsia" w:ascii="宋体" w:hAnsi="宋体" w:cs="宋体"/>
              </w:rPr>
              <w:t>报价内容</w:t>
            </w:r>
          </w:p>
        </w:tc>
      </w:tr>
      <w:tr w14:paraId="091CF782">
        <w:tblPrEx>
          <w:tblCellMar>
            <w:top w:w="0" w:type="dxa"/>
            <w:left w:w="108" w:type="dxa"/>
            <w:bottom w:w="0" w:type="dxa"/>
            <w:right w:w="108" w:type="dxa"/>
          </w:tblCellMar>
        </w:tblPrEx>
        <w:trPr>
          <w:trHeight w:val="612" w:hRule="atLeast"/>
          <w:jc w:val="center"/>
        </w:trPr>
        <w:tc>
          <w:tcPr>
            <w:tcW w:w="1065" w:type="dxa"/>
            <w:vMerge w:val="restart"/>
            <w:tcBorders>
              <w:top w:val="single" w:color="auto" w:sz="4" w:space="0"/>
              <w:left w:val="single" w:color="auto" w:sz="4" w:space="0"/>
              <w:bottom w:val="single" w:color="auto" w:sz="4" w:space="0"/>
              <w:right w:val="single" w:color="auto" w:sz="4" w:space="0"/>
            </w:tcBorders>
            <w:vAlign w:val="center"/>
          </w:tcPr>
          <w:p w14:paraId="088B715C">
            <w:pPr>
              <w:widowControl w:val="0"/>
              <w:jc w:val="center"/>
              <w:rPr>
                <w:rFonts w:ascii="宋体" w:hAnsi="宋体" w:cs="宋体"/>
              </w:rPr>
            </w:pPr>
            <w:r>
              <w:rPr>
                <w:rFonts w:hint="eastAsia" w:ascii="宋体" w:hAnsi="宋体" w:cs="宋体"/>
              </w:rPr>
              <w:t>1</w:t>
            </w:r>
          </w:p>
        </w:tc>
        <w:tc>
          <w:tcPr>
            <w:tcW w:w="2276" w:type="dxa"/>
            <w:vMerge w:val="restart"/>
            <w:tcBorders>
              <w:top w:val="single" w:color="auto" w:sz="4" w:space="0"/>
              <w:left w:val="single" w:color="auto" w:sz="4" w:space="0"/>
              <w:bottom w:val="single" w:color="auto" w:sz="4" w:space="0"/>
              <w:right w:val="single" w:color="auto" w:sz="4" w:space="0"/>
            </w:tcBorders>
            <w:vAlign w:val="center"/>
          </w:tcPr>
          <w:p w14:paraId="6EEBB8BB">
            <w:pPr>
              <w:widowControl w:val="0"/>
              <w:jc w:val="center"/>
              <w:rPr>
                <w:rFonts w:ascii="宋体" w:hAnsi="宋体" w:cs="宋体"/>
              </w:rPr>
            </w:pPr>
            <w:r>
              <w:rPr>
                <w:rFonts w:hint="eastAsia" w:ascii="宋体" w:hAnsi="宋体" w:cs="宋体"/>
              </w:rPr>
              <w:t>投标总报价</w:t>
            </w:r>
          </w:p>
        </w:tc>
        <w:tc>
          <w:tcPr>
            <w:tcW w:w="6023" w:type="dxa"/>
            <w:tcBorders>
              <w:top w:val="single" w:color="auto" w:sz="4" w:space="0"/>
              <w:left w:val="single" w:color="auto" w:sz="4" w:space="0"/>
              <w:bottom w:val="single" w:color="auto" w:sz="4" w:space="0"/>
              <w:right w:val="single" w:color="auto" w:sz="4" w:space="0"/>
            </w:tcBorders>
            <w:vAlign w:val="center"/>
          </w:tcPr>
          <w:p w14:paraId="518E859B">
            <w:pPr>
              <w:widowControl w:val="0"/>
              <w:rPr>
                <w:rFonts w:ascii="宋体" w:hAnsi="宋体" w:cs="宋体"/>
              </w:rPr>
            </w:pPr>
            <w:r>
              <w:rPr>
                <w:rFonts w:hint="eastAsia" w:ascii="宋体" w:hAnsi="宋体" w:cs="宋体"/>
              </w:rPr>
              <w:t>小写：</w:t>
            </w:r>
          </w:p>
        </w:tc>
      </w:tr>
      <w:tr w14:paraId="6E2D3D13">
        <w:tblPrEx>
          <w:tblCellMar>
            <w:top w:w="0" w:type="dxa"/>
            <w:left w:w="108" w:type="dxa"/>
            <w:bottom w:w="0" w:type="dxa"/>
            <w:right w:w="108" w:type="dxa"/>
          </w:tblCellMar>
        </w:tblPrEx>
        <w:trPr>
          <w:trHeight w:val="586"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14:paraId="2224DA3E">
            <w:pPr>
              <w:widowControl w:val="0"/>
              <w:rPr>
                <w:rFonts w:ascii="宋体" w:hAnsi="宋体" w:cs="宋体"/>
              </w:rPr>
            </w:pPr>
          </w:p>
        </w:tc>
        <w:tc>
          <w:tcPr>
            <w:tcW w:w="2276" w:type="dxa"/>
            <w:vMerge w:val="continue"/>
            <w:tcBorders>
              <w:top w:val="single" w:color="auto" w:sz="4" w:space="0"/>
              <w:left w:val="single" w:color="auto" w:sz="4" w:space="0"/>
              <w:bottom w:val="single" w:color="auto" w:sz="4" w:space="0"/>
              <w:right w:val="single" w:color="auto" w:sz="4" w:space="0"/>
            </w:tcBorders>
            <w:vAlign w:val="center"/>
          </w:tcPr>
          <w:p w14:paraId="78F6E038">
            <w:pPr>
              <w:widowControl w:val="0"/>
              <w:jc w:val="center"/>
              <w:rPr>
                <w:rFonts w:ascii="宋体" w:hAnsi="宋体" w:cs="宋体"/>
              </w:rPr>
            </w:pPr>
          </w:p>
        </w:tc>
        <w:tc>
          <w:tcPr>
            <w:tcW w:w="6023" w:type="dxa"/>
            <w:tcBorders>
              <w:top w:val="single" w:color="auto" w:sz="4" w:space="0"/>
              <w:left w:val="single" w:color="auto" w:sz="4" w:space="0"/>
              <w:bottom w:val="single" w:color="auto" w:sz="4" w:space="0"/>
              <w:right w:val="single" w:color="auto" w:sz="4" w:space="0"/>
            </w:tcBorders>
            <w:vAlign w:val="center"/>
          </w:tcPr>
          <w:p w14:paraId="1712F886">
            <w:pPr>
              <w:widowControl w:val="0"/>
              <w:rPr>
                <w:rFonts w:ascii="宋体" w:hAnsi="宋体" w:cs="宋体"/>
              </w:rPr>
            </w:pPr>
            <w:r>
              <w:rPr>
                <w:rFonts w:hint="eastAsia" w:ascii="宋体" w:hAnsi="宋体" w:cs="宋体"/>
              </w:rPr>
              <w:t>大写：</w:t>
            </w:r>
          </w:p>
        </w:tc>
      </w:tr>
      <w:tr w14:paraId="5D6A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65" w:type="dxa"/>
            <w:tcBorders>
              <w:top w:val="single" w:color="auto" w:sz="4" w:space="0"/>
              <w:bottom w:val="single" w:color="auto" w:sz="4" w:space="0"/>
              <w:right w:val="single" w:color="auto" w:sz="4" w:space="0"/>
            </w:tcBorders>
            <w:vAlign w:val="center"/>
          </w:tcPr>
          <w:p w14:paraId="13FA49AF">
            <w:pPr>
              <w:widowControl w:val="0"/>
              <w:spacing w:line="280" w:lineRule="exact"/>
              <w:jc w:val="center"/>
              <w:rPr>
                <w:rFonts w:ascii="宋体" w:hAnsi="宋体" w:cs="宋体"/>
              </w:rPr>
            </w:pPr>
            <w:r>
              <w:rPr>
                <w:rFonts w:hint="eastAsia" w:ascii="宋体" w:hAnsi="宋体" w:cs="宋体"/>
              </w:rPr>
              <w:t>2</w:t>
            </w:r>
          </w:p>
        </w:tc>
        <w:tc>
          <w:tcPr>
            <w:tcW w:w="2276" w:type="dxa"/>
            <w:tcBorders>
              <w:top w:val="single" w:color="auto" w:sz="4" w:space="0"/>
              <w:left w:val="single" w:color="auto" w:sz="4" w:space="0"/>
              <w:bottom w:val="single" w:color="auto" w:sz="4" w:space="0"/>
              <w:right w:val="single" w:color="auto" w:sz="4" w:space="0"/>
            </w:tcBorders>
            <w:vAlign w:val="center"/>
          </w:tcPr>
          <w:p w14:paraId="2FD06195">
            <w:pPr>
              <w:widowControl w:val="0"/>
              <w:spacing w:line="280" w:lineRule="exact"/>
              <w:jc w:val="center"/>
              <w:rPr>
                <w:rFonts w:ascii="宋体" w:hAnsi="宋体" w:cs="宋体"/>
              </w:rPr>
            </w:pPr>
            <w:r>
              <w:rPr>
                <w:rFonts w:hint="eastAsia" w:ascii="宋体" w:hAnsi="宋体" w:cs="宋体"/>
              </w:rPr>
              <w:t>建设工期</w:t>
            </w:r>
          </w:p>
        </w:tc>
        <w:tc>
          <w:tcPr>
            <w:tcW w:w="6023" w:type="dxa"/>
            <w:tcBorders>
              <w:top w:val="single" w:color="auto" w:sz="4" w:space="0"/>
              <w:left w:val="single" w:color="auto" w:sz="4" w:space="0"/>
              <w:bottom w:val="single" w:color="auto" w:sz="4" w:space="0"/>
            </w:tcBorders>
            <w:vAlign w:val="center"/>
          </w:tcPr>
          <w:p w14:paraId="2AB28616">
            <w:pPr>
              <w:widowControl w:val="0"/>
              <w:spacing w:line="280" w:lineRule="exact"/>
              <w:rPr>
                <w:rFonts w:ascii="宋体" w:hAnsi="宋体" w:cs="宋体"/>
              </w:rPr>
            </w:pPr>
          </w:p>
        </w:tc>
      </w:tr>
      <w:tr w14:paraId="507614C5">
        <w:tblPrEx>
          <w:tblCellMar>
            <w:top w:w="0" w:type="dxa"/>
            <w:left w:w="108" w:type="dxa"/>
            <w:bottom w:w="0" w:type="dxa"/>
            <w:right w:w="108" w:type="dxa"/>
          </w:tblCellMar>
        </w:tblPrEx>
        <w:trPr>
          <w:trHeight w:val="828"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0A5B316F">
            <w:pPr>
              <w:widowControl w:val="0"/>
              <w:jc w:val="center"/>
              <w:rPr>
                <w:rFonts w:ascii="宋体" w:hAnsi="宋体" w:cs="宋体"/>
              </w:rPr>
            </w:pPr>
            <w:r>
              <w:rPr>
                <w:rFonts w:hint="eastAsia" w:ascii="宋体" w:hAnsi="宋体" w:cs="宋体"/>
              </w:rPr>
              <w:t>3</w:t>
            </w:r>
          </w:p>
        </w:tc>
        <w:tc>
          <w:tcPr>
            <w:tcW w:w="2276" w:type="dxa"/>
            <w:tcBorders>
              <w:top w:val="single" w:color="auto" w:sz="4" w:space="0"/>
              <w:left w:val="single" w:color="auto" w:sz="4" w:space="0"/>
              <w:bottom w:val="single" w:color="auto" w:sz="4" w:space="0"/>
              <w:right w:val="single" w:color="auto" w:sz="4" w:space="0"/>
            </w:tcBorders>
            <w:vAlign w:val="center"/>
          </w:tcPr>
          <w:p w14:paraId="73285559">
            <w:pPr>
              <w:widowControl w:val="0"/>
              <w:jc w:val="center"/>
              <w:rPr>
                <w:rFonts w:ascii="宋体" w:hAnsi="宋体" w:cs="宋体"/>
              </w:rPr>
            </w:pPr>
            <w:r>
              <w:rPr>
                <w:rFonts w:hint="eastAsia" w:ascii="宋体" w:hAnsi="宋体" w:cs="宋体"/>
              </w:rPr>
              <w:t>质量承诺</w:t>
            </w:r>
          </w:p>
        </w:tc>
        <w:tc>
          <w:tcPr>
            <w:tcW w:w="6023" w:type="dxa"/>
            <w:tcBorders>
              <w:top w:val="single" w:color="auto" w:sz="4" w:space="0"/>
              <w:left w:val="single" w:color="auto" w:sz="4" w:space="0"/>
              <w:bottom w:val="single" w:color="auto" w:sz="4" w:space="0"/>
              <w:right w:val="single" w:color="auto" w:sz="4" w:space="0"/>
            </w:tcBorders>
            <w:vAlign w:val="center"/>
          </w:tcPr>
          <w:p w14:paraId="4CE24382">
            <w:pPr>
              <w:widowControl w:val="0"/>
              <w:jc w:val="center"/>
              <w:rPr>
                <w:rFonts w:ascii="宋体" w:hAnsi="宋体" w:cs="宋体"/>
              </w:rPr>
            </w:pPr>
          </w:p>
        </w:tc>
      </w:tr>
      <w:tr w14:paraId="42221A2C">
        <w:tblPrEx>
          <w:tblCellMar>
            <w:top w:w="0" w:type="dxa"/>
            <w:left w:w="108" w:type="dxa"/>
            <w:bottom w:w="0" w:type="dxa"/>
            <w:right w:w="108" w:type="dxa"/>
          </w:tblCellMar>
        </w:tblPrEx>
        <w:trPr>
          <w:trHeight w:val="828"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038FBA2B">
            <w:pPr>
              <w:widowControl w:val="0"/>
              <w:jc w:val="center"/>
              <w:rPr>
                <w:rFonts w:ascii="宋体" w:hAnsi="宋体" w:cs="宋体"/>
              </w:rPr>
            </w:pPr>
            <w:r>
              <w:rPr>
                <w:rFonts w:hint="eastAsia" w:ascii="宋体" w:hAnsi="宋体" w:cs="宋体"/>
              </w:rPr>
              <w:t>4</w:t>
            </w:r>
          </w:p>
        </w:tc>
        <w:tc>
          <w:tcPr>
            <w:tcW w:w="2276" w:type="dxa"/>
            <w:tcBorders>
              <w:top w:val="single" w:color="auto" w:sz="4" w:space="0"/>
              <w:left w:val="single" w:color="auto" w:sz="4" w:space="0"/>
              <w:bottom w:val="single" w:color="auto" w:sz="4" w:space="0"/>
              <w:right w:val="single" w:color="auto" w:sz="4" w:space="0"/>
            </w:tcBorders>
            <w:vAlign w:val="center"/>
          </w:tcPr>
          <w:p w14:paraId="6516A041">
            <w:pPr>
              <w:widowControl w:val="0"/>
              <w:jc w:val="center"/>
              <w:rPr>
                <w:rFonts w:ascii="宋体" w:hAnsi="宋体" w:cs="宋体"/>
              </w:rPr>
            </w:pPr>
            <w:r>
              <w:rPr>
                <w:rFonts w:hint="eastAsia" w:ascii="宋体" w:hAnsi="宋体" w:cs="宋体"/>
              </w:rPr>
              <w:t>项目经理</w:t>
            </w:r>
          </w:p>
        </w:tc>
        <w:tc>
          <w:tcPr>
            <w:tcW w:w="6023" w:type="dxa"/>
            <w:tcBorders>
              <w:top w:val="single" w:color="auto" w:sz="4" w:space="0"/>
              <w:left w:val="single" w:color="auto" w:sz="4" w:space="0"/>
              <w:bottom w:val="single" w:color="auto" w:sz="4" w:space="0"/>
              <w:right w:val="single" w:color="auto" w:sz="4" w:space="0"/>
            </w:tcBorders>
            <w:vAlign w:val="center"/>
          </w:tcPr>
          <w:p w14:paraId="0AE75F26">
            <w:pPr>
              <w:spacing w:line="360" w:lineRule="exact"/>
              <w:rPr>
                <w:rFonts w:ascii="宋体" w:hAnsi="宋体" w:cs="宋体"/>
              </w:rPr>
            </w:pPr>
            <w:r>
              <w:rPr>
                <w:rFonts w:hint="eastAsia" w:ascii="宋体" w:hAnsi="宋体" w:cs="宋体"/>
              </w:rPr>
              <w:t>姓名：</w:t>
            </w:r>
          </w:p>
          <w:p w14:paraId="03CEC122">
            <w:pPr>
              <w:spacing w:line="360" w:lineRule="exact"/>
              <w:rPr>
                <w:rFonts w:ascii="宋体" w:hAnsi="宋体" w:cs="宋体"/>
              </w:rPr>
            </w:pPr>
            <w:r>
              <w:rPr>
                <w:rFonts w:hint="eastAsia" w:ascii="宋体" w:hAnsi="宋体" w:cs="宋体"/>
              </w:rPr>
              <w:t>注册建造师等级、专业：</w:t>
            </w:r>
          </w:p>
          <w:p w14:paraId="59C7C959">
            <w:pPr>
              <w:widowControl w:val="0"/>
              <w:jc w:val="both"/>
              <w:rPr>
                <w:rFonts w:ascii="宋体" w:hAnsi="宋体" w:cs="宋体"/>
              </w:rPr>
            </w:pPr>
            <w:r>
              <w:rPr>
                <w:rFonts w:hint="eastAsia" w:ascii="宋体" w:hAnsi="宋体" w:cs="宋体"/>
              </w:rPr>
              <w:t>注册编号：</w:t>
            </w:r>
          </w:p>
        </w:tc>
      </w:tr>
      <w:tr w14:paraId="7B5B14FA">
        <w:tblPrEx>
          <w:tblCellMar>
            <w:top w:w="0" w:type="dxa"/>
            <w:left w:w="108" w:type="dxa"/>
            <w:bottom w:w="0" w:type="dxa"/>
            <w:right w:w="108" w:type="dxa"/>
          </w:tblCellMar>
        </w:tblPrEx>
        <w:trPr>
          <w:trHeight w:val="828"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4B22799B">
            <w:pPr>
              <w:widowControl w:val="0"/>
              <w:jc w:val="center"/>
              <w:rPr>
                <w:rFonts w:ascii="宋体" w:hAnsi="宋体" w:cs="宋体"/>
              </w:rPr>
            </w:pPr>
            <w:r>
              <w:rPr>
                <w:rFonts w:hint="eastAsia" w:ascii="宋体" w:hAnsi="宋体" w:cs="宋体"/>
              </w:rPr>
              <w:t>5</w:t>
            </w:r>
          </w:p>
        </w:tc>
        <w:tc>
          <w:tcPr>
            <w:tcW w:w="2276" w:type="dxa"/>
            <w:tcBorders>
              <w:top w:val="single" w:color="auto" w:sz="4" w:space="0"/>
              <w:left w:val="single" w:color="auto" w:sz="4" w:space="0"/>
              <w:bottom w:val="single" w:color="auto" w:sz="4" w:space="0"/>
              <w:right w:val="single" w:color="auto" w:sz="4" w:space="0"/>
            </w:tcBorders>
            <w:vAlign w:val="center"/>
          </w:tcPr>
          <w:p w14:paraId="6CB0C51B">
            <w:pPr>
              <w:widowControl w:val="0"/>
              <w:jc w:val="center"/>
              <w:rPr>
                <w:rFonts w:ascii="宋体" w:hAnsi="宋体" w:cs="宋体"/>
              </w:rPr>
            </w:pPr>
            <w:r>
              <w:rPr>
                <w:rFonts w:hint="eastAsia" w:ascii="宋体" w:hAnsi="宋体" w:cs="宋体"/>
              </w:rPr>
              <w:t>磋商保证金</w:t>
            </w:r>
          </w:p>
        </w:tc>
        <w:tc>
          <w:tcPr>
            <w:tcW w:w="6023" w:type="dxa"/>
            <w:tcBorders>
              <w:top w:val="single" w:color="auto" w:sz="4" w:space="0"/>
              <w:left w:val="single" w:color="auto" w:sz="4" w:space="0"/>
              <w:bottom w:val="single" w:color="auto" w:sz="4" w:space="0"/>
              <w:right w:val="single" w:color="auto" w:sz="4" w:space="0"/>
            </w:tcBorders>
            <w:vAlign w:val="center"/>
          </w:tcPr>
          <w:p w14:paraId="6FD5B3D8">
            <w:pPr>
              <w:widowControl w:val="0"/>
              <w:jc w:val="center"/>
              <w:rPr>
                <w:rFonts w:ascii="宋体" w:hAnsi="宋体" w:cs="宋体"/>
              </w:rPr>
            </w:pPr>
          </w:p>
        </w:tc>
      </w:tr>
      <w:tr w14:paraId="79507028">
        <w:tblPrEx>
          <w:tblCellMar>
            <w:top w:w="0" w:type="dxa"/>
            <w:left w:w="108" w:type="dxa"/>
            <w:bottom w:w="0" w:type="dxa"/>
            <w:right w:w="108" w:type="dxa"/>
          </w:tblCellMar>
        </w:tblPrEx>
        <w:trPr>
          <w:trHeight w:val="828"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5AB57736">
            <w:pPr>
              <w:widowControl w:val="0"/>
              <w:jc w:val="center"/>
              <w:rPr>
                <w:rFonts w:hint="eastAsia" w:ascii="宋体" w:hAnsi="宋体" w:eastAsia="宋体" w:cs="宋体"/>
                <w:lang w:val="en-US" w:eastAsia="zh-CN"/>
              </w:rPr>
            </w:pPr>
            <w:r>
              <w:rPr>
                <w:rFonts w:hint="eastAsia" w:ascii="宋体" w:hAnsi="宋体" w:cs="宋体"/>
                <w:lang w:val="en-US" w:eastAsia="zh-CN"/>
              </w:rPr>
              <w:t>6</w:t>
            </w:r>
          </w:p>
        </w:tc>
        <w:tc>
          <w:tcPr>
            <w:tcW w:w="2276" w:type="dxa"/>
            <w:tcBorders>
              <w:top w:val="single" w:color="auto" w:sz="4" w:space="0"/>
              <w:left w:val="single" w:color="auto" w:sz="4" w:space="0"/>
              <w:bottom w:val="single" w:color="auto" w:sz="4" w:space="0"/>
              <w:right w:val="single" w:color="auto" w:sz="4" w:space="0"/>
            </w:tcBorders>
            <w:vAlign w:val="center"/>
          </w:tcPr>
          <w:p w14:paraId="5BA7FFB9">
            <w:pPr>
              <w:widowControl w:val="0"/>
              <w:jc w:val="center"/>
              <w:rPr>
                <w:rFonts w:hint="default" w:ascii="宋体" w:hAnsi="宋体" w:eastAsia="宋体" w:cs="宋体"/>
                <w:lang w:val="en-US" w:eastAsia="zh-CN"/>
              </w:rPr>
            </w:pPr>
            <w:r>
              <w:rPr>
                <w:rFonts w:hint="eastAsia" w:ascii="宋体" w:hAnsi="宋体" w:cs="宋体"/>
                <w:lang w:val="en-US" w:eastAsia="zh-CN"/>
              </w:rPr>
              <w:t>保证金缴纳方式</w:t>
            </w:r>
          </w:p>
        </w:tc>
        <w:tc>
          <w:tcPr>
            <w:tcW w:w="6023" w:type="dxa"/>
            <w:tcBorders>
              <w:top w:val="single" w:color="auto" w:sz="4" w:space="0"/>
              <w:left w:val="single" w:color="auto" w:sz="4" w:space="0"/>
              <w:bottom w:val="single" w:color="auto" w:sz="4" w:space="0"/>
              <w:right w:val="single" w:color="auto" w:sz="4" w:space="0"/>
            </w:tcBorders>
            <w:vAlign w:val="center"/>
          </w:tcPr>
          <w:p w14:paraId="1ABA01B1">
            <w:pPr>
              <w:widowControl w:val="0"/>
              <w:jc w:val="center"/>
              <w:rPr>
                <w:rFonts w:ascii="宋体" w:hAnsi="宋体" w:cs="宋体"/>
              </w:rPr>
            </w:pPr>
          </w:p>
        </w:tc>
      </w:tr>
      <w:tr w14:paraId="32E89650">
        <w:tblPrEx>
          <w:tblCellMar>
            <w:top w:w="0" w:type="dxa"/>
            <w:left w:w="108" w:type="dxa"/>
            <w:bottom w:w="0" w:type="dxa"/>
            <w:right w:w="108" w:type="dxa"/>
          </w:tblCellMar>
        </w:tblPrEx>
        <w:trPr>
          <w:trHeight w:val="828"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032821D2">
            <w:pPr>
              <w:widowControl w:val="0"/>
              <w:jc w:val="center"/>
              <w:rPr>
                <w:rFonts w:hint="eastAsia" w:ascii="宋体" w:hAnsi="宋体" w:eastAsia="宋体" w:cs="宋体"/>
                <w:lang w:eastAsia="zh-CN"/>
              </w:rPr>
            </w:pPr>
            <w:r>
              <w:rPr>
                <w:rFonts w:hint="eastAsia" w:ascii="宋体" w:hAnsi="宋体" w:cs="宋体"/>
                <w:lang w:val="en-US" w:eastAsia="zh-CN"/>
              </w:rPr>
              <w:t>7</w:t>
            </w:r>
          </w:p>
        </w:tc>
        <w:tc>
          <w:tcPr>
            <w:tcW w:w="2276" w:type="dxa"/>
            <w:tcBorders>
              <w:top w:val="single" w:color="auto" w:sz="4" w:space="0"/>
              <w:left w:val="single" w:color="auto" w:sz="4" w:space="0"/>
              <w:bottom w:val="single" w:color="auto" w:sz="4" w:space="0"/>
              <w:right w:val="single" w:color="auto" w:sz="4" w:space="0"/>
            </w:tcBorders>
            <w:vAlign w:val="center"/>
          </w:tcPr>
          <w:p w14:paraId="1DBD2784">
            <w:pPr>
              <w:widowControl w:val="0"/>
              <w:jc w:val="center"/>
              <w:rPr>
                <w:rFonts w:ascii="宋体" w:hAnsi="宋体" w:cs="宋体"/>
              </w:rPr>
            </w:pPr>
            <w:r>
              <w:rPr>
                <w:rFonts w:hint="eastAsia" w:ascii="宋体" w:hAnsi="宋体" w:cs="宋体"/>
              </w:rPr>
              <w:t>备注</w:t>
            </w:r>
          </w:p>
        </w:tc>
        <w:tc>
          <w:tcPr>
            <w:tcW w:w="6023" w:type="dxa"/>
            <w:tcBorders>
              <w:top w:val="single" w:color="auto" w:sz="4" w:space="0"/>
              <w:left w:val="single" w:color="auto" w:sz="4" w:space="0"/>
              <w:bottom w:val="single" w:color="auto" w:sz="4" w:space="0"/>
              <w:right w:val="single" w:color="auto" w:sz="4" w:space="0"/>
            </w:tcBorders>
            <w:vAlign w:val="center"/>
          </w:tcPr>
          <w:p w14:paraId="31E108DE">
            <w:pPr>
              <w:widowControl w:val="0"/>
              <w:jc w:val="center"/>
              <w:rPr>
                <w:rFonts w:ascii="宋体" w:hAnsi="宋体" w:cs="宋体"/>
              </w:rPr>
            </w:pPr>
          </w:p>
        </w:tc>
      </w:tr>
    </w:tbl>
    <w:p w14:paraId="5DCDCC42">
      <w:pPr>
        <w:widowControl w:val="0"/>
        <w:rPr>
          <w:rFonts w:ascii="宋体" w:hAnsi="宋体" w:cs="宋体"/>
        </w:rPr>
      </w:pPr>
    </w:p>
    <w:p w14:paraId="3C5A4AD2">
      <w:pPr>
        <w:widowControl w:val="0"/>
        <w:rPr>
          <w:rFonts w:ascii="宋体" w:hAnsi="宋体" w:cs="宋体"/>
        </w:rPr>
      </w:pPr>
      <w:r>
        <w:rPr>
          <w:rFonts w:hint="eastAsia" w:ascii="宋体" w:hAnsi="宋体" w:cs="宋体"/>
          <w:bCs/>
        </w:rPr>
        <w:t>磋商申请人名称</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（盖章）</w:t>
      </w:r>
    </w:p>
    <w:p w14:paraId="4698456C">
      <w:pPr>
        <w:widowControl w:val="0"/>
        <w:spacing w:line="360" w:lineRule="auto"/>
        <w:rPr>
          <w:rFonts w:ascii="宋体" w:hAnsi="宋体" w:cs="宋体"/>
        </w:rPr>
      </w:pPr>
      <w:r>
        <w:rPr>
          <w:rFonts w:hint="eastAsia" w:ascii="宋体" w:hAnsi="宋体" w:cs="宋体"/>
        </w:rPr>
        <w:t>法定代表人或其委托代理人：</w:t>
      </w:r>
      <w:r>
        <w:rPr>
          <w:rFonts w:hint="eastAsia" w:ascii="宋体" w:hAnsi="宋体" w:cs="宋体"/>
          <w:u w:val="single"/>
        </w:rPr>
        <w:t xml:space="preserve">         （签字或盖章）</w:t>
      </w:r>
    </w:p>
    <w:p w14:paraId="3F920856">
      <w:pPr>
        <w:widowControl w:val="0"/>
        <w:spacing w:line="360" w:lineRule="auto"/>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CCE4F68">
      <w:pPr>
        <w:widowControl w:val="0"/>
        <w:spacing w:line="360" w:lineRule="auto"/>
        <w:ind w:left="-482" w:leftChars="-201" w:firstLine="564" w:firstLineChars="234"/>
        <w:rPr>
          <w:rFonts w:ascii="宋体" w:hAnsi="宋体" w:cs="宋体"/>
          <w:b/>
          <w:bCs/>
        </w:rPr>
      </w:pPr>
      <w:r>
        <w:rPr>
          <w:rFonts w:hint="eastAsia" w:ascii="宋体" w:hAnsi="宋体" w:cs="宋体"/>
          <w:b/>
          <w:bCs/>
        </w:rPr>
        <w:t>注：1、表中“投标总报价”应与 “投标函”中“投标总报价”一致。</w:t>
      </w:r>
    </w:p>
    <w:p w14:paraId="671B9E9D">
      <w:pPr>
        <w:widowControl w:val="0"/>
        <w:numPr>
          <w:ilvl w:val="0"/>
          <w:numId w:val="10"/>
        </w:numPr>
        <w:spacing w:line="360" w:lineRule="auto"/>
        <w:rPr>
          <w:rFonts w:ascii="宋体" w:hAnsi="宋体" w:cs="宋体"/>
        </w:rPr>
      </w:pPr>
      <w:r>
        <w:rPr>
          <w:rFonts w:hint="eastAsia" w:ascii="宋体" w:hAnsi="宋体" w:cs="宋体"/>
          <w:b/>
          <w:bCs/>
        </w:rPr>
        <w:t>投标报价为综合总报价，包括竞争性磋商文件中提到的或没有提到的各种费用。（即凡磋商申请人投标文件中承诺或涉及的或者是完成本项目必需的费用及磋商申请人为完成本项目漏报的费用，均视为已包括在投标总报价或相应项目的单价中</w:t>
      </w:r>
      <w:bookmarkEnd w:id="120"/>
      <w:bookmarkEnd w:id="121"/>
      <w:bookmarkEnd w:id="122"/>
      <w:bookmarkStart w:id="126" w:name="_Toc66457136"/>
      <w:bookmarkStart w:id="127" w:name="_Toc256"/>
      <w:bookmarkStart w:id="128" w:name="_Toc28177"/>
      <w:bookmarkStart w:id="129" w:name="_Toc66736824"/>
      <w:r>
        <w:rPr>
          <w:rFonts w:hint="eastAsia" w:ascii="宋体" w:hAnsi="宋体" w:cs="宋体"/>
          <w:b/>
          <w:bCs/>
        </w:rPr>
        <w:t>）</w:t>
      </w:r>
    </w:p>
    <w:p w14:paraId="590C6AE7">
      <w:pPr>
        <w:pStyle w:val="581"/>
        <w:widowControl w:val="0"/>
        <w:ind w:firstLine="0" w:firstLineChars="0"/>
        <w:jc w:val="center"/>
        <w:rPr>
          <w:rFonts w:ascii="宋体" w:hAnsi="宋体" w:eastAsia="宋体" w:cs="宋体"/>
          <w:szCs w:val="24"/>
        </w:rPr>
      </w:pPr>
    </w:p>
    <w:p w14:paraId="071B780F">
      <w:pPr>
        <w:pStyle w:val="577"/>
      </w:pPr>
    </w:p>
    <w:p w14:paraId="0601BFBF">
      <w:pPr>
        <w:pStyle w:val="581"/>
        <w:widowControl w:val="0"/>
        <w:ind w:firstLine="0" w:firstLineChars="0"/>
        <w:jc w:val="both"/>
        <w:rPr>
          <w:rFonts w:ascii="宋体" w:hAnsi="宋体" w:eastAsia="宋体" w:cs="宋体"/>
          <w:szCs w:val="24"/>
        </w:rPr>
      </w:pPr>
    </w:p>
    <w:p w14:paraId="672F966B">
      <w:pPr>
        <w:widowControl w:val="0"/>
        <w:snapToGrid w:val="0"/>
        <w:spacing w:line="360" w:lineRule="auto"/>
        <w:jc w:val="center"/>
        <w:outlineLvl w:val="1"/>
        <w:rPr>
          <w:rFonts w:hint="default" w:ascii="宋体" w:hAnsi="宋体" w:eastAsia="宋体" w:cs="宋体"/>
          <w:b/>
          <w:bCs/>
          <w:sz w:val="24"/>
          <w:szCs w:val="24"/>
          <w:lang w:val="en-US" w:eastAsia="zh-CN"/>
        </w:rPr>
      </w:pPr>
      <w:r>
        <w:rPr>
          <w:rFonts w:hint="eastAsia" w:ascii="宋体" w:hAnsi="宋体" w:eastAsia="宋体" w:cs="宋体"/>
          <w:szCs w:val="24"/>
        </w:rPr>
        <w:t>二、</w:t>
      </w:r>
      <w:r>
        <w:rPr>
          <w:rFonts w:hint="eastAsia" w:ascii="宋体" w:hAnsi="宋体"/>
          <w:b/>
          <w:bCs/>
          <w:sz w:val="24"/>
          <w:szCs w:val="24"/>
          <w:lang w:val="en-US" w:eastAsia="zh-CN"/>
        </w:rPr>
        <w:t>报价明细</w:t>
      </w:r>
    </w:p>
    <w:p w14:paraId="54732CE2">
      <w:pPr>
        <w:pStyle w:val="581"/>
        <w:widowControl w:val="0"/>
        <w:ind w:firstLine="0" w:firstLineChars="0"/>
        <w:jc w:val="center"/>
        <w:rPr>
          <w:rFonts w:hint="eastAsia" w:ascii="宋体" w:hAnsi="宋体" w:eastAsia="宋体" w:cs="宋体"/>
          <w:b w:val="0"/>
          <w:bCs/>
          <w:szCs w:val="24"/>
        </w:rPr>
      </w:pPr>
      <w:r>
        <w:rPr>
          <w:rFonts w:hint="eastAsia" w:ascii="宋体" w:hAnsi="宋体" w:eastAsia="宋体" w:cs="宋体"/>
          <w:b w:val="0"/>
          <w:bCs/>
          <w:color w:val="auto"/>
          <w:kern w:val="0"/>
          <w:sz w:val="24"/>
          <w:lang w:val="en-US" w:eastAsia="zh-CN"/>
        </w:rPr>
        <w:t>磋商申请人根据《工程量清单》的分项工程进行分项报价。</w:t>
      </w:r>
    </w:p>
    <w:p w14:paraId="23DD9BB8">
      <w:pPr>
        <w:pStyle w:val="581"/>
        <w:widowControl w:val="0"/>
        <w:ind w:firstLine="0" w:firstLineChars="0"/>
        <w:jc w:val="center"/>
        <w:rPr>
          <w:rFonts w:hint="eastAsia" w:ascii="宋体" w:hAnsi="宋体" w:eastAsia="宋体" w:cs="宋体"/>
          <w:szCs w:val="24"/>
        </w:rPr>
      </w:pPr>
    </w:p>
    <w:p w14:paraId="03041F5C">
      <w:pPr>
        <w:pStyle w:val="581"/>
        <w:widowControl w:val="0"/>
        <w:ind w:firstLine="0" w:firstLineChars="0"/>
        <w:jc w:val="center"/>
        <w:rPr>
          <w:rFonts w:hint="eastAsia" w:ascii="宋体" w:hAnsi="宋体" w:eastAsia="宋体" w:cs="宋体"/>
          <w:szCs w:val="24"/>
        </w:rPr>
      </w:pPr>
    </w:p>
    <w:p w14:paraId="7AFF894F">
      <w:pPr>
        <w:pStyle w:val="581"/>
        <w:widowControl w:val="0"/>
        <w:ind w:firstLine="0" w:firstLineChars="0"/>
        <w:jc w:val="center"/>
        <w:rPr>
          <w:rFonts w:hint="eastAsia" w:ascii="宋体" w:hAnsi="宋体" w:eastAsia="宋体" w:cs="宋体"/>
          <w:szCs w:val="24"/>
        </w:rPr>
      </w:pPr>
    </w:p>
    <w:p w14:paraId="78D1A9A4">
      <w:pPr>
        <w:pStyle w:val="581"/>
        <w:widowControl w:val="0"/>
        <w:ind w:firstLine="0" w:firstLineChars="0"/>
        <w:jc w:val="center"/>
        <w:rPr>
          <w:rFonts w:hint="eastAsia" w:ascii="宋体" w:hAnsi="宋体" w:eastAsia="宋体" w:cs="宋体"/>
          <w:szCs w:val="24"/>
        </w:rPr>
      </w:pPr>
    </w:p>
    <w:p w14:paraId="195B593C">
      <w:pPr>
        <w:pStyle w:val="581"/>
        <w:widowControl w:val="0"/>
        <w:ind w:firstLine="0" w:firstLineChars="0"/>
        <w:jc w:val="center"/>
        <w:rPr>
          <w:rFonts w:hint="eastAsia" w:ascii="宋体" w:hAnsi="宋体" w:eastAsia="宋体" w:cs="宋体"/>
          <w:szCs w:val="24"/>
        </w:rPr>
      </w:pPr>
    </w:p>
    <w:p w14:paraId="0435CCC2">
      <w:pPr>
        <w:pStyle w:val="581"/>
        <w:widowControl w:val="0"/>
        <w:ind w:firstLine="0" w:firstLineChars="0"/>
        <w:jc w:val="center"/>
        <w:rPr>
          <w:rFonts w:hint="eastAsia" w:ascii="宋体" w:hAnsi="宋体" w:eastAsia="宋体" w:cs="宋体"/>
          <w:szCs w:val="24"/>
        </w:rPr>
      </w:pPr>
    </w:p>
    <w:p w14:paraId="61EF05BB">
      <w:pPr>
        <w:pStyle w:val="581"/>
        <w:widowControl w:val="0"/>
        <w:ind w:firstLine="0" w:firstLineChars="0"/>
        <w:jc w:val="center"/>
        <w:rPr>
          <w:rFonts w:hint="eastAsia" w:ascii="宋体" w:hAnsi="宋体" w:eastAsia="宋体" w:cs="宋体"/>
          <w:szCs w:val="24"/>
        </w:rPr>
      </w:pPr>
    </w:p>
    <w:p w14:paraId="175F0D86">
      <w:pPr>
        <w:pStyle w:val="581"/>
        <w:widowControl w:val="0"/>
        <w:ind w:firstLine="0" w:firstLineChars="0"/>
        <w:jc w:val="center"/>
        <w:rPr>
          <w:rFonts w:hint="eastAsia" w:ascii="宋体" w:hAnsi="宋体" w:eastAsia="宋体" w:cs="宋体"/>
          <w:szCs w:val="24"/>
        </w:rPr>
      </w:pPr>
    </w:p>
    <w:p w14:paraId="6712DFA7">
      <w:pPr>
        <w:pStyle w:val="581"/>
        <w:widowControl w:val="0"/>
        <w:ind w:firstLine="0" w:firstLineChars="0"/>
        <w:jc w:val="center"/>
        <w:rPr>
          <w:rFonts w:hint="eastAsia" w:ascii="宋体" w:hAnsi="宋体" w:eastAsia="宋体" w:cs="宋体"/>
          <w:szCs w:val="24"/>
        </w:rPr>
      </w:pPr>
    </w:p>
    <w:p w14:paraId="6D2CA1B9">
      <w:pPr>
        <w:pStyle w:val="581"/>
        <w:widowControl w:val="0"/>
        <w:ind w:firstLine="0" w:firstLineChars="0"/>
        <w:jc w:val="center"/>
        <w:rPr>
          <w:rFonts w:hint="eastAsia" w:ascii="宋体" w:hAnsi="宋体" w:eastAsia="宋体" w:cs="宋体"/>
          <w:szCs w:val="24"/>
        </w:rPr>
      </w:pPr>
    </w:p>
    <w:p w14:paraId="44A3AAE5">
      <w:pPr>
        <w:pStyle w:val="581"/>
        <w:widowControl w:val="0"/>
        <w:ind w:firstLine="0" w:firstLineChars="0"/>
        <w:jc w:val="center"/>
        <w:rPr>
          <w:rFonts w:hint="eastAsia" w:ascii="宋体" w:hAnsi="宋体" w:eastAsia="宋体" w:cs="宋体"/>
          <w:szCs w:val="24"/>
        </w:rPr>
      </w:pPr>
    </w:p>
    <w:p w14:paraId="509A0A6D">
      <w:pPr>
        <w:pStyle w:val="581"/>
        <w:widowControl w:val="0"/>
        <w:ind w:firstLine="0" w:firstLineChars="0"/>
        <w:jc w:val="center"/>
        <w:rPr>
          <w:rFonts w:hint="eastAsia" w:ascii="宋体" w:hAnsi="宋体" w:eastAsia="宋体" w:cs="宋体"/>
          <w:szCs w:val="24"/>
        </w:rPr>
      </w:pPr>
    </w:p>
    <w:p w14:paraId="67946F3D">
      <w:pPr>
        <w:pStyle w:val="581"/>
        <w:widowControl w:val="0"/>
        <w:ind w:firstLine="0" w:firstLineChars="0"/>
        <w:jc w:val="center"/>
        <w:rPr>
          <w:rFonts w:hint="eastAsia" w:ascii="宋体" w:hAnsi="宋体" w:eastAsia="宋体" w:cs="宋体"/>
          <w:szCs w:val="24"/>
        </w:rPr>
      </w:pPr>
    </w:p>
    <w:p w14:paraId="4D767DAC">
      <w:pPr>
        <w:pStyle w:val="581"/>
        <w:widowControl w:val="0"/>
        <w:ind w:firstLine="0" w:firstLineChars="0"/>
        <w:jc w:val="center"/>
        <w:rPr>
          <w:rFonts w:hint="eastAsia" w:ascii="宋体" w:hAnsi="宋体" w:eastAsia="宋体" w:cs="宋体"/>
          <w:szCs w:val="24"/>
        </w:rPr>
      </w:pPr>
    </w:p>
    <w:p w14:paraId="122EFBDB">
      <w:pPr>
        <w:pStyle w:val="581"/>
        <w:widowControl w:val="0"/>
        <w:ind w:firstLine="0" w:firstLineChars="0"/>
        <w:jc w:val="center"/>
        <w:rPr>
          <w:rFonts w:hint="eastAsia" w:ascii="宋体" w:hAnsi="宋体" w:eastAsia="宋体" w:cs="宋体"/>
          <w:szCs w:val="24"/>
        </w:rPr>
      </w:pPr>
    </w:p>
    <w:p w14:paraId="704AAC43">
      <w:pPr>
        <w:pStyle w:val="581"/>
        <w:widowControl w:val="0"/>
        <w:ind w:firstLine="0" w:firstLineChars="0"/>
        <w:jc w:val="center"/>
        <w:rPr>
          <w:rFonts w:hint="eastAsia" w:ascii="宋体" w:hAnsi="宋体" w:eastAsia="宋体" w:cs="宋体"/>
          <w:szCs w:val="24"/>
        </w:rPr>
      </w:pPr>
    </w:p>
    <w:p w14:paraId="3E66028D">
      <w:pPr>
        <w:pStyle w:val="581"/>
        <w:widowControl w:val="0"/>
        <w:ind w:firstLine="0" w:firstLineChars="0"/>
        <w:jc w:val="center"/>
        <w:rPr>
          <w:rFonts w:hint="eastAsia" w:ascii="宋体" w:hAnsi="宋体" w:eastAsia="宋体" w:cs="宋体"/>
          <w:szCs w:val="24"/>
        </w:rPr>
      </w:pPr>
    </w:p>
    <w:p w14:paraId="1FC025DC">
      <w:pPr>
        <w:pStyle w:val="581"/>
        <w:widowControl w:val="0"/>
        <w:ind w:firstLine="0" w:firstLineChars="0"/>
        <w:jc w:val="center"/>
        <w:rPr>
          <w:rFonts w:hint="eastAsia" w:ascii="宋体" w:hAnsi="宋体" w:eastAsia="宋体" w:cs="宋体"/>
          <w:szCs w:val="24"/>
        </w:rPr>
      </w:pPr>
    </w:p>
    <w:p w14:paraId="7D327B0F">
      <w:pPr>
        <w:pStyle w:val="581"/>
        <w:widowControl w:val="0"/>
        <w:ind w:firstLine="0" w:firstLineChars="0"/>
        <w:jc w:val="center"/>
        <w:rPr>
          <w:rFonts w:hint="eastAsia" w:ascii="宋体" w:hAnsi="宋体" w:eastAsia="宋体" w:cs="宋体"/>
          <w:szCs w:val="24"/>
        </w:rPr>
      </w:pPr>
    </w:p>
    <w:p w14:paraId="61063E81">
      <w:pPr>
        <w:pStyle w:val="581"/>
        <w:widowControl w:val="0"/>
        <w:ind w:firstLine="0" w:firstLineChars="0"/>
        <w:jc w:val="center"/>
        <w:rPr>
          <w:rFonts w:hint="eastAsia" w:ascii="宋体" w:hAnsi="宋体" w:eastAsia="宋体" w:cs="宋体"/>
          <w:szCs w:val="24"/>
        </w:rPr>
      </w:pPr>
    </w:p>
    <w:p w14:paraId="0171E777">
      <w:pPr>
        <w:pStyle w:val="581"/>
        <w:widowControl w:val="0"/>
        <w:ind w:firstLine="0" w:firstLineChars="0"/>
        <w:jc w:val="center"/>
        <w:rPr>
          <w:rFonts w:hint="eastAsia" w:ascii="宋体" w:hAnsi="宋体" w:eastAsia="宋体" w:cs="宋体"/>
          <w:szCs w:val="24"/>
        </w:rPr>
      </w:pPr>
    </w:p>
    <w:p w14:paraId="2D047BA7">
      <w:pPr>
        <w:pStyle w:val="581"/>
        <w:widowControl w:val="0"/>
        <w:ind w:firstLine="0" w:firstLineChars="0"/>
        <w:jc w:val="center"/>
        <w:rPr>
          <w:rFonts w:hint="eastAsia" w:ascii="宋体" w:hAnsi="宋体" w:eastAsia="宋体" w:cs="宋体"/>
          <w:szCs w:val="24"/>
        </w:rPr>
      </w:pPr>
    </w:p>
    <w:p w14:paraId="3FAB73FC">
      <w:pPr>
        <w:pStyle w:val="581"/>
        <w:widowControl w:val="0"/>
        <w:ind w:firstLine="0" w:firstLineChars="0"/>
        <w:jc w:val="center"/>
        <w:rPr>
          <w:rFonts w:hint="eastAsia" w:ascii="宋体" w:hAnsi="宋体" w:eastAsia="宋体" w:cs="宋体"/>
          <w:szCs w:val="24"/>
        </w:rPr>
      </w:pPr>
    </w:p>
    <w:p w14:paraId="6E2C0AEE">
      <w:pPr>
        <w:pStyle w:val="581"/>
        <w:widowControl w:val="0"/>
        <w:ind w:firstLine="0" w:firstLineChars="0"/>
        <w:jc w:val="center"/>
        <w:rPr>
          <w:rFonts w:ascii="宋体" w:hAnsi="宋体" w:eastAsia="宋体" w:cs="宋体"/>
          <w:szCs w:val="24"/>
        </w:rPr>
      </w:pPr>
      <w:r>
        <w:rPr>
          <w:rFonts w:hint="eastAsia" w:ascii="宋体" w:hAnsi="宋体" w:eastAsia="宋体" w:cs="宋体"/>
          <w:szCs w:val="24"/>
          <w:lang w:eastAsia="zh-CN"/>
        </w:rPr>
        <w:t>三、</w:t>
      </w:r>
      <w:r>
        <w:rPr>
          <w:rFonts w:hint="eastAsia" w:ascii="宋体" w:hAnsi="宋体" w:eastAsia="宋体" w:cs="宋体"/>
          <w:szCs w:val="24"/>
        </w:rPr>
        <w:t>磋商申请人基本情况表</w:t>
      </w:r>
      <w:bookmarkEnd w:id="126"/>
      <w:bookmarkEnd w:id="127"/>
      <w:bookmarkEnd w:id="128"/>
      <w:bookmarkEnd w:id="129"/>
    </w:p>
    <w:tbl>
      <w:tblPr>
        <w:tblStyle w:val="51"/>
        <w:tblW w:w="8618"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0"/>
        <w:gridCol w:w="1559"/>
        <w:gridCol w:w="1308"/>
        <w:gridCol w:w="1811"/>
        <w:gridCol w:w="1560"/>
      </w:tblGrid>
      <w:tr w14:paraId="62ADE3E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0" w:type="dxa"/>
            <w:tcBorders>
              <w:top w:val="single" w:color="auto" w:sz="6" w:space="0"/>
              <w:left w:val="thinThickSmallGap" w:color="auto" w:sz="12" w:space="0"/>
              <w:bottom w:val="single" w:color="auto" w:sz="6" w:space="0"/>
              <w:right w:val="single" w:color="auto" w:sz="6" w:space="0"/>
            </w:tcBorders>
            <w:vAlign w:val="center"/>
          </w:tcPr>
          <w:p w14:paraId="6FFD66A3">
            <w:pPr>
              <w:widowControl w:val="0"/>
              <w:jc w:val="center"/>
              <w:rPr>
                <w:rFonts w:ascii="宋体" w:hAnsi="宋体" w:cs="宋体"/>
              </w:rPr>
            </w:pPr>
            <w:r>
              <w:rPr>
                <w:rFonts w:hint="eastAsia" w:ascii="宋体" w:hAnsi="宋体" w:cs="宋体"/>
              </w:rPr>
              <w:t>磋商申请人名称</w:t>
            </w:r>
          </w:p>
        </w:tc>
        <w:tc>
          <w:tcPr>
            <w:tcW w:w="6238" w:type="dxa"/>
            <w:gridSpan w:val="4"/>
            <w:tcBorders>
              <w:top w:val="single" w:color="auto" w:sz="6" w:space="0"/>
              <w:left w:val="single" w:color="auto" w:sz="6" w:space="0"/>
              <w:bottom w:val="single" w:color="auto" w:sz="6" w:space="0"/>
              <w:right w:val="thickThinSmallGap" w:color="auto" w:sz="12" w:space="0"/>
            </w:tcBorders>
            <w:vAlign w:val="center"/>
          </w:tcPr>
          <w:p w14:paraId="3A195798">
            <w:pPr>
              <w:widowControl w:val="0"/>
              <w:rPr>
                <w:rFonts w:ascii="宋体" w:hAnsi="宋体" w:cs="宋体"/>
              </w:rPr>
            </w:pPr>
          </w:p>
        </w:tc>
      </w:tr>
      <w:tr w14:paraId="05D4560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0" w:type="dxa"/>
            <w:vAlign w:val="center"/>
          </w:tcPr>
          <w:p w14:paraId="1A91E845">
            <w:pPr>
              <w:widowControl w:val="0"/>
              <w:jc w:val="center"/>
              <w:rPr>
                <w:rFonts w:ascii="宋体" w:hAnsi="宋体" w:cs="宋体"/>
              </w:rPr>
            </w:pPr>
            <w:r>
              <w:rPr>
                <w:rFonts w:hint="eastAsia" w:ascii="宋体" w:hAnsi="宋体" w:cs="宋体"/>
              </w:rPr>
              <w:t>注册地址</w:t>
            </w:r>
          </w:p>
        </w:tc>
        <w:tc>
          <w:tcPr>
            <w:tcW w:w="2867" w:type="dxa"/>
            <w:gridSpan w:val="2"/>
            <w:vAlign w:val="center"/>
          </w:tcPr>
          <w:p w14:paraId="0DFE9AEB">
            <w:pPr>
              <w:widowControl w:val="0"/>
              <w:jc w:val="center"/>
              <w:rPr>
                <w:rFonts w:ascii="宋体" w:hAnsi="宋体" w:cs="宋体"/>
              </w:rPr>
            </w:pPr>
          </w:p>
        </w:tc>
        <w:tc>
          <w:tcPr>
            <w:tcW w:w="1811" w:type="dxa"/>
            <w:vAlign w:val="center"/>
          </w:tcPr>
          <w:p w14:paraId="6E43F14A">
            <w:pPr>
              <w:widowControl w:val="0"/>
              <w:jc w:val="center"/>
              <w:rPr>
                <w:rFonts w:ascii="宋体" w:hAnsi="宋体" w:cs="宋体"/>
              </w:rPr>
            </w:pPr>
            <w:r>
              <w:rPr>
                <w:rFonts w:hint="eastAsia" w:ascii="宋体" w:hAnsi="宋体" w:cs="宋体"/>
              </w:rPr>
              <w:t>邮政编码</w:t>
            </w:r>
          </w:p>
        </w:tc>
        <w:tc>
          <w:tcPr>
            <w:tcW w:w="1560" w:type="dxa"/>
            <w:vAlign w:val="center"/>
          </w:tcPr>
          <w:p w14:paraId="6D1DD85F">
            <w:pPr>
              <w:widowControl w:val="0"/>
              <w:jc w:val="center"/>
              <w:rPr>
                <w:rFonts w:ascii="宋体" w:hAnsi="宋体" w:cs="宋体"/>
              </w:rPr>
            </w:pPr>
          </w:p>
        </w:tc>
      </w:tr>
      <w:tr w14:paraId="0680483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0" w:type="dxa"/>
            <w:vMerge w:val="restart"/>
            <w:vAlign w:val="center"/>
          </w:tcPr>
          <w:p w14:paraId="260D10DE">
            <w:pPr>
              <w:widowControl w:val="0"/>
              <w:jc w:val="center"/>
              <w:rPr>
                <w:rFonts w:ascii="宋体" w:hAnsi="宋体" w:cs="宋体"/>
              </w:rPr>
            </w:pPr>
            <w:r>
              <w:rPr>
                <w:rFonts w:hint="eastAsia" w:ascii="宋体" w:hAnsi="宋体" w:cs="宋体"/>
              </w:rPr>
              <w:t>联系方式</w:t>
            </w:r>
          </w:p>
        </w:tc>
        <w:tc>
          <w:tcPr>
            <w:tcW w:w="1559" w:type="dxa"/>
            <w:vAlign w:val="center"/>
          </w:tcPr>
          <w:p w14:paraId="15B705D6">
            <w:pPr>
              <w:widowControl w:val="0"/>
              <w:jc w:val="center"/>
              <w:rPr>
                <w:rFonts w:ascii="宋体" w:hAnsi="宋体" w:cs="宋体"/>
              </w:rPr>
            </w:pPr>
            <w:r>
              <w:rPr>
                <w:rFonts w:hint="eastAsia" w:ascii="宋体" w:hAnsi="宋体" w:cs="宋体"/>
              </w:rPr>
              <w:t>联系人</w:t>
            </w:r>
          </w:p>
        </w:tc>
        <w:tc>
          <w:tcPr>
            <w:tcW w:w="1308" w:type="dxa"/>
            <w:vAlign w:val="center"/>
          </w:tcPr>
          <w:p w14:paraId="0D9CDE81">
            <w:pPr>
              <w:widowControl w:val="0"/>
              <w:jc w:val="center"/>
              <w:rPr>
                <w:rFonts w:ascii="宋体" w:hAnsi="宋体" w:cs="宋体"/>
              </w:rPr>
            </w:pPr>
          </w:p>
        </w:tc>
        <w:tc>
          <w:tcPr>
            <w:tcW w:w="1811" w:type="dxa"/>
            <w:vAlign w:val="center"/>
          </w:tcPr>
          <w:p w14:paraId="5E926CAA">
            <w:pPr>
              <w:widowControl w:val="0"/>
              <w:jc w:val="center"/>
              <w:rPr>
                <w:rFonts w:ascii="宋体" w:hAnsi="宋体" w:cs="宋体"/>
              </w:rPr>
            </w:pPr>
            <w:r>
              <w:rPr>
                <w:rFonts w:hint="eastAsia" w:ascii="宋体" w:hAnsi="宋体" w:cs="宋体"/>
              </w:rPr>
              <w:t>联系方式</w:t>
            </w:r>
          </w:p>
        </w:tc>
        <w:tc>
          <w:tcPr>
            <w:tcW w:w="1560" w:type="dxa"/>
            <w:vAlign w:val="center"/>
          </w:tcPr>
          <w:p w14:paraId="24E0A4EF">
            <w:pPr>
              <w:widowControl w:val="0"/>
              <w:jc w:val="center"/>
              <w:rPr>
                <w:rFonts w:ascii="宋体" w:hAnsi="宋体" w:cs="宋体"/>
              </w:rPr>
            </w:pPr>
          </w:p>
        </w:tc>
      </w:tr>
      <w:tr w14:paraId="1E757F4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Ex>
        <w:trPr>
          <w:trHeight w:val="510" w:hRule="atLeast"/>
          <w:jc w:val="center"/>
        </w:trPr>
        <w:tc>
          <w:tcPr>
            <w:tcW w:w="2380" w:type="dxa"/>
            <w:vMerge w:val="continue"/>
            <w:vAlign w:val="center"/>
          </w:tcPr>
          <w:p w14:paraId="771E0D2D">
            <w:pPr>
              <w:widowControl w:val="0"/>
              <w:jc w:val="center"/>
              <w:rPr>
                <w:rFonts w:ascii="宋体" w:hAnsi="宋体" w:cs="宋体"/>
              </w:rPr>
            </w:pPr>
          </w:p>
        </w:tc>
        <w:tc>
          <w:tcPr>
            <w:tcW w:w="1559" w:type="dxa"/>
            <w:vAlign w:val="center"/>
          </w:tcPr>
          <w:p w14:paraId="1D19AFDE">
            <w:pPr>
              <w:widowControl w:val="0"/>
              <w:jc w:val="center"/>
              <w:rPr>
                <w:rFonts w:ascii="宋体" w:hAnsi="宋体" w:cs="宋体"/>
              </w:rPr>
            </w:pPr>
            <w:r>
              <w:rPr>
                <w:rFonts w:hint="eastAsia" w:ascii="宋体" w:hAnsi="宋体" w:cs="宋体"/>
              </w:rPr>
              <w:t>传真</w:t>
            </w:r>
          </w:p>
        </w:tc>
        <w:tc>
          <w:tcPr>
            <w:tcW w:w="1308" w:type="dxa"/>
            <w:vAlign w:val="center"/>
          </w:tcPr>
          <w:p w14:paraId="6A614DE2">
            <w:pPr>
              <w:widowControl w:val="0"/>
              <w:jc w:val="center"/>
              <w:rPr>
                <w:rFonts w:ascii="宋体" w:hAnsi="宋体" w:cs="宋体"/>
              </w:rPr>
            </w:pPr>
          </w:p>
        </w:tc>
        <w:tc>
          <w:tcPr>
            <w:tcW w:w="1811" w:type="dxa"/>
            <w:vAlign w:val="center"/>
          </w:tcPr>
          <w:p w14:paraId="533CE71B">
            <w:pPr>
              <w:widowControl w:val="0"/>
              <w:jc w:val="center"/>
              <w:rPr>
                <w:rFonts w:ascii="宋体" w:hAnsi="宋体" w:cs="宋体"/>
              </w:rPr>
            </w:pPr>
            <w:r>
              <w:rPr>
                <w:rFonts w:hint="eastAsia" w:ascii="宋体" w:hAnsi="宋体" w:cs="宋体"/>
              </w:rPr>
              <w:t>电子邮件</w:t>
            </w:r>
          </w:p>
        </w:tc>
        <w:tc>
          <w:tcPr>
            <w:tcW w:w="1560" w:type="dxa"/>
            <w:vAlign w:val="center"/>
          </w:tcPr>
          <w:p w14:paraId="74654B1E">
            <w:pPr>
              <w:widowControl w:val="0"/>
              <w:jc w:val="center"/>
              <w:rPr>
                <w:rFonts w:ascii="宋体" w:hAnsi="宋体" w:cs="宋体"/>
              </w:rPr>
            </w:pPr>
          </w:p>
        </w:tc>
      </w:tr>
      <w:tr w14:paraId="59A3B58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0" w:type="dxa"/>
            <w:vAlign w:val="center"/>
          </w:tcPr>
          <w:p w14:paraId="5A9C0D42">
            <w:pPr>
              <w:widowControl w:val="0"/>
              <w:jc w:val="center"/>
              <w:rPr>
                <w:rFonts w:ascii="宋体" w:hAnsi="宋体" w:cs="宋体"/>
              </w:rPr>
            </w:pPr>
            <w:r>
              <w:rPr>
                <w:rFonts w:hint="eastAsia" w:ascii="宋体" w:hAnsi="宋体" w:cs="宋体"/>
              </w:rPr>
              <w:t>法定代表人</w:t>
            </w:r>
          </w:p>
        </w:tc>
        <w:tc>
          <w:tcPr>
            <w:tcW w:w="1559" w:type="dxa"/>
            <w:vAlign w:val="center"/>
          </w:tcPr>
          <w:p w14:paraId="7D9B55A5">
            <w:pPr>
              <w:widowControl w:val="0"/>
              <w:jc w:val="center"/>
              <w:rPr>
                <w:rFonts w:ascii="宋体" w:hAnsi="宋体" w:cs="宋体"/>
              </w:rPr>
            </w:pPr>
            <w:r>
              <w:rPr>
                <w:rFonts w:hint="eastAsia" w:ascii="宋体" w:hAnsi="宋体" w:cs="宋体"/>
              </w:rPr>
              <w:t>姓名</w:t>
            </w:r>
          </w:p>
        </w:tc>
        <w:tc>
          <w:tcPr>
            <w:tcW w:w="1308" w:type="dxa"/>
            <w:vAlign w:val="center"/>
          </w:tcPr>
          <w:p w14:paraId="67EBD658">
            <w:pPr>
              <w:widowControl w:val="0"/>
              <w:jc w:val="center"/>
              <w:rPr>
                <w:rFonts w:ascii="宋体" w:hAnsi="宋体" w:cs="宋体"/>
              </w:rPr>
            </w:pPr>
          </w:p>
        </w:tc>
        <w:tc>
          <w:tcPr>
            <w:tcW w:w="1811" w:type="dxa"/>
            <w:vAlign w:val="center"/>
          </w:tcPr>
          <w:p w14:paraId="78066262">
            <w:pPr>
              <w:widowControl w:val="0"/>
              <w:jc w:val="center"/>
              <w:rPr>
                <w:rFonts w:ascii="宋体" w:hAnsi="宋体" w:cs="宋体"/>
              </w:rPr>
            </w:pPr>
            <w:r>
              <w:rPr>
                <w:rFonts w:hint="eastAsia" w:ascii="宋体" w:hAnsi="宋体" w:cs="宋体"/>
              </w:rPr>
              <w:t>联系方式</w:t>
            </w:r>
          </w:p>
        </w:tc>
        <w:tc>
          <w:tcPr>
            <w:tcW w:w="1560" w:type="dxa"/>
            <w:vAlign w:val="center"/>
          </w:tcPr>
          <w:p w14:paraId="68A74180">
            <w:pPr>
              <w:widowControl w:val="0"/>
              <w:jc w:val="center"/>
              <w:rPr>
                <w:rFonts w:ascii="宋体" w:hAnsi="宋体" w:cs="宋体"/>
              </w:rPr>
            </w:pPr>
          </w:p>
        </w:tc>
      </w:tr>
      <w:tr w14:paraId="183E69C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0" w:type="dxa"/>
            <w:vAlign w:val="center"/>
          </w:tcPr>
          <w:p w14:paraId="0AD26B20">
            <w:pPr>
              <w:widowControl w:val="0"/>
              <w:jc w:val="center"/>
              <w:rPr>
                <w:rFonts w:ascii="宋体" w:hAnsi="宋体" w:cs="宋体"/>
              </w:rPr>
            </w:pPr>
            <w:r>
              <w:rPr>
                <w:rFonts w:hint="eastAsia" w:ascii="宋体" w:hAnsi="宋体" w:cs="宋体"/>
              </w:rPr>
              <w:t>成立时间</w:t>
            </w:r>
          </w:p>
        </w:tc>
        <w:tc>
          <w:tcPr>
            <w:tcW w:w="6238" w:type="dxa"/>
            <w:gridSpan w:val="4"/>
            <w:vAlign w:val="center"/>
          </w:tcPr>
          <w:p w14:paraId="2503E479">
            <w:pPr>
              <w:widowControl w:val="0"/>
              <w:jc w:val="center"/>
              <w:rPr>
                <w:rFonts w:ascii="宋体" w:hAnsi="宋体" w:cs="宋体"/>
              </w:rPr>
            </w:pPr>
          </w:p>
        </w:tc>
      </w:tr>
      <w:tr w14:paraId="3544F45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0" w:type="dxa"/>
            <w:vAlign w:val="center"/>
          </w:tcPr>
          <w:p w14:paraId="5191D8A9">
            <w:pPr>
              <w:widowControl w:val="0"/>
              <w:jc w:val="center"/>
              <w:rPr>
                <w:rFonts w:ascii="宋体" w:hAnsi="宋体" w:cs="宋体"/>
              </w:rPr>
            </w:pPr>
            <w:r>
              <w:rPr>
                <w:rFonts w:hint="eastAsia" w:ascii="宋体" w:hAnsi="宋体" w:cs="宋体"/>
              </w:rPr>
              <w:t>营业执照号</w:t>
            </w:r>
          </w:p>
        </w:tc>
        <w:tc>
          <w:tcPr>
            <w:tcW w:w="2867" w:type="dxa"/>
            <w:gridSpan w:val="2"/>
            <w:vAlign w:val="center"/>
          </w:tcPr>
          <w:p w14:paraId="567B0245">
            <w:pPr>
              <w:widowControl w:val="0"/>
              <w:jc w:val="center"/>
              <w:rPr>
                <w:rFonts w:ascii="宋体" w:hAnsi="宋体" w:cs="宋体"/>
              </w:rPr>
            </w:pPr>
          </w:p>
        </w:tc>
        <w:tc>
          <w:tcPr>
            <w:tcW w:w="1811" w:type="dxa"/>
            <w:vAlign w:val="center"/>
          </w:tcPr>
          <w:p w14:paraId="17516993">
            <w:pPr>
              <w:widowControl w:val="0"/>
              <w:jc w:val="center"/>
              <w:rPr>
                <w:rFonts w:ascii="宋体" w:hAnsi="宋体" w:cs="宋体"/>
              </w:rPr>
            </w:pPr>
            <w:r>
              <w:rPr>
                <w:rFonts w:hint="eastAsia" w:ascii="宋体" w:hAnsi="宋体" w:cs="宋体"/>
              </w:rPr>
              <w:t>企业类型</w:t>
            </w:r>
          </w:p>
        </w:tc>
        <w:tc>
          <w:tcPr>
            <w:tcW w:w="1560" w:type="dxa"/>
            <w:vAlign w:val="center"/>
          </w:tcPr>
          <w:p w14:paraId="50F2646B">
            <w:pPr>
              <w:widowControl w:val="0"/>
              <w:jc w:val="center"/>
              <w:rPr>
                <w:rFonts w:ascii="宋体" w:hAnsi="宋体" w:cs="宋体"/>
              </w:rPr>
            </w:pPr>
          </w:p>
        </w:tc>
      </w:tr>
      <w:tr w14:paraId="7109119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Ex>
        <w:trPr>
          <w:trHeight w:val="510" w:hRule="atLeast"/>
          <w:jc w:val="center"/>
        </w:trPr>
        <w:tc>
          <w:tcPr>
            <w:tcW w:w="2380" w:type="dxa"/>
            <w:vAlign w:val="center"/>
          </w:tcPr>
          <w:p w14:paraId="74B7959D">
            <w:pPr>
              <w:widowControl w:val="0"/>
              <w:jc w:val="center"/>
              <w:rPr>
                <w:rFonts w:ascii="宋体" w:hAnsi="宋体" w:cs="宋体"/>
              </w:rPr>
            </w:pPr>
            <w:r>
              <w:rPr>
                <w:rFonts w:hint="eastAsia" w:ascii="宋体" w:hAnsi="宋体" w:cs="宋体"/>
              </w:rPr>
              <w:t>注册资本</w:t>
            </w:r>
          </w:p>
        </w:tc>
        <w:tc>
          <w:tcPr>
            <w:tcW w:w="2867" w:type="dxa"/>
            <w:gridSpan w:val="2"/>
            <w:vAlign w:val="center"/>
          </w:tcPr>
          <w:p w14:paraId="488794B0">
            <w:pPr>
              <w:widowControl w:val="0"/>
              <w:jc w:val="center"/>
              <w:rPr>
                <w:rFonts w:ascii="宋体" w:hAnsi="宋体" w:cs="宋体"/>
              </w:rPr>
            </w:pPr>
          </w:p>
        </w:tc>
        <w:tc>
          <w:tcPr>
            <w:tcW w:w="1811" w:type="dxa"/>
            <w:vAlign w:val="center"/>
          </w:tcPr>
          <w:p w14:paraId="1047AF26">
            <w:pPr>
              <w:widowControl w:val="0"/>
              <w:jc w:val="center"/>
              <w:rPr>
                <w:rFonts w:ascii="宋体" w:hAnsi="宋体" w:cs="宋体"/>
              </w:rPr>
            </w:pPr>
            <w:r>
              <w:rPr>
                <w:rFonts w:hint="eastAsia" w:ascii="宋体" w:hAnsi="宋体" w:cs="宋体"/>
              </w:rPr>
              <w:t>所属地区</w:t>
            </w:r>
          </w:p>
        </w:tc>
        <w:tc>
          <w:tcPr>
            <w:tcW w:w="1560" w:type="dxa"/>
            <w:vAlign w:val="center"/>
          </w:tcPr>
          <w:p w14:paraId="72604A2A">
            <w:pPr>
              <w:widowControl w:val="0"/>
              <w:jc w:val="center"/>
              <w:rPr>
                <w:rFonts w:ascii="宋体" w:hAnsi="宋体" w:cs="宋体"/>
              </w:rPr>
            </w:pPr>
          </w:p>
        </w:tc>
      </w:tr>
      <w:tr w14:paraId="1E0B947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Ex>
        <w:trPr>
          <w:trHeight w:val="510" w:hRule="atLeast"/>
          <w:jc w:val="center"/>
        </w:trPr>
        <w:tc>
          <w:tcPr>
            <w:tcW w:w="2380" w:type="dxa"/>
            <w:vAlign w:val="center"/>
          </w:tcPr>
          <w:p w14:paraId="15C60750">
            <w:pPr>
              <w:widowControl w:val="0"/>
              <w:jc w:val="center"/>
              <w:rPr>
                <w:rFonts w:ascii="宋体" w:hAnsi="宋体" w:cs="宋体"/>
              </w:rPr>
            </w:pPr>
            <w:r>
              <w:rPr>
                <w:rFonts w:hint="eastAsia" w:ascii="宋体" w:hAnsi="宋体" w:cs="宋体"/>
              </w:rPr>
              <w:t>基本账户开户银行</w:t>
            </w:r>
          </w:p>
        </w:tc>
        <w:tc>
          <w:tcPr>
            <w:tcW w:w="6238" w:type="dxa"/>
            <w:gridSpan w:val="4"/>
            <w:vAlign w:val="center"/>
          </w:tcPr>
          <w:p w14:paraId="389FE4DE">
            <w:pPr>
              <w:widowControl w:val="0"/>
              <w:jc w:val="center"/>
              <w:rPr>
                <w:rFonts w:ascii="宋体" w:hAnsi="宋体" w:cs="宋体"/>
              </w:rPr>
            </w:pPr>
          </w:p>
        </w:tc>
      </w:tr>
      <w:tr w14:paraId="6ACD6E0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Ex>
        <w:trPr>
          <w:trHeight w:val="510" w:hRule="atLeast"/>
          <w:jc w:val="center"/>
        </w:trPr>
        <w:tc>
          <w:tcPr>
            <w:tcW w:w="2380" w:type="dxa"/>
            <w:vAlign w:val="center"/>
          </w:tcPr>
          <w:p w14:paraId="59DDBB3D">
            <w:pPr>
              <w:widowControl w:val="0"/>
              <w:jc w:val="center"/>
              <w:rPr>
                <w:rFonts w:ascii="宋体" w:hAnsi="宋体" w:cs="宋体"/>
              </w:rPr>
            </w:pPr>
            <w:r>
              <w:rPr>
                <w:rFonts w:hint="eastAsia" w:ascii="宋体" w:hAnsi="宋体" w:cs="宋体"/>
              </w:rPr>
              <w:t>基本账户账号</w:t>
            </w:r>
          </w:p>
        </w:tc>
        <w:tc>
          <w:tcPr>
            <w:tcW w:w="6238" w:type="dxa"/>
            <w:gridSpan w:val="4"/>
            <w:vAlign w:val="center"/>
          </w:tcPr>
          <w:p w14:paraId="1E9A9B4A">
            <w:pPr>
              <w:widowControl w:val="0"/>
              <w:jc w:val="center"/>
              <w:rPr>
                <w:rFonts w:ascii="宋体" w:hAnsi="宋体" w:cs="宋体"/>
              </w:rPr>
            </w:pPr>
          </w:p>
        </w:tc>
      </w:tr>
      <w:tr w14:paraId="09C0ADF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0" w:type="dxa"/>
            <w:vAlign w:val="center"/>
          </w:tcPr>
          <w:p w14:paraId="315E9DA5">
            <w:pPr>
              <w:widowControl w:val="0"/>
              <w:jc w:val="center"/>
              <w:rPr>
                <w:rFonts w:ascii="宋体" w:hAnsi="宋体" w:cs="宋体"/>
              </w:rPr>
            </w:pPr>
            <w:r>
              <w:rPr>
                <w:rFonts w:hint="eastAsia" w:ascii="宋体" w:hAnsi="宋体" w:cs="宋体"/>
              </w:rPr>
              <w:t>经营范围</w:t>
            </w:r>
          </w:p>
        </w:tc>
        <w:tc>
          <w:tcPr>
            <w:tcW w:w="6238" w:type="dxa"/>
            <w:gridSpan w:val="4"/>
            <w:vAlign w:val="center"/>
          </w:tcPr>
          <w:p w14:paraId="45A27EB8">
            <w:pPr>
              <w:widowControl w:val="0"/>
              <w:jc w:val="center"/>
              <w:rPr>
                <w:rFonts w:ascii="宋体" w:hAnsi="宋体" w:cs="宋体"/>
              </w:rPr>
            </w:pPr>
          </w:p>
        </w:tc>
      </w:tr>
      <w:tr w14:paraId="1BF54A0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0" w:type="dxa"/>
            <w:vAlign w:val="center"/>
          </w:tcPr>
          <w:p w14:paraId="260C40B6">
            <w:pPr>
              <w:widowControl w:val="0"/>
              <w:jc w:val="center"/>
              <w:rPr>
                <w:rFonts w:ascii="宋体" w:hAnsi="宋体" w:cs="宋体"/>
              </w:rPr>
            </w:pPr>
            <w:r>
              <w:rPr>
                <w:rFonts w:hint="eastAsia" w:ascii="宋体" w:hAnsi="宋体" w:cs="宋体"/>
              </w:rPr>
              <w:t>备注</w:t>
            </w:r>
          </w:p>
        </w:tc>
        <w:tc>
          <w:tcPr>
            <w:tcW w:w="6238" w:type="dxa"/>
            <w:gridSpan w:val="4"/>
            <w:vAlign w:val="center"/>
          </w:tcPr>
          <w:p w14:paraId="7D67D311">
            <w:pPr>
              <w:widowControl w:val="0"/>
              <w:jc w:val="center"/>
              <w:rPr>
                <w:rFonts w:ascii="宋体" w:hAnsi="宋体" w:cs="宋体"/>
              </w:rPr>
            </w:pPr>
          </w:p>
        </w:tc>
      </w:tr>
    </w:tbl>
    <w:p w14:paraId="2C028821">
      <w:pPr>
        <w:widowControl w:val="0"/>
        <w:rPr>
          <w:rFonts w:ascii="宋体" w:hAnsi="宋体" w:cs="宋体"/>
        </w:rPr>
      </w:pPr>
    </w:p>
    <w:p w14:paraId="7631E1B5">
      <w:pPr>
        <w:widowControl w:val="0"/>
        <w:ind w:left="720" w:hanging="720" w:hangingChars="300"/>
        <w:rPr>
          <w:rFonts w:ascii="宋体" w:hAnsi="宋体" w:cs="宋体"/>
          <w:strike/>
        </w:rPr>
      </w:pPr>
      <w:r>
        <w:rPr>
          <w:rFonts w:hint="eastAsia" w:ascii="宋体" w:hAnsi="宋体" w:cs="宋体"/>
        </w:rPr>
        <w:t>注：1.在本表后应附磋商申请人营业执照、开户信息、相关资质证书、安全生产许可证等的扫描件。</w:t>
      </w:r>
    </w:p>
    <w:p w14:paraId="45E813C6">
      <w:pPr>
        <w:widowControl w:val="0"/>
        <w:ind w:firstLine="480" w:firstLineChars="200"/>
        <w:rPr>
          <w:rFonts w:ascii="宋体" w:hAnsi="宋体" w:cs="宋体"/>
        </w:rPr>
      </w:pPr>
      <w:r>
        <w:rPr>
          <w:rFonts w:hint="eastAsia" w:ascii="宋体" w:hAnsi="宋体" w:cs="宋体"/>
        </w:rPr>
        <w:t>2.表格不够可另附页说明。</w:t>
      </w:r>
    </w:p>
    <w:p w14:paraId="6BA408A2">
      <w:pPr>
        <w:widowControl w:val="0"/>
        <w:ind w:firstLine="480"/>
        <w:rPr>
          <w:rFonts w:ascii="宋体" w:hAnsi="宋体" w:cs="宋体"/>
        </w:rPr>
      </w:pPr>
    </w:p>
    <w:p w14:paraId="3F24889A">
      <w:pPr>
        <w:widowControl w:val="0"/>
        <w:ind w:firstLine="480"/>
        <w:rPr>
          <w:rFonts w:ascii="宋体" w:hAnsi="宋体" w:cs="宋体"/>
        </w:rPr>
      </w:pPr>
    </w:p>
    <w:p w14:paraId="33155EBA">
      <w:pPr>
        <w:widowControl w:val="0"/>
        <w:ind w:firstLine="480"/>
        <w:rPr>
          <w:rFonts w:ascii="宋体" w:hAnsi="宋体" w:cs="宋体"/>
        </w:rPr>
      </w:pPr>
    </w:p>
    <w:p w14:paraId="1B13B78F">
      <w:pPr>
        <w:widowControl w:val="0"/>
        <w:rPr>
          <w:rFonts w:ascii="宋体" w:hAnsi="宋体" w:cs="宋体"/>
        </w:rPr>
      </w:pPr>
      <w:r>
        <w:rPr>
          <w:rFonts w:hint="eastAsia" w:ascii="宋体" w:hAnsi="宋体" w:cs="宋体"/>
        </w:rPr>
        <w:br w:type="page"/>
      </w:r>
    </w:p>
    <w:bookmarkEnd w:id="123"/>
    <w:bookmarkEnd w:id="124"/>
    <w:bookmarkEnd w:id="125"/>
    <w:p w14:paraId="1982EDF2">
      <w:pPr>
        <w:widowControl w:val="0"/>
        <w:snapToGrid w:val="0"/>
        <w:spacing w:after="100" w:afterAutospacing="1" w:line="360" w:lineRule="auto"/>
        <w:jc w:val="center"/>
        <w:outlineLvl w:val="1"/>
        <w:rPr>
          <w:rFonts w:ascii="宋体" w:hAnsi="宋体" w:cs="宋体"/>
          <w:b/>
          <w:bCs/>
        </w:rPr>
      </w:pPr>
      <w:bookmarkStart w:id="130" w:name="_Toc28686"/>
      <w:r>
        <w:rPr>
          <w:rFonts w:hint="eastAsia" w:ascii="宋体" w:hAnsi="宋体" w:cs="宋体"/>
          <w:b/>
          <w:bCs/>
          <w:lang w:eastAsia="zh-CN"/>
        </w:rPr>
        <w:t>四</w:t>
      </w:r>
      <w:r>
        <w:rPr>
          <w:rFonts w:hint="eastAsia" w:ascii="宋体" w:hAnsi="宋体" w:cs="宋体"/>
          <w:b/>
          <w:bCs/>
        </w:rPr>
        <w:t>、投标函</w:t>
      </w:r>
      <w:bookmarkEnd w:id="130"/>
    </w:p>
    <w:p w14:paraId="71A662E5">
      <w:pPr>
        <w:widowControl w:val="0"/>
        <w:snapToGrid w:val="0"/>
        <w:spacing w:line="360" w:lineRule="auto"/>
        <w:rPr>
          <w:rFonts w:ascii="宋体" w:hAnsi="宋体" w:cs="宋体"/>
          <w:bCs/>
        </w:rPr>
      </w:pPr>
      <w:r>
        <w:rPr>
          <w:rFonts w:hint="eastAsia" w:ascii="宋体" w:hAnsi="宋体" w:cs="宋体"/>
          <w:bCs/>
          <w:u w:val="single"/>
        </w:rPr>
        <w:t xml:space="preserve">          </w:t>
      </w:r>
      <w:r>
        <w:rPr>
          <w:rFonts w:hint="eastAsia" w:ascii="宋体" w:hAnsi="宋体" w:cs="宋体"/>
          <w:bCs/>
        </w:rPr>
        <w:t>（</w:t>
      </w:r>
      <w:r>
        <w:rPr>
          <w:rFonts w:hint="eastAsia" w:ascii="宋体" w:hAnsi="宋体" w:cs="宋体"/>
        </w:rPr>
        <w:t>招标人</w:t>
      </w:r>
      <w:r>
        <w:rPr>
          <w:rFonts w:hint="eastAsia" w:ascii="宋体" w:hAnsi="宋体" w:cs="宋体"/>
          <w:bCs/>
        </w:rPr>
        <w:t>名称）：</w:t>
      </w:r>
    </w:p>
    <w:p w14:paraId="50F470ED">
      <w:pPr>
        <w:widowControl w:val="0"/>
        <w:snapToGrid w:val="0"/>
        <w:spacing w:line="360" w:lineRule="auto"/>
        <w:ind w:firstLine="480" w:firstLineChars="200"/>
        <w:rPr>
          <w:rFonts w:ascii="宋体" w:hAnsi="宋体" w:cs="宋体"/>
          <w:bCs/>
        </w:rPr>
      </w:pPr>
      <w:r>
        <w:rPr>
          <w:rFonts w:hint="eastAsia" w:ascii="宋体" w:hAnsi="宋体" w:cs="宋体"/>
          <w:bCs/>
        </w:rPr>
        <w:t>我方全面研究了 “</w:t>
      </w:r>
      <w:r>
        <w:rPr>
          <w:rFonts w:hint="eastAsia" w:ascii="宋体" w:hAnsi="宋体" w:cs="宋体"/>
          <w:bCs/>
          <w:u w:val="single"/>
        </w:rPr>
        <w:t xml:space="preserve">          </w:t>
      </w:r>
      <w:r>
        <w:rPr>
          <w:rFonts w:hint="eastAsia" w:ascii="宋体" w:hAnsi="宋体" w:cs="宋体"/>
          <w:bCs/>
        </w:rPr>
        <w:t>”项目竞争性磋商文件，决定参加贵单位组织的本项目投标。我方授权</w:t>
      </w:r>
      <w:r>
        <w:rPr>
          <w:rFonts w:hint="eastAsia" w:ascii="宋体" w:hAnsi="宋体" w:cs="宋体"/>
          <w:bCs/>
          <w:u w:val="single"/>
        </w:rPr>
        <w:t xml:space="preserve">         </w:t>
      </w:r>
      <w:r>
        <w:rPr>
          <w:rFonts w:hint="eastAsia" w:ascii="宋体" w:hAnsi="宋体" w:cs="宋体"/>
          <w:bCs/>
        </w:rPr>
        <w:t xml:space="preserve">（姓名、职务）代表我方 </w:t>
      </w:r>
      <w:r>
        <w:rPr>
          <w:rFonts w:hint="eastAsia" w:ascii="宋体" w:hAnsi="宋体" w:cs="宋体"/>
          <w:bCs/>
          <w:u w:val="single"/>
        </w:rPr>
        <w:t xml:space="preserve">        </w:t>
      </w:r>
      <w:r>
        <w:rPr>
          <w:rFonts w:hint="eastAsia" w:ascii="宋体" w:hAnsi="宋体" w:cs="宋体"/>
          <w:bCs/>
        </w:rPr>
        <w:t>（磋商申请人的名称）全权处理本项目投标的有关事宜。</w:t>
      </w:r>
    </w:p>
    <w:p w14:paraId="63D66B91">
      <w:pPr>
        <w:widowControl w:val="0"/>
        <w:snapToGrid w:val="0"/>
        <w:spacing w:line="360" w:lineRule="auto"/>
        <w:ind w:firstLine="480" w:firstLineChars="200"/>
        <w:rPr>
          <w:rFonts w:ascii="宋体" w:hAnsi="宋体" w:cs="宋体"/>
          <w:bCs/>
        </w:rPr>
      </w:pPr>
      <w:r>
        <w:rPr>
          <w:rFonts w:hint="eastAsia" w:ascii="宋体" w:hAnsi="宋体" w:cs="宋体"/>
          <w:bCs/>
        </w:rPr>
        <w:t>1、我方自愿按照竞争性磋商文件规定的各项要求向</w:t>
      </w:r>
      <w:r>
        <w:rPr>
          <w:rFonts w:hint="eastAsia" w:ascii="宋体" w:hAnsi="宋体" w:cs="宋体"/>
        </w:rPr>
        <w:t>招标</w:t>
      </w:r>
      <w:r>
        <w:rPr>
          <w:rFonts w:hint="eastAsia" w:ascii="宋体" w:hAnsi="宋体" w:cs="宋体"/>
          <w:bCs/>
        </w:rPr>
        <w:t>人提供所需工程建设，总投标价为人民币</w:t>
      </w:r>
      <w:r>
        <w:rPr>
          <w:rFonts w:hint="eastAsia" w:ascii="宋体" w:hAnsi="宋体" w:cs="宋体"/>
          <w:bCs/>
          <w:u w:val="single"/>
        </w:rPr>
        <w:t xml:space="preserve">           </w:t>
      </w:r>
      <w:r>
        <w:rPr>
          <w:rFonts w:hint="eastAsia" w:ascii="宋体" w:hAnsi="宋体" w:cs="宋体"/>
          <w:bCs/>
        </w:rPr>
        <w:t>元（大写：</w:t>
      </w:r>
      <w:r>
        <w:rPr>
          <w:rFonts w:hint="eastAsia" w:ascii="宋体" w:hAnsi="宋体" w:cs="宋体"/>
          <w:bCs/>
          <w:u w:val="single"/>
        </w:rPr>
        <w:t xml:space="preserve">                           </w:t>
      </w:r>
      <w:r>
        <w:rPr>
          <w:rFonts w:hint="eastAsia" w:ascii="宋体" w:hAnsi="宋体" w:cs="宋体"/>
          <w:bCs/>
        </w:rPr>
        <w:t>）。</w:t>
      </w:r>
    </w:p>
    <w:p w14:paraId="55134357">
      <w:pPr>
        <w:widowControl w:val="0"/>
        <w:snapToGrid w:val="0"/>
        <w:spacing w:line="360" w:lineRule="auto"/>
        <w:ind w:firstLine="480" w:firstLineChars="200"/>
        <w:rPr>
          <w:rFonts w:ascii="宋体" w:hAnsi="宋体" w:cs="宋体"/>
          <w:bCs/>
        </w:rPr>
      </w:pPr>
      <w:r>
        <w:rPr>
          <w:rFonts w:hint="eastAsia" w:ascii="宋体" w:hAnsi="宋体" w:cs="宋体"/>
          <w:bCs/>
        </w:rPr>
        <w:t>2、一旦我方中标，我方将严格履行合同规定的责任和义务，保证按照招标人的要求在规定时间内完成本项目，交付</w:t>
      </w:r>
      <w:r>
        <w:rPr>
          <w:rFonts w:hint="eastAsia" w:ascii="宋体" w:hAnsi="宋体" w:cs="宋体"/>
        </w:rPr>
        <w:t>招标</w:t>
      </w:r>
      <w:r>
        <w:rPr>
          <w:rFonts w:hint="eastAsia" w:ascii="宋体" w:hAnsi="宋体" w:cs="宋体"/>
          <w:bCs/>
        </w:rPr>
        <w:t xml:space="preserve">人验收、使用。并承担任何质量缺陷责任。 </w:t>
      </w:r>
    </w:p>
    <w:p w14:paraId="683F77DE">
      <w:pPr>
        <w:widowControl w:val="0"/>
        <w:spacing w:line="360" w:lineRule="auto"/>
        <w:ind w:firstLine="440" w:firstLineChars="200"/>
        <w:rPr>
          <w:rFonts w:ascii="宋体" w:hAnsi="宋体" w:cs="宋体"/>
          <w:bCs/>
        </w:rPr>
      </w:pPr>
      <w:r>
        <w:rPr>
          <w:rFonts w:hint="eastAsia" w:ascii="宋体" w:hAnsi="宋体" w:cs="宋体"/>
          <w:bCs/>
          <w:sz w:val="22"/>
          <w:szCs w:val="22"/>
        </w:rPr>
        <w:t>3、</w:t>
      </w:r>
      <w:r>
        <w:rPr>
          <w:rFonts w:hint="eastAsia" w:ascii="宋体" w:hAnsi="宋体" w:cs="宋体"/>
          <w:lang w:bidi="ar"/>
        </w:rPr>
        <w:t>我方同意按照竞争性磋商文件的要求，向</w:t>
      </w:r>
      <w:r>
        <w:rPr>
          <w:rFonts w:hint="eastAsia" w:ascii="宋体" w:hAnsi="宋体" w:cs="宋体"/>
          <w:lang w:val="en-US" w:eastAsia="zh-CN" w:bidi="ar"/>
        </w:rPr>
        <w:t>云南彬钥工程管理有限公司</w:t>
      </w:r>
      <w:r>
        <w:rPr>
          <w:rFonts w:hint="eastAsia" w:ascii="宋体" w:hAnsi="宋体" w:cs="宋体"/>
          <w:bCs/>
          <w:sz w:val="22"/>
          <w:szCs w:val="22"/>
        </w:rPr>
        <w:t>交纳人民币</w:t>
      </w:r>
      <w:r>
        <w:rPr>
          <w:rFonts w:hint="eastAsia" w:ascii="宋体" w:hAnsi="宋体" w:cs="宋体"/>
          <w:bCs/>
          <w:sz w:val="22"/>
          <w:szCs w:val="22"/>
          <w:u w:val="single"/>
        </w:rPr>
        <w:t xml:space="preserve">      </w:t>
      </w:r>
      <w:r>
        <w:rPr>
          <w:rFonts w:hint="eastAsia" w:ascii="宋体" w:hAnsi="宋体" w:cs="宋体"/>
          <w:bCs/>
        </w:rPr>
        <w:t>元（大写：</w:t>
      </w:r>
      <w:r>
        <w:rPr>
          <w:rFonts w:hint="eastAsia" w:ascii="宋体" w:hAnsi="宋体" w:cs="宋体"/>
          <w:bCs/>
          <w:u w:val="single"/>
        </w:rPr>
        <w:t xml:space="preserve">            </w:t>
      </w:r>
      <w:r>
        <w:rPr>
          <w:rFonts w:hint="eastAsia" w:ascii="宋体" w:hAnsi="宋体" w:cs="宋体"/>
          <w:bCs/>
        </w:rPr>
        <w:t>）的投标保证金。并承诺：下列任何情况发生时，我方将不要求退还投标保证金：</w:t>
      </w:r>
    </w:p>
    <w:p w14:paraId="0F825681">
      <w:pPr>
        <w:widowControl w:val="0"/>
        <w:snapToGrid w:val="0"/>
        <w:spacing w:line="360" w:lineRule="auto"/>
        <w:ind w:firstLine="480" w:firstLineChars="200"/>
        <w:rPr>
          <w:rFonts w:ascii="宋体" w:hAnsi="宋体" w:cs="宋体"/>
          <w:bCs/>
        </w:rPr>
      </w:pPr>
      <w:r>
        <w:rPr>
          <w:rFonts w:hint="eastAsia" w:ascii="宋体" w:hAnsi="宋体" w:cs="宋体"/>
          <w:bCs/>
        </w:rPr>
        <w:t>（1）如果我方在投标有效期内撤回投标；</w:t>
      </w:r>
    </w:p>
    <w:p w14:paraId="5BAD52E4">
      <w:pPr>
        <w:widowControl w:val="0"/>
        <w:snapToGrid w:val="0"/>
        <w:spacing w:line="360" w:lineRule="auto"/>
        <w:ind w:firstLine="480" w:firstLineChars="200"/>
        <w:rPr>
          <w:rFonts w:ascii="宋体" w:hAnsi="宋体" w:cs="宋体"/>
          <w:bCs/>
        </w:rPr>
      </w:pPr>
      <w:r>
        <w:rPr>
          <w:rFonts w:hint="eastAsia" w:ascii="宋体" w:hAnsi="宋体" w:cs="宋体"/>
          <w:bCs/>
        </w:rPr>
        <w:t>（2）我方提供了虚假的投标响应文件；</w:t>
      </w:r>
    </w:p>
    <w:p w14:paraId="64CEED0F">
      <w:pPr>
        <w:widowControl w:val="0"/>
        <w:snapToGrid w:val="0"/>
        <w:spacing w:line="360" w:lineRule="auto"/>
        <w:ind w:firstLine="480" w:firstLineChars="200"/>
        <w:rPr>
          <w:rFonts w:ascii="宋体" w:hAnsi="宋体" w:cs="宋体"/>
          <w:bCs/>
        </w:rPr>
      </w:pPr>
      <w:r>
        <w:rPr>
          <w:rFonts w:hint="eastAsia" w:ascii="宋体" w:hAnsi="宋体" w:cs="宋体"/>
          <w:bCs/>
        </w:rPr>
        <w:t>（3）在投标过程中有违规违纪行为；</w:t>
      </w:r>
    </w:p>
    <w:p w14:paraId="437FACB6">
      <w:pPr>
        <w:widowControl w:val="0"/>
        <w:snapToGrid w:val="0"/>
        <w:spacing w:line="360" w:lineRule="auto"/>
        <w:ind w:firstLine="480" w:firstLineChars="200"/>
        <w:rPr>
          <w:rFonts w:ascii="宋体" w:hAnsi="宋体" w:cs="宋体"/>
          <w:bCs/>
        </w:rPr>
      </w:pPr>
      <w:r>
        <w:rPr>
          <w:rFonts w:hint="eastAsia" w:ascii="宋体" w:hAnsi="宋体" w:cs="宋体"/>
          <w:bCs/>
        </w:rPr>
        <w:t>（4）我方在投标有效期内收到成交通知书后，由于我方原因未能按照竞争性磋商文件要求提交履约保证金或与采购单位签订并履行合同。</w:t>
      </w:r>
    </w:p>
    <w:p w14:paraId="0E0827B2">
      <w:pPr>
        <w:widowControl w:val="0"/>
        <w:snapToGrid w:val="0"/>
        <w:spacing w:line="360" w:lineRule="auto"/>
        <w:ind w:firstLine="480" w:firstLineChars="200"/>
        <w:rPr>
          <w:rFonts w:ascii="宋体" w:hAnsi="宋体" w:cs="宋体"/>
          <w:bCs/>
        </w:rPr>
      </w:pPr>
      <w:r>
        <w:rPr>
          <w:rFonts w:hint="eastAsia" w:ascii="宋体" w:hAnsi="宋体" w:cs="宋体"/>
          <w:bCs/>
        </w:rPr>
        <w:t>4、我方愿意提供</w:t>
      </w:r>
      <w:r>
        <w:rPr>
          <w:rFonts w:hint="eastAsia" w:ascii="宋体" w:hAnsi="宋体" w:cs="宋体"/>
        </w:rPr>
        <w:t>招标人</w:t>
      </w:r>
      <w:r>
        <w:rPr>
          <w:rFonts w:hint="eastAsia" w:ascii="宋体" w:hAnsi="宋体" w:cs="宋体"/>
          <w:bCs/>
        </w:rPr>
        <w:t>可能另外要求的，与投标有关的文件资料，并保证我方已提供和将要提供的文件资料是真实、准确的。</w:t>
      </w:r>
    </w:p>
    <w:p w14:paraId="6E346218">
      <w:pPr>
        <w:widowControl w:val="0"/>
        <w:snapToGrid w:val="0"/>
        <w:spacing w:line="360" w:lineRule="auto"/>
        <w:ind w:firstLine="480" w:firstLineChars="200"/>
        <w:rPr>
          <w:rFonts w:hint="eastAsia" w:ascii="宋体" w:hAnsi="宋体" w:cs="宋体"/>
          <w:bCs/>
        </w:rPr>
      </w:pPr>
      <w:r>
        <w:rPr>
          <w:rFonts w:hint="eastAsia" w:ascii="宋体" w:hAnsi="宋体" w:cs="宋体"/>
          <w:bCs/>
        </w:rPr>
        <w:t>5、我方完全理解</w:t>
      </w:r>
      <w:r>
        <w:rPr>
          <w:rFonts w:hint="eastAsia" w:ascii="宋体" w:hAnsi="宋体" w:cs="宋体"/>
        </w:rPr>
        <w:t>招标</w:t>
      </w:r>
      <w:r>
        <w:rPr>
          <w:rFonts w:hint="eastAsia" w:ascii="宋体" w:hAnsi="宋体" w:cs="宋体"/>
          <w:bCs/>
        </w:rPr>
        <w:t>人不一定将合同授予最低报价的磋商申请人的行为。</w:t>
      </w:r>
    </w:p>
    <w:p w14:paraId="558D560D">
      <w:pPr>
        <w:widowControl w:val="0"/>
        <w:snapToGrid w:val="0"/>
        <w:spacing w:line="360" w:lineRule="auto"/>
        <w:ind w:firstLine="480" w:firstLineChars="200"/>
        <w:rPr>
          <w:rFonts w:hint="default" w:ascii="宋体" w:hAnsi="宋体" w:eastAsia="宋体" w:cs="宋体"/>
          <w:bCs/>
          <w:lang w:val="en-US" w:eastAsia="zh-CN"/>
        </w:rPr>
      </w:pPr>
      <w:r>
        <w:rPr>
          <w:rFonts w:hint="eastAsia" w:ascii="宋体" w:hAnsi="宋体" w:cs="宋体"/>
          <w:bCs/>
          <w:lang w:val="en-US" w:eastAsia="zh-CN"/>
        </w:rPr>
        <w:t>6、投标有效期90日历天。</w:t>
      </w:r>
    </w:p>
    <w:p w14:paraId="143675B4">
      <w:pPr>
        <w:widowControl w:val="0"/>
        <w:snapToGrid w:val="0"/>
        <w:spacing w:line="400" w:lineRule="exact"/>
        <w:ind w:firstLine="480" w:firstLineChars="200"/>
        <w:rPr>
          <w:rFonts w:ascii="宋体" w:hAnsi="宋体" w:cs="宋体"/>
          <w:bCs/>
        </w:rPr>
      </w:pPr>
    </w:p>
    <w:p w14:paraId="2A884514">
      <w:pPr>
        <w:widowControl w:val="0"/>
        <w:snapToGrid w:val="0"/>
        <w:spacing w:line="400" w:lineRule="exact"/>
        <w:rPr>
          <w:rFonts w:ascii="宋体" w:hAnsi="宋体" w:cs="宋体"/>
          <w:bCs/>
        </w:rPr>
      </w:pPr>
      <w:r>
        <w:rPr>
          <w:rFonts w:hint="eastAsia" w:ascii="宋体" w:hAnsi="宋体" w:cs="宋体"/>
          <w:bCs/>
        </w:rPr>
        <w:t> </w:t>
      </w:r>
    </w:p>
    <w:p w14:paraId="215DCBC7">
      <w:pPr>
        <w:widowControl w:val="0"/>
        <w:snapToGrid w:val="0"/>
        <w:spacing w:line="400" w:lineRule="exact"/>
        <w:ind w:firstLine="480" w:firstLineChars="200"/>
        <w:rPr>
          <w:rFonts w:ascii="宋体" w:hAnsi="宋体" w:cs="宋体"/>
          <w:bCs/>
        </w:rPr>
      </w:pPr>
      <w:r>
        <w:rPr>
          <w:rFonts w:hint="eastAsia" w:ascii="宋体" w:hAnsi="宋体" w:cs="宋体"/>
          <w:bCs/>
        </w:rPr>
        <w:t>磋商申请人名称：</w:t>
      </w:r>
      <w:r>
        <w:rPr>
          <w:rFonts w:hint="eastAsia" w:ascii="宋体" w:hAnsi="宋体" w:cs="宋体"/>
          <w:bCs/>
          <w:u w:val="single"/>
        </w:rPr>
        <w:t xml:space="preserve">        （盖章）</w:t>
      </w:r>
    </w:p>
    <w:p w14:paraId="10D0E17C">
      <w:pPr>
        <w:widowControl w:val="0"/>
        <w:snapToGrid w:val="0"/>
        <w:spacing w:line="400" w:lineRule="exact"/>
        <w:ind w:firstLine="480" w:firstLineChars="200"/>
        <w:rPr>
          <w:rFonts w:ascii="宋体" w:hAnsi="宋体" w:cs="宋体"/>
          <w:bCs/>
        </w:rPr>
      </w:pPr>
    </w:p>
    <w:p w14:paraId="35EC5913">
      <w:pPr>
        <w:widowControl w:val="0"/>
        <w:snapToGrid w:val="0"/>
        <w:spacing w:line="400" w:lineRule="exact"/>
        <w:ind w:firstLine="480" w:firstLineChars="200"/>
        <w:rPr>
          <w:rFonts w:ascii="宋体" w:hAnsi="宋体" w:cs="宋体"/>
          <w:bCs/>
        </w:rPr>
      </w:pPr>
      <w:r>
        <w:rPr>
          <w:rFonts w:hint="eastAsia" w:ascii="宋体" w:hAnsi="宋体" w:cs="宋体"/>
          <w:bCs/>
        </w:rPr>
        <w:t>法定代表人或授权代表：</w:t>
      </w:r>
      <w:r>
        <w:rPr>
          <w:rFonts w:hint="eastAsia" w:ascii="宋体" w:hAnsi="宋体" w:cs="宋体"/>
          <w:bCs/>
          <w:u w:val="single"/>
        </w:rPr>
        <w:t xml:space="preserve">   （签字或盖章）</w:t>
      </w:r>
    </w:p>
    <w:p w14:paraId="22A2E4D0">
      <w:pPr>
        <w:widowControl w:val="0"/>
        <w:spacing w:line="360" w:lineRule="auto"/>
        <w:rPr>
          <w:rFonts w:ascii="宋体" w:hAnsi="宋体" w:cs="宋体"/>
        </w:rPr>
      </w:pPr>
      <w:r>
        <w:rPr>
          <w:rFonts w:hint="eastAsia" w:ascii="宋体" w:hAnsi="宋体" w:cs="宋体"/>
        </w:rPr>
        <w:t xml:space="preserve">    </w:t>
      </w:r>
    </w:p>
    <w:p w14:paraId="23CBB514">
      <w:pPr>
        <w:widowControl w:val="0"/>
        <w:spacing w:line="360" w:lineRule="auto"/>
        <w:ind w:firstLine="480" w:firstLineChars="200"/>
        <w:rPr>
          <w:rFonts w:ascii="宋体" w:hAnsi="宋体" w:cs="宋体"/>
          <w:b/>
          <w:bCs/>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7B418B1">
      <w:pPr>
        <w:widowControl w:val="0"/>
        <w:snapToGrid w:val="0"/>
        <w:spacing w:line="400" w:lineRule="exact"/>
        <w:rPr>
          <w:rFonts w:ascii="宋体" w:hAnsi="宋体" w:cs="宋体"/>
          <w:bCs/>
        </w:rPr>
      </w:pPr>
    </w:p>
    <w:p w14:paraId="3AEC3E5C">
      <w:pPr>
        <w:widowControl w:val="0"/>
        <w:snapToGrid w:val="0"/>
        <w:spacing w:after="100" w:afterAutospacing="1" w:line="360" w:lineRule="auto"/>
        <w:rPr>
          <w:rFonts w:hint="eastAsia" w:ascii="宋体" w:hAnsi="宋体" w:cs="宋体"/>
          <w:b/>
          <w:bCs/>
        </w:rPr>
      </w:pPr>
      <w:r>
        <w:rPr>
          <w:rFonts w:hint="eastAsia" w:ascii="宋体" w:hAnsi="宋体" w:cs="宋体"/>
          <w:b/>
          <w:bCs/>
        </w:rPr>
        <w:t> </w:t>
      </w:r>
    </w:p>
    <w:p w14:paraId="47503D73">
      <w:pPr>
        <w:widowControl w:val="0"/>
        <w:snapToGrid w:val="0"/>
        <w:spacing w:after="100" w:afterAutospacing="1" w:line="360" w:lineRule="auto"/>
        <w:jc w:val="center"/>
        <w:rPr>
          <w:rFonts w:hint="eastAsia" w:ascii="宋体" w:hAnsi="宋体" w:cs="宋体"/>
          <w:b/>
        </w:rPr>
      </w:pPr>
      <w:r>
        <w:rPr>
          <w:rFonts w:hint="eastAsia" w:ascii="宋体" w:hAnsi="宋体" w:cs="宋体"/>
          <w:b/>
          <w:lang w:val="en-US" w:eastAsia="zh-CN"/>
        </w:rPr>
        <w:t>五、</w:t>
      </w:r>
      <w:r>
        <w:rPr>
          <w:rFonts w:hint="eastAsia" w:ascii="宋体" w:hAnsi="宋体" w:cs="宋体"/>
          <w:b/>
        </w:rPr>
        <w:t>投标保证金</w:t>
      </w:r>
    </w:p>
    <w:p w14:paraId="07B97516">
      <w:pPr>
        <w:widowControl w:val="0"/>
        <w:snapToGrid w:val="0"/>
        <w:spacing w:after="100" w:afterAutospacing="1" w:line="360" w:lineRule="auto"/>
        <w:jc w:val="center"/>
        <w:rPr>
          <w:rFonts w:ascii="宋体" w:hAnsi="宋体" w:cs="宋体"/>
          <w:b/>
        </w:rPr>
      </w:pPr>
      <w:r>
        <w:rPr>
          <w:rFonts w:hint="eastAsia" w:ascii="宋体" w:hAnsi="宋体" w:cs="宋体"/>
          <w:b/>
        </w:rPr>
        <w:t>（附交纳投标保证金的凭证复印件）</w:t>
      </w:r>
    </w:p>
    <w:p w14:paraId="0EEBA563">
      <w:pPr>
        <w:widowControl w:val="0"/>
        <w:snapToGrid w:val="0"/>
        <w:spacing w:after="100" w:afterAutospacing="1" w:line="360" w:lineRule="auto"/>
        <w:jc w:val="center"/>
        <w:rPr>
          <w:rFonts w:ascii="宋体" w:hAnsi="宋体" w:cs="宋体"/>
          <w:b/>
          <w:bCs/>
        </w:rPr>
      </w:pPr>
    </w:p>
    <w:p w14:paraId="43FB8E80">
      <w:pPr>
        <w:widowControl w:val="0"/>
        <w:snapToGrid w:val="0"/>
        <w:spacing w:after="100" w:afterAutospacing="1" w:line="360" w:lineRule="auto"/>
        <w:jc w:val="center"/>
        <w:rPr>
          <w:rFonts w:ascii="宋体" w:hAnsi="宋体" w:cs="宋体"/>
          <w:b/>
          <w:bCs/>
        </w:rPr>
      </w:pPr>
    </w:p>
    <w:p w14:paraId="0999CD3C">
      <w:pPr>
        <w:widowControl w:val="0"/>
        <w:snapToGrid w:val="0"/>
        <w:spacing w:after="100" w:afterAutospacing="1" w:line="360" w:lineRule="auto"/>
        <w:jc w:val="center"/>
        <w:rPr>
          <w:rFonts w:ascii="宋体" w:hAnsi="宋体" w:cs="宋体"/>
          <w:b/>
          <w:bCs/>
        </w:rPr>
      </w:pPr>
    </w:p>
    <w:p w14:paraId="367F10BE">
      <w:pPr>
        <w:widowControl w:val="0"/>
        <w:snapToGrid w:val="0"/>
        <w:spacing w:after="100" w:afterAutospacing="1" w:line="360" w:lineRule="auto"/>
        <w:jc w:val="center"/>
        <w:rPr>
          <w:rFonts w:ascii="宋体" w:hAnsi="宋体" w:cs="宋体"/>
          <w:b/>
          <w:bCs/>
        </w:rPr>
      </w:pPr>
    </w:p>
    <w:p w14:paraId="3E06E7D3">
      <w:pPr>
        <w:widowControl w:val="0"/>
        <w:snapToGrid w:val="0"/>
        <w:spacing w:after="100" w:afterAutospacing="1" w:line="360" w:lineRule="auto"/>
        <w:jc w:val="center"/>
        <w:rPr>
          <w:rFonts w:ascii="宋体" w:hAnsi="宋体" w:cs="宋体"/>
          <w:b/>
          <w:bCs/>
        </w:rPr>
      </w:pPr>
    </w:p>
    <w:p w14:paraId="6066C4B6">
      <w:pPr>
        <w:widowControl w:val="0"/>
        <w:snapToGrid w:val="0"/>
        <w:spacing w:after="100" w:afterAutospacing="1" w:line="360" w:lineRule="auto"/>
        <w:jc w:val="center"/>
        <w:rPr>
          <w:rFonts w:ascii="宋体" w:hAnsi="宋体" w:cs="宋体"/>
          <w:b/>
          <w:bCs/>
        </w:rPr>
      </w:pPr>
    </w:p>
    <w:p w14:paraId="577A773D">
      <w:pPr>
        <w:widowControl w:val="0"/>
        <w:snapToGrid w:val="0"/>
        <w:spacing w:after="100" w:afterAutospacing="1" w:line="360" w:lineRule="auto"/>
        <w:jc w:val="center"/>
        <w:rPr>
          <w:rFonts w:ascii="宋体" w:hAnsi="宋体" w:cs="宋体"/>
          <w:b/>
          <w:bCs/>
        </w:rPr>
      </w:pPr>
    </w:p>
    <w:p w14:paraId="13124BBA">
      <w:pPr>
        <w:widowControl w:val="0"/>
        <w:snapToGrid w:val="0"/>
        <w:spacing w:after="100" w:afterAutospacing="1" w:line="360" w:lineRule="auto"/>
        <w:jc w:val="center"/>
        <w:rPr>
          <w:rFonts w:ascii="宋体" w:hAnsi="宋体" w:cs="宋体"/>
          <w:b/>
          <w:bCs/>
        </w:rPr>
      </w:pPr>
    </w:p>
    <w:p w14:paraId="44059E7E">
      <w:pPr>
        <w:widowControl w:val="0"/>
        <w:snapToGrid w:val="0"/>
        <w:spacing w:after="100" w:afterAutospacing="1" w:line="360" w:lineRule="auto"/>
        <w:jc w:val="center"/>
        <w:rPr>
          <w:rFonts w:ascii="宋体" w:hAnsi="宋体" w:cs="宋体"/>
          <w:b/>
          <w:bCs/>
        </w:rPr>
      </w:pPr>
    </w:p>
    <w:p w14:paraId="0B05B2AD">
      <w:pPr>
        <w:widowControl w:val="0"/>
        <w:snapToGrid w:val="0"/>
        <w:spacing w:after="100" w:afterAutospacing="1" w:line="360" w:lineRule="auto"/>
        <w:jc w:val="center"/>
        <w:rPr>
          <w:rFonts w:ascii="宋体" w:hAnsi="宋体" w:cs="宋体"/>
          <w:b/>
          <w:bCs/>
        </w:rPr>
      </w:pPr>
    </w:p>
    <w:p w14:paraId="6FBD5D5D">
      <w:pPr>
        <w:widowControl w:val="0"/>
        <w:snapToGrid w:val="0"/>
        <w:spacing w:after="100" w:afterAutospacing="1" w:line="360" w:lineRule="auto"/>
        <w:jc w:val="center"/>
        <w:rPr>
          <w:rFonts w:ascii="宋体" w:hAnsi="宋体" w:cs="宋体"/>
          <w:b/>
          <w:bCs/>
        </w:rPr>
      </w:pPr>
    </w:p>
    <w:p w14:paraId="3D57D183">
      <w:pPr>
        <w:widowControl w:val="0"/>
        <w:snapToGrid w:val="0"/>
        <w:spacing w:after="100" w:afterAutospacing="1" w:line="360" w:lineRule="auto"/>
        <w:jc w:val="center"/>
        <w:rPr>
          <w:rFonts w:ascii="宋体" w:hAnsi="宋体" w:cs="宋体"/>
          <w:b/>
          <w:bCs/>
        </w:rPr>
      </w:pPr>
    </w:p>
    <w:p w14:paraId="5FB121B7">
      <w:pPr>
        <w:widowControl w:val="0"/>
        <w:snapToGrid w:val="0"/>
        <w:spacing w:after="100" w:afterAutospacing="1" w:line="360" w:lineRule="auto"/>
        <w:jc w:val="center"/>
        <w:rPr>
          <w:rFonts w:ascii="宋体" w:hAnsi="宋体" w:cs="宋体"/>
          <w:b/>
          <w:bCs/>
        </w:rPr>
      </w:pPr>
    </w:p>
    <w:p w14:paraId="1C1460CE">
      <w:pPr>
        <w:widowControl w:val="0"/>
        <w:snapToGrid w:val="0"/>
        <w:spacing w:after="100" w:afterAutospacing="1" w:line="360" w:lineRule="auto"/>
        <w:jc w:val="center"/>
        <w:rPr>
          <w:rFonts w:ascii="宋体" w:hAnsi="宋体" w:cs="宋体"/>
          <w:b/>
          <w:bCs/>
        </w:rPr>
      </w:pPr>
    </w:p>
    <w:p w14:paraId="175DAFC7">
      <w:pPr>
        <w:pStyle w:val="68"/>
        <w:rPr>
          <w:rFonts w:hint="default" w:ascii="宋体" w:hAnsi="宋体" w:cs="宋体"/>
          <w:b/>
          <w:bCs/>
          <w:sz w:val="24"/>
          <w:szCs w:val="24"/>
        </w:rPr>
      </w:pPr>
    </w:p>
    <w:p w14:paraId="630E7EC5">
      <w:pPr>
        <w:pStyle w:val="68"/>
        <w:rPr>
          <w:rFonts w:hint="default" w:ascii="宋体" w:hAnsi="宋体" w:cs="宋体"/>
          <w:b/>
          <w:bCs/>
          <w:sz w:val="24"/>
          <w:szCs w:val="24"/>
        </w:rPr>
      </w:pPr>
    </w:p>
    <w:p w14:paraId="0497EE2F">
      <w:pPr>
        <w:pStyle w:val="68"/>
        <w:rPr>
          <w:rFonts w:hint="default" w:ascii="宋体" w:hAnsi="宋体" w:cs="宋体"/>
          <w:b/>
          <w:bCs/>
          <w:sz w:val="24"/>
          <w:szCs w:val="24"/>
        </w:rPr>
      </w:pPr>
    </w:p>
    <w:p w14:paraId="0AF74E27">
      <w:pPr>
        <w:pStyle w:val="21"/>
        <w:widowControl w:val="0"/>
        <w:rPr>
          <w:rFonts w:ascii="宋体" w:hAnsi="宋体" w:cs="宋体"/>
          <w:sz w:val="24"/>
          <w:szCs w:val="24"/>
        </w:rPr>
      </w:pPr>
    </w:p>
    <w:p w14:paraId="2F1F1DCA">
      <w:pPr>
        <w:pStyle w:val="68"/>
        <w:ind w:left="0" w:leftChars="0" w:firstLine="0" w:firstLineChars="0"/>
        <w:rPr>
          <w:rFonts w:hint="default" w:ascii="宋体" w:hAnsi="宋体" w:cs="宋体"/>
          <w:b/>
          <w:bCs/>
          <w:sz w:val="24"/>
          <w:szCs w:val="24"/>
        </w:rPr>
      </w:pPr>
    </w:p>
    <w:p w14:paraId="22AC9C90">
      <w:pPr>
        <w:widowControl w:val="0"/>
        <w:snapToGrid w:val="0"/>
        <w:spacing w:after="100" w:afterAutospacing="1" w:line="360" w:lineRule="auto"/>
        <w:jc w:val="center"/>
        <w:outlineLvl w:val="1"/>
        <w:rPr>
          <w:rFonts w:ascii="宋体" w:hAnsi="宋体" w:cs="宋体"/>
          <w:b/>
          <w:bCs/>
        </w:rPr>
      </w:pPr>
      <w:bookmarkStart w:id="131" w:name="_Toc2228"/>
      <w:r>
        <w:rPr>
          <w:rFonts w:hint="eastAsia" w:ascii="宋体" w:hAnsi="宋体" w:cs="宋体"/>
          <w:b/>
          <w:bCs/>
          <w:lang w:val="en-US" w:eastAsia="zh-CN"/>
        </w:rPr>
        <w:t>六</w:t>
      </w:r>
      <w:r>
        <w:rPr>
          <w:rFonts w:hint="eastAsia" w:ascii="宋体" w:hAnsi="宋体" w:cs="宋体"/>
          <w:b/>
          <w:bCs/>
        </w:rPr>
        <w:t>、法定代表人身份证明书</w:t>
      </w:r>
      <w:bookmarkEnd w:id="131"/>
    </w:p>
    <w:p w14:paraId="5FD96718">
      <w:pPr>
        <w:widowControl w:val="0"/>
        <w:snapToGrid w:val="0"/>
        <w:jc w:val="center"/>
        <w:rPr>
          <w:rFonts w:ascii="宋体" w:hAnsi="宋体" w:cs="宋体"/>
          <w:b/>
          <w:bCs/>
        </w:rPr>
      </w:pPr>
      <w:r>
        <w:rPr>
          <w:rFonts w:hint="eastAsia" w:ascii="宋体" w:hAnsi="宋体" w:cs="宋体"/>
          <w:b/>
          <w:bCs/>
        </w:rPr>
        <w:t> </w:t>
      </w:r>
    </w:p>
    <w:p w14:paraId="6D8076BF">
      <w:pPr>
        <w:widowControl w:val="0"/>
        <w:snapToGrid w:val="0"/>
        <w:rPr>
          <w:rFonts w:ascii="宋体" w:hAnsi="宋体" w:cs="宋体"/>
          <w:b/>
          <w:bCs/>
        </w:rPr>
      </w:pPr>
      <w:r>
        <w:rPr>
          <w:rFonts w:hint="eastAsia" w:ascii="宋体" w:hAnsi="宋体" w:cs="宋体"/>
          <w:b/>
          <w:bCs/>
        </w:rPr>
        <w:t> </w:t>
      </w:r>
    </w:p>
    <w:p w14:paraId="58A6E675">
      <w:pPr>
        <w:widowControl w:val="0"/>
        <w:snapToGrid w:val="0"/>
        <w:spacing w:line="360" w:lineRule="auto"/>
        <w:ind w:firstLine="612"/>
        <w:rPr>
          <w:rFonts w:ascii="宋体" w:hAnsi="宋体" w:cs="宋体"/>
        </w:rPr>
      </w:pPr>
      <w:r>
        <w:rPr>
          <w:rFonts w:hint="eastAsia" w:ascii="宋体" w:hAnsi="宋体" w:cs="宋体"/>
        </w:rPr>
        <w:t>单位名称：</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p>
    <w:p w14:paraId="493401AB">
      <w:pPr>
        <w:widowControl w:val="0"/>
        <w:snapToGrid w:val="0"/>
        <w:spacing w:line="360" w:lineRule="auto"/>
        <w:ind w:firstLine="612"/>
        <w:rPr>
          <w:rFonts w:ascii="宋体" w:hAnsi="宋体" w:cs="宋体"/>
        </w:rPr>
      </w:pPr>
      <w:r>
        <w:rPr>
          <w:rFonts w:hint="eastAsia" w:ascii="宋体" w:hAnsi="宋体" w:cs="宋体"/>
        </w:rPr>
        <w:t> </w:t>
      </w:r>
    </w:p>
    <w:p w14:paraId="6EE9D936">
      <w:pPr>
        <w:widowControl w:val="0"/>
        <w:snapToGrid w:val="0"/>
        <w:spacing w:line="360" w:lineRule="auto"/>
        <w:ind w:firstLine="610"/>
        <w:rPr>
          <w:rFonts w:ascii="宋体" w:hAnsi="宋体" w:cs="宋体"/>
          <w:u w:val="single"/>
        </w:rPr>
      </w:pPr>
      <w:r>
        <w:rPr>
          <w:rFonts w:hint="eastAsia" w:ascii="宋体" w:hAnsi="宋体" w:cs="宋体"/>
        </w:rPr>
        <w:t>单位性质：</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p>
    <w:p w14:paraId="5953BE2F">
      <w:pPr>
        <w:widowControl w:val="0"/>
        <w:snapToGrid w:val="0"/>
        <w:spacing w:line="360" w:lineRule="auto"/>
        <w:ind w:firstLine="610"/>
        <w:rPr>
          <w:rFonts w:ascii="宋体" w:hAnsi="宋体" w:cs="宋体"/>
        </w:rPr>
      </w:pPr>
      <w:r>
        <w:rPr>
          <w:rFonts w:hint="eastAsia" w:ascii="宋体" w:hAnsi="宋体" w:cs="宋体"/>
        </w:rPr>
        <w:t> </w:t>
      </w:r>
    </w:p>
    <w:p w14:paraId="6C63949D">
      <w:pPr>
        <w:widowControl w:val="0"/>
        <w:snapToGrid w:val="0"/>
        <w:spacing w:line="360" w:lineRule="auto"/>
        <w:ind w:firstLine="610"/>
        <w:rPr>
          <w:rFonts w:ascii="宋体" w:hAnsi="宋体" w:cs="宋体"/>
          <w:u w:val="single"/>
        </w:rPr>
      </w:pPr>
      <w:r>
        <w:rPr>
          <w:rFonts w:hint="eastAsia" w:ascii="宋体" w:hAnsi="宋体" w:cs="宋体"/>
        </w:rPr>
        <w:t>地    址：</w:t>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p>
    <w:p w14:paraId="5B4FB293">
      <w:pPr>
        <w:widowControl w:val="0"/>
        <w:snapToGrid w:val="0"/>
        <w:spacing w:line="360" w:lineRule="auto"/>
        <w:ind w:firstLine="610"/>
        <w:rPr>
          <w:rFonts w:ascii="宋体" w:hAnsi="宋体" w:cs="宋体"/>
        </w:rPr>
      </w:pPr>
      <w:r>
        <w:rPr>
          <w:rFonts w:hint="eastAsia" w:ascii="宋体" w:hAnsi="宋体" w:cs="宋体"/>
        </w:rPr>
        <w:t> </w:t>
      </w:r>
    </w:p>
    <w:p w14:paraId="6B637E46">
      <w:pPr>
        <w:widowControl w:val="0"/>
        <w:snapToGrid w:val="0"/>
        <w:spacing w:line="360" w:lineRule="auto"/>
        <w:ind w:firstLine="610"/>
        <w:rPr>
          <w:rFonts w:ascii="宋体" w:hAnsi="宋体" w:cs="宋体"/>
        </w:rPr>
      </w:pPr>
      <w:r>
        <w:rPr>
          <w:rFonts w:hint="eastAsia" w:ascii="宋体" w:hAnsi="宋体" w:cs="宋体"/>
        </w:rPr>
        <w:t>成立时间：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A45AB28">
      <w:pPr>
        <w:widowControl w:val="0"/>
        <w:snapToGrid w:val="0"/>
        <w:spacing w:line="360" w:lineRule="auto"/>
        <w:ind w:firstLine="610"/>
        <w:rPr>
          <w:rFonts w:ascii="宋体" w:hAnsi="宋体" w:cs="宋体"/>
        </w:rPr>
      </w:pPr>
      <w:r>
        <w:rPr>
          <w:rFonts w:hint="eastAsia" w:ascii="宋体" w:hAnsi="宋体" w:cs="宋体"/>
        </w:rPr>
        <w:t> </w:t>
      </w:r>
    </w:p>
    <w:p w14:paraId="247AB1E0">
      <w:pPr>
        <w:widowControl w:val="0"/>
        <w:snapToGrid w:val="0"/>
        <w:spacing w:line="360" w:lineRule="auto"/>
        <w:ind w:firstLine="610"/>
        <w:rPr>
          <w:rFonts w:ascii="宋体" w:hAnsi="宋体" w:cs="宋体"/>
          <w:u w:val="single"/>
        </w:rPr>
      </w:pPr>
      <w:r>
        <w:rPr>
          <w:rFonts w:hint="eastAsia" w:ascii="宋体" w:hAnsi="宋体" w:cs="宋体"/>
        </w:rPr>
        <w:t>经营期限：</w:t>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p>
    <w:p w14:paraId="79983B9A">
      <w:pPr>
        <w:widowControl w:val="0"/>
        <w:snapToGrid w:val="0"/>
        <w:spacing w:line="360" w:lineRule="auto"/>
        <w:ind w:firstLine="610"/>
        <w:rPr>
          <w:rFonts w:ascii="宋体" w:hAnsi="宋体" w:cs="宋体"/>
        </w:rPr>
      </w:pPr>
      <w:r>
        <w:rPr>
          <w:rFonts w:hint="eastAsia" w:ascii="宋体" w:hAnsi="宋体" w:cs="宋体"/>
        </w:rPr>
        <w:t> </w:t>
      </w:r>
    </w:p>
    <w:p w14:paraId="388F0F9E">
      <w:pPr>
        <w:widowControl w:val="0"/>
        <w:snapToGrid w:val="0"/>
        <w:spacing w:line="360" w:lineRule="auto"/>
        <w:ind w:firstLine="610"/>
        <w:rPr>
          <w:rFonts w:ascii="宋体" w:hAnsi="宋体" w:cs="宋体"/>
          <w:u w:val="single"/>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ab/>
      </w:r>
      <w:r>
        <w:rPr>
          <w:rFonts w:hint="eastAsia" w:ascii="宋体" w:hAnsi="宋体" w:cs="宋体"/>
          <w:u w:val="single"/>
        </w:rPr>
        <w:tab/>
      </w:r>
    </w:p>
    <w:p w14:paraId="77078818">
      <w:pPr>
        <w:widowControl w:val="0"/>
        <w:snapToGrid w:val="0"/>
        <w:spacing w:line="360" w:lineRule="auto"/>
        <w:ind w:firstLine="610"/>
        <w:rPr>
          <w:rFonts w:ascii="宋体" w:hAnsi="宋体" w:cs="宋体"/>
        </w:rPr>
      </w:pPr>
      <w:r>
        <w:rPr>
          <w:rFonts w:hint="eastAsia" w:ascii="宋体" w:hAnsi="宋体" w:cs="宋体"/>
        </w:rPr>
        <w:t> </w:t>
      </w:r>
    </w:p>
    <w:p w14:paraId="247234DF">
      <w:pPr>
        <w:widowControl w:val="0"/>
        <w:snapToGrid w:val="0"/>
        <w:spacing w:line="360" w:lineRule="auto"/>
        <w:ind w:firstLine="610"/>
        <w:rPr>
          <w:rFonts w:ascii="宋体" w:hAnsi="宋体" w:cs="宋体"/>
        </w:rPr>
      </w:pPr>
      <w:r>
        <w:rPr>
          <w:rFonts w:hint="eastAsia" w:ascii="宋体" w:hAnsi="宋体" w:cs="宋体"/>
        </w:rPr>
        <w:t>系</w:t>
      </w:r>
      <w:r>
        <w:rPr>
          <w:rFonts w:hint="eastAsia" w:ascii="宋体" w:hAnsi="宋体" w:cs="宋体"/>
          <w:u w:val="single"/>
        </w:rPr>
        <w:t xml:space="preserve">          （磋商申请人单位名称）         </w:t>
      </w:r>
      <w:r>
        <w:rPr>
          <w:rFonts w:hint="eastAsia" w:ascii="宋体" w:hAnsi="宋体" w:cs="宋体"/>
        </w:rPr>
        <w:t>的法定代表人。</w:t>
      </w:r>
    </w:p>
    <w:p w14:paraId="6E3C31BE">
      <w:pPr>
        <w:widowControl w:val="0"/>
        <w:snapToGrid w:val="0"/>
        <w:spacing w:line="360" w:lineRule="auto"/>
        <w:ind w:firstLine="610"/>
        <w:rPr>
          <w:rFonts w:ascii="宋体" w:hAnsi="宋体" w:cs="宋体"/>
        </w:rPr>
      </w:pPr>
      <w:r>
        <w:rPr>
          <w:rFonts w:hint="eastAsia" w:ascii="宋体" w:hAnsi="宋体" w:cs="宋体"/>
        </w:rPr>
        <w:t> </w:t>
      </w:r>
    </w:p>
    <w:p w14:paraId="2AAB23B9">
      <w:pPr>
        <w:widowControl w:val="0"/>
        <w:snapToGrid w:val="0"/>
        <w:spacing w:line="360" w:lineRule="auto"/>
        <w:ind w:firstLine="610"/>
        <w:rPr>
          <w:rFonts w:ascii="宋体" w:hAnsi="宋体" w:cs="宋体"/>
        </w:rPr>
      </w:pPr>
      <w:r>
        <w:rPr>
          <w:rFonts w:hint="eastAsia" w:ascii="宋体" w:hAnsi="宋体" w:cs="宋体"/>
        </w:rPr>
        <w:t>特此证明。</w:t>
      </w:r>
    </w:p>
    <w:p w14:paraId="0B739C2B">
      <w:pPr>
        <w:widowControl w:val="0"/>
        <w:tabs>
          <w:tab w:val="left" w:pos="720"/>
          <w:tab w:val="left" w:pos="900"/>
        </w:tabs>
        <w:snapToGrid w:val="0"/>
        <w:spacing w:line="360" w:lineRule="auto"/>
        <w:ind w:firstLine="480" w:firstLineChars="200"/>
        <w:rPr>
          <w:rFonts w:ascii="宋体" w:hAnsi="宋体" w:cs="宋体"/>
        </w:rPr>
      </w:pPr>
      <w:r>
        <w:rPr>
          <w:rFonts w:hint="eastAsia" w:ascii="宋体" w:hAnsi="宋体" w:cs="宋体"/>
        </w:rPr>
        <w:t> </w:t>
      </w:r>
    </w:p>
    <w:p w14:paraId="59B178C8">
      <w:pPr>
        <w:widowControl w:val="0"/>
        <w:tabs>
          <w:tab w:val="left" w:pos="720"/>
          <w:tab w:val="left" w:pos="900"/>
        </w:tabs>
        <w:snapToGrid w:val="0"/>
        <w:spacing w:line="360" w:lineRule="auto"/>
        <w:ind w:firstLine="480" w:firstLineChars="200"/>
        <w:rPr>
          <w:rFonts w:ascii="宋体" w:hAnsi="宋体" w:cs="宋体"/>
        </w:rPr>
      </w:pPr>
      <w:r>
        <w:rPr>
          <w:rFonts w:hint="eastAsia" w:ascii="宋体" w:hAnsi="宋体" w:cs="宋体"/>
        </w:rPr>
        <w:t> </w:t>
      </w:r>
    </w:p>
    <w:p w14:paraId="4D090A23">
      <w:pPr>
        <w:widowControl w:val="0"/>
        <w:tabs>
          <w:tab w:val="left" w:pos="720"/>
          <w:tab w:val="left" w:pos="900"/>
        </w:tabs>
        <w:snapToGrid w:val="0"/>
        <w:spacing w:line="360" w:lineRule="auto"/>
        <w:ind w:firstLine="480" w:firstLineChars="200"/>
        <w:rPr>
          <w:rFonts w:ascii="宋体" w:hAnsi="宋体" w:cs="宋体"/>
        </w:rPr>
      </w:pPr>
      <w:r>
        <w:rPr>
          <w:rFonts w:hint="eastAsia" w:ascii="宋体" w:hAnsi="宋体" w:cs="宋体"/>
        </w:rPr>
        <w:t> </w:t>
      </w:r>
    </w:p>
    <w:p w14:paraId="2E95BCD9">
      <w:pPr>
        <w:widowControl w:val="0"/>
        <w:tabs>
          <w:tab w:val="left" w:pos="720"/>
          <w:tab w:val="left" w:pos="900"/>
        </w:tabs>
        <w:snapToGrid w:val="0"/>
        <w:spacing w:line="360" w:lineRule="auto"/>
        <w:ind w:firstLine="4080" w:firstLineChars="1700"/>
        <w:rPr>
          <w:rFonts w:ascii="宋体" w:hAnsi="宋体" w:cs="宋体"/>
        </w:rPr>
      </w:pPr>
      <w:r>
        <w:rPr>
          <w:rFonts w:hint="eastAsia" w:ascii="宋体" w:hAnsi="宋体" w:cs="宋体"/>
        </w:rPr>
        <w:t>磋商申请人：</w:t>
      </w:r>
      <w:r>
        <w:rPr>
          <w:rFonts w:hint="eastAsia" w:ascii="宋体" w:hAnsi="宋体" w:cs="宋体"/>
          <w:u w:val="single"/>
        </w:rPr>
        <w:t xml:space="preserve">   （盖章）   </w:t>
      </w:r>
    </w:p>
    <w:p w14:paraId="5CFBB243">
      <w:pPr>
        <w:widowControl w:val="0"/>
        <w:snapToGrid w:val="0"/>
        <w:spacing w:line="400" w:lineRule="exact"/>
        <w:ind w:firstLine="480" w:firstLineChars="200"/>
        <w:rPr>
          <w:rFonts w:ascii="宋体" w:hAnsi="宋体" w:cs="宋体"/>
          <w:bCs/>
        </w:rPr>
      </w:pPr>
      <w:r>
        <w:rPr>
          <w:rFonts w:hint="eastAsia" w:ascii="宋体" w:hAnsi="宋体" w:cs="宋体"/>
          <w:bCs/>
        </w:rPr>
        <w:t> </w:t>
      </w:r>
    </w:p>
    <w:p w14:paraId="0E530C0C">
      <w:pPr>
        <w:widowControl w:val="0"/>
        <w:snapToGrid w:val="0"/>
        <w:spacing w:line="400" w:lineRule="exact"/>
        <w:ind w:firstLine="480" w:firstLineChars="200"/>
        <w:rPr>
          <w:rFonts w:ascii="宋体" w:hAnsi="宋体" w:cs="宋体"/>
          <w:bCs/>
        </w:rPr>
      </w:pPr>
    </w:p>
    <w:p w14:paraId="63AF0637">
      <w:pPr>
        <w:widowControl w:val="0"/>
        <w:snapToGrid w:val="0"/>
        <w:spacing w:line="400" w:lineRule="exact"/>
        <w:ind w:firstLine="480" w:firstLineChars="200"/>
        <w:rPr>
          <w:rFonts w:ascii="宋体" w:hAnsi="宋体" w:cs="宋体"/>
          <w:bCs/>
        </w:rPr>
      </w:pPr>
    </w:p>
    <w:p w14:paraId="245B617A">
      <w:pPr>
        <w:widowControl w:val="0"/>
        <w:snapToGrid w:val="0"/>
        <w:spacing w:line="400" w:lineRule="exact"/>
        <w:ind w:firstLine="480" w:firstLineChars="200"/>
        <w:rPr>
          <w:rFonts w:ascii="宋体" w:hAnsi="宋体" w:cs="宋体"/>
          <w:bCs/>
        </w:rPr>
      </w:pPr>
    </w:p>
    <w:p w14:paraId="16BD9C57">
      <w:pPr>
        <w:widowControl w:val="0"/>
        <w:snapToGrid w:val="0"/>
        <w:spacing w:after="100" w:afterAutospacing="1" w:line="360" w:lineRule="auto"/>
        <w:jc w:val="center"/>
        <w:rPr>
          <w:rFonts w:ascii="宋体" w:hAnsi="宋体" w:cs="宋体"/>
          <w:b/>
          <w:bCs/>
        </w:rPr>
      </w:pPr>
      <w:r>
        <w:rPr>
          <w:rFonts w:hint="eastAsia" w:ascii="宋体" w:hAnsi="宋体" w:cs="宋体"/>
          <w:b/>
          <w:bCs/>
        </w:rPr>
        <w:t>附：法定代表人身份证复印件</w:t>
      </w:r>
    </w:p>
    <w:p w14:paraId="23DA8F12">
      <w:pPr>
        <w:widowControl w:val="0"/>
        <w:snapToGrid w:val="0"/>
        <w:spacing w:line="400" w:lineRule="exact"/>
        <w:ind w:firstLine="480" w:firstLineChars="200"/>
        <w:rPr>
          <w:rFonts w:ascii="宋体" w:hAnsi="宋体" w:cs="宋体"/>
          <w:bCs/>
        </w:rPr>
      </w:pPr>
    </w:p>
    <w:p w14:paraId="3A2D62DF">
      <w:pPr>
        <w:pStyle w:val="68"/>
        <w:rPr>
          <w:rFonts w:hint="default" w:ascii="宋体" w:hAnsi="宋体" w:cs="宋体"/>
        </w:rPr>
      </w:pPr>
    </w:p>
    <w:p w14:paraId="7D13501B">
      <w:pPr>
        <w:widowControl w:val="0"/>
        <w:snapToGrid w:val="0"/>
        <w:spacing w:before="260" w:after="260" w:line="400" w:lineRule="exact"/>
        <w:jc w:val="center"/>
        <w:outlineLvl w:val="1"/>
        <w:rPr>
          <w:rFonts w:ascii="宋体" w:hAnsi="宋体" w:cs="宋体"/>
          <w:bCs/>
        </w:rPr>
      </w:pPr>
      <w:bookmarkStart w:id="132" w:name="_Toc2500"/>
      <w:bookmarkStart w:id="133" w:name="_Toc31956"/>
      <w:bookmarkStart w:id="134" w:name="_Toc22900"/>
      <w:bookmarkStart w:id="135" w:name="_Toc4476"/>
      <w:bookmarkStart w:id="136" w:name="_Toc11134"/>
      <w:r>
        <w:rPr>
          <w:rFonts w:hint="eastAsia" w:ascii="宋体" w:hAnsi="宋体" w:cs="宋体"/>
          <w:b/>
          <w:bCs/>
          <w:lang w:val="en-US" w:eastAsia="zh-CN"/>
        </w:rPr>
        <w:t>七</w:t>
      </w:r>
      <w:r>
        <w:rPr>
          <w:rFonts w:hint="eastAsia" w:ascii="宋体" w:hAnsi="宋体" w:cs="宋体"/>
          <w:b/>
          <w:bCs/>
        </w:rPr>
        <w:t>、法定代表人授权书（法人参加投标时无需提供此表）</w:t>
      </w:r>
      <w:bookmarkEnd w:id="132"/>
      <w:bookmarkEnd w:id="133"/>
      <w:bookmarkEnd w:id="134"/>
      <w:bookmarkEnd w:id="135"/>
      <w:bookmarkEnd w:id="136"/>
    </w:p>
    <w:p w14:paraId="1BD36971">
      <w:pPr>
        <w:widowControl w:val="0"/>
        <w:snapToGrid w:val="0"/>
        <w:spacing w:line="400" w:lineRule="exact"/>
        <w:jc w:val="center"/>
        <w:rPr>
          <w:rFonts w:ascii="宋体" w:hAnsi="宋体" w:cs="宋体"/>
          <w:b/>
          <w:bCs/>
        </w:rPr>
      </w:pPr>
      <w:r>
        <w:rPr>
          <w:rFonts w:hint="eastAsia" w:ascii="宋体" w:hAnsi="宋体" w:cs="宋体"/>
          <w:b/>
          <w:bCs/>
        </w:rPr>
        <w:t> </w:t>
      </w:r>
    </w:p>
    <w:p w14:paraId="091ED94A">
      <w:pPr>
        <w:widowControl w:val="0"/>
        <w:snapToGrid w:val="0"/>
        <w:spacing w:line="400" w:lineRule="exact"/>
        <w:jc w:val="center"/>
        <w:rPr>
          <w:rFonts w:ascii="宋体" w:hAnsi="宋体" w:cs="宋体"/>
          <w:b/>
          <w:bCs/>
        </w:rPr>
      </w:pPr>
      <w:r>
        <w:rPr>
          <w:rFonts w:hint="eastAsia" w:ascii="宋体" w:hAnsi="宋体" w:cs="宋体"/>
          <w:b/>
          <w:bCs/>
        </w:rPr>
        <w:t> </w:t>
      </w:r>
    </w:p>
    <w:p w14:paraId="38F8E86E">
      <w:pPr>
        <w:widowControl w:val="0"/>
        <w:snapToGrid w:val="0"/>
        <w:spacing w:line="400" w:lineRule="exact"/>
        <w:rPr>
          <w:rFonts w:ascii="宋体" w:hAnsi="宋体" w:cs="宋体"/>
        </w:rPr>
      </w:pPr>
      <w:r>
        <w:rPr>
          <w:rFonts w:hint="eastAsia" w:ascii="宋体" w:hAnsi="宋体" w:cs="宋体"/>
        </w:rPr>
        <w:t>__________________（招标代理机构名称）：</w:t>
      </w:r>
    </w:p>
    <w:p w14:paraId="2EADAAB1">
      <w:pPr>
        <w:widowControl w:val="0"/>
        <w:snapToGrid w:val="0"/>
        <w:spacing w:line="400" w:lineRule="exact"/>
        <w:ind w:firstLine="480" w:firstLineChars="200"/>
        <w:rPr>
          <w:rFonts w:ascii="宋体" w:hAnsi="宋体" w:cs="宋体"/>
        </w:rPr>
      </w:pPr>
      <w:r>
        <w:rPr>
          <w:rFonts w:hint="eastAsia" w:ascii="宋体" w:hAnsi="宋体" w:cs="宋体"/>
        </w:rPr>
        <w:t>本授权声明：</w:t>
      </w:r>
      <w:r>
        <w:rPr>
          <w:rFonts w:hint="eastAsia" w:ascii="宋体" w:hAnsi="宋体" w:cs="宋体"/>
          <w:u w:val="single"/>
        </w:rPr>
        <w:t xml:space="preserve">                     </w:t>
      </w:r>
      <w:r>
        <w:rPr>
          <w:rFonts w:hint="eastAsia" w:ascii="宋体" w:hAnsi="宋体" w:cs="宋体"/>
        </w:rPr>
        <w:t>（磋商申请人名称）</w:t>
      </w:r>
      <w:r>
        <w:rPr>
          <w:rFonts w:hint="eastAsia" w:ascii="宋体" w:hAnsi="宋体" w:cs="宋体"/>
          <w:u w:val="single"/>
        </w:rPr>
        <w:t xml:space="preserve">          </w:t>
      </w:r>
      <w:r>
        <w:rPr>
          <w:rFonts w:hint="eastAsia" w:ascii="宋体" w:hAnsi="宋体" w:cs="宋体"/>
        </w:rPr>
        <w:t>（法定代表人姓名、职务）授权</w:t>
      </w:r>
      <w:r>
        <w:rPr>
          <w:rFonts w:hint="eastAsia" w:ascii="宋体" w:hAnsi="宋体" w:cs="宋体"/>
          <w:u w:val="single"/>
        </w:rPr>
        <w:t xml:space="preserve">                        </w:t>
      </w:r>
      <w:r>
        <w:rPr>
          <w:rFonts w:hint="eastAsia" w:ascii="宋体" w:hAnsi="宋体" w:cs="宋体"/>
        </w:rPr>
        <w:t xml:space="preserve">（被授权人姓名、职务）为我方 “ </w:t>
      </w:r>
      <w:r>
        <w:rPr>
          <w:rFonts w:hint="eastAsia" w:ascii="宋体" w:hAnsi="宋体" w:cs="宋体"/>
          <w:u w:val="single"/>
        </w:rPr>
        <w:t xml:space="preserve">             </w:t>
      </w:r>
      <w:r>
        <w:rPr>
          <w:rFonts w:hint="eastAsia" w:ascii="宋体" w:hAnsi="宋体" w:cs="宋体"/>
        </w:rPr>
        <w:t>” 项目投标活动的合法代表，以我方名义全权处理该项目有关投标、签订合同以及执行合同等一切事宜。</w:t>
      </w:r>
    </w:p>
    <w:p w14:paraId="1B76EF32">
      <w:pPr>
        <w:widowControl w:val="0"/>
        <w:snapToGrid w:val="0"/>
        <w:spacing w:line="400" w:lineRule="exact"/>
        <w:ind w:firstLine="480" w:firstLineChars="200"/>
        <w:rPr>
          <w:rFonts w:ascii="宋体" w:hAnsi="宋体" w:cs="宋体"/>
        </w:rPr>
      </w:pPr>
      <w:r>
        <w:rPr>
          <w:rFonts w:hint="eastAsia" w:ascii="宋体" w:hAnsi="宋体" w:cs="宋体"/>
        </w:rPr>
        <w:t>特此声明。</w:t>
      </w:r>
    </w:p>
    <w:p w14:paraId="6F19472C">
      <w:pPr>
        <w:widowControl w:val="0"/>
        <w:snapToGrid w:val="0"/>
        <w:spacing w:line="400" w:lineRule="exact"/>
        <w:ind w:firstLine="480" w:firstLineChars="200"/>
        <w:rPr>
          <w:rFonts w:ascii="宋体" w:hAnsi="宋体" w:cs="宋体"/>
        </w:rPr>
      </w:pPr>
      <w:r>
        <w:rPr>
          <w:rFonts w:hint="eastAsia" w:ascii="宋体" w:hAnsi="宋体" w:cs="宋体"/>
        </w:rPr>
        <w:t> </w:t>
      </w:r>
    </w:p>
    <w:p w14:paraId="3DADE421">
      <w:pPr>
        <w:widowControl w:val="0"/>
        <w:snapToGrid w:val="0"/>
        <w:spacing w:line="400" w:lineRule="exact"/>
        <w:ind w:firstLine="480" w:firstLineChars="200"/>
        <w:rPr>
          <w:rFonts w:ascii="宋体" w:hAnsi="宋体" w:cs="宋体"/>
        </w:rPr>
      </w:pPr>
      <w:r>
        <w:rPr>
          <w:rFonts w:hint="eastAsia" w:ascii="宋体" w:hAnsi="宋体" w:cs="宋体"/>
        </w:rPr>
        <w:t> </w:t>
      </w:r>
    </w:p>
    <w:p w14:paraId="4A18A447">
      <w:pPr>
        <w:widowControl w:val="0"/>
        <w:snapToGrid w:val="0"/>
        <w:spacing w:line="400" w:lineRule="exact"/>
        <w:ind w:firstLine="480" w:firstLineChars="200"/>
        <w:rPr>
          <w:rFonts w:ascii="宋体" w:hAnsi="宋体" w:cs="宋体"/>
        </w:rPr>
      </w:pPr>
      <w:r>
        <w:rPr>
          <w:rFonts w:hint="eastAsia" w:ascii="宋体" w:hAnsi="宋体" w:cs="宋体"/>
        </w:rPr>
        <w:t>法定代表人签字：</w:t>
      </w:r>
    </w:p>
    <w:p w14:paraId="4C55DD50">
      <w:pPr>
        <w:widowControl w:val="0"/>
        <w:snapToGrid w:val="0"/>
        <w:spacing w:line="400" w:lineRule="exact"/>
        <w:ind w:firstLine="480" w:firstLineChars="200"/>
        <w:rPr>
          <w:rFonts w:ascii="宋体" w:hAnsi="宋体" w:cs="宋体"/>
        </w:rPr>
      </w:pPr>
      <w:r>
        <w:rPr>
          <w:rFonts w:hint="eastAsia" w:ascii="宋体" w:hAnsi="宋体" w:cs="宋体"/>
        </w:rPr>
        <w:t> </w:t>
      </w:r>
    </w:p>
    <w:p w14:paraId="4B164CC8">
      <w:pPr>
        <w:widowControl w:val="0"/>
        <w:snapToGrid w:val="0"/>
        <w:spacing w:line="400" w:lineRule="exact"/>
        <w:ind w:firstLine="480" w:firstLineChars="200"/>
        <w:rPr>
          <w:rFonts w:ascii="宋体" w:hAnsi="宋体" w:cs="宋体"/>
        </w:rPr>
      </w:pPr>
      <w:r>
        <w:rPr>
          <w:rFonts w:hint="eastAsia" w:ascii="宋体" w:hAnsi="宋体" w:cs="宋体"/>
        </w:rPr>
        <w:t>授权代表签字：</w:t>
      </w:r>
    </w:p>
    <w:p w14:paraId="1F6DDC54">
      <w:pPr>
        <w:widowControl w:val="0"/>
        <w:snapToGrid w:val="0"/>
        <w:spacing w:line="400" w:lineRule="exact"/>
        <w:ind w:firstLine="480" w:firstLineChars="200"/>
        <w:rPr>
          <w:rFonts w:ascii="宋体" w:hAnsi="宋体" w:cs="宋体"/>
        </w:rPr>
      </w:pPr>
    </w:p>
    <w:p w14:paraId="556DD47A">
      <w:pPr>
        <w:widowControl w:val="0"/>
        <w:snapToGrid w:val="0"/>
        <w:spacing w:after="100" w:afterAutospacing="1" w:line="360" w:lineRule="auto"/>
        <w:ind w:firstLine="480" w:firstLineChars="200"/>
        <w:rPr>
          <w:rFonts w:ascii="宋体" w:hAnsi="宋体" w:cs="宋体"/>
        </w:rPr>
      </w:pPr>
      <w:r>
        <w:rPr>
          <w:rFonts w:hint="eastAsia" w:ascii="宋体" w:hAnsi="宋体" w:cs="宋体"/>
        </w:rPr>
        <w:t>磋商申请人名称：         （盖章）</w:t>
      </w:r>
    </w:p>
    <w:p w14:paraId="44D2E0A3">
      <w:pPr>
        <w:widowControl w:val="0"/>
        <w:snapToGrid w:val="0"/>
        <w:spacing w:after="100" w:afterAutospacing="1" w:line="360" w:lineRule="auto"/>
        <w:ind w:firstLine="480" w:firstLineChars="200"/>
        <w:rPr>
          <w:rFonts w:ascii="宋体" w:hAnsi="宋体" w:cs="宋体"/>
        </w:rPr>
      </w:pPr>
    </w:p>
    <w:p w14:paraId="3A4ED7A8">
      <w:pPr>
        <w:widowControl w:val="0"/>
        <w:snapToGrid w:val="0"/>
        <w:spacing w:after="100" w:afterAutospacing="1" w:line="360" w:lineRule="auto"/>
        <w:ind w:firstLine="480" w:firstLineChars="200"/>
        <w:rPr>
          <w:rFonts w:ascii="宋体" w:hAnsi="宋体" w:cs="宋体"/>
        </w:rPr>
      </w:pPr>
    </w:p>
    <w:p w14:paraId="662DEA56">
      <w:pPr>
        <w:widowControl w:val="0"/>
        <w:snapToGrid w:val="0"/>
        <w:spacing w:after="100" w:afterAutospacing="1" w:line="360" w:lineRule="auto"/>
        <w:ind w:firstLine="482" w:firstLineChars="200"/>
        <w:rPr>
          <w:rFonts w:ascii="宋体" w:hAnsi="宋体" w:cs="宋体"/>
        </w:rPr>
      </w:pPr>
      <w:r>
        <w:rPr>
          <w:rFonts w:hint="eastAsia" w:ascii="宋体" w:hAnsi="宋体" w:cs="宋体"/>
          <w:b/>
          <w:bCs/>
        </w:rPr>
        <w:t xml:space="preserve"> 附：授权委托代理人身份证复印件</w:t>
      </w:r>
    </w:p>
    <w:p w14:paraId="4639A999">
      <w:pPr>
        <w:widowControl w:val="0"/>
        <w:snapToGrid w:val="0"/>
        <w:spacing w:after="100" w:afterAutospacing="1" w:line="360" w:lineRule="auto"/>
        <w:ind w:firstLine="480" w:firstLineChars="200"/>
        <w:rPr>
          <w:rFonts w:ascii="宋体" w:hAnsi="宋体" w:cs="宋体"/>
        </w:rPr>
      </w:pPr>
    </w:p>
    <w:p w14:paraId="7F868603">
      <w:pPr>
        <w:widowControl w:val="0"/>
        <w:snapToGrid w:val="0"/>
        <w:spacing w:after="100" w:afterAutospacing="1" w:line="360" w:lineRule="auto"/>
        <w:jc w:val="center"/>
        <w:rPr>
          <w:rFonts w:ascii="宋体" w:hAnsi="宋体" w:cs="宋体"/>
          <w:b/>
          <w:bCs/>
        </w:rPr>
      </w:pPr>
      <w:r>
        <w:rPr>
          <w:rFonts w:hint="eastAsia" w:ascii="宋体" w:hAnsi="宋体" w:cs="宋体"/>
        </w:rPr>
        <w:t xml:space="preserve"> </w:t>
      </w:r>
      <w:r>
        <w:rPr>
          <w:rFonts w:hint="eastAsia" w:ascii="宋体" w:hAnsi="宋体" w:cs="宋体"/>
          <w:b/>
          <w:bCs/>
        </w:rPr>
        <w:t xml:space="preserve"> </w:t>
      </w:r>
    </w:p>
    <w:p w14:paraId="4106A9E0">
      <w:pPr>
        <w:widowControl w:val="0"/>
        <w:snapToGrid w:val="0"/>
        <w:spacing w:after="100" w:afterAutospacing="1" w:line="360" w:lineRule="auto"/>
        <w:rPr>
          <w:rFonts w:ascii="宋体" w:hAnsi="宋体" w:cs="宋体"/>
        </w:rPr>
      </w:pPr>
      <w:r>
        <w:rPr>
          <w:rFonts w:hint="eastAsia" w:ascii="宋体" w:hAnsi="宋体" w:cs="宋体"/>
        </w:rPr>
        <w:t> </w:t>
      </w:r>
    </w:p>
    <w:p w14:paraId="6F052B95">
      <w:pPr>
        <w:widowControl w:val="0"/>
        <w:snapToGrid w:val="0"/>
        <w:spacing w:before="260" w:after="260" w:line="400" w:lineRule="exact"/>
        <w:rPr>
          <w:rFonts w:ascii="宋体" w:hAnsi="宋体" w:cs="宋体"/>
          <w:b/>
          <w:bCs/>
        </w:rPr>
      </w:pPr>
    </w:p>
    <w:p w14:paraId="4EDCE6CC">
      <w:pPr>
        <w:pStyle w:val="21"/>
        <w:widowControl w:val="0"/>
        <w:rPr>
          <w:rFonts w:ascii="宋体" w:hAnsi="宋体" w:cs="宋体"/>
          <w:b/>
          <w:bCs/>
          <w:sz w:val="24"/>
          <w:szCs w:val="24"/>
        </w:rPr>
      </w:pPr>
    </w:p>
    <w:p w14:paraId="20FBA254">
      <w:pPr>
        <w:widowControl w:val="0"/>
        <w:snapToGrid w:val="0"/>
        <w:spacing w:before="260" w:after="260" w:line="400" w:lineRule="exact"/>
        <w:rPr>
          <w:rFonts w:ascii="宋体" w:hAnsi="宋体" w:cs="宋体"/>
          <w:b/>
          <w:bCs/>
        </w:rPr>
      </w:pPr>
    </w:p>
    <w:p w14:paraId="5702F602">
      <w:pPr>
        <w:pStyle w:val="68"/>
        <w:rPr>
          <w:rFonts w:hint="default"/>
        </w:rPr>
      </w:pPr>
    </w:p>
    <w:p w14:paraId="3782D7A1">
      <w:pPr>
        <w:pStyle w:val="581"/>
        <w:widowControl w:val="0"/>
        <w:ind w:firstLine="0" w:firstLineChars="0"/>
        <w:jc w:val="center"/>
        <w:rPr>
          <w:rFonts w:ascii="宋体" w:hAnsi="宋体" w:eastAsia="宋体" w:cs="宋体"/>
          <w:szCs w:val="24"/>
        </w:rPr>
      </w:pPr>
      <w:bookmarkStart w:id="137" w:name="_Toc32641"/>
      <w:bookmarkStart w:id="138" w:name="_Toc66457138"/>
      <w:bookmarkStart w:id="139" w:name="_Toc66736826"/>
      <w:bookmarkStart w:id="140" w:name="_Toc25183"/>
      <w:r>
        <w:rPr>
          <w:rFonts w:hint="eastAsia" w:ascii="宋体" w:hAnsi="宋体" w:eastAsia="宋体" w:cs="宋体"/>
          <w:szCs w:val="24"/>
          <w:lang w:val="en-US" w:eastAsia="zh-CN"/>
        </w:rPr>
        <w:t>八</w:t>
      </w:r>
      <w:r>
        <w:rPr>
          <w:rFonts w:hint="eastAsia" w:ascii="宋体" w:hAnsi="宋体" w:eastAsia="宋体" w:cs="宋体"/>
          <w:szCs w:val="24"/>
        </w:rPr>
        <w:t>、资格证明承诺函</w:t>
      </w:r>
      <w:bookmarkEnd w:id="137"/>
      <w:bookmarkEnd w:id="138"/>
      <w:bookmarkEnd w:id="139"/>
      <w:bookmarkEnd w:id="140"/>
    </w:p>
    <w:p w14:paraId="7A77277B">
      <w:pPr>
        <w:widowControl w:val="0"/>
        <w:ind w:firstLine="480"/>
        <w:rPr>
          <w:rFonts w:ascii="宋体" w:hAnsi="宋体" w:cs="宋体"/>
        </w:rPr>
      </w:pPr>
    </w:p>
    <w:p w14:paraId="770CC2BE">
      <w:pPr>
        <w:pStyle w:val="577"/>
        <w:ind w:firstLine="480"/>
        <w:rPr>
          <w:rFonts w:cs="宋体"/>
          <w:szCs w:val="24"/>
          <w:u w:val="single"/>
        </w:rPr>
      </w:pPr>
      <w:r>
        <w:rPr>
          <w:rFonts w:hint="eastAsia" w:cs="宋体"/>
          <w:szCs w:val="24"/>
        </w:rPr>
        <w:t>项目名称：</w:t>
      </w:r>
      <w:r>
        <w:rPr>
          <w:rFonts w:hint="eastAsia" w:cs="宋体"/>
          <w:szCs w:val="24"/>
          <w:u w:val="single"/>
        </w:rPr>
        <w:t xml:space="preserve">                               </w:t>
      </w:r>
    </w:p>
    <w:p w14:paraId="19A40263">
      <w:pPr>
        <w:pStyle w:val="577"/>
        <w:ind w:firstLine="480"/>
        <w:rPr>
          <w:rFonts w:cs="宋体"/>
          <w:szCs w:val="24"/>
        </w:rPr>
      </w:pPr>
      <w:r>
        <w:rPr>
          <w:rFonts w:hint="eastAsia" w:cs="宋体"/>
          <w:szCs w:val="24"/>
          <w:u w:val="single"/>
        </w:rPr>
        <w:t>致（采购人名称）</w:t>
      </w:r>
      <w:r>
        <w:rPr>
          <w:rFonts w:hint="eastAsia" w:cs="宋体"/>
          <w:szCs w:val="24"/>
        </w:rPr>
        <w:t>：</w:t>
      </w:r>
    </w:p>
    <w:p w14:paraId="7D762AF7">
      <w:pPr>
        <w:pStyle w:val="577"/>
        <w:ind w:firstLine="480"/>
        <w:rPr>
          <w:rFonts w:cs="宋体"/>
          <w:szCs w:val="24"/>
        </w:rPr>
      </w:pPr>
      <w:r>
        <w:rPr>
          <w:rFonts w:hint="eastAsia" w:cs="宋体"/>
          <w:szCs w:val="24"/>
          <w:u w:val="single"/>
        </w:rPr>
        <w:t>(磋商申请人名称)</w:t>
      </w:r>
      <w:r>
        <w:rPr>
          <w:rFonts w:hint="eastAsia" w:cs="宋体"/>
          <w:szCs w:val="24"/>
        </w:rPr>
        <w:t>郑重承诺，我方具有良好的商业信誉，具有履行合同所必需的设备和专业技术能力，在合同签订前后随时愿意提供相关证明材料；我方还同时声明在投标文件递交截止时间前三年内无重大违法活动记录，未被列入“失信被执行人”、“重大税收违法案件当事人”、“政府采购不良行为记录”、“政府采购严重违法失信行为信息记录”，符合《政府采购法》规定的供应商资格条件。我方对以上声明负全部法律责任。</w:t>
      </w:r>
    </w:p>
    <w:p w14:paraId="3168BBD0">
      <w:pPr>
        <w:widowControl w:val="0"/>
        <w:ind w:firstLine="480"/>
        <w:rPr>
          <w:rFonts w:ascii="宋体" w:hAnsi="宋体" w:cs="宋体"/>
        </w:rPr>
      </w:pPr>
    </w:p>
    <w:p w14:paraId="099E457A">
      <w:pPr>
        <w:widowControl w:val="0"/>
        <w:ind w:firstLine="480"/>
        <w:rPr>
          <w:rFonts w:ascii="宋体" w:hAnsi="宋体" w:cs="宋体"/>
        </w:rPr>
      </w:pPr>
      <w:r>
        <w:rPr>
          <w:rFonts w:hint="eastAsia" w:ascii="宋体" w:hAnsi="宋体" w:cs="宋体"/>
        </w:rPr>
        <w:t>特此声明。</w:t>
      </w:r>
    </w:p>
    <w:p w14:paraId="1F5C777B">
      <w:pPr>
        <w:widowControl w:val="0"/>
        <w:ind w:firstLine="480"/>
        <w:rPr>
          <w:rFonts w:ascii="宋体" w:hAnsi="宋体" w:cs="宋体"/>
        </w:rPr>
      </w:pPr>
    </w:p>
    <w:p w14:paraId="57FBBDE7">
      <w:pPr>
        <w:pStyle w:val="577"/>
        <w:ind w:firstLine="2880" w:firstLineChars="1200"/>
        <w:rPr>
          <w:rFonts w:cs="宋体"/>
          <w:szCs w:val="24"/>
        </w:rPr>
      </w:pPr>
    </w:p>
    <w:p w14:paraId="139E5028">
      <w:pPr>
        <w:pStyle w:val="577"/>
        <w:ind w:firstLine="2880" w:firstLineChars="1200"/>
        <w:rPr>
          <w:rFonts w:cs="宋体"/>
          <w:szCs w:val="24"/>
        </w:rPr>
      </w:pPr>
    </w:p>
    <w:p w14:paraId="71FECB55">
      <w:pPr>
        <w:pStyle w:val="577"/>
        <w:ind w:firstLine="2880" w:firstLineChars="1200"/>
        <w:rPr>
          <w:rFonts w:cs="宋体"/>
          <w:szCs w:val="24"/>
        </w:rPr>
      </w:pPr>
      <w:r>
        <w:rPr>
          <w:rFonts w:hint="eastAsia" w:cs="宋体"/>
          <w:szCs w:val="24"/>
        </w:rPr>
        <w:t>磋商申请人（盖章或电子签章）：</w:t>
      </w:r>
      <w:r>
        <w:rPr>
          <w:rFonts w:hint="eastAsia" w:cs="宋体"/>
          <w:szCs w:val="24"/>
          <w:u w:val="single"/>
        </w:rPr>
        <w:t xml:space="preserve">                    </w:t>
      </w:r>
    </w:p>
    <w:p w14:paraId="250B2146">
      <w:pPr>
        <w:widowControl w:val="0"/>
        <w:snapToGrid w:val="0"/>
        <w:spacing w:after="100" w:afterAutospacing="1" w:line="360" w:lineRule="auto"/>
        <w:jc w:val="center"/>
        <w:outlineLvl w:val="1"/>
        <w:rPr>
          <w:rFonts w:ascii="宋体" w:hAnsi="宋体" w:cs="宋体"/>
        </w:rPr>
      </w:pPr>
    </w:p>
    <w:p w14:paraId="6DC46BBD">
      <w:pPr>
        <w:widowControl w:val="0"/>
        <w:snapToGrid w:val="0"/>
        <w:spacing w:after="100" w:afterAutospacing="1" w:line="360" w:lineRule="auto"/>
        <w:jc w:val="center"/>
        <w:outlineLvl w:val="1"/>
        <w:rPr>
          <w:rFonts w:ascii="宋体" w:hAnsi="宋体" w:cs="宋体"/>
        </w:rPr>
      </w:pPr>
      <w:r>
        <w:rPr>
          <w:rFonts w:hint="eastAsia" w:ascii="宋体" w:hAnsi="宋体" w:cs="宋体"/>
        </w:rPr>
        <w:t xml:space="preserve">                         </w:t>
      </w:r>
      <w:bookmarkStart w:id="141" w:name="_Toc6510"/>
      <w:bookmarkStart w:id="142" w:name="_Toc28184"/>
      <w:bookmarkStart w:id="143" w:name="_Toc9430"/>
      <w:bookmarkStart w:id="144" w:name="_Toc17908"/>
      <w:bookmarkStart w:id="145" w:name="_Toc28589"/>
      <w:bookmarkStart w:id="146" w:name="_Toc12163"/>
      <w:bookmarkStart w:id="147" w:name="_Toc14308"/>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bookmarkEnd w:id="141"/>
      <w:bookmarkEnd w:id="142"/>
      <w:bookmarkEnd w:id="143"/>
      <w:bookmarkEnd w:id="144"/>
      <w:bookmarkEnd w:id="145"/>
      <w:bookmarkEnd w:id="146"/>
      <w:bookmarkEnd w:id="147"/>
    </w:p>
    <w:p w14:paraId="2279C1C2">
      <w:pPr>
        <w:widowControl w:val="0"/>
        <w:snapToGrid w:val="0"/>
        <w:spacing w:after="100" w:afterAutospacing="1" w:line="360" w:lineRule="auto"/>
        <w:jc w:val="center"/>
        <w:outlineLvl w:val="1"/>
        <w:rPr>
          <w:rFonts w:ascii="宋体" w:hAnsi="宋体" w:cs="宋体"/>
        </w:rPr>
      </w:pPr>
    </w:p>
    <w:p w14:paraId="56564FC3">
      <w:pPr>
        <w:widowControl w:val="0"/>
        <w:snapToGrid w:val="0"/>
        <w:spacing w:after="100" w:afterAutospacing="1" w:line="360" w:lineRule="auto"/>
        <w:jc w:val="center"/>
        <w:outlineLvl w:val="1"/>
        <w:rPr>
          <w:rFonts w:ascii="宋体" w:hAnsi="宋体" w:cs="宋体"/>
        </w:rPr>
      </w:pPr>
    </w:p>
    <w:p w14:paraId="1F365168">
      <w:pPr>
        <w:widowControl w:val="0"/>
        <w:snapToGrid w:val="0"/>
        <w:spacing w:after="100" w:afterAutospacing="1" w:line="360" w:lineRule="auto"/>
        <w:jc w:val="center"/>
        <w:outlineLvl w:val="1"/>
        <w:rPr>
          <w:rFonts w:ascii="宋体" w:hAnsi="宋体" w:cs="宋体"/>
        </w:rPr>
      </w:pPr>
    </w:p>
    <w:p w14:paraId="387823FA">
      <w:pPr>
        <w:widowControl w:val="0"/>
        <w:snapToGrid w:val="0"/>
        <w:spacing w:after="100" w:afterAutospacing="1" w:line="360" w:lineRule="auto"/>
        <w:jc w:val="center"/>
        <w:outlineLvl w:val="1"/>
        <w:rPr>
          <w:rFonts w:ascii="宋体" w:hAnsi="宋体" w:cs="宋体"/>
          <w:b/>
          <w:bCs/>
        </w:rPr>
      </w:pPr>
    </w:p>
    <w:p w14:paraId="61BF9634">
      <w:pPr>
        <w:widowControl w:val="0"/>
        <w:snapToGrid w:val="0"/>
        <w:spacing w:after="100" w:afterAutospacing="1" w:line="360" w:lineRule="auto"/>
        <w:jc w:val="center"/>
        <w:outlineLvl w:val="1"/>
        <w:rPr>
          <w:rFonts w:ascii="宋体" w:hAnsi="宋体" w:cs="宋体"/>
          <w:b/>
          <w:bCs/>
        </w:rPr>
      </w:pPr>
    </w:p>
    <w:p w14:paraId="3389A10E">
      <w:pPr>
        <w:pStyle w:val="68"/>
        <w:rPr>
          <w:rFonts w:hint="default" w:ascii="宋体" w:hAnsi="宋体" w:cs="宋体"/>
          <w:b/>
          <w:bCs/>
          <w:sz w:val="24"/>
          <w:szCs w:val="24"/>
        </w:rPr>
      </w:pPr>
    </w:p>
    <w:p w14:paraId="238BD465">
      <w:pPr>
        <w:widowControl w:val="0"/>
        <w:snapToGrid w:val="0"/>
        <w:spacing w:after="100" w:afterAutospacing="1" w:line="360" w:lineRule="auto"/>
        <w:jc w:val="both"/>
        <w:outlineLvl w:val="1"/>
        <w:rPr>
          <w:rFonts w:ascii="宋体" w:hAnsi="宋体" w:cs="宋体"/>
          <w:b/>
          <w:bCs/>
        </w:rPr>
      </w:pPr>
    </w:p>
    <w:p w14:paraId="6DFF53D4">
      <w:pPr>
        <w:widowControl w:val="0"/>
        <w:snapToGrid w:val="0"/>
        <w:spacing w:after="100" w:afterAutospacing="1" w:line="360" w:lineRule="auto"/>
        <w:jc w:val="center"/>
        <w:outlineLvl w:val="1"/>
        <w:rPr>
          <w:rFonts w:ascii="宋体" w:hAnsi="宋体" w:cs="宋体"/>
          <w:b/>
          <w:bCs/>
        </w:rPr>
      </w:pPr>
      <w:bookmarkStart w:id="148" w:name="_Toc17124"/>
      <w:r>
        <w:rPr>
          <w:rFonts w:hint="eastAsia" w:ascii="宋体" w:hAnsi="宋体" w:cs="宋体"/>
          <w:b/>
          <w:bCs/>
          <w:lang w:val="en-US" w:eastAsia="zh-CN"/>
        </w:rPr>
        <w:t>九</w:t>
      </w:r>
      <w:r>
        <w:rPr>
          <w:rFonts w:hint="eastAsia" w:ascii="宋体" w:hAnsi="宋体" w:cs="宋体"/>
          <w:b/>
          <w:bCs/>
        </w:rPr>
        <w:t>、资格证明文件</w:t>
      </w:r>
      <w:bookmarkEnd w:id="148"/>
    </w:p>
    <w:p w14:paraId="6BBD4964">
      <w:pPr>
        <w:widowControl w:val="0"/>
        <w:spacing w:line="360" w:lineRule="auto"/>
        <w:ind w:firstLine="482" w:firstLineChars="200"/>
        <w:rPr>
          <w:rFonts w:ascii="宋体" w:hAnsi="宋体" w:cs="宋体"/>
          <w:b/>
          <w:bCs/>
        </w:rPr>
      </w:pPr>
      <w:r>
        <w:rPr>
          <w:rFonts w:hint="eastAsia" w:ascii="宋体" w:hAnsi="宋体" w:cs="宋体"/>
          <w:b/>
          <w:bCs/>
        </w:rPr>
        <w:t>资格证明文件包括：</w:t>
      </w:r>
    </w:p>
    <w:p w14:paraId="341EADFA">
      <w:pPr>
        <w:snapToGrid w:val="0"/>
        <w:spacing w:line="500" w:lineRule="exact"/>
        <w:ind w:firstLine="480" w:firstLineChars="200"/>
        <w:rPr>
          <w:rFonts w:hint="eastAsia" w:ascii="宋体" w:hAnsi="宋体" w:cs="宋体"/>
        </w:rPr>
      </w:pPr>
      <w:bookmarkStart w:id="149" w:name="_Toc22660"/>
      <w:bookmarkStart w:id="150" w:name="_Toc31930"/>
      <w:r>
        <w:rPr>
          <w:rFonts w:hint="eastAsia" w:ascii="宋体" w:hAnsi="宋体" w:cs="宋体"/>
        </w:rPr>
        <w:t>（1）具有独立承担民事责任的能力（提供有效营业执照）。</w:t>
      </w:r>
    </w:p>
    <w:p w14:paraId="06F68013">
      <w:pPr>
        <w:snapToGrid w:val="0"/>
        <w:spacing w:line="500" w:lineRule="exact"/>
        <w:ind w:firstLine="480" w:firstLineChars="200"/>
        <w:rPr>
          <w:rFonts w:hint="eastAsia" w:ascii="宋体" w:hAnsi="宋体" w:cs="宋体"/>
        </w:rPr>
      </w:pPr>
      <w:r>
        <w:rPr>
          <w:rFonts w:hint="eastAsia" w:ascii="宋体" w:hAnsi="宋体" w:cs="宋体"/>
        </w:rPr>
        <w:t>（2）具有良好的商业信誉和健全的财务会计制度（投标人提供2023年度或2024年度经第三方审计的财务报告及报表或企业自身出具的合法有效的财务报表；投标人成立不足1年的，可提供企业成立至今合法有效的财务资料）。</w:t>
      </w:r>
    </w:p>
    <w:p w14:paraId="12DD5B81">
      <w:pPr>
        <w:snapToGrid w:val="0"/>
        <w:spacing w:line="500" w:lineRule="exact"/>
        <w:ind w:firstLine="480" w:firstLineChars="200"/>
        <w:rPr>
          <w:rFonts w:hint="eastAsia" w:ascii="宋体" w:hAnsi="宋体" w:cs="宋体"/>
        </w:rPr>
      </w:pPr>
      <w:r>
        <w:rPr>
          <w:rFonts w:hint="eastAsia" w:ascii="宋体" w:hAnsi="宋体" w:cs="宋体"/>
        </w:rPr>
        <w:t>（3）</w:t>
      </w:r>
      <w:r>
        <w:rPr>
          <w:rFonts w:hint="eastAsia" w:ascii="宋体" w:hAnsi="宋体" w:cs="宋体"/>
          <w:lang w:eastAsia="zh-CN"/>
        </w:rPr>
        <w:t>具有履行合同所必需的设备和专业技术能力（提供书面声明）</w:t>
      </w:r>
      <w:r>
        <w:rPr>
          <w:rFonts w:hint="eastAsia" w:ascii="宋体" w:hAnsi="宋体" w:cs="宋体"/>
        </w:rPr>
        <w:t>。</w:t>
      </w:r>
    </w:p>
    <w:p w14:paraId="350045D1">
      <w:pPr>
        <w:snapToGrid w:val="0"/>
        <w:spacing w:line="500" w:lineRule="exact"/>
        <w:ind w:firstLine="480" w:firstLineChars="200"/>
        <w:rPr>
          <w:rFonts w:hint="eastAsia" w:ascii="宋体" w:hAnsi="宋体" w:cs="宋体"/>
        </w:rPr>
      </w:pPr>
      <w:r>
        <w:rPr>
          <w:rFonts w:hint="eastAsia" w:ascii="宋体" w:hAnsi="宋体" w:cs="宋体"/>
        </w:rPr>
        <w:t>（4）有依法缴纳税收和社会保障资金的良好记录（投标人提供缴税所属时间在2024年01月至本项目投标响应文件提交截止时间前任意1个月的税务局税收通用缴款书或银行电子缴税（费）凭证或税务局出具纳税情况的相关证明，依法免税的，应提供依法免税的相关证明文件；至开标截止时间投标人成立时间不足1个月的可根据自身情况提供依法缴纳税收相关材料或提供书面情况说明；投标人提供缴费所属时间在2024年01月至本项目投标响应文件提交截止时间前任意1个月的社会保险费缴款书或银行电子缴税（费）凭证或社保管理部门出具的有效的缴款证明，依法免缴的，应提供依法免缴的相关证明文件；至开标截止时间投标人成立时间不足1个月的可根据自身情况提供依法缴纳社会保障资金相关材料或提供书面情况说明。）</w:t>
      </w:r>
    </w:p>
    <w:p w14:paraId="1AAFB715">
      <w:pPr>
        <w:snapToGrid w:val="0"/>
        <w:spacing w:line="500" w:lineRule="exact"/>
        <w:ind w:firstLine="480" w:firstLineChars="200"/>
        <w:rPr>
          <w:rFonts w:hint="eastAsia" w:ascii="宋体" w:hAnsi="宋体" w:cs="宋体"/>
        </w:rPr>
      </w:pPr>
      <w:r>
        <w:rPr>
          <w:rFonts w:hint="eastAsia" w:ascii="宋体" w:hAnsi="宋体" w:cs="宋体"/>
        </w:rPr>
        <w:t>（5）参加政府采购活动前三年内，在经营活动中没有重大违法记录（自行承诺）；</w:t>
      </w:r>
    </w:p>
    <w:p w14:paraId="021E6AC4">
      <w:pPr>
        <w:snapToGrid w:val="0"/>
        <w:spacing w:line="500" w:lineRule="exact"/>
        <w:ind w:firstLine="480" w:firstLineChars="200"/>
        <w:rPr>
          <w:rFonts w:hint="eastAsia" w:ascii="宋体" w:hAnsi="宋体" w:cs="宋体"/>
        </w:rPr>
      </w:pPr>
      <w:r>
        <w:rPr>
          <w:rFonts w:hint="eastAsia" w:ascii="宋体" w:hAnsi="宋体" w:cs="宋体"/>
        </w:rPr>
        <w:t>（6）法律、行政法规规定的其他条件（自行承诺）。</w:t>
      </w:r>
    </w:p>
    <w:p w14:paraId="1E58FC89">
      <w:pPr>
        <w:snapToGrid w:val="0"/>
        <w:spacing w:line="500" w:lineRule="exact"/>
        <w:ind w:firstLine="480" w:firstLineChars="200"/>
        <w:rPr>
          <w:rFonts w:hint="eastAsia" w:ascii="宋体" w:hAnsi="宋体" w:cs="宋体"/>
          <w:lang w:eastAsia="zh-CN"/>
        </w:rPr>
      </w:pPr>
      <w:r>
        <w:rPr>
          <w:rFonts w:hint="eastAsia" w:ascii="宋体" w:hAnsi="宋体" w:cs="宋体"/>
        </w:rPr>
        <w:t>（7）单位负责人为同一人或者存在直接控股、管理关系的不同磋商申请人，不得参加同一合同项下的政府采购活动（自行承诺）</w:t>
      </w:r>
      <w:r>
        <w:rPr>
          <w:rFonts w:hint="eastAsia" w:ascii="宋体" w:hAnsi="宋体" w:cs="宋体"/>
          <w:lang w:eastAsia="zh-CN"/>
        </w:rPr>
        <w:t>。</w:t>
      </w:r>
    </w:p>
    <w:p w14:paraId="54675D3F">
      <w:pPr>
        <w:spacing w:line="510" w:lineRule="exact"/>
        <w:ind w:firstLine="480" w:firstLineChars="200"/>
        <w:rPr>
          <w:rFonts w:hint="default" w:eastAsia="宋体"/>
          <w:lang w:val="en-US" w:eastAsia="zh-CN"/>
        </w:rPr>
      </w:pPr>
      <w:r>
        <w:rPr>
          <w:rFonts w:hint="eastAsia" w:ascii="宋体" w:hAnsi="宋体" w:cs="宋体"/>
          <w:lang w:eastAsia="zh-CN"/>
        </w:rPr>
        <w:t>（</w:t>
      </w:r>
      <w:r>
        <w:rPr>
          <w:rFonts w:hint="eastAsia" w:ascii="宋体" w:hAnsi="宋体" w:cs="宋体"/>
          <w:lang w:val="en-US" w:eastAsia="zh-CN"/>
        </w:rPr>
        <w:t>8）</w:t>
      </w:r>
      <w:r>
        <w:rPr>
          <w:rFonts w:hint="eastAsia" w:ascii="宋体" w:hAnsi="宋体"/>
          <w:color w:val="auto"/>
          <w:sz w:val="24"/>
          <w:szCs w:val="24"/>
          <w:highlight w:val="none"/>
          <w:lang w:eastAsia="zh-CN"/>
        </w:rPr>
        <w:t>供应商在磋商响应截止日期前未被列入“信用中国”网站“失信被执行人”（中国执行信息公开网）、“拖欠农民工工资失信联合惩戒对象名单”、“重大税收违法失信主体”，未被列入中国政府采购网“政府采购严重违法失信行为信息记录名单”，由采购人及采购代理机构按照以上条款对参与磋商的各申请人的信用信息进行核查，有不良记录的磋商申请将被拒绝。</w:t>
      </w:r>
    </w:p>
    <w:p w14:paraId="43CEEB92">
      <w:pPr>
        <w:snapToGrid w:val="0"/>
        <w:spacing w:line="500" w:lineRule="exact"/>
        <w:ind w:firstLine="480" w:firstLineChars="200"/>
        <w:rPr>
          <w:rFonts w:hint="default" w:ascii="宋体" w:hAnsi="宋体" w:cs="宋体"/>
          <w:lang w:val="en-US" w:eastAsia="zh-CN"/>
        </w:rPr>
      </w:pPr>
    </w:p>
    <w:p w14:paraId="27907759">
      <w:pPr>
        <w:pStyle w:val="68"/>
        <w:ind w:left="0" w:leftChars="0" w:firstLine="0" w:firstLineChars="0"/>
        <w:rPr>
          <w:rFonts w:hint="default" w:ascii="宋体" w:hAnsi="宋体" w:cs="宋体"/>
          <w:b/>
          <w:sz w:val="24"/>
          <w:szCs w:val="24"/>
        </w:rPr>
      </w:pPr>
    </w:p>
    <w:p w14:paraId="4E616E7A">
      <w:pPr>
        <w:pStyle w:val="68"/>
        <w:ind w:left="0" w:leftChars="0" w:firstLine="0" w:firstLineChars="0"/>
        <w:rPr>
          <w:rFonts w:hint="default" w:ascii="宋体" w:hAnsi="宋体" w:cs="宋体"/>
          <w:b/>
          <w:sz w:val="24"/>
          <w:szCs w:val="24"/>
        </w:rPr>
      </w:pPr>
    </w:p>
    <w:p w14:paraId="7345CB9D">
      <w:pPr>
        <w:widowControl w:val="0"/>
        <w:snapToGrid w:val="0"/>
        <w:spacing w:line="360" w:lineRule="auto"/>
        <w:jc w:val="center"/>
        <w:outlineLvl w:val="1"/>
        <w:rPr>
          <w:rFonts w:hint="eastAsia" w:ascii="宋体" w:hAnsi="宋体" w:eastAsia="宋体" w:cs="宋体"/>
          <w:b/>
          <w:sz w:val="28"/>
          <w:szCs w:val="28"/>
          <w:lang w:eastAsia="zh-CN"/>
        </w:rPr>
      </w:pPr>
      <w:bookmarkStart w:id="151" w:name="_Toc25868"/>
      <w:r>
        <w:rPr>
          <w:rFonts w:hint="eastAsia" w:ascii="宋体" w:hAnsi="宋体" w:cs="宋体"/>
          <w:b/>
          <w:lang w:val="en-US" w:eastAsia="zh-CN"/>
        </w:rPr>
        <w:t>十</w:t>
      </w:r>
      <w:r>
        <w:rPr>
          <w:rFonts w:hint="eastAsia" w:ascii="宋体" w:hAnsi="宋体" w:cs="宋体"/>
          <w:b/>
        </w:rPr>
        <w:t>、</w:t>
      </w:r>
      <w:bookmarkEnd w:id="149"/>
      <w:bookmarkEnd w:id="150"/>
      <w:bookmarkEnd w:id="151"/>
      <w:r>
        <w:rPr>
          <w:rFonts w:hint="eastAsia" w:ascii="宋体" w:hAnsi="宋体" w:cs="宋体"/>
          <w:b/>
          <w:sz w:val="26"/>
          <w:szCs w:val="26"/>
          <w:lang w:val="en-US" w:eastAsia="zh-CN"/>
        </w:rPr>
        <w:t>技术部分</w:t>
      </w:r>
    </w:p>
    <w:p w14:paraId="43EEF64E">
      <w:pPr>
        <w:spacing w:line="360" w:lineRule="auto"/>
        <w:ind w:firstLine="200"/>
        <w:jc w:val="center"/>
        <w:rPr>
          <w:rFonts w:ascii="宋体" w:hAnsi="宋体" w:cs="宋体"/>
          <w:szCs w:val="21"/>
        </w:rPr>
      </w:pPr>
      <w:r>
        <w:rPr>
          <w:rFonts w:hint="eastAsia" w:ascii="宋体" w:hAnsi="宋体" w:cs="宋体"/>
          <w:szCs w:val="21"/>
        </w:rPr>
        <w:t>（格式由各磋商申请人自拟）</w:t>
      </w:r>
    </w:p>
    <w:p w14:paraId="48402857">
      <w:pPr>
        <w:spacing w:line="360" w:lineRule="auto"/>
        <w:ind w:firstLine="512" w:firstLineChars="200"/>
        <w:rPr>
          <w:rFonts w:ascii="宋体" w:hAnsi="宋体"/>
          <w:szCs w:val="21"/>
        </w:rPr>
      </w:pPr>
      <w:r>
        <w:rPr>
          <w:rFonts w:hint="eastAsia" w:ascii="宋体" w:hAnsi="宋体"/>
          <w:bCs/>
          <w:spacing w:val="8"/>
          <w:szCs w:val="21"/>
        </w:rPr>
        <w:t>具体要求：编制时应采用文字并结合图表形式说明各分部分项项目的施工方法；拟投入的主要施工机械设备情况；劳动力计划等；结合本项目特点提出切实可行的项目质量、安全生产、文明施工、项目进度、技术组织措施，同时应对关键工序、复杂环节重点提出相应技术措施，如冬雨季施工技术措施、减少扰民噪音、降低环境污染技术措施、地下管线及其他地上地下设施的保护加固措施等内容。</w:t>
      </w:r>
      <w:r>
        <w:rPr>
          <w:rFonts w:hint="eastAsia" w:ascii="宋体" w:hAnsi="宋体"/>
          <w:szCs w:val="21"/>
        </w:rPr>
        <w:t>包含但不限于以下内容：</w:t>
      </w:r>
    </w:p>
    <w:p w14:paraId="2D5BF61D">
      <w:pPr>
        <w:spacing w:line="360" w:lineRule="auto"/>
        <w:ind w:firstLine="480" w:firstLineChars="200"/>
        <w:rPr>
          <w:rFonts w:ascii="宋体" w:hAnsi="宋体"/>
          <w:szCs w:val="21"/>
        </w:rPr>
      </w:pPr>
      <w:r>
        <w:rPr>
          <w:rFonts w:hint="eastAsia" w:ascii="宋体" w:hAnsi="宋体"/>
          <w:szCs w:val="21"/>
        </w:rPr>
        <w:t>1.施工方案与技术措施（项目总体概况、项目施工部署安排、施工方法和技术措施等内容）。</w:t>
      </w:r>
    </w:p>
    <w:p w14:paraId="0CD7A68B">
      <w:pPr>
        <w:spacing w:line="360" w:lineRule="auto"/>
        <w:ind w:firstLine="480" w:firstLineChars="200"/>
        <w:rPr>
          <w:rFonts w:ascii="宋体" w:hAnsi="宋体"/>
          <w:szCs w:val="21"/>
        </w:rPr>
      </w:pPr>
      <w:r>
        <w:rPr>
          <w:rFonts w:hint="eastAsia" w:ascii="宋体" w:hAnsi="宋体"/>
          <w:szCs w:val="21"/>
        </w:rPr>
        <w:t>2.质量管理体系与措施（施工质量管理目标、质量管理机构介绍、机构职责分工情况、管理制度描述、质量管理实施与监控技术措施等方面）。</w:t>
      </w:r>
    </w:p>
    <w:p w14:paraId="5712B986">
      <w:pPr>
        <w:spacing w:line="360" w:lineRule="auto"/>
        <w:ind w:firstLine="480" w:firstLineChars="200"/>
        <w:rPr>
          <w:rFonts w:ascii="宋体" w:hAnsi="宋体"/>
          <w:szCs w:val="21"/>
        </w:rPr>
      </w:pPr>
      <w:r>
        <w:rPr>
          <w:rFonts w:hint="eastAsia" w:ascii="宋体" w:hAnsi="宋体"/>
          <w:szCs w:val="21"/>
        </w:rPr>
        <w:t>3.环境保护安全管理体系与措施（环境保护安全目标、安全管理机构介绍、机构职责分工情况、管理制度描述、环境保护安全管理实施与监控技术措施等方面）。</w:t>
      </w:r>
    </w:p>
    <w:p w14:paraId="2459AB24">
      <w:pPr>
        <w:spacing w:line="360" w:lineRule="auto"/>
        <w:ind w:firstLine="480" w:firstLineChars="200"/>
        <w:rPr>
          <w:rFonts w:ascii="宋体" w:hAnsi="宋体"/>
          <w:szCs w:val="21"/>
        </w:rPr>
      </w:pPr>
      <w:r>
        <w:rPr>
          <w:rFonts w:hint="eastAsia" w:ascii="宋体" w:hAnsi="宋体"/>
          <w:szCs w:val="21"/>
        </w:rPr>
        <w:t>4.工程进度计划与保证措施（计划开、竣工日期和施工进度安排、计划安排保障措施等方面，须附“计划开、竣工日期和施工进度网络图”）。</w:t>
      </w:r>
    </w:p>
    <w:p w14:paraId="6BD7FE8F">
      <w:pPr>
        <w:spacing w:line="360" w:lineRule="auto"/>
        <w:ind w:firstLine="480" w:firstLineChars="200"/>
        <w:rPr>
          <w:rFonts w:ascii="宋体" w:hAnsi="宋体"/>
          <w:szCs w:val="21"/>
        </w:rPr>
      </w:pPr>
      <w:r>
        <w:rPr>
          <w:rFonts w:hint="eastAsia" w:ascii="宋体" w:hAnsi="宋体"/>
          <w:szCs w:val="21"/>
        </w:rPr>
        <w:t>5.资源配备计划（劳动力计划、周转材料计划、施工机具计划、主要材料一次性需用量计划等资源投入计划等内容，须附“</w:t>
      </w:r>
      <w:r>
        <w:rPr>
          <w:rFonts w:hint="eastAsia" w:ascii="宋体" w:hAnsi="宋体" w:cs="宋体"/>
          <w:szCs w:val="21"/>
        </w:rPr>
        <w:t>劳动力计划表、拟投入的主要</w:t>
      </w:r>
      <w:r>
        <w:rPr>
          <w:rFonts w:hint="eastAsia" w:ascii="宋体" w:hAnsi="宋体"/>
          <w:szCs w:val="21"/>
        </w:rPr>
        <w:t>施工机具</w:t>
      </w:r>
      <w:r>
        <w:rPr>
          <w:rFonts w:hint="eastAsia" w:ascii="宋体" w:hAnsi="宋体" w:cs="宋体"/>
          <w:szCs w:val="21"/>
        </w:rPr>
        <w:t>表</w:t>
      </w:r>
      <w:r>
        <w:rPr>
          <w:rFonts w:hint="eastAsia" w:ascii="宋体" w:hAnsi="宋体"/>
          <w:szCs w:val="21"/>
        </w:rPr>
        <w:t>”等）。</w:t>
      </w:r>
    </w:p>
    <w:p w14:paraId="632CACE9">
      <w:pPr>
        <w:spacing w:line="480" w:lineRule="exact"/>
        <w:ind w:firstLine="540" w:firstLineChars="225"/>
        <w:rPr>
          <w:rFonts w:hint="default" w:ascii="宋体" w:hAnsi="宋体" w:eastAsia="宋体" w:cs="宋体"/>
          <w:lang w:val="en-US" w:eastAsia="zh-CN"/>
        </w:rPr>
      </w:pPr>
      <w:r>
        <w:rPr>
          <w:rFonts w:hint="eastAsia" w:ascii="宋体" w:hAnsi="宋体" w:cs="宋体"/>
          <w:lang w:val="en-US" w:eastAsia="zh-CN"/>
        </w:rPr>
        <w:t>6.项目管理机构配置（详见附件）</w:t>
      </w:r>
    </w:p>
    <w:p w14:paraId="195A5D2C">
      <w:pPr>
        <w:rPr>
          <w:rFonts w:ascii="宋体" w:hAnsi="宋体" w:cs="宋体"/>
          <w:b/>
          <w:bCs/>
          <w:szCs w:val="21"/>
        </w:rPr>
      </w:pPr>
      <w:r>
        <w:rPr>
          <w:rFonts w:hint="eastAsia" w:ascii="宋体" w:hAnsi="宋体" w:cs="宋体"/>
          <w:b/>
          <w:bCs/>
          <w:szCs w:val="21"/>
        </w:rPr>
        <w:br w:type="page"/>
      </w:r>
    </w:p>
    <w:p w14:paraId="139C10DD">
      <w:pPr>
        <w:pStyle w:val="4"/>
        <w:spacing w:line="480" w:lineRule="exact"/>
        <w:ind w:firstLine="422"/>
        <w:jc w:val="center"/>
        <w:rPr>
          <w:rFonts w:ascii="宋体" w:hAnsi="宋体" w:eastAsia="宋体" w:cs="宋体"/>
          <w:b/>
          <w:kern w:val="0"/>
          <w:szCs w:val="21"/>
          <w:lang w:val="en-US"/>
        </w:rPr>
      </w:pPr>
      <w:bookmarkStart w:id="152" w:name="_Toc17313"/>
      <w:bookmarkStart w:id="153" w:name="_Toc119422002"/>
      <w:r>
        <w:rPr>
          <w:rFonts w:hint="eastAsia" w:ascii="宋体" w:hAnsi="宋体" w:eastAsia="宋体" w:cs="宋体"/>
          <w:b/>
          <w:kern w:val="0"/>
          <w:szCs w:val="21"/>
          <w:lang w:val="en-US"/>
        </w:rPr>
        <w:t>图1  计划开、竣工日期和施工进度网络图</w:t>
      </w:r>
      <w:bookmarkEnd w:id="152"/>
      <w:bookmarkEnd w:id="153"/>
    </w:p>
    <w:p w14:paraId="32EC1416">
      <w:pPr>
        <w:pStyle w:val="30"/>
        <w:snapToGrid w:val="0"/>
        <w:spacing w:line="480" w:lineRule="exact"/>
        <w:ind w:firstLine="630"/>
        <w:rPr>
          <w:rFonts w:hAnsi="宋体"/>
        </w:rPr>
      </w:pPr>
      <w:r>
        <w:rPr>
          <w:rFonts w:hint="eastAsia" w:hAnsi="宋体"/>
        </w:rPr>
        <w:t>1.磋商申请人应提交初步的施工进度表或网络图，说明按竞争性磋商文件要求的工期进行施工的各个关键日期。中标的磋商申请人还要按合同条件有关条款的要求提交详细的施工进度计划。</w:t>
      </w:r>
    </w:p>
    <w:p w14:paraId="040797F0">
      <w:pPr>
        <w:pStyle w:val="30"/>
        <w:snapToGrid w:val="0"/>
        <w:spacing w:line="480" w:lineRule="exact"/>
        <w:ind w:firstLine="630"/>
        <w:rPr>
          <w:rFonts w:hAnsi="宋体"/>
        </w:rPr>
      </w:pPr>
      <w:r>
        <w:rPr>
          <w:rFonts w:hint="eastAsia" w:hAnsi="宋体"/>
        </w:rPr>
        <w:t>2.初步施工进度表可采用横道图（或关键线路网络图）表示，说明计划开工日期和各分项工程各阶段的完工日期和分包合同签订的日期。</w:t>
      </w:r>
    </w:p>
    <w:p w14:paraId="3CFCC0BC">
      <w:pPr>
        <w:spacing w:line="480" w:lineRule="exact"/>
        <w:ind w:firstLine="540" w:firstLineChars="225"/>
        <w:rPr>
          <w:rFonts w:ascii="宋体" w:hAnsi="宋体" w:cs="宋体"/>
        </w:rPr>
      </w:pPr>
      <w:r>
        <w:rPr>
          <w:rFonts w:hint="eastAsia" w:ascii="宋体" w:hAnsi="宋体" w:cs="宋体"/>
          <w:szCs w:val="21"/>
        </w:rPr>
        <w:t>3.施工进度计划应与施工方案或施工组织设计相适应。</w:t>
      </w:r>
    </w:p>
    <w:p w14:paraId="755709E1">
      <w:pPr>
        <w:pStyle w:val="4"/>
        <w:spacing w:line="480" w:lineRule="exact"/>
        <w:jc w:val="center"/>
        <w:rPr>
          <w:rFonts w:ascii="宋体" w:hAnsi="宋体" w:eastAsia="宋体" w:cs="宋体"/>
          <w:sz w:val="21"/>
          <w:szCs w:val="21"/>
        </w:rPr>
      </w:pPr>
      <w:bookmarkStart w:id="154" w:name="_Toc20327"/>
      <w:bookmarkStart w:id="155" w:name="_Toc119422003"/>
      <w:r>
        <w:rPr>
          <w:rFonts w:hint="eastAsia" w:ascii="宋体" w:hAnsi="宋体" w:eastAsia="宋体" w:cs="宋体"/>
          <w:sz w:val="21"/>
          <w:szCs w:val="21"/>
        </w:rPr>
        <w:t>劳动力计划表</w:t>
      </w:r>
      <w:bookmarkEnd w:id="154"/>
      <w:bookmarkEnd w:id="155"/>
    </w:p>
    <w:p w14:paraId="7096723D">
      <w:pPr>
        <w:ind w:right="345"/>
        <w:jc w:val="right"/>
        <w:rPr>
          <w:rFonts w:ascii="宋体" w:hAnsi="宋体"/>
          <w:szCs w:val="21"/>
        </w:rPr>
      </w:pPr>
      <w:r>
        <w:rPr>
          <w:rFonts w:ascii="宋体" w:hAnsi="宋体"/>
          <w:szCs w:val="21"/>
        </w:rPr>
        <w:t>单位：人</w:t>
      </w:r>
    </w:p>
    <w:tbl>
      <w:tblPr>
        <w:tblStyle w:val="5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09"/>
        <w:gridCol w:w="1132"/>
        <w:gridCol w:w="1133"/>
        <w:gridCol w:w="1133"/>
        <w:gridCol w:w="1133"/>
        <w:gridCol w:w="1133"/>
        <w:gridCol w:w="1133"/>
      </w:tblGrid>
      <w:tr w14:paraId="4E65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5" w:type="dxa"/>
            <w:vAlign w:val="center"/>
          </w:tcPr>
          <w:p w14:paraId="7061F712">
            <w:pPr>
              <w:jc w:val="center"/>
              <w:rPr>
                <w:rFonts w:ascii="宋体" w:hAnsi="宋体"/>
                <w:szCs w:val="21"/>
              </w:rPr>
            </w:pPr>
            <w:r>
              <w:rPr>
                <w:rFonts w:ascii="宋体" w:hAnsi="宋体"/>
                <w:szCs w:val="21"/>
              </w:rPr>
              <w:t>工种</w:t>
            </w:r>
          </w:p>
        </w:tc>
        <w:tc>
          <w:tcPr>
            <w:tcW w:w="8306" w:type="dxa"/>
            <w:gridSpan w:val="7"/>
            <w:vAlign w:val="center"/>
          </w:tcPr>
          <w:p w14:paraId="40F76616">
            <w:pPr>
              <w:jc w:val="center"/>
              <w:rPr>
                <w:rFonts w:ascii="宋体" w:hAnsi="宋体"/>
                <w:szCs w:val="21"/>
              </w:rPr>
            </w:pPr>
            <w:r>
              <w:rPr>
                <w:rFonts w:ascii="宋体" w:hAnsi="宋体"/>
                <w:szCs w:val="21"/>
              </w:rPr>
              <w:t>按工程施工阶段投入劳动力情况</w:t>
            </w:r>
          </w:p>
        </w:tc>
      </w:tr>
      <w:tr w14:paraId="47ED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18E5A4DF">
            <w:pPr>
              <w:jc w:val="center"/>
              <w:rPr>
                <w:rFonts w:ascii="宋体" w:hAnsi="宋体"/>
                <w:szCs w:val="21"/>
              </w:rPr>
            </w:pPr>
          </w:p>
        </w:tc>
        <w:tc>
          <w:tcPr>
            <w:tcW w:w="1509" w:type="dxa"/>
            <w:vAlign w:val="center"/>
          </w:tcPr>
          <w:p w14:paraId="56FBEC37">
            <w:pPr>
              <w:jc w:val="center"/>
              <w:rPr>
                <w:rFonts w:ascii="宋体" w:hAnsi="宋体"/>
                <w:szCs w:val="21"/>
              </w:rPr>
            </w:pPr>
          </w:p>
        </w:tc>
        <w:tc>
          <w:tcPr>
            <w:tcW w:w="1132" w:type="dxa"/>
            <w:vAlign w:val="center"/>
          </w:tcPr>
          <w:p w14:paraId="048B0F3B">
            <w:pPr>
              <w:jc w:val="center"/>
              <w:rPr>
                <w:rFonts w:ascii="宋体" w:hAnsi="宋体"/>
                <w:szCs w:val="21"/>
              </w:rPr>
            </w:pPr>
          </w:p>
        </w:tc>
        <w:tc>
          <w:tcPr>
            <w:tcW w:w="1133" w:type="dxa"/>
            <w:vAlign w:val="center"/>
          </w:tcPr>
          <w:p w14:paraId="606AE7EA">
            <w:pPr>
              <w:jc w:val="center"/>
              <w:rPr>
                <w:rFonts w:ascii="宋体" w:hAnsi="宋体"/>
                <w:szCs w:val="21"/>
              </w:rPr>
            </w:pPr>
          </w:p>
        </w:tc>
        <w:tc>
          <w:tcPr>
            <w:tcW w:w="1133" w:type="dxa"/>
            <w:vAlign w:val="center"/>
          </w:tcPr>
          <w:p w14:paraId="27DC8CA0">
            <w:pPr>
              <w:jc w:val="center"/>
              <w:rPr>
                <w:rFonts w:ascii="宋体" w:hAnsi="宋体"/>
                <w:szCs w:val="21"/>
              </w:rPr>
            </w:pPr>
          </w:p>
        </w:tc>
        <w:tc>
          <w:tcPr>
            <w:tcW w:w="1133" w:type="dxa"/>
            <w:vAlign w:val="center"/>
          </w:tcPr>
          <w:p w14:paraId="4090EFDC">
            <w:pPr>
              <w:jc w:val="center"/>
              <w:rPr>
                <w:rFonts w:ascii="宋体" w:hAnsi="宋体"/>
                <w:szCs w:val="21"/>
              </w:rPr>
            </w:pPr>
          </w:p>
        </w:tc>
        <w:tc>
          <w:tcPr>
            <w:tcW w:w="1133" w:type="dxa"/>
            <w:vAlign w:val="center"/>
          </w:tcPr>
          <w:p w14:paraId="57846034">
            <w:pPr>
              <w:jc w:val="center"/>
              <w:rPr>
                <w:rFonts w:ascii="宋体" w:hAnsi="宋体"/>
                <w:szCs w:val="21"/>
              </w:rPr>
            </w:pPr>
          </w:p>
        </w:tc>
        <w:tc>
          <w:tcPr>
            <w:tcW w:w="1133" w:type="dxa"/>
            <w:vAlign w:val="center"/>
          </w:tcPr>
          <w:p w14:paraId="06326D05">
            <w:pPr>
              <w:jc w:val="center"/>
              <w:rPr>
                <w:rFonts w:ascii="宋体" w:hAnsi="宋体"/>
                <w:szCs w:val="21"/>
              </w:rPr>
            </w:pPr>
          </w:p>
        </w:tc>
      </w:tr>
      <w:tr w14:paraId="2B61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5F1E0E55">
            <w:pPr>
              <w:jc w:val="center"/>
              <w:rPr>
                <w:rFonts w:ascii="宋体" w:hAnsi="宋体"/>
                <w:szCs w:val="21"/>
              </w:rPr>
            </w:pPr>
          </w:p>
        </w:tc>
        <w:tc>
          <w:tcPr>
            <w:tcW w:w="1509" w:type="dxa"/>
            <w:vAlign w:val="center"/>
          </w:tcPr>
          <w:p w14:paraId="746FA723">
            <w:pPr>
              <w:jc w:val="center"/>
              <w:rPr>
                <w:rFonts w:ascii="宋体" w:hAnsi="宋体"/>
                <w:szCs w:val="21"/>
              </w:rPr>
            </w:pPr>
          </w:p>
        </w:tc>
        <w:tc>
          <w:tcPr>
            <w:tcW w:w="1132" w:type="dxa"/>
            <w:vAlign w:val="center"/>
          </w:tcPr>
          <w:p w14:paraId="04EC912E">
            <w:pPr>
              <w:jc w:val="center"/>
              <w:rPr>
                <w:rFonts w:ascii="宋体" w:hAnsi="宋体"/>
                <w:szCs w:val="21"/>
              </w:rPr>
            </w:pPr>
          </w:p>
        </w:tc>
        <w:tc>
          <w:tcPr>
            <w:tcW w:w="1133" w:type="dxa"/>
            <w:vAlign w:val="center"/>
          </w:tcPr>
          <w:p w14:paraId="52FFCA9A">
            <w:pPr>
              <w:jc w:val="center"/>
              <w:rPr>
                <w:rFonts w:ascii="宋体" w:hAnsi="宋体"/>
                <w:szCs w:val="21"/>
              </w:rPr>
            </w:pPr>
          </w:p>
        </w:tc>
        <w:tc>
          <w:tcPr>
            <w:tcW w:w="1133" w:type="dxa"/>
            <w:vAlign w:val="center"/>
          </w:tcPr>
          <w:p w14:paraId="70AFBAE3">
            <w:pPr>
              <w:jc w:val="center"/>
              <w:rPr>
                <w:rFonts w:ascii="宋体" w:hAnsi="宋体"/>
                <w:szCs w:val="21"/>
              </w:rPr>
            </w:pPr>
          </w:p>
        </w:tc>
        <w:tc>
          <w:tcPr>
            <w:tcW w:w="1133" w:type="dxa"/>
            <w:vAlign w:val="center"/>
          </w:tcPr>
          <w:p w14:paraId="0B988FB9">
            <w:pPr>
              <w:jc w:val="center"/>
              <w:rPr>
                <w:rFonts w:ascii="宋体" w:hAnsi="宋体"/>
                <w:szCs w:val="21"/>
              </w:rPr>
            </w:pPr>
          </w:p>
        </w:tc>
        <w:tc>
          <w:tcPr>
            <w:tcW w:w="1133" w:type="dxa"/>
            <w:vAlign w:val="center"/>
          </w:tcPr>
          <w:p w14:paraId="028DEA7B">
            <w:pPr>
              <w:jc w:val="center"/>
              <w:rPr>
                <w:rFonts w:ascii="宋体" w:hAnsi="宋体"/>
                <w:szCs w:val="21"/>
              </w:rPr>
            </w:pPr>
          </w:p>
        </w:tc>
        <w:tc>
          <w:tcPr>
            <w:tcW w:w="1133" w:type="dxa"/>
            <w:vAlign w:val="center"/>
          </w:tcPr>
          <w:p w14:paraId="7A1894D4">
            <w:pPr>
              <w:jc w:val="center"/>
              <w:rPr>
                <w:rFonts w:ascii="宋体" w:hAnsi="宋体"/>
                <w:szCs w:val="21"/>
              </w:rPr>
            </w:pPr>
          </w:p>
        </w:tc>
      </w:tr>
      <w:tr w14:paraId="28CC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7ED1A33D">
            <w:pPr>
              <w:jc w:val="center"/>
              <w:rPr>
                <w:rFonts w:ascii="宋体" w:hAnsi="宋体"/>
                <w:szCs w:val="21"/>
              </w:rPr>
            </w:pPr>
          </w:p>
        </w:tc>
        <w:tc>
          <w:tcPr>
            <w:tcW w:w="1509" w:type="dxa"/>
            <w:vAlign w:val="center"/>
          </w:tcPr>
          <w:p w14:paraId="35A13E0F">
            <w:pPr>
              <w:jc w:val="center"/>
              <w:rPr>
                <w:rFonts w:ascii="宋体" w:hAnsi="宋体"/>
                <w:szCs w:val="21"/>
              </w:rPr>
            </w:pPr>
          </w:p>
        </w:tc>
        <w:tc>
          <w:tcPr>
            <w:tcW w:w="1132" w:type="dxa"/>
            <w:vAlign w:val="center"/>
          </w:tcPr>
          <w:p w14:paraId="4D2A170D">
            <w:pPr>
              <w:jc w:val="center"/>
              <w:rPr>
                <w:rFonts w:ascii="宋体" w:hAnsi="宋体"/>
                <w:szCs w:val="21"/>
              </w:rPr>
            </w:pPr>
          </w:p>
        </w:tc>
        <w:tc>
          <w:tcPr>
            <w:tcW w:w="1133" w:type="dxa"/>
            <w:vAlign w:val="center"/>
          </w:tcPr>
          <w:p w14:paraId="596D6B59">
            <w:pPr>
              <w:jc w:val="center"/>
              <w:rPr>
                <w:rFonts w:ascii="宋体" w:hAnsi="宋体"/>
                <w:szCs w:val="21"/>
              </w:rPr>
            </w:pPr>
          </w:p>
        </w:tc>
        <w:tc>
          <w:tcPr>
            <w:tcW w:w="1133" w:type="dxa"/>
            <w:vAlign w:val="center"/>
          </w:tcPr>
          <w:p w14:paraId="1A658B5C">
            <w:pPr>
              <w:jc w:val="center"/>
              <w:rPr>
                <w:rFonts w:ascii="宋体" w:hAnsi="宋体"/>
                <w:szCs w:val="21"/>
              </w:rPr>
            </w:pPr>
          </w:p>
        </w:tc>
        <w:tc>
          <w:tcPr>
            <w:tcW w:w="1133" w:type="dxa"/>
            <w:vAlign w:val="center"/>
          </w:tcPr>
          <w:p w14:paraId="6B272E9E">
            <w:pPr>
              <w:jc w:val="center"/>
              <w:rPr>
                <w:rFonts w:ascii="宋体" w:hAnsi="宋体"/>
                <w:szCs w:val="21"/>
              </w:rPr>
            </w:pPr>
          </w:p>
        </w:tc>
        <w:tc>
          <w:tcPr>
            <w:tcW w:w="1133" w:type="dxa"/>
            <w:vAlign w:val="center"/>
          </w:tcPr>
          <w:p w14:paraId="785D440D">
            <w:pPr>
              <w:jc w:val="center"/>
              <w:rPr>
                <w:rFonts w:ascii="宋体" w:hAnsi="宋体"/>
                <w:szCs w:val="21"/>
              </w:rPr>
            </w:pPr>
          </w:p>
        </w:tc>
        <w:tc>
          <w:tcPr>
            <w:tcW w:w="1133" w:type="dxa"/>
            <w:vAlign w:val="center"/>
          </w:tcPr>
          <w:p w14:paraId="4F126F2E">
            <w:pPr>
              <w:jc w:val="center"/>
              <w:rPr>
                <w:rFonts w:ascii="宋体" w:hAnsi="宋体"/>
                <w:szCs w:val="21"/>
              </w:rPr>
            </w:pPr>
          </w:p>
        </w:tc>
      </w:tr>
      <w:tr w14:paraId="1FB3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7B585E50">
            <w:pPr>
              <w:jc w:val="center"/>
              <w:rPr>
                <w:rFonts w:ascii="宋体" w:hAnsi="宋体"/>
                <w:szCs w:val="21"/>
              </w:rPr>
            </w:pPr>
          </w:p>
        </w:tc>
        <w:tc>
          <w:tcPr>
            <w:tcW w:w="1509" w:type="dxa"/>
            <w:vAlign w:val="center"/>
          </w:tcPr>
          <w:p w14:paraId="2F9B9903">
            <w:pPr>
              <w:jc w:val="center"/>
              <w:rPr>
                <w:rFonts w:ascii="宋体" w:hAnsi="宋体"/>
                <w:szCs w:val="21"/>
              </w:rPr>
            </w:pPr>
          </w:p>
        </w:tc>
        <w:tc>
          <w:tcPr>
            <w:tcW w:w="1132" w:type="dxa"/>
            <w:vAlign w:val="center"/>
          </w:tcPr>
          <w:p w14:paraId="13BF2F15">
            <w:pPr>
              <w:jc w:val="center"/>
              <w:rPr>
                <w:rFonts w:ascii="宋体" w:hAnsi="宋体"/>
                <w:szCs w:val="21"/>
              </w:rPr>
            </w:pPr>
          </w:p>
        </w:tc>
        <w:tc>
          <w:tcPr>
            <w:tcW w:w="1133" w:type="dxa"/>
            <w:vAlign w:val="center"/>
          </w:tcPr>
          <w:p w14:paraId="4E3C0FBC">
            <w:pPr>
              <w:jc w:val="center"/>
              <w:rPr>
                <w:rFonts w:ascii="宋体" w:hAnsi="宋体"/>
                <w:szCs w:val="21"/>
              </w:rPr>
            </w:pPr>
          </w:p>
        </w:tc>
        <w:tc>
          <w:tcPr>
            <w:tcW w:w="1133" w:type="dxa"/>
            <w:vAlign w:val="center"/>
          </w:tcPr>
          <w:p w14:paraId="0ABC3A3F">
            <w:pPr>
              <w:jc w:val="center"/>
              <w:rPr>
                <w:rFonts w:ascii="宋体" w:hAnsi="宋体"/>
                <w:szCs w:val="21"/>
              </w:rPr>
            </w:pPr>
          </w:p>
        </w:tc>
        <w:tc>
          <w:tcPr>
            <w:tcW w:w="1133" w:type="dxa"/>
            <w:vAlign w:val="center"/>
          </w:tcPr>
          <w:p w14:paraId="66AE30DD">
            <w:pPr>
              <w:jc w:val="center"/>
              <w:rPr>
                <w:rFonts w:ascii="宋体" w:hAnsi="宋体"/>
                <w:szCs w:val="21"/>
              </w:rPr>
            </w:pPr>
          </w:p>
        </w:tc>
        <w:tc>
          <w:tcPr>
            <w:tcW w:w="1133" w:type="dxa"/>
            <w:vAlign w:val="center"/>
          </w:tcPr>
          <w:p w14:paraId="36805F1C">
            <w:pPr>
              <w:jc w:val="center"/>
              <w:rPr>
                <w:rFonts w:ascii="宋体" w:hAnsi="宋体"/>
                <w:szCs w:val="21"/>
              </w:rPr>
            </w:pPr>
          </w:p>
        </w:tc>
        <w:tc>
          <w:tcPr>
            <w:tcW w:w="1133" w:type="dxa"/>
            <w:vAlign w:val="center"/>
          </w:tcPr>
          <w:p w14:paraId="774A89F4">
            <w:pPr>
              <w:jc w:val="center"/>
              <w:rPr>
                <w:rFonts w:ascii="宋体" w:hAnsi="宋体"/>
                <w:szCs w:val="21"/>
              </w:rPr>
            </w:pPr>
          </w:p>
        </w:tc>
      </w:tr>
    </w:tbl>
    <w:p w14:paraId="19146F2B">
      <w:pPr>
        <w:spacing w:line="360" w:lineRule="auto"/>
        <w:ind w:left="485" w:leftChars="202"/>
        <w:rPr>
          <w:rFonts w:ascii="宋体" w:hAnsi="宋体"/>
          <w:szCs w:val="21"/>
        </w:rPr>
      </w:pPr>
    </w:p>
    <w:p w14:paraId="5B09A092">
      <w:pPr>
        <w:pStyle w:val="30"/>
        <w:snapToGrid w:val="0"/>
        <w:spacing w:line="480" w:lineRule="exact"/>
        <w:ind w:firstLine="630"/>
        <w:rPr>
          <w:rFonts w:hAnsi="宋体"/>
        </w:rPr>
      </w:pPr>
    </w:p>
    <w:p w14:paraId="6A636D8E">
      <w:pPr>
        <w:pStyle w:val="4"/>
        <w:spacing w:line="480" w:lineRule="exact"/>
        <w:ind w:firstLine="422"/>
        <w:jc w:val="center"/>
        <w:rPr>
          <w:rFonts w:ascii="宋体" w:hAnsi="宋体" w:eastAsia="宋体" w:cs="宋体"/>
          <w:sz w:val="21"/>
          <w:szCs w:val="21"/>
        </w:rPr>
      </w:pPr>
      <w:bookmarkStart w:id="156" w:name="_Toc4466"/>
      <w:bookmarkStart w:id="157" w:name="_Toc119422004"/>
      <w:r>
        <w:rPr>
          <w:rFonts w:hint="eastAsia" w:ascii="宋体" w:hAnsi="宋体" w:eastAsia="宋体" w:cs="宋体"/>
          <w:sz w:val="21"/>
          <w:szCs w:val="21"/>
        </w:rPr>
        <w:t>拟投入的主要</w:t>
      </w:r>
      <w:r>
        <w:rPr>
          <w:rFonts w:hint="eastAsia" w:ascii="宋体" w:hAnsi="宋体" w:eastAsia="宋体"/>
          <w:sz w:val="21"/>
          <w:szCs w:val="21"/>
        </w:rPr>
        <w:t>施工机具</w:t>
      </w:r>
      <w:r>
        <w:rPr>
          <w:rFonts w:hint="eastAsia" w:ascii="宋体" w:hAnsi="宋体" w:eastAsia="宋体" w:cs="宋体"/>
          <w:sz w:val="21"/>
          <w:szCs w:val="21"/>
        </w:rPr>
        <w:t>表</w:t>
      </w:r>
      <w:bookmarkEnd w:id="156"/>
      <w:bookmarkEnd w:id="157"/>
    </w:p>
    <w:tbl>
      <w:tblPr>
        <w:tblStyle w:val="5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1"/>
        <w:gridCol w:w="881"/>
        <w:gridCol w:w="1067"/>
        <w:gridCol w:w="741"/>
        <w:gridCol w:w="741"/>
        <w:gridCol w:w="1229"/>
        <w:gridCol w:w="910"/>
        <w:gridCol w:w="910"/>
        <w:gridCol w:w="799"/>
      </w:tblGrid>
      <w:tr w14:paraId="2A17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2CC454B6">
            <w:pPr>
              <w:jc w:val="center"/>
              <w:rPr>
                <w:rFonts w:ascii="宋体" w:hAnsi="宋体"/>
                <w:szCs w:val="21"/>
              </w:rPr>
            </w:pPr>
            <w:bookmarkStart w:id="158" w:name="_Toc155772406"/>
            <w:bookmarkStart w:id="159" w:name="_Toc48107409"/>
            <w:r>
              <w:rPr>
                <w:rFonts w:ascii="宋体" w:hAnsi="宋体"/>
                <w:szCs w:val="21"/>
              </w:rPr>
              <w:t>序号</w:t>
            </w:r>
          </w:p>
        </w:tc>
        <w:tc>
          <w:tcPr>
            <w:tcW w:w="1111" w:type="dxa"/>
            <w:vAlign w:val="center"/>
          </w:tcPr>
          <w:p w14:paraId="3B07270D">
            <w:pPr>
              <w:jc w:val="center"/>
              <w:rPr>
                <w:rFonts w:ascii="宋体" w:hAnsi="宋体"/>
                <w:szCs w:val="21"/>
              </w:rPr>
            </w:pPr>
            <w:r>
              <w:rPr>
                <w:rFonts w:ascii="宋体" w:hAnsi="宋体"/>
                <w:szCs w:val="21"/>
              </w:rPr>
              <w:t>设备</w:t>
            </w:r>
          </w:p>
          <w:p w14:paraId="5ED42114">
            <w:pPr>
              <w:jc w:val="center"/>
              <w:rPr>
                <w:rFonts w:ascii="宋体" w:hAnsi="宋体"/>
                <w:szCs w:val="21"/>
              </w:rPr>
            </w:pPr>
            <w:r>
              <w:rPr>
                <w:rFonts w:ascii="宋体" w:hAnsi="宋体"/>
                <w:szCs w:val="21"/>
              </w:rPr>
              <w:t>名称</w:t>
            </w:r>
          </w:p>
        </w:tc>
        <w:tc>
          <w:tcPr>
            <w:tcW w:w="881" w:type="dxa"/>
            <w:vAlign w:val="center"/>
          </w:tcPr>
          <w:p w14:paraId="32369662">
            <w:pPr>
              <w:jc w:val="center"/>
              <w:rPr>
                <w:rFonts w:ascii="宋体" w:hAnsi="宋体"/>
                <w:szCs w:val="21"/>
              </w:rPr>
            </w:pPr>
            <w:r>
              <w:rPr>
                <w:rFonts w:ascii="宋体" w:hAnsi="宋体"/>
                <w:szCs w:val="21"/>
              </w:rPr>
              <w:t>型号</w:t>
            </w:r>
          </w:p>
          <w:p w14:paraId="6F9D61DF">
            <w:pPr>
              <w:jc w:val="center"/>
              <w:rPr>
                <w:rFonts w:ascii="宋体" w:hAnsi="宋体"/>
                <w:szCs w:val="21"/>
              </w:rPr>
            </w:pPr>
            <w:r>
              <w:rPr>
                <w:rFonts w:ascii="宋体" w:hAnsi="宋体"/>
                <w:szCs w:val="21"/>
              </w:rPr>
              <w:t>规格</w:t>
            </w:r>
          </w:p>
        </w:tc>
        <w:tc>
          <w:tcPr>
            <w:tcW w:w="1067" w:type="dxa"/>
            <w:vAlign w:val="center"/>
          </w:tcPr>
          <w:p w14:paraId="298AF327">
            <w:pPr>
              <w:jc w:val="center"/>
              <w:rPr>
                <w:rFonts w:ascii="宋体" w:hAnsi="宋体"/>
                <w:szCs w:val="21"/>
              </w:rPr>
            </w:pPr>
            <w:r>
              <w:rPr>
                <w:rFonts w:ascii="宋体" w:hAnsi="宋体"/>
                <w:szCs w:val="21"/>
              </w:rPr>
              <w:t>数  量</w:t>
            </w:r>
          </w:p>
        </w:tc>
        <w:tc>
          <w:tcPr>
            <w:tcW w:w="741" w:type="dxa"/>
            <w:vAlign w:val="center"/>
          </w:tcPr>
          <w:p w14:paraId="1E75D8C1">
            <w:pPr>
              <w:jc w:val="center"/>
              <w:rPr>
                <w:rFonts w:ascii="宋体" w:hAnsi="宋体"/>
                <w:szCs w:val="21"/>
              </w:rPr>
            </w:pPr>
            <w:r>
              <w:rPr>
                <w:rFonts w:ascii="宋体" w:hAnsi="宋体"/>
                <w:szCs w:val="21"/>
              </w:rPr>
              <w:t>国别</w:t>
            </w:r>
          </w:p>
          <w:p w14:paraId="06473D8E">
            <w:pPr>
              <w:jc w:val="center"/>
              <w:rPr>
                <w:rFonts w:ascii="宋体" w:hAnsi="宋体"/>
                <w:szCs w:val="21"/>
              </w:rPr>
            </w:pPr>
            <w:r>
              <w:rPr>
                <w:rFonts w:ascii="宋体" w:hAnsi="宋体"/>
                <w:szCs w:val="21"/>
              </w:rPr>
              <w:t>产地</w:t>
            </w:r>
          </w:p>
        </w:tc>
        <w:tc>
          <w:tcPr>
            <w:tcW w:w="741" w:type="dxa"/>
            <w:vAlign w:val="center"/>
          </w:tcPr>
          <w:p w14:paraId="37CEC006">
            <w:pPr>
              <w:jc w:val="center"/>
              <w:rPr>
                <w:rFonts w:ascii="宋体" w:hAnsi="宋体"/>
                <w:szCs w:val="21"/>
              </w:rPr>
            </w:pPr>
            <w:r>
              <w:rPr>
                <w:rFonts w:ascii="宋体" w:hAnsi="宋体"/>
                <w:szCs w:val="21"/>
              </w:rPr>
              <w:t>制造</w:t>
            </w:r>
          </w:p>
          <w:p w14:paraId="0828729C">
            <w:pPr>
              <w:jc w:val="center"/>
              <w:rPr>
                <w:rFonts w:ascii="宋体" w:hAnsi="宋体"/>
                <w:szCs w:val="21"/>
              </w:rPr>
            </w:pPr>
            <w:r>
              <w:rPr>
                <w:rFonts w:ascii="宋体" w:hAnsi="宋体"/>
                <w:szCs w:val="21"/>
              </w:rPr>
              <w:t>年份</w:t>
            </w:r>
          </w:p>
        </w:tc>
        <w:tc>
          <w:tcPr>
            <w:tcW w:w="1229" w:type="dxa"/>
            <w:vAlign w:val="center"/>
          </w:tcPr>
          <w:p w14:paraId="619D507B">
            <w:pPr>
              <w:jc w:val="center"/>
              <w:rPr>
                <w:rFonts w:ascii="宋体" w:hAnsi="宋体"/>
                <w:szCs w:val="21"/>
              </w:rPr>
            </w:pPr>
            <w:r>
              <w:rPr>
                <w:rFonts w:ascii="宋体" w:hAnsi="宋体"/>
                <w:szCs w:val="21"/>
              </w:rPr>
              <w:t>额定功率</w:t>
            </w:r>
          </w:p>
          <w:p w14:paraId="73D99911">
            <w:pPr>
              <w:jc w:val="center"/>
              <w:rPr>
                <w:rFonts w:ascii="宋体" w:hAnsi="宋体"/>
                <w:szCs w:val="21"/>
              </w:rPr>
            </w:pPr>
            <w:r>
              <w:rPr>
                <w:rFonts w:ascii="宋体" w:hAnsi="宋体"/>
                <w:szCs w:val="21"/>
              </w:rPr>
              <w:t>（KW）</w:t>
            </w:r>
          </w:p>
        </w:tc>
        <w:tc>
          <w:tcPr>
            <w:tcW w:w="910" w:type="dxa"/>
            <w:vAlign w:val="center"/>
          </w:tcPr>
          <w:p w14:paraId="38B29BF5">
            <w:pPr>
              <w:jc w:val="center"/>
              <w:rPr>
                <w:rFonts w:ascii="宋体" w:hAnsi="宋体"/>
                <w:szCs w:val="21"/>
              </w:rPr>
            </w:pPr>
            <w:r>
              <w:rPr>
                <w:rFonts w:ascii="宋体" w:hAnsi="宋体"/>
                <w:szCs w:val="21"/>
              </w:rPr>
              <w:t>生产</w:t>
            </w:r>
          </w:p>
          <w:p w14:paraId="55F806C5">
            <w:pPr>
              <w:jc w:val="center"/>
              <w:rPr>
                <w:rFonts w:ascii="宋体" w:hAnsi="宋体"/>
                <w:szCs w:val="21"/>
              </w:rPr>
            </w:pPr>
            <w:r>
              <w:rPr>
                <w:rFonts w:ascii="宋体" w:hAnsi="宋体"/>
                <w:szCs w:val="21"/>
              </w:rPr>
              <w:t>能力</w:t>
            </w:r>
          </w:p>
        </w:tc>
        <w:tc>
          <w:tcPr>
            <w:tcW w:w="910" w:type="dxa"/>
            <w:vAlign w:val="center"/>
          </w:tcPr>
          <w:p w14:paraId="27417F45">
            <w:pPr>
              <w:jc w:val="center"/>
              <w:rPr>
                <w:rFonts w:ascii="宋体" w:hAnsi="宋体"/>
                <w:szCs w:val="21"/>
              </w:rPr>
            </w:pPr>
            <w:r>
              <w:rPr>
                <w:rFonts w:ascii="宋体" w:hAnsi="宋体"/>
                <w:szCs w:val="21"/>
              </w:rPr>
              <w:t>用于施工部位</w:t>
            </w:r>
          </w:p>
        </w:tc>
        <w:tc>
          <w:tcPr>
            <w:tcW w:w="799" w:type="dxa"/>
            <w:vAlign w:val="center"/>
          </w:tcPr>
          <w:p w14:paraId="51C626D6">
            <w:pPr>
              <w:jc w:val="center"/>
              <w:rPr>
                <w:rFonts w:ascii="宋体" w:hAnsi="宋体"/>
                <w:szCs w:val="21"/>
              </w:rPr>
            </w:pPr>
            <w:r>
              <w:rPr>
                <w:rFonts w:ascii="宋体" w:hAnsi="宋体"/>
                <w:szCs w:val="21"/>
              </w:rPr>
              <w:t>备注</w:t>
            </w:r>
          </w:p>
        </w:tc>
      </w:tr>
      <w:tr w14:paraId="53B1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3F875B2A">
            <w:pPr>
              <w:jc w:val="center"/>
              <w:rPr>
                <w:rFonts w:ascii="宋体" w:hAnsi="宋体"/>
                <w:szCs w:val="21"/>
              </w:rPr>
            </w:pPr>
          </w:p>
        </w:tc>
        <w:tc>
          <w:tcPr>
            <w:tcW w:w="1111" w:type="dxa"/>
            <w:vAlign w:val="center"/>
          </w:tcPr>
          <w:p w14:paraId="73832482">
            <w:pPr>
              <w:jc w:val="center"/>
              <w:rPr>
                <w:rFonts w:ascii="宋体" w:hAnsi="宋体"/>
                <w:szCs w:val="21"/>
              </w:rPr>
            </w:pPr>
          </w:p>
        </w:tc>
        <w:tc>
          <w:tcPr>
            <w:tcW w:w="881" w:type="dxa"/>
            <w:vAlign w:val="center"/>
          </w:tcPr>
          <w:p w14:paraId="12FB4045">
            <w:pPr>
              <w:jc w:val="center"/>
              <w:rPr>
                <w:rFonts w:ascii="宋体" w:hAnsi="宋体"/>
                <w:szCs w:val="21"/>
              </w:rPr>
            </w:pPr>
          </w:p>
        </w:tc>
        <w:tc>
          <w:tcPr>
            <w:tcW w:w="1067" w:type="dxa"/>
            <w:vAlign w:val="center"/>
          </w:tcPr>
          <w:p w14:paraId="1790C6D4">
            <w:pPr>
              <w:jc w:val="center"/>
              <w:rPr>
                <w:rFonts w:ascii="宋体" w:hAnsi="宋体"/>
                <w:szCs w:val="21"/>
              </w:rPr>
            </w:pPr>
          </w:p>
        </w:tc>
        <w:tc>
          <w:tcPr>
            <w:tcW w:w="741" w:type="dxa"/>
            <w:vAlign w:val="center"/>
          </w:tcPr>
          <w:p w14:paraId="086D2BBD">
            <w:pPr>
              <w:jc w:val="center"/>
              <w:rPr>
                <w:rFonts w:ascii="宋体" w:hAnsi="宋体"/>
                <w:szCs w:val="21"/>
              </w:rPr>
            </w:pPr>
          </w:p>
        </w:tc>
        <w:tc>
          <w:tcPr>
            <w:tcW w:w="741" w:type="dxa"/>
            <w:vAlign w:val="center"/>
          </w:tcPr>
          <w:p w14:paraId="5690BB26">
            <w:pPr>
              <w:jc w:val="center"/>
              <w:rPr>
                <w:rFonts w:ascii="宋体" w:hAnsi="宋体"/>
                <w:szCs w:val="21"/>
              </w:rPr>
            </w:pPr>
          </w:p>
        </w:tc>
        <w:tc>
          <w:tcPr>
            <w:tcW w:w="1229" w:type="dxa"/>
            <w:vAlign w:val="center"/>
          </w:tcPr>
          <w:p w14:paraId="2F43753A">
            <w:pPr>
              <w:jc w:val="center"/>
              <w:rPr>
                <w:rFonts w:ascii="宋体" w:hAnsi="宋体"/>
                <w:szCs w:val="21"/>
              </w:rPr>
            </w:pPr>
          </w:p>
        </w:tc>
        <w:tc>
          <w:tcPr>
            <w:tcW w:w="910" w:type="dxa"/>
            <w:vAlign w:val="center"/>
          </w:tcPr>
          <w:p w14:paraId="2EF46EAE">
            <w:pPr>
              <w:jc w:val="center"/>
              <w:rPr>
                <w:rFonts w:ascii="宋体" w:hAnsi="宋体"/>
                <w:szCs w:val="21"/>
              </w:rPr>
            </w:pPr>
          </w:p>
        </w:tc>
        <w:tc>
          <w:tcPr>
            <w:tcW w:w="910" w:type="dxa"/>
            <w:vAlign w:val="center"/>
          </w:tcPr>
          <w:p w14:paraId="3E0676F9">
            <w:pPr>
              <w:jc w:val="center"/>
              <w:rPr>
                <w:rFonts w:ascii="宋体" w:hAnsi="宋体"/>
                <w:szCs w:val="21"/>
              </w:rPr>
            </w:pPr>
          </w:p>
        </w:tc>
        <w:tc>
          <w:tcPr>
            <w:tcW w:w="799" w:type="dxa"/>
            <w:vAlign w:val="center"/>
          </w:tcPr>
          <w:p w14:paraId="4368F59B">
            <w:pPr>
              <w:jc w:val="center"/>
              <w:rPr>
                <w:rFonts w:ascii="宋体" w:hAnsi="宋体"/>
                <w:szCs w:val="21"/>
              </w:rPr>
            </w:pPr>
          </w:p>
        </w:tc>
      </w:tr>
      <w:tr w14:paraId="6A40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362549CE">
            <w:pPr>
              <w:jc w:val="center"/>
              <w:rPr>
                <w:rFonts w:ascii="宋体" w:hAnsi="宋体"/>
                <w:szCs w:val="21"/>
              </w:rPr>
            </w:pPr>
          </w:p>
        </w:tc>
        <w:tc>
          <w:tcPr>
            <w:tcW w:w="1111" w:type="dxa"/>
            <w:vAlign w:val="center"/>
          </w:tcPr>
          <w:p w14:paraId="54A2B154">
            <w:pPr>
              <w:jc w:val="center"/>
              <w:rPr>
                <w:rFonts w:ascii="宋体" w:hAnsi="宋体"/>
                <w:szCs w:val="21"/>
              </w:rPr>
            </w:pPr>
          </w:p>
        </w:tc>
        <w:tc>
          <w:tcPr>
            <w:tcW w:w="881" w:type="dxa"/>
            <w:vAlign w:val="center"/>
          </w:tcPr>
          <w:p w14:paraId="7F6B159C">
            <w:pPr>
              <w:jc w:val="center"/>
              <w:rPr>
                <w:rFonts w:ascii="宋体" w:hAnsi="宋体"/>
                <w:szCs w:val="21"/>
              </w:rPr>
            </w:pPr>
          </w:p>
        </w:tc>
        <w:tc>
          <w:tcPr>
            <w:tcW w:w="1067" w:type="dxa"/>
            <w:vAlign w:val="center"/>
          </w:tcPr>
          <w:p w14:paraId="26A48608">
            <w:pPr>
              <w:jc w:val="center"/>
              <w:rPr>
                <w:rFonts w:ascii="宋体" w:hAnsi="宋体"/>
                <w:szCs w:val="21"/>
              </w:rPr>
            </w:pPr>
          </w:p>
        </w:tc>
        <w:tc>
          <w:tcPr>
            <w:tcW w:w="741" w:type="dxa"/>
            <w:vAlign w:val="center"/>
          </w:tcPr>
          <w:p w14:paraId="2CCF1CA7">
            <w:pPr>
              <w:jc w:val="center"/>
              <w:rPr>
                <w:rFonts w:ascii="宋体" w:hAnsi="宋体"/>
                <w:szCs w:val="21"/>
              </w:rPr>
            </w:pPr>
          </w:p>
        </w:tc>
        <w:tc>
          <w:tcPr>
            <w:tcW w:w="741" w:type="dxa"/>
            <w:vAlign w:val="center"/>
          </w:tcPr>
          <w:p w14:paraId="610D55DA">
            <w:pPr>
              <w:jc w:val="center"/>
              <w:rPr>
                <w:rFonts w:ascii="宋体" w:hAnsi="宋体"/>
                <w:szCs w:val="21"/>
              </w:rPr>
            </w:pPr>
          </w:p>
        </w:tc>
        <w:tc>
          <w:tcPr>
            <w:tcW w:w="1229" w:type="dxa"/>
            <w:vAlign w:val="center"/>
          </w:tcPr>
          <w:p w14:paraId="51027E97">
            <w:pPr>
              <w:jc w:val="center"/>
              <w:rPr>
                <w:rFonts w:ascii="宋体" w:hAnsi="宋体"/>
                <w:szCs w:val="21"/>
              </w:rPr>
            </w:pPr>
          </w:p>
        </w:tc>
        <w:tc>
          <w:tcPr>
            <w:tcW w:w="910" w:type="dxa"/>
            <w:vAlign w:val="center"/>
          </w:tcPr>
          <w:p w14:paraId="275B2F10">
            <w:pPr>
              <w:jc w:val="center"/>
              <w:rPr>
                <w:rFonts w:ascii="宋体" w:hAnsi="宋体"/>
                <w:szCs w:val="21"/>
              </w:rPr>
            </w:pPr>
          </w:p>
        </w:tc>
        <w:tc>
          <w:tcPr>
            <w:tcW w:w="910" w:type="dxa"/>
            <w:vAlign w:val="center"/>
          </w:tcPr>
          <w:p w14:paraId="5A2D4462">
            <w:pPr>
              <w:jc w:val="center"/>
              <w:rPr>
                <w:rFonts w:ascii="宋体" w:hAnsi="宋体"/>
                <w:szCs w:val="21"/>
              </w:rPr>
            </w:pPr>
          </w:p>
        </w:tc>
        <w:tc>
          <w:tcPr>
            <w:tcW w:w="799" w:type="dxa"/>
            <w:vAlign w:val="center"/>
          </w:tcPr>
          <w:p w14:paraId="4270DA08">
            <w:pPr>
              <w:jc w:val="center"/>
              <w:rPr>
                <w:rFonts w:ascii="宋体" w:hAnsi="宋体"/>
                <w:szCs w:val="21"/>
              </w:rPr>
            </w:pPr>
          </w:p>
        </w:tc>
      </w:tr>
      <w:tr w14:paraId="5BAD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3699BD27">
            <w:pPr>
              <w:jc w:val="center"/>
              <w:rPr>
                <w:rFonts w:ascii="宋体" w:hAnsi="宋体"/>
                <w:szCs w:val="21"/>
              </w:rPr>
            </w:pPr>
          </w:p>
        </w:tc>
        <w:tc>
          <w:tcPr>
            <w:tcW w:w="1111" w:type="dxa"/>
            <w:vAlign w:val="center"/>
          </w:tcPr>
          <w:p w14:paraId="05845961">
            <w:pPr>
              <w:jc w:val="center"/>
              <w:rPr>
                <w:rFonts w:ascii="宋体" w:hAnsi="宋体"/>
                <w:szCs w:val="21"/>
              </w:rPr>
            </w:pPr>
          </w:p>
        </w:tc>
        <w:tc>
          <w:tcPr>
            <w:tcW w:w="881" w:type="dxa"/>
            <w:vAlign w:val="center"/>
          </w:tcPr>
          <w:p w14:paraId="1C294D9B">
            <w:pPr>
              <w:jc w:val="center"/>
              <w:rPr>
                <w:rFonts w:ascii="宋体" w:hAnsi="宋体"/>
                <w:szCs w:val="21"/>
              </w:rPr>
            </w:pPr>
          </w:p>
        </w:tc>
        <w:tc>
          <w:tcPr>
            <w:tcW w:w="1067" w:type="dxa"/>
            <w:vAlign w:val="center"/>
          </w:tcPr>
          <w:p w14:paraId="42B80FA2">
            <w:pPr>
              <w:jc w:val="center"/>
              <w:rPr>
                <w:rFonts w:ascii="宋体" w:hAnsi="宋体"/>
                <w:szCs w:val="21"/>
              </w:rPr>
            </w:pPr>
          </w:p>
        </w:tc>
        <w:tc>
          <w:tcPr>
            <w:tcW w:w="741" w:type="dxa"/>
            <w:vAlign w:val="center"/>
          </w:tcPr>
          <w:p w14:paraId="32F7691D">
            <w:pPr>
              <w:jc w:val="center"/>
              <w:rPr>
                <w:rFonts w:ascii="宋体" w:hAnsi="宋体"/>
                <w:szCs w:val="21"/>
              </w:rPr>
            </w:pPr>
          </w:p>
        </w:tc>
        <w:tc>
          <w:tcPr>
            <w:tcW w:w="741" w:type="dxa"/>
            <w:vAlign w:val="center"/>
          </w:tcPr>
          <w:p w14:paraId="27F84514">
            <w:pPr>
              <w:jc w:val="center"/>
              <w:rPr>
                <w:rFonts w:ascii="宋体" w:hAnsi="宋体"/>
                <w:szCs w:val="21"/>
              </w:rPr>
            </w:pPr>
          </w:p>
        </w:tc>
        <w:tc>
          <w:tcPr>
            <w:tcW w:w="1229" w:type="dxa"/>
            <w:vAlign w:val="center"/>
          </w:tcPr>
          <w:p w14:paraId="52B10823">
            <w:pPr>
              <w:jc w:val="center"/>
              <w:rPr>
                <w:rFonts w:ascii="宋体" w:hAnsi="宋体"/>
                <w:szCs w:val="21"/>
              </w:rPr>
            </w:pPr>
          </w:p>
        </w:tc>
        <w:tc>
          <w:tcPr>
            <w:tcW w:w="910" w:type="dxa"/>
            <w:vAlign w:val="center"/>
          </w:tcPr>
          <w:p w14:paraId="359FF3FC">
            <w:pPr>
              <w:jc w:val="center"/>
              <w:rPr>
                <w:rFonts w:ascii="宋体" w:hAnsi="宋体"/>
                <w:szCs w:val="21"/>
              </w:rPr>
            </w:pPr>
          </w:p>
        </w:tc>
        <w:tc>
          <w:tcPr>
            <w:tcW w:w="910" w:type="dxa"/>
            <w:vAlign w:val="center"/>
          </w:tcPr>
          <w:p w14:paraId="34C0290F">
            <w:pPr>
              <w:jc w:val="center"/>
              <w:rPr>
                <w:rFonts w:ascii="宋体" w:hAnsi="宋体"/>
                <w:szCs w:val="21"/>
              </w:rPr>
            </w:pPr>
          </w:p>
        </w:tc>
        <w:tc>
          <w:tcPr>
            <w:tcW w:w="799" w:type="dxa"/>
            <w:vAlign w:val="center"/>
          </w:tcPr>
          <w:p w14:paraId="4DCC1761">
            <w:pPr>
              <w:jc w:val="center"/>
              <w:rPr>
                <w:rFonts w:ascii="宋体" w:hAnsi="宋体"/>
                <w:szCs w:val="21"/>
              </w:rPr>
            </w:pPr>
          </w:p>
        </w:tc>
      </w:tr>
    </w:tbl>
    <w:p w14:paraId="5E59BFCB">
      <w:pPr>
        <w:spacing w:line="360" w:lineRule="auto"/>
        <w:ind w:left="485" w:leftChars="202"/>
        <w:rPr>
          <w:rFonts w:ascii="宋体" w:hAnsi="宋体"/>
          <w:szCs w:val="21"/>
        </w:rPr>
      </w:pPr>
    </w:p>
    <w:bookmarkEnd w:id="158"/>
    <w:bookmarkEnd w:id="159"/>
    <w:p w14:paraId="7B41FC00">
      <w:pPr>
        <w:jc w:val="center"/>
        <w:rPr>
          <w:rFonts w:ascii="宋体" w:hAnsi="宋体" w:cs="宋体"/>
          <w:b/>
          <w:sz w:val="26"/>
          <w:szCs w:val="26"/>
        </w:rPr>
      </w:pPr>
    </w:p>
    <w:p w14:paraId="277CE8DA">
      <w:pPr>
        <w:jc w:val="center"/>
        <w:rPr>
          <w:rFonts w:ascii="宋体" w:hAnsi="宋体" w:cs="宋体"/>
          <w:b/>
          <w:sz w:val="26"/>
          <w:szCs w:val="26"/>
        </w:rPr>
      </w:pPr>
    </w:p>
    <w:p w14:paraId="054DE90D">
      <w:pPr>
        <w:jc w:val="center"/>
        <w:rPr>
          <w:rFonts w:ascii="宋体" w:hAnsi="宋体" w:cs="宋体"/>
          <w:b/>
          <w:sz w:val="26"/>
          <w:szCs w:val="26"/>
        </w:rPr>
      </w:pPr>
    </w:p>
    <w:p w14:paraId="1E97799D">
      <w:pPr>
        <w:jc w:val="center"/>
        <w:rPr>
          <w:rFonts w:ascii="宋体" w:hAnsi="宋体" w:cs="宋体"/>
          <w:b/>
          <w:sz w:val="26"/>
          <w:szCs w:val="26"/>
        </w:rPr>
      </w:pPr>
    </w:p>
    <w:p w14:paraId="12C9F341">
      <w:pPr>
        <w:jc w:val="center"/>
        <w:rPr>
          <w:rFonts w:ascii="宋体" w:hAnsi="宋体" w:cs="宋体"/>
          <w:b/>
          <w:sz w:val="26"/>
          <w:szCs w:val="26"/>
        </w:rPr>
      </w:pPr>
    </w:p>
    <w:p w14:paraId="7F6C400D">
      <w:pPr>
        <w:jc w:val="left"/>
        <w:rPr>
          <w:rFonts w:hint="default" w:ascii="宋体" w:hAnsi="宋体" w:eastAsia="宋体" w:cs="宋体"/>
          <w:b/>
          <w:sz w:val="26"/>
          <w:szCs w:val="26"/>
          <w:lang w:val="en-US" w:eastAsia="zh-CN"/>
        </w:rPr>
      </w:pPr>
      <w:r>
        <w:rPr>
          <w:rFonts w:hint="eastAsia" w:ascii="宋体" w:hAnsi="宋体" w:cs="宋体"/>
          <w:b/>
          <w:sz w:val="26"/>
          <w:szCs w:val="26"/>
          <w:lang w:val="en-US" w:eastAsia="zh-CN"/>
        </w:rPr>
        <w:t>附件1</w:t>
      </w:r>
    </w:p>
    <w:p w14:paraId="10BA33A2">
      <w:pPr>
        <w:jc w:val="center"/>
        <w:rPr>
          <w:rFonts w:ascii="宋体" w:hAnsi="宋体" w:cs="宋体"/>
          <w:b/>
          <w:sz w:val="26"/>
          <w:szCs w:val="26"/>
        </w:rPr>
      </w:pPr>
      <w:r>
        <w:rPr>
          <w:rFonts w:hint="eastAsia" w:ascii="宋体" w:hAnsi="宋体" w:cs="宋体"/>
          <w:b/>
          <w:sz w:val="26"/>
          <w:szCs w:val="26"/>
        </w:rPr>
        <w:t>项目经理简历表</w:t>
      </w:r>
    </w:p>
    <w:tbl>
      <w:tblPr>
        <w:tblStyle w:val="5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084"/>
        <w:gridCol w:w="1191"/>
        <w:gridCol w:w="1336"/>
        <w:gridCol w:w="2080"/>
        <w:gridCol w:w="2227"/>
      </w:tblGrid>
      <w:tr w14:paraId="6DAF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6F7C7B5B">
            <w:pPr>
              <w:jc w:val="center"/>
              <w:rPr>
                <w:rFonts w:ascii="宋体" w:hAnsi="宋体"/>
                <w:szCs w:val="21"/>
              </w:rPr>
            </w:pPr>
            <w:r>
              <w:rPr>
                <w:rFonts w:ascii="宋体" w:hAnsi="宋体"/>
                <w:szCs w:val="21"/>
              </w:rPr>
              <w:t>姓  名</w:t>
            </w:r>
          </w:p>
        </w:tc>
        <w:tc>
          <w:tcPr>
            <w:tcW w:w="1084" w:type="dxa"/>
            <w:vAlign w:val="center"/>
          </w:tcPr>
          <w:p w14:paraId="45FBAD22">
            <w:pPr>
              <w:jc w:val="center"/>
              <w:rPr>
                <w:rFonts w:ascii="宋体" w:hAnsi="宋体"/>
                <w:szCs w:val="21"/>
              </w:rPr>
            </w:pPr>
          </w:p>
        </w:tc>
        <w:tc>
          <w:tcPr>
            <w:tcW w:w="1191" w:type="dxa"/>
            <w:vAlign w:val="center"/>
          </w:tcPr>
          <w:p w14:paraId="2695427C">
            <w:pPr>
              <w:jc w:val="center"/>
              <w:rPr>
                <w:rFonts w:ascii="宋体" w:hAnsi="宋体"/>
                <w:szCs w:val="21"/>
              </w:rPr>
            </w:pPr>
            <w:r>
              <w:rPr>
                <w:rFonts w:ascii="宋体" w:hAnsi="宋体"/>
                <w:szCs w:val="21"/>
              </w:rPr>
              <w:t>年  龄</w:t>
            </w:r>
          </w:p>
        </w:tc>
        <w:tc>
          <w:tcPr>
            <w:tcW w:w="1336" w:type="dxa"/>
            <w:vAlign w:val="center"/>
          </w:tcPr>
          <w:p w14:paraId="435DA836">
            <w:pPr>
              <w:jc w:val="center"/>
              <w:rPr>
                <w:rFonts w:ascii="宋体" w:hAnsi="宋体"/>
                <w:szCs w:val="21"/>
              </w:rPr>
            </w:pPr>
          </w:p>
        </w:tc>
        <w:tc>
          <w:tcPr>
            <w:tcW w:w="2080" w:type="dxa"/>
            <w:vAlign w:val="center"/>
          </w:tcPr>
          <w:p w14:paraId="6E7D1CCB">
            <w:pPr>
              <w:jc w:val="center"/>
              <w:rPr>
                <w:rFonts w:ascii="宋体" w:hAnsi="宋体"/>
                <w:szCs w:val="21"/>
              </w:rPr>
            </w:pPr>
            <w:r>
              <w:rPr>
                <w:rFonts w:ascii="宋体" w:hAnsi="宋体"/>
                <w:szCs w:val="21"/>
              </w:rPr>
              <w:t>学历</w:t>
            </w:r>
          </w:p>
        </w:tc>
        <w:tc>
          <w:tcPr>
            <w:tcW w:w="2227" w:type="dxa"/>
            <w:vAlign w:val="center"/>
          </w:tcPr>
          <w:p w14:paraId="3AB18D0E">
            <w:pPr>
              <w:jc w:val="center"/>
              <w:rPr>
                <w:rFonts w:ascii="宋体" w:hAnsi="宋体"/>
                <w:szCs w:val="21"/>
              </w:rPr>
            </w:pPr>
          </w:p>
        </w:tc>
      </w:tr>
      <w:tr w14:paraId="7770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5791EA28">
            <w:pPr>
              <w:jc w:val="center"/>
              <w:rPr>
                <w:rFonts w:ascii="宋体" w:hAnsi="宋体"/>
                <w:szCs w:val="21"/>
              </w:rPr>
            </w:pPr>
            <w:r>
              <w:rPr>
                <w:rFonts w:ascii="宋体" w:hAnsi="宋体"/>
                <w:szCs w:val="21"/>
              </w:rPr>
              <w:t>职  称</w:t>
            </w:r>
          </w:p>
        </w:tc>
        <w:tc>
          <w:tcPr>
            <w:tcW w:w="1084" w:type="dxa"/>
            <w:vAlign w:val="center"/>
          </w:tcPr>
          <w:p w14:paraId="3977112D">
            <w:pPr>
              <w:jc w:val="center"/>
              <w:rPr>
                <w:rFonts w:ascii="宋体" w:hAnsi="宋体"/>
                <w:szCs w:val="21"/>
              </w:rPr>
            </w:pPr>
          </w:p>
        </w:tc>
        <w:tc>
          <w:tcPr>
            <w:tcW w:w="1191" w:type="dxa"/>
            <w:vAlign w:val="center"/>
          </w:tcPr>
          <w:p w14:paraId="6C4EDC22">
            <w:pPr>
              <w:jc w:val="center"/>
              <w:rPr>
                <w:rFonts w:ascii="宋体" w:hAnsi="宋体"/>
                <w:szCs w:val="21"/>
              </w:rPr>
            </w:pPr>
            <w:r>
              <w:rPr>
                <w:rFonts w:ascii="宋体" w:hAnsi="宋体"/>
                <w:szCs w:val="21"/>
              </w:rPr>
              <w:t>职  务</w:t>
            </w:r>
          </w:p>
        </w:tc>
        <w:tc>
          <w:tcPr>
            <w:tcW w:w="1336" w:type="dxa"/>
            <w:vAlign w:val="center"/>
          </w:tcPr>
          <w:p w14:paraId="0AE595DB">
            <w:pPr>
              <w:jc w:val="center"/>
              <w:rPr>
                <w:rFonts w:ascii="宋体" w:hAnsi="宋体"/>
                <w:szCs w:val="21"/>
              </w:rPr>
            </w:pPr>
          </w:p>
        </w:tc>
        <w:tc>
          <w:tcPr>
            <w:tcW w:w="2080" w:type="dxa"/>
            <w:vAlign w:val="center"/>
          </w:tcPr>
          <w:p w14:paraId="4862290A">
            <w:pPr>
              <w:jc w:val="center"/>
              <w:rPr>
                <w:rFonts w:ascii="宋体" w:hAnsi="宋体"/>
                <w:szCs w:val="21"/>
              </w:rPr>
            </w:pPr>
            <w:r>
              <w:rPr>
                <w:rFonts w:ascii="宋体" w:hAnsi="宋体"/>
                <w:szCs w:val="21"/>
              </w:rPr>
              <w:t>拟在本工程任职</w:t>
            </w:r>
          </w:p>
        </w:tc>
        <w:tc>
          <w:tcPr>
            <w:tcW w:w="2227" w:type="dxa"/>
            <w:vAlign w:val="center"/>
          </w:tcPr>
          <w:p w14:paraId="380DD20B">
            <w:pPr>
              <w:jc w:val="center"/>
              <w:rPr>
                <w:rFonts w:ascii="宋体" w:hAnsi="宋体"/>
                <w:szCs w:val="21"/>
              </w:rPr>
            </w:pPr>
            <w:r>
              <w:rPr>
                <w:rFonts w:ascii="宋体" w:hAnsi="宋体"/>
                <w:szCs w:val="21"/>
              </w:rPr>
              <w:t>项目经理</w:t>
            </w:r>
          </w:p>
        </w:tc>
      </w:tr>
      <w:tr w14:paraId="7203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8" w:type="dxa"/>
            <w:gridSpan w:val="3"/>
            <w:vAlign w:val="center"/>
          </w:tcPr>
          <w:p w14:paraId="295A19DB">
            <w:pPr>
              <w:jc w:val="center"/>
              <w:rPr>
                <w:rFonts w:ascii="宋体" w:hAnsi="宋体"/>
                <w:szCs w:val="21"/>
              </w:rPr>
            </w:pPr>
            <w:r>
              <w:rPr>
                <w:rFonts w:ascii="宋体" w:hAnsi="宋体"/>
                <w:szCs w:val="21"/>
              </w:rPr>
              <w:t>注册建造师执业资格等级</w:t>
            </w:r>
          </w:p>
        </w:tc>
        <w:tc>
          <w:tcPr>
            <w:tcW w:w="1336" w:type="dxa"/>
            <w:vAlign w:val="center"/>
          </w:tcPr>
          <w:p w14:paraId="4630A887">
            <w:pPr>
              <w:jc w:val="center"/>
              <w:rPr>
                <w:rFonts w:ascii="宋体" w:hAnsi="宋体"/>
                <w:szCs w:val="21"/>
              </w:rPr>
            </w:pPr>
            <w:r>
              <w:rPr>
                <w:rFonts w:ascii="宋体" w:hAnsi="宋体"/>
                <w:szCs w:val="21"/>
              </w:rPr>
              <w:t xml:space="preserve">      级</w:t>
            </w:r>
          </w:p>
        </w:tc>
        <w:tc>
          <w:tcPr>
            <w:tcW w:w="2080" w:type="dxa"/>
            <w:vAlign w:val="center"/>
          </w:tcPr>
          <w:p w14:paraId="1F79E71E">
            <w:pPr>
              <w:jc w:val="center"/>
              <w:rPr>
                <w:rFonts w:ascii="宋体" w:hAnsi="宋体"/>
                <w:szCs w:val="21"/>
              </w:rPr>
            </w:pPr>
            <w:r>
              <w:rPr>
                <w:rFonts w:ascii="宋体" w:hAnsi="宋体"/>
                <w:szCs w:val="21"/>
              </w:rPr>
              <w:t>建造师专业</w:t>
            </w:r>
          </w:p>
        </w:tc>
        <w:tc>
          <w:tcPr>
            <w:tcW w:w="2227" w:type="dxa"/>
            <w:vAlign w:val="center"/>
          </w:tcPr>
          <w:p w14:paraId="75D29656">
            <w:pPr>
              <w:jc w:val="center"/>
              <w:rPr>
                <w:rFonts w:ascii="宋体" w:hAnsi="宋体"/>
                <w:szCs w:val="21"/>
              </w:rPr>
            </w:pPr>
          </w:p>
        </w:tc>
      </w:tr>
      <w:tr w14:paraId="0D7A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8" w:type="dxa"/>
            <w:gridSpan w:val="3"/>
            <w:vAlign w:val="center"/>
          </w:tcPr>
          <w:p w14:paraId="43D59BDE">
            <w:pPr>
              <w:jc w:val="center"/>
              <w:rPr>
                <w:rFonts w:ascii="宋体" w:hAnsi="宋体"/>
                <w:szCs w:val="21"/>
              </w:rPr>
            </w:pPr>
            <w:r>
              <w:rPr>
                <w:rFonts w:ascii="宋体" w:hAnsi="宋体"/>
                <w:szCs w:val="21"/>
              </w:rPr>
              <w:t>安全生产考核合格证书</w:t>
            </w:r>
          </w:p>
        </w:tc>
        <w:tc>
          <w:tcPr>
            <w:tcW w:w="5643" w:type="dxa"/>
            <w:gridSpan w:val="3"/>
            <w:vAlign w:val="center"/>
          </w:tcPr>
          <w:p w14:paraId="6A7CFA71">
            <w:pPr>
              <w:jc w:val="center"/>
              <w:rPr>
                <w:rFonts w:ascii="宋体" w:hAnsi="宋体"/>
                <w:szCs w:val="21"/>
              </w:rPr>
            </w:pPr>
          </w:p>
        </w:tc>
      </w:tr>
      <w:tr w14:paraId="6A8B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7B589B5C">
            <w:pPr>
              <w:jc w:val="center"/>
              <w:rPr>
                <w:rFonts w:ascii="宋体" w:hAnsi="宋体"/>
                <w:szCs w:val="21"/>
              </w:rPr>
            </w:pPr>
            <w:r>
              <w:rPr>
                <w:rFonts w:ascii="宋体" w:hAnsi="宋体"/>
                <w:szCs w:val="21"/>
              </w:rPr>
              <w:t>毕业学校</w:t>
            </w:r>
          </w:p>
        </w:tc>
        <w:tc>
          <w:tcPr>
            <w:tcW w:w="7918" w:type="dxa"/>
            <w:gridSpan w:val="5"/>
            <w:vAlign w:val="center"/>
          </w:tcPr>
          <w:p w14:paraId="1BA926D8">
            <w:pPr>
              <w:ind w:firstLine="960" w:firstLineChars="400"/>
              <w:rPr>
                <w:rFonts w:ascii="宋体" w:hAnsi="宋体"/>
                <w:szCs w:val="21"/>
              </w:rPr>
            </w:pPr>
            <w:r>
              <w:rPr>
                <w:rFonts w:ascii="宋体" w:hAnsi="宋体"/>
                <w:szCs w:val="21"/>
              </w:rPr>
              <w:t>年毕业于                  学校            专业</w:t>
            </w:r>
          </w:p>
        </w:tc>
      </w:tr>
      <w:tr w14:paraId="5943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1" w:type="dxa"/>
            <w:gridSpan w:val="6"/>
            <w:vAlign w:val="center"/>
          </w:tcPr>
          <w:p w14:paraId="1B913109">
            <w:pPr>
              <w:jc w:val="center"/>
              <w:rPr>
                <w:rFonts w:ascii="宋体" w:hAnsi="宋体"/>
                <w:szCs w:val="21"/>
              </w:rPr>
            </w:pPr>
            <w:r>
              <w:rPr>
                <w:rFonts w:ascii="宋体" w:hAnsi="宋体"/>
                <w:szCs w:val="21"/>
              </w:rPr>
              <w:t>主要工作经历</w:t>
            </w:r>
          </w:p>
        </w:tc>
      </w:tr>
      <w:tr w14:paraId="51CD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4CBCA867">
            <w:pPr>
              <w:jc w:val="center"/>
              <w:rPr>
                <w:rFonts w:ascii="宋体" w:hAnsi="宋体"/>
                <w:szCs w:val="21"/>
              </w:rPr>
            </w:pPr>
            <w:r>
              <w:rPr>
                <w:rFonts w:ascii="宋体" w:hAnsi="宋体"/>
                <w:szCs w:val="21"/>
              </w:rPr>
              <w:t>时  间</w:t>
            </w:r>
          </w:p>
        </w:tc>
        <w:tc>
          <w:tcPr>
            <w:tcW w:w="3611" w:type="dxa"/>
            <w:gridSpan w:val="3"/>
            <w:vAlign w:val="center"/>
          </w:tcPr>
          <w:p w14:paraId="47CDF4F0">
            <w:pPr>
              <w:jc w:val="center"/>
              <w:rPr>
                <w:rFonts w:ascii="宋体" w:hAnsi="宋体"/>
                <w:szCs w:val="21"/>
              </w:rPr>
            </w:pPr>
            <w:r>
              <w:rPr>
                <w:rFonts w:ascii="宋体" w:hAnsi="宋体"/>
                <w:szCs w:val="21"/>
              </w:rPr>
              <w:t>参加过的类似项目名称</w:t>
            </w:r>
          </w:p>
        </w:tc>
        <w:tc>
          <w:tcPr>
            <w:tcW w:w="2080" w:type="dxa"/>
            <w:vAlign w:val="center"/>
          </w:tcPr>
          <w:p w14:paraId="5D962696">
            <w:pPr>
              <w:jc w:val="center"/>
              <w:rPr>
                <w:rFonts w:ascii="宋体" w:hAnsi="宋体"/>
                <w:szCs w:val="21"/>
              </w:rPr>
            </w:pPr>
            <w:r>
              <w:rPr>
                <w:rFonts w:ascii="宋体" w:hAnsi="宋体"/>
                <w:szCs w:val="21"/>
              </w:rPr>
              <w:t>工程概况说明</w:t>
            </w:r>
          </w:p>
        </w:tc>
        <w:tc>
          <w:tcPr>
            <w:tcW w:w="2227" w:type="dxa"/>
            <w:vAlign w:val="center"/>
          </w:tcPr>
          <w:p w14:paraId="47D519AC">
            <w:pPr>
              <w:jc w:val="center"/>
              <w:rPr>
                <w:rFonts w:ascii="宋体" w:hAnsi="宋体"/>
                <w:szCs w:val="21"/>
              </w:rPr>
            </w:pPr>
            <w:r>
              <w:rPr>
                <w:rFonts w:ascii="宋体" w:hAnsi="宋体"/>
                <w:szCs w:val="21"/>
              </w:rPr>
              <w:t>发包人</w:t>
            </w:r>
          </w:p>
        </w:tc>
      </w:tr>
      <w:tr w14:paraId="3B52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5D412D7F">
            <w:pPr>
              <w:jc w:val="center"/>
              <w:rPr>
                <w:rFonts w:ascii="宋体" w:hAnsi="宋体"/>
                <w:szCs w:val="21"/>
              </w:rPr>
            </w:pPr>
          </w:p>
        </w:tc>
        <w:tc>
          <w:tcPr>
            <w:tcW w:w="3611" w:type="dxa"/>
            <w:gridSpan w:val="3"/>
            <w:vAlign w:val="center"/>
          </w:tcPr>
          <w:p w14:paraId="067514D7">
            <w:pPr>
              <w:jc w:val="center"/>
              <w:rPr>
                <w:rFonts w:ascii="宋体" w:hAnsi="宋体"/>
                <w:szCs w:val="21"/>
              </w:rPr>
            </w:pPr>
          </w:p>
        </w:tc>
        <w:tc>
          <w:tcPr>
            <w:tcW w:w="2080" w:type="dxa"/>
            <w:vAlign w:val="center"/>
          </w:tcPr>
          <w:p w14:paraId="411E5FBB">
            <w:pPr>
              <w:jc w:val="center"/>
              <w:rPr>
                <w:rFonts w:ascii="宋体" w:hAnsi="宋体"/>
                <w:szCs w:val="21"/>
              </w:rPr>
            </w:pPr>
          </w:p>
        </w:tc>
        <w:tc>
          <w:tcPr>
            <w:tcW w:w="2227" w:type="dxa"/>
            <w:vAlign w:val="center"/>
          </w:tcPr>
          <w:p w14:paraId="02CB92B2">
            <w:pPr>
              <w:jc w:val="center"/>
              <w:rPr>
                <w:rFonts w:ascii="宋体" w:hAnsi="宋体"/>
                <w:szCs w:val="21"/>
              </w:rPr>
            </w:pPr>
          </w:p>
        </w:tc>
      </w:tr>
      <w:tr w14:paraId="1060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392E0328">
            <w:pPr>
              <w:jc w:val="center"/>
              <w:rPr>
                <w:rFonts w:ascii="宋体" w:hAnsi="宋体"/>
                <w:szCs w:val="21"/>
              </w:rPr>
            </w:pPr>
          </w:p>
        </w:tc>
        <w:tc>
          <w:tcPr>
            <w:tcW w:w="3611" w:type="dxa"/>
            <w:gridSpan w:val="3"/>
            <w:vAlign w:val="center"/>
          </w:tcPr>
          <w:p w14:paraId="306CB5CA">
            <w:pPr>
              <w:jc w:val="center"/>
              <w:rPr>
                <w:rFonts w:ascii="宋体" w:hAnsi="宋体"/>
                <w:szCs w:val="21"/>
              </w:rPr>
            </w:pPr>
          </w:p>
        </w:tc>
        <w:tc>
          <w:tcPr>
            <w:tcW w:w="2080" w:type="dxa"/>
            <w:vAlign w:val="center"/>
          </w:tcPr>
          <w:p w14:paraId="57AA46D4">
            <w:pPr>
              <w:jc w:val="center"/>
              <w:rPr>
                <w:rFonts w:ascii="宋体" w:hAnsi="宋体"/>
                <w:szCs w:val="21"/>
              </w:rPr>
            </w:pPr>
          </w:p>
        </w:tc>
        <w:tc>
          <w:tcPr>
            <w:tcW w:w="2227" w:type="dxa"/>
            <w:vAlign w:val="center"/>
          </w:tcPr>
          <w:p w14:paraId="0CAEF34A">
            <w:pPr>
              <w:jc w:val="center"/>
              <w:rPr>
                <w:rFonts w:ascii="宋体" w:hAnsi="宋体"/>
                <w:szCs w:val="21"/>
              </w:rPr>
            </w:pPr>
          </w:p>
        </w:tc>
      </w:tr>
      <w:tr w14:paraId="7F98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73207E92">
            <w:pPr>
              <w:jc w:val="center"/>
              <w:rPr>
                <w:rFonts w:ascii="宋体" w:hAnsi="宋体"/>
                <w:szCs w:val="21"/>
              </w:rPr>
            </w:pPr>
          </w:p>
        </w:tc>
        <w:tc>
          <w:tcPr>
            <w:tcW w:w="3611" w:type="dxa"/>
            <w:gridSpan w:val="3"/>
            <w:vAlign w:val="center"/>
          </w:tcPr>
          <w:p w14:paraId="78C65FB9">
            <w:pPr>
              <w:jc w:val="center"/>
              <w:rPr>
                <w:rFonts w:ascii="宋体" w:hAnsi="宋体"/>
                <w:szCs w:val="21"/>
              </w:rPr>
            </w:pPr>
          </w:p>
        </w:tc>
        <w:tc>
          <w:tcPr>
            <w:tcW w:w="2080" w:type="dxa"/>
            <w:vAlign w:val="center"/>
          </w:tcPr>
          <w:p w14:paraId="4C7684D2">
            <w:pPr>
              <w:jc w:val="center"/>
              <w:rPr>
                <w:rFonts w:ascii="宋体" w:hAnsi="宋体"/>
                <w:szCs w:val="21"/>
              </w:rPr>
            </w:pPr>
          </w:p>
        </w:tc>
        <w:tc>
          <w:tcPr>
            <w:tcW w:w="2227" w:type="dxa"/>
            <w:vAlign w:val="center"/>
          </w:tcPr>
          <w:p w14:paraId="69299E71">
            <w:pPr>
              <w:jc w:val="center"/>
              <w:rPr>
                <w:rFonts w:ascii="宋体" w:hAnsi="宋体"/>
                <w:szCs w:val="21"/>
              </w:rPr>
            </w:pPr>
          </w:p>
        </w:tc>
      </w:tr>
      <w:tr w14:paraId="343E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05DE22AF">
            <w:pPr>
              <w:jc w:val="center"/>
              <w:rPr>
                <w:rFonts w:ascii="宋体" w:hAnsi="宋体"/>
                <w:szCs w:val="21"/>
              </w:rPr>
            </w:pPr>
          </w:p>
        </w:tc>
        <w:tc>
          <w:tcPr>
            <w:tcW w:w="3611" w:type="dxa"/>
            <w:gridSpan w:val="3"/>
            <w:vAlign w:val="center"/>
          </w:tcPr>
          <w:p w14:paraId="2C518610">
            <w:pPr>
              <w:jc w:val="center"/>
              <w:rPr>
                <w:rFonts w:ascii="宋体" w:hAnsi="宋体"/>
                <w:szCs w:val="21"/>
              </w:rPr>
            </w:pPr>
          </w:p>
        </w:tc>
        <w:tc>
          <w:tcPr>
            <w:tcW w:w="2080" w:type="dxa"/>
            <w:vAlign w:val="center"/>
          </w:tcPr>
          <w:p w14:paraId="7CBA38A4">
            <w:pPr>
              <w:jc w:val="center"/>
              <w:rPr>
                <w:rFonts w:ascii="宋体" w:hAnsi="宋体"/>
                <w:szCs w:val="21"/>
              </w:rPr>
            </w:pPr>
          </w:p>
        </w:tc>
        <w:tc>
          <w:tcPr>
            <w:tcW w:w="2227" w:type="dxa"/>
            <w:vAlign w:val="center"/>
          </w:tcPr>
          <w:p w14:paraId="6466F7CB">
            <w:pPr>
              <w:jc w:val="center"/>
              <w:rPr>
                <w:rFonts w:ascii="宋体" w:hAnsi="宋体"/>
                <w:szCs w:val="21"/>
              </w:rPr>
            </w:pPr>
          </w:p>
        </w:tc>
      </w:tr>
      <w:tr w14:paraId="45F8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76E29C55">
            <w:pPr>
              <w:jc w:val="center"/>
              <w:rPr>
                <w:rFonts w:ascii="宋体" w:hAnsi="宋体"/>
                <w:szCs w:val="21"/>
              </w:rPr>
            </w:pPr>
          </w:p>
        </w:tc>
        <w:tc>
          <w:tcPr>
            <w:tcW w:w="3611" w:type="dxa"/>
            <w:gridSpan w:val="3"/>
            <w:vAlign w:val="center"/>
          </w:tcPr>
          <w:p w14:paraId="1B0AE978">
            <w:pPr>
              <w:jc w:val="center"/>
              <w:rPr>
                <w:rFonts w:ascii="宋体" w:hAnsi="宋体"/>
                <w:szCs w:val="21"/>
              </w:rPr>
            </w:pPr>
          </w:p>
        </w:tc>
        <w:tc>
          <w:tcPr>
            <w:tcW w:w="2080" w:type="dxa"/>
            <w:vAlign w:val="center"/>
          </w:tcPr>
          <w:p w14:paraId="27C77685">
            <w:pPr>
              <w:jc w:val="center"/>
              <w:rPr>
                <w:rFonts w:ascii="宋体" w:hAnsi="宋体"/>
                <w:szCs w:val="21"/>
              </w:rPr>
            </w:pPr>
          </w:p>
        </w:tc>
        <w:tc>
          <w:tcPr>
            <w:tcW w:w="2227" w:type="dxa"/>
            <w:vAlign w:val="center"/>
          </w:tcPr>
          <w:p w14:paraId="6F0E2C12">
            <w:pPr>
              <w:jc w:val="center"/>
              <w:rPr>
                <w:rFonts w:ascii="宋体" w:hAnsi="宋体"/>
                <w:szCs w:val="21"/>
              </w:rPr>
            </w:pPr>
          </w:p>
        </w:tc>
      </w:tr>
      <w:tr w14:paraId="3DDE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5DCB3DA4">
            <w:pPr>
              <w:jc w:val="center"/>
              <w:rPr>
                <w:rFonts w:ascii="宋体" w:hAnsi="宋体"/>
                <w:szCs w:val="21"/>
              </w:rPr>
            </w:pPr>
          </w:p>
        </w:tc>
        <w:tc>
          <w:tcPr>
            <w:tcW w:w="3611" w:type="dxa"/>
            <w:gridSpan w:val="3"/>
            <w:vAlign w:val="center"/>
          </w:tcPr>
          <w:p w14:paraId="00B0C33D">
            <w:pPr>
              <w:jc w:val="center"/>
              <w:rPr>
                <w:rFonts w:ascii="宋体" w:hAnsi="宋体"/>
                <w:szCs w:val="21"/>
              </w:rPr>
            </w:pPr>
          </w:p>
        </w:tc>
        <w:tc>
          <w:tcPr>
            <w:tcW w:w="2080" w:type="dxa"/>
            <w:vAlign w:val="center"/>
          </w:tcPr>
          <w:p w14:paraId="581F1FA0">
            <w:pPr>
              <w:jc w:val="center"/>
              <w:rPr>
                <w:rFonts w:ascii="宋体" w:hAnsi="宋体"/>
                <w:szCs w:val="21"/>
              </w:rPr>
            </w:pPr>
          </w:p>
        </w:tc>
        <w:tc>
          <w:tcPr>
            <w:tcW w:w="2227" w:type="dxa"/>
            <w:vAlign w:val="center"/>
          </w:tcPr>
          <w:p w14:paraId="5ACEA87F">
            <w:pPr>
              <w:jc w:val="center"/>
              <w:rPr>
                <w:rFonts w:ascii="宋体" w:hAnsi="宋体"/>
                <w:szCs w:val="21"/>
              </w:rPr>
            </w:pPr>
          </w:p>
        </w:tc>
      </w:tr>
      <w:tr w14:paraId="6726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41623B4B">
            <w:pPr>
              <w:jc w:val="center"/>
              <w:rPr>
                <w:rFonts w:ascii="宋体" w:hAnsi="宋体"/>
                <w:szCs w:val="21"/>
              </w:rPr>
            </w:pPr>
          </w:p>
        </w:tc>
        <w:tc>
          <w:tcPr>
            <w:tcW w:w="3611" w:type="dxa"/>
            <w:gridSpan w:val="3"/>
            <w:vAlign w:val="center"/>
          </w:tcPr>
          <w:p w14:paraId="0FE75A91">
            <w:pPr>
              <w:jc w:val="center"/>
              <w:rPr>
                <w:rFonts w:ascii="宋体" w:hAnsi="宋体"/>
                <w:szCs w:val="21"/>
              </w:rPr>
            </w:pPr>
          </w:p>
        </w:tc>
        <w:tc>
          <w:tcPr>
            <w:tcW w:w="2080" w:type="dxa"/>
            <w:vAlign w:val="center"/>
          </w:tcPr>
          <w:p w14:paraId="54DADDFE">
            <w:pPr>
              <w:jc w:val="center"/>
              <w:rPr>
                <w:rFonts w:ascii="宋体" w:hAnsi="宋体"/>
                <w:szCs w:val="21"/>
              </w:rPr>
            </w:pPr>
          </w:p>
        </w:tc>
        <w:tc>
          <w:tcPr>
            <w:tcW w:w="2227" w:type="dxa"/>
            <w:vAlign w:val="center"/>
          </w:tcPr>
          <w:p w14:paraId="50A03744">
            <w:pPr>
              <w:jc w:val="center"/>
              <w:rPr>
                <w:rFonts w:ascii="宋体" w:hAnsi="宋体"/>
                <w:szCs w:val="21"/>
              </w:rPr>
            </w:pPr>
          </w:p>
        </w:tc>
      </w:tr>
      <w:tr w14:paraId="4FF6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707E3748">
            <w:pPr>
              <w:jc w:val="center"/>
              <w:rPr>
                <w:rFonts w:ascii="宋体" w:hAnsi="宋体"/>
                <w:szCs w:val="21"/>
              </w:rPr>
            </w:pPr>
          </w:p>
        </w:tc>
        <w:tc>
          <w:tcPr>
            <w:tcW w:w="3611" w:type="dxa"/>
            <w:gridSpan w:val="3"/>
            <w:vAlign w:val="center"/>
          </w:tcPr>
          <w:p w14:paraId="4EB823B0">
            <w:pPr>
              <w:jc w:val="center"/>
              <w:rPr>
                <w:rFonts w:ascii="宋体" w:hAnsi="宋体"/>
                <w:szCs w:val="21"/>
              </w:rPr>
            </w:pPr>
          </w:p>
        </w:tc>
        <w:tc>
          <w:tcPr>
            <w:tcW w:w="2080" w:type="dxa"/>
            <w:vAlign w:val="center"/>
          </w:tcPr>
          <w:p w14:paraId="4B13381F">
            <w:pPr>
              <w:jc w:val="center"/>
              <w:rPr>
                <w:rFonts w:ascii="宋体" w:hAnsi="宋体"/>
                <w:szCs w:val="21"/>
              </w:rPr>
            </w:pPr>
          </w:p>
        </w:tc>
        <w:tc>
          <w:tcPr>
            <w:tcW w:w="2227" w:type="dxa"/>
            <w:vAlign w:val="center"/>
          </w:tcPr>
          <w:p w14:paraId="1EDC5462">
            <w:pPr>
              <w:jc w:val="center"/>
              <w:rPr>
                <w:rFonts w:ascii="宋体" w:hAnsi="宋体"/>
                <w:szCs w:val="21"/>
              </w:rPr>
            </w:pPr>
          </w:p>
        </w:tc>
      </w:tr>
      <w:tr w14:paraId="0862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7E3BC7CB">
            <w:pPr>
              <w:jc w:val="center"/>
              <w:rPr>
                <w:rFonts w:ascii="宋体" w:hAnsi="宋体"/>
                <w:szCs w:val="21"/>
              </w:rPr>
            </w:pPr>
          </w:p>
        </w:tc>
        <w:tc>
          <w:tcPr>
            <w:tcW w:w="3611" w:type="dxa"/>
            <w:gridSpan w:val="3"/>
            <w:vAlign w:val="center"/>
          </w:tcPr>
          <w:p w14:paraId="02F6C109">
            <w:pPr>
              <w:jc w:val="center"/>
              <w:rPr>
                <w:rFonts w:ascii="宋体" w:hAnsi="宋体"/>
                <w:szCs w:val="21"/>
              </w:rPr>
            </w:pPr>
          </w:p>
        </w:tc>
        <w:tc>
          <w:tcPr>
            <w:tcW w:w="2080" w:type="dxa"/>
            <w:vAlign w:val="center"/>
          </w:tcPr>
          <w:p w14:paraId="3329A0F7">
            <w:pPr>
              <w:jc w:val="center"/>
              <w:rPr>
                <w:rFonts w:ascii="宋体" w:hAnsi="宋体"/>
                <w:szCs w:val="21"/>
              </w:rPr>
            </w:pPr>
          </w:p>
        </w:tc>
        <w:tc>
          <w:tcPr>
            <w:tcW w:w="2227" w:type="dxa"/>
            <w:vAlign w:val="center"/>
          </w:tcPr>
          <w:p w14:paraId="7740B53E">
            <w:pPr>
              <w:jc w:val="center"/>
              <w:rPr>
                <w:rFonts w:ascii="宋体" w:hAnsi="宋体"/>
                <w:szCs w:val="21"/>
              </w:rPr>
            </w:pPr>
          </w:p>
        </w:tc>
      </w:tr>
    </w:tbl>
    <w:p w14:paraId="1D4DBE84">
      <w:pPr>
        <w:rPr>
          <w:rFonts w:ascii="宋体" w:hAnsi="宋体"/>
        </w:rPr>
      </w:pPr>
    </w:p>
    <w:p w14:paraId="681E5949">
      <w:pPr>
        <w:pStyle w:val="23"/>
        <w:rPr>
          <w:rFonts w:ascii="宋体" w:hAnsi="宋体"/>
        </w:rPr>
      </w:pPr>
    </w:p>
    <w:p w14:paraId="0DD688CD">
      <w:pPr>
        <w:pStyle w:val="23"/>
        <w:rPr>
          <w:rFonts w:ascii="宋体" w:hAnsi="宋体"/>
        </w:rPr>
      </w:pPr>
    </w:p>
    <w:p w14:paraId="0DEECC6F">
      <w:pPr>
        <w:rPr>
          <w:rFonts w:ascii="宋体" w:hAnsi="宋体"/>
        </w:rPr>
      </w:pPr>
    </w:p>
    <w:p w14:paraId="4D3337FE">
      <w:pPr>
        <w:rPr>
          <w:rFonts w:ascii="宋体" w:hAnsi="宋体"/>
        </w:rPr>
      </w:pPr>
    </w:p>
    <w:p w14:paraId="55E70642">
      <w:pPr>
        <w:rPr>
          <w:rFonts w:ascii="宋体" w:hAnsi="宋体"/>
        </w:rPr>
      </w:pPr>
    </w:p>
    <w:p w14:paraId="018CCA91">
      <w:pPr>
        <w:rPr>
          <w:rFonts w:ascii="宋体" w:hAnsi="宋体"/>
        </w:rPr>
      </w:pPr>
    </w:p>
    <w:p w14:paraId="41250E11">
      <w:pPr>
        <w:rPr>
          <w:rFonts w:ascii="宋体" w:hAnsi="宋体"/>
        </w:rPr>
      </w:pPr>
    </w:p>
    <w:p w14:paraId="7AD3600A">
      <w:pPr>
        <w:rPr>
          <w:rFonts w:ascii="宋体" w:hAnsi="宋体"/>
        </w:rPr>
      </w:pPr>
    </w:p>
    <w:p w14:paraId="49B18150">
      <w:pPr>
        <w:pStyle w:val="23"/>
        <w:ind w:left="0" w:leftChars="0" w:firstLine="0" w:firstLineChars="0"/>
        <w:jc w:val="both"/>
        <w:rPr>
          <w:rFonts w:hint="default" w:ascii="宋体" w:hAnsi="宋体" w:eastAsia="宋体"/>
          <w:b/>
          <w:bCs/>
          <w:sz w:val="24"/>
          <w:szCs w:val="24"/>
          <w:lang w:val="en-US" w:eastAsia="zh-CN"/>
        </w:rPr>
      </w:pPr>
      <w:r>
        <w:rPr>
          <w:rFonts w:hint="eastAsia" w:hAnsi="宋体"/>
          <w:b/>
          <w:bCs/>
          <w:sz w:val="24"/>
          <w:szCs w:val="24"/>
          <w:lang w:val="en-US" w:eastAsia="zh-CN"/>
        </w:rPr>
        <w:t>附件2</w:t>
      </w:r>
    </w:p>
    <w:p w14:paraId="7F3B31E6">
      <w:pPr>
        <w:pStyle w:val="23"/>
        <w:ind w:left="0" w:leftChars="0" w:firstLine="0" w:firstLineChars="0"/>
        <w:jc w:val="center"/>
        <w:rPr>
          <w:rFonts w:ascii="宋体" w:hAnsi="宋体"/>
          <w:b/>
          <w:bCs/>
          <w:sz w:val="24"/>
          <w:szCs w:val="24"/>
        </w:rPr>
      </w:pPr>
      <w:r>
        <w:rPr>
          <w:rFonts w:hint="eastAsia" w:ascii="宋体" w:hAnsi="宋体"/>
          <w:b/>
          <w:bCs/>
          <w:sz w:val="24"/>
          <w:szCs w:val="24"/>
        </w:rPr>
        <w:t>项目管理机构配置</w:t>
      </w:r>
    </w:p>
    <w:tbl>
      <w:tblPr>
        <w:tblStyle w:val="51"/>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970"/>
        <w:gridCol w:w="564"/>
        <w:gridCol w:w="1356"/>
        <w:gridCol w:w="698"/>
        <w:gridCol w:w="1050"/>
        <w:gridCol w:w="945"/>
        <w:gridCol w:w="1323"/>
        <w:gridCol w:w="1323"/>
      </w:tblGrid>
      <w:tr w14:paraId="6737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666" w:type="dxa"/>
            <w:vAlign w:val="center"/>
          </w:tcPr>
          <w:p w14:paraId="030A519C">
            <w:pPr>
              <w:jc w:val="center"/>
              <w:rPr>
                <w:rFonts w:ascii="宋体" w:hAnsi="宋体" w:cs="宋体"/>
                <w:szCs w:val="21"/>
              </w:rPr>
            </w:pPr>
            <w:r>
              <w:rPr>
                <w:rFonts w:hint="eastAsia" w:ascii="宋体" w:hAnsi="宋体" w:cs="宋体"/>
                <w:szCs w:val="21"/>
              </w:rPr>
              <w:t>岗位</w:t>
            </w:r>
          </w:p>
        </w:tc>
        <w:tc>
          <w:tcPr>
            <w:tcW w:w="970" w:type="dxa"/>
            <w:vAlign w:val="center"/>
          </w:tcPr>
          <w:p w14:paraId="3656001E">
            <w:pPr>
              <w:jc w:val="center"/>
              <w:rPr>
                <w:rFonts w:ascii="宋体" w:hAnsi="宋体" w:cs="宋体"/>
                <w:szCs w:val="21"/>
              </w:rPr>
            </w:pPr>
            <w:r>
              <w:rPr>
                <w:rFonts w:hint="eastAsia" w:ascii="宋体" w:hAnsi="宋体" w:cs="宋体"/>
                <w:szCs w:val="21"/>
              </w:rPr>
              <w:t>姓名</w:t>
            </w:r>
          </w:p>
        </w:tc>
        <w:tc>
          <w:tcPr>
            <w:tcW w:w="564" w:type="dxa"/>
            <w:vAlign w:val="center"/>
          </w:tcPr>
          <w:p w14:paraId="4E3176AD">
            <w:pPr>
              <w:jc w:val="center"/>
              <w:rPr>
                <w:rFonts w:ascii="宋体" w:hAnsi="宋体" w:cs="宋体"/>
                <w:szCs w:val="21"/>
              </w:rPr>
            </w:pPr>
            <w:r>
              <w:rPr>
                <w:rFonts w:hint="eastAsia" w:ascii="宋体" w:hAnsi="宋体" w:cs="宋体"/>
                <w:szCs w:val="21"/>
              </w:rPr>
              <w:t>性别</w:t>
            </w:r>
          </w:p>
        </w:tc>
        <w:tc>
          <w:tcPr>
            <w:tcW w:w="1356" w:type="dxa"/>
            <w:vAlign w:val="center"/>
          </w:tcPr>
          <w:p w14:paraId="724A0855">
            <w:pPr>
              <w:jc w:val="center"/>
              <w:rPr>
                <w:rFonts w:ascii="宋体" w:hAnsi="宋体" w:cs="宋体"/>
                <w:szCs w:val="21"/>
              </w:rPr>
            </w:pPr>
            <w:r>
              <w:rPr>
                <w:rFonts w:hint="eastAsia" w:ascii="宋体" w:hAnsi="宋体" w:cs="宋体"/>
                <w:szCs w:val="21"/>
              </w:rPr>
              <w:t>出生年月</w:t>
            </w:r>
          </w:p>
        </w:tc>
        <w:tc>
          <w:tcPr>
            <w:tcW w:w="698" w:type="dxa"/>
            <w:vAlign w:val="center"/>
          </w:tcPr>
          <w:p w14:paraId="7E277B59">
            <w:pPr>
              <w:jc w:val="center"/>
              <w:rPr>
                <w:rFonts w:ascii="宋体" w:hAnsi="宋体" w:cs="宋体"/>
                <w:szCs w:val="21"/>
              </w:rPr>
            </w:pPr>
            <w:r>
              <w:rPr>
                <w:rFonts w:hint="eastAsia" w:ascii="宋体" w:hAnsi="宋体" w:cs="宋体"/>
                <w:szCs w:val="21"/>
              </w:rPr>
              <w:t>工作</w:t>
            </w:r>
          </w:p>
          <w:p w14:paraId="186FF2D5">
            <w:pPr>
              <w:jc w:val="center"/>
              <w:rPr>
                <w:rFonts w:ascii="宋体" w:hAnsi="宋体" w:cs="宋体"/>
                <w:szCs w:val="21"/>
              </w:rPr>
            </w:pPr>
            <w:r>
              <w:rPr>
                <w:rFonts w:hint="eastAsia" w:ascii="宋体" w:hAnsi="宋体" w:cs="宋体"/>
                <w:szCs w:val="21"/>
              </w:rPr>
              <w:t>年限</w:t>
            </w:r>
          </w:p>
        </w:tc>
        <w:tc>
          <w:tcPr>
            <w:tcW w:w="1050" w:type="dxa"/>
            <w:vAlign w:val="center"/>
          </w:tcPr>
          <w:p w14:paraId="1316789F">
            <w:pPr>
              <w:jc w:val="center"/>
              <w:rPr>
                <w:rFonts w:ascii="宋体" w:hAnsi="宋体" w:cs="宋体"/>
                <w:szCs w:val="21"/>
              </w:rPr>
            </w:pPr>
            <w:r>
              <w:rPr>
                <w:rFonts w:hint="eastAsia" w:ascii="宋体" w:hAnsi="宋体" w:cs="宋体"/>
                <w:szCs w:val="21"/>
              </w:rPr>
              <w:t>职称</w:t>
            </w:r>
          </w:p>
        </w:tc>
        <w:tc>
          <w:tcPr>
            <w:tcW w:w="945" w:type="dxa"/>
            <w:vAlign w:val="center"/>
          </w:tcPr>
          <w:p w14:paraId="1AB678EB">
            <w:pPr>
              <w:jc w:val="center"/>
              <w:rPr>
                <w:rFonts w:ascii="宋体" w:hAnsi="宋体" w:cs="宋体"/>
                <w:szCs w:val="21"/>
              </w:rPr>
            </w:pPr>
            <w:r>
              <w:rPr>
                <w:rFonts w:hint="eastAsia" w:ascii="宋体" w:hAnsi="宋体" w:cs="宋体"/>
                <w:szCs w:val="21"/>
              </w:rPr>
              <w:t>学历</w:t>
            </w:r>
          </w:p>
        </w:tc>
        <w:tc>
          <w:tcPr>
            <w:tcW w:w="1323" w:type="dxa"/>
            <w:vAlign w:val="center"/>
          </w:tcPr>
          <w:p w14:paraId="20A91EA7">
            <w:pPr>
              <w:jc w:val="center"/>
              <w:rPr>
                <w:rFonts w:ascii="宋体" w:hAnsi="宋体" w:cs="宋体"/>
                <w:szCs w:val="21"/>
              </w:rPr>
            </w:pPr>
            <w:r>
              <w:rPr>
                <w:rFonts w:hint="eastAsia" w:ascii="宋体" w:hAnsi="宋体" w:cs="宋体"/>
                <w:szCs w:val="21"/>
              </w:rPr>
              <w:t>岗位证书编号（执/从业资格证编号）</w:t>
            </w:r>
          </w:p>
        </w:tc>
        <w:tc>
          <w:tcPr>
            <w:tcW w:w="1323" w:type="dxa"/>
            <w:vAlign w:val="center"/>
          </w:tcPr>
          <w:p w14:paraId="663E240F">
            <w:pPr>
              <w:jc w:val="center"/>
              <w:rPr>
                <w:rFonts w:ascii="宋体" w:hAnsi="宋体" w:cs="宋体"/>
                <w:szCs w:val="21"/>
              </w:rPr>
            </w:pPr>
            <w:r>
              <w:rPr>
                <w:rFonts w:hint="eastAsia" w:ascii="宋体" w:hAnsi="宋体" w:cs="宋体"/>
                <w:szCs w:val="21"/>
              </w:rPr>
              <w:t>岗位要求</w:t>
            </w:r>
          </w:p>
        </w:tc>
      </w:tr>
      <w:tr w14:paraId="762A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vAlign w:val="center"/>
          </w:tcPr>
          <w:p w14:paraId="2DFEE8E7">
            <w:pPr>
              <w:jc w:val="center"/>
              <w:rPr>
                <w:rFonts w:ascii="宋体" w:hAnsi="宋体" w:cs="宋体"/>
                <w:szCs w:val="21"/>
              </w:rPr>
            </w:pPr>
            <w:r>
              <w:rPr>
                <w:rFonts w:hint="eastAsia" w:ascii="宋体" w:hAnsi="宋体" w:cs="宋体"/>
                <w:szCs w:val="21"/>
              </w:rPr>
              <w:t>项目总负责人（项目经理）</w:t>
            </w:r>
          </w:p>
        </w:tc>
        <w:tc>
          <w:tcPr>
            <w:tcW w:w="970" w:type="dxa"/>
            <w:vAlign w:val="center"/>
          </w:tcPr>
          <w:p w14:paraId="7609702D">
            <w:pPr>
              <w:jc w:val="center"/>
              <w:rPr>
                <w:rFonts w:ascii="宋体" w:hAnsi="宋体" w:cs="宋体"/>
                <w:szCs w:val="21"/>
              </w:rPr>
            </w:pPr>
          </w:p>
        </w:tc>
        <w:tc>
          <w:tcPr>
            <w:tcW w:w="564" w:type="dxa"/>
            <w:vAlign w:val="center"/>
          </w:tcPr>
          <w:p w14:paraId="6CC7BE26">
            <w:pPr>
              <w:jc w:val="center"/>
              <w:rPr>
                <w:rFonts w:ascii="宋体" w:hAnsi="宋体" w:cs="宋体"/>
                <w:szCs w:val="21"/>
              </w:rPr>
            </w:pPr>
          </w:p>
        </w:tc>
        <w:tc>
          <w:tcPr>
            <w:tcW w:w="1356" w:type="dxa"/>
            <w:vAlign w:val="center"/>
          </w:tcPr>
          <w:p w14:paraId="57808056">
            <w:pPr>
              <w:jc w:val="center"/>
              <w:rPr>
                <w:rFonts w:ascii="宋体" w:hAnsi="宋体" w:cs="宋体"/>
                <w:szCs w:val="21"/>
              </w:rPr>
            </w:pPr>
          </w:p>
        </w:tc>
        <w:tc>
          <w:tcPr>
            <w:tcW w:w="698" w:type="dxa"/>
            <w:vAlign w:val="center"/>
          </w:tcPr>
          <w:p w14:paraId="38EA2D6A">
            <w:pPr>
              <w:jc w:val="center"/>
              <w:rPr>
                <w:rFonts w:ascii="宋体" w:hAnsi="宋体" w:cs="宋体"/>
                <w:szCs w:val="21"/>
              </w:rPr>
            </w:pPr>
          </w:p>
        </w:tc>
        <w:tc>
          <w:tcPr>
            <w:tcW w:w="1050" w:type="dxa"/>
            <w:vAlign w:val="center"/>
          </w:tcPr>
          <w:p w14:paraId="6C7C4706">
            <w:pPr>
              <w:jc w:val="center"/>
              <w:rPr>
                <w:rFonts w:ascii="宋体" w:hAnsi="宋体" w:cs="宋体"/>
                <w:szCs w:val="21"/>
              </w:rPr>
            </w:pPr>
          </w:p>
        </w:tc>
        <w:tc>
          <w:tcPr>
            <w:tcW w:w="945" w:type="dxa"/>
            <w:vAlign w:val="center"/>
          </w:tcPr>
          <w:p w14:paraId="11A37933">
            <w:pPr>
              <w:jc w:val="center"/>
              <w:rPr>
                <w:rFonts w:ascii="宋体" w:hAnsi="宋体" w:cs="宋体"/>
                <w:szCs w:val="21"/>
              </w:rPr>
            </w:pPr>
          </w:p>
        </w:tc>
        <w:tc>
          <w:tcPr>
            <w:tcW w:w="1323" w:type="dxa"/>
            <w:vAlign w:val="center"/>
          </w:tcPr>
          <w:p w14:paraId="28DB582B">
            <w:pPr>
              <w:jc w:val="center"/>
              <w:rPr>
                <w:rFonts w:ascii="宋体" w:hAnsi="宋体" w:cs="宋体"/>
                <w:szCs w:val="21"/>
              </w:rPr>
            </w:pPr>
          </w:p>
        </w:tc>
        <w:tc>
          <w:tcPr>
            <w:tcW w:w="1323" w:type="dxa"/>
            <w:vAlign w:val="center"/>
          </w:tcPr>
          <w:p w14:paraId="689AF43E">
            <w:pPr>
              <w:jc w:val="center"/>
              <w:rPr>
                <w:rFonts w:ascii="宋体" w:hAnsi="宋体" w:cs="宋体"/>
                <w:szCs w:val="21"/>
              </w:rPr>
            </w:pPr>
            <w:r>
              <w:rPr>
                <w:rFonts w:hint="eastAsia" w:ascii="宋体" w:hAnsi="宋体" w:cs="宋体"/>
                <w:szCs w:val="21"/>
              </w:rPr>
              <w:t>专职：□</w:t>
            </w:r>
          </w:p>
          <w:p w14:paraId="2CA75D25">
            <w:pPr>
              <w:jc w:val="center"/>
              <w:rPr>
                <w:rFonts w:ascii="宋体" w:hAnsi="宋体" w:cs="宋体"/>
                <w:szCs w:val="21"/>
              </w:rPr>
            </w:pPr>
            <w:r>
              <w:rPr>
                <w:rFonts w:hint="eastAsia" w:ascii="宋体" w:hAnsi="宋体" w:cs="宋体"/>
                <w:szCs w:val="21"/>
              </w:rPr>
              <w:t>兼职：□</w:t>
            </w:r>
          </w:p>
        </w:tc>
      </w:tr>
      <w:tr w14:paraId="5081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tcPr>
          <w:p w14:paraId="4E9C71C3">
            <w:pPr>
              <w:spacing w:line="440" w:lineRule="exact"/>
              <w:jc w:val="center"/>
              <w:rPr>
                <w:rFonts w:ascii="宋体" w:hAnsi="宋体"/>
                <w:szCs w:val="32"/>
              </w:rPr>
            </w:pPr>
            <w:r>
              <w:rPr>
                <w:rFonts w:hint="eastAsia" w:ascii="宋体" w:hAnsi="宋体"/>
                <w:szCs w:val="32"/>
              </w:rPr>
              <w:t>技术负责人</w:t>
            </w:r>
          </w:p>
        </w:tc>
        <w:tc>
          <w:tcPr>
            <w:tcW w:w="970" w:type="dxa"/>
            <w:vAlign w:val="center"/>
          </w:tcPr>
          <w:p w14:paraId="3DC944F2">
            <w:pPr>
              <w:jc w:val="center"/>
              <w:rPr>
                <w:rFonts w:ascii="宋体" w:hAnsi="宋体" w:cs="宋体"/>
                <w:szCs w:val="21"/>
              </w:rPr>
            </w:pPr>
          </w:p>
        </w:tc>
        <w:tc>
          <w:tcPr>
            <w:tcW w:w="564" w:type="dxa"/>
            <w:vAlign w:val="center"/>
          </w:tcPr>
          <w:p w14:paraId="568F5652">
            <w:pPr>
              <w:jc w:val="center"/>
              <w:rPr>
                <w:rFonts w:ascii="宋体" w:hAnsi="宋体" w:cs="宋体"/>
                <w:szCs w:val="21"/>
              </w:rPr>
            </w:pPr>
          </w:p>
        </w:tc>
        <w:tc>
          <w:tcPr>
            <w:tcW w:w="1356" w:type="dxa"/>
            <w:vAlign w:val="center"/>
          </w:tcPr>
          <w:p w14:paraId="26836FA2">
            <w:pPr>
              <w:jc w:val="center"/>
              <w:rPr>
                <w:rFonts w:ascii="宋体" w:hAnsi="宋体" w:cs="宋体"/>
                <w:szCs w:val="21"/>
              </w:rPr>
            </w:pPr>
          </w:p>
        </w:tc>
        <w:tc>
          <w:tcPr>
            <w:tcW w:w="698" w:type="dxa"/>
            <w:vAlign w:val="center"/>
          </w:tcPr>
          <w:p w14:paraId="2CB0AAF8">
            <w:pPr>
              <w:jc w:val="center"/>
              <w:rPr>
                <w:rFonts w:ascii="宋体" w:hAnsi="宋体" w:cs="宋体"/>
                <w:szCs w:val="21"/>
              </w:rPr>
            </w:pPr>
          </w:p>
        </w:tc>
        <w:tc>
          <w:tcPr>
            <w:tcW w:w="1050" w:type="dxa"/>
            <w:vAlign w:val="center"/>
          </w:tcPr>
          <w:p w14:paraId="2F3493FC">
            <w:pPr>
              <w:jc w:val="center"/>
              <w:rPr>
                <w:rFonts w:ascii="宋体" w:hAnsi="宋体" w:cs="宋体"/>
                <w:szCs w:val="21"/>
              </w:rPr>
            </w:pPr>
          </w:p>
        </w:tc>
        <w:tc>
          <w:tcPr>
            <w:tcW w:w="945" w:type="dxa"/>
            <w:vAlign w:val="center"/>
          </w:tcPr>
          <w:p w14:paraId="7351C874">
            <w:pPr>
              <w:jc w:val="center"/>
              <w:rPr>
                <w:rFonts w:ascii="宋体" w:hAnsi="宋体" w:cs="宋体"/>
                <w:szCs w:val="21"/>
              </w:rPr>
            </w:pPr>
          </w:p>
        </w:tc>
        <w:tc>
          <w:tcPr>
            <w:tcW w:w="1323" w:type="dxa"/>
            <w:vAlign w:val="center"/>
          </w:tcPr>
          <w:p w14:paraId="71AAD16C">
            <w:pPr>
              <w:jc w:val="center"/>
              <w:rPr>
                <w:rFonts w:ascii="宋体" w:hAnsi="宋体" w:cs="宋体"/>
                <w:szCs w:val="21"/>
              </w:rPr>
            </w:pPr>
          </w:p>
        </w:tc>
        <w:tc>
          <w:tcPr>
            <w:tcW w:w="1323" w:type="dxa"/>
            <w:vAlign w:val="center"/>
          </w:tcPr>
          <w:p w14:paraId="7E741A93">
            <w:pPr>
              <w:jc w:val="center"/>
              <w:rPr>
                <w:rFonts w:ascii="宋体" w:hAnsi="宋体" w:cs="宋体"/>
                <w:szCs w:val="21"/>
              </w:rPr>
            </w:pPr>
            <w:r>
              <w:rPr>
                <w:rFonts w:hint="eastAsia" w:ascii="宋体" w:hAnsi="宋体" w:cs="宋体"/>
                <w:szCs w:val="21"/>
              </w:rPr>
              <w:t>专职：□</w:t>
            </w:r>
          </w:p>
          <w:p w14:paraId="0C378C0E">
            <w:pPr>
              <w:jc w:val="center"/>
              <w:rPr>
                <w:rFonts w:ascii="宋体" w:hAnsi="宋体" w:cs="宋体"/>
                <w:szCs w:val="21"/>
              </w:rPr>
            </w:pPr>
            <w:r>
              <w:rPr>
                <w:rFonts w:hint="eastAsia" w:ascii="宋体" w:hAnsi="宋体" w:cs="宋体"/>
                <w:szCs w:val="21"/>
              </w:rPr>
              <w:t>兼职：□</w:t>
            </w:r>
          </w:p>
        </w:tc>
      </w:tr>
      <w:tr w14:paraId="15A9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tcPr>
          <w:p w14:paraId="070C0016">
            <w:pPr>
              <w:spacing w:line="440" w:lineRule="exact"/>
              <w:jc w:val="center"/>
              <w:rPr>
                <w:rFonts w:ascii="宋体" w:hAnsi="宋体"/>
                <w:szCs w:val="32"/>
              </w:rPr>
            </w:pPr>
            <w:r>
              <w:rPr>
                <w:rFonts w:hint="eastAsia" w:ascii="宋体" w:hAnsi="宋体"/>
                <w:szCs w:val="32"/>
              </w:rPr>
              <w:t>施工员</w:t>
            </w:r>
          </w:p>
        </w:tc>
        <w:tc>
          <w:tcPr>
            <w:tcW w:w="970" w:type="dxa"/>
            <w:vAlign w:val="center"/>
          </w:tcPr>
          <w:p w14:paraId="1FCB26D1">
            <w:pPr>
              <w:jc w:val="center"/>
              <w:rPr>
                <w:rFonts w:ascii="宋体" w:hAnsi="宋体" w:cs="宋体"/>
                <w:szCs w:val="21"/>
              </w:rPr>
            </w:pPr>
          </w:p>
        </w:tc>
        <w:tc>
          <w:tcPr>
            <w:tcW w:w="564" w:type="dxa"/>
            <w:vAlign w:val="center"/>
          </w:tcPr>
          <w:p w14:paraId="787AF1AC">
            <w:pPr>
              <w:jc w:val="center"/>
              <w:rPr>
                <w:rFonts w:ascii="宋体" w:hAnsi="宋体" w:cs="宋体"/>
                <w:szCs w:val="21"/>
              </w:rPr>
            </w:pPr>
          </w:p>
        </w:tc>
        <w:tc>
          <w:tcPr>
            <w:tcW w:w="1356" w:type="dxa"/>
            <w:vAlign w:val="center"/>
          </w:tcPr>
          <w:p w14:paraId="60E0B6CD">
            <w:pPr>
              <w:jc w:val="center"/>
              <w:rPr>
                <w:rFonts w:ascii="宋体" w:hAnsi="宋体" w:cs="宋体"/>
                <w:szCs w:val="21"/>
              </w:rPr>
            </w:pPr>
          </w:p>
        </w:tc>
        <w:tc>
          <w:tcPr>
            <w:tcW w:w="698" w:type="dxa"/>
            <w:vAlign w:val="center"/>
          </w:tcPr>
          <w:p w14:paraId="14A0B928">
            <w:pPr>
              <w:jc w:val="center"/>
              <w:rPr>
                <w:rFonts w:ascii="宋体" w:hAnsi="宋体" w:cs="宋体"/>
                <w:szCs w:val="21"/>
              </w:rPr>
            </w:pPr>
          </w:p>
        </w:tc>
        <w:tc>
          <w:tcPr>
            <w:tcW w:w="1050" w:type="dxa"/>
            <w:vAlign w:val="center"/>
          </w:tcPr>
          <w:p w14:paraId="5B922B76">
            <w:pPr>
              <w:jc w:val="center"/>
              <w:rPr>
                <w:rFonts w:ascii="宋体" w:hAnsi="宋体" w:cs="宋体"/>
                <w:szCs w:val="21"/>
              </w:rPr>
            </w:pPr>
          </w:p>
        </w:tc>
        <w:tc>
          <w:tcPr>
            <w:tcW w:w="945" w:type="dxa"/>
            <w:vAlign w:val="center"/>
          </w:tcPr>
          <w:p w14:paraId="3BF338FB">
            <w:pPr>
              <w:jc w:val="center"/>
              <w:rPr>
                <w:rFonts w:ascii="宋体" w:hAnsi="宋体" w:cs="宋体"/>
                <w:szCs w:val="21"/>
              </w:rPr>
            </w:pPr>
          </w:p>
        </w:tc>
        <w:tc>
          <w:tcPr>
            <w:tcW w:w="1323" w:type="dxa"/>
            <w:vAlign w:val="center"/>
          </w:tcPr>
          <w:p w14:paraId="2E02F83C">
            <w:pPr>
              <w:jc w:val="center"/>
              <w:rPr>
                <w:rFonts w:ascii="宋体" w:hAnsi="宋体" w:cs="宋体"/>
                <w:szCs w:val="21"/>
              </w:rPr>
            </w:pPr>
          </w:p>
        </w:tc>
        <w:tc>
          <w:tcPr>
            <w:tcW w:w="1323" w:type="dxa"/>
            <w:vAlign w:val="center"/>
          </w:tcPr>
          <w:p w14:paraId="4F9ABD78">
            <w:pPr>
              <w:jc w:val="center"/>
              <w:rPr>
                <w:rFonts w:ascii="宋体" w:hAnsi="宋体" w:cs="宋体"/>
                <w:szCs w:val="21"/>
              </w:rPr>
            </w:pPr>
            <w:r>
              <w:rPr>
                <w:rFonts w:hint="eastAsia" w:ascii="宋体" w:hAnsi="宋体" w:cs="宋体"/>
                <w:szCs w:val="21"/>
              </w:rPr>
              <w:t>专职：□</w:t>
            </w:r>
          </w:p>
          <w:p w14:paraId="20646A9C">
            <w:pPr>
              <w:jc w:val="center"/>
              <w:rPr>
                <w:rFonts w:ascii="宋体" w:hAnsi="宋体" w:cs="宋体"/>
                <w:szCs w:val="21"/>
              </w:rPr>
            </w:pPr>
            <w:r>
              <w:rPr>
                <w:rFonts w:hint="eastAsia" w:ascii="宋体" w:hAnsi="宋体" w:cs="宋体"/>
                <w:szCs w:val="21"/>
              </w:rPr>
              <w:t>兼职：□</w:t>
            </w:r>
          </w:p>
        </w:tc>
      </w:tr>
      <w:tr w14:paraId="0D89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tcPr>
          <w:p w14:paraId="744D9A37">
            <w:pPr>
              <w:spacing w:line="440" w:lineRule="exact"/>
              <w:jc w:val="center"/>
              <w:rPr>
                <w:rFonts w:ascii="宋体" w:hAnsi="宋体"/>
                <w:szCs w:val="32"/>
              </w:rPr>
            </w:pPr>
            <w:r>
              <w:rPr>
                <w:rFonts w:hint="eastAsia" w:ascii="宋体" w:hAnsi="宋体"/>
                <w:szCs w:val="32"/>
              </w:rPr>
              <w:t>安全员</w:t>
            </w:r>
          </w:p>
        </w:tc>
        <w:tc>
          <w:tcPr>
            <w:tcW w:w="970" w:type="dxa"/>
            <w:vAlign w:val="center"/>
          </w:tcPr>
          <w:p w14:paraId="06C4AA43">
            <w:pPr>
              <w:jc w:val="center"/>
              <w:rPr>
                <w:rFonts w:ascii="宋体" w:hAnsi="宋体" w:cs="宋体"/>
                <w:szCs w:val="21"/>
              </w:rPr>
            </w:pPr>
          </w:p>
        </w:tc>
        <w:tc>
          <w:tcPr>
            <w:tcW w:w="564" w:type="dxa"/>
            <w:vAlign w:val="center"/>
          </w:tcPr>
          <w:p w14:paraId="6C4F32D5">
            <w:pPr>
              <w:jc w:val="center"/>
              <w:rPr>
                <w:rFonts w:ascii="宋体" w:hAnsi="宋体" w:cs="宋体"/>
                <w:szCs w:val="21"/>
              </w:rPr>
            </w:pPr>
          </w:p>
        </w:tc>
        <w:tc>
          <w:tcPr>
            <w:tcW w:w="1356" w:type="dxa"/>
            <w:vAlign w:val="center"/>
          </w:tcPr>
          <w:p w14:paraId="1CE3CE5F">
            <w:pPr>
              <w:jc w:val="center"/>
              <w:rPr>
                <w:rFonts w:ascii="宋体" w:hAnsi="宋体" w:cs="宋体"/>
                <w:szCs w:val="21"/>
              </w:rPr>
            </w:pPr>
          </w:p>
        </w:tc>
        <w:tc>
          <w:tcPr>
            <w:tcW w:w="698" w:type="dxa"/>
            <w:vAlign w:val="center"/>
          </w:tcPr>
          <w:p w14:paraId="2C88D9F8">
            <w:pPr>
              <w:jc w:val="center"/>
              <w:rPr>
                <w:rFonts w:ascii="宋体" w:hAnsi="宋体" w:cs="宋体"/>
                <w:szCs w:val="21"/>
              </w:rPr>
            </w:pPr>
          </w:p>
        </w:tc>
        <w:tc>
          <w:tcPr>
            <w:tcW w:w="1050" w:type="dxa"/>
            <w:vAlign w:val="center"/>
          </w:tcPr>
          <w:p w14:paraId="6ECCF82E">
            <w:pPr>
              <w:jc w:val="center"/>
              <w:rPr>
                <w:rFonts w:ascii="宋体" w:hAnsi="宋体" w:cs="宋体"/>
                <w:szCs w:val="21"/>
              </w:rPr>
            </w:pPr>
          </w:p>
        </w:tc>
        <w:tc>
          <w:tcPr>
            <w:tcW w:w="945" w:type="dxa"/>
            <w:vAlign w:val="center"/>
          </w:tcPr>
          <w:p w14:paraId="2D85B12F">
            <w:pPr>
              <w:jc w:val="center"/>
              <w:rPr>
                <w:rFonts w:ascii="宋体" w:hAnsi="宋体" w:cs="宋体"/>
                <w:szCs w:val="21"/>
              </w:rPr>
            </w:pPr>
          </w:p>
        </w:tc>
        <w:tc>
          <w:tcPr>
            <w:tcW w:w="1323" w:type="dxa"/>
            <w:vAlign w:val="center"/>
          </w:tcPr>
          <w:p w14:paraId="58873E7E">
            <w:pPr>
              <w:jc w:val="center"/>
              <w:rPr>
                <w:rFonts w:ascii="宋体" w:hAnsi="宋体" w:cs="宋体"/>
                <w:szCs w:val="21"/>
              </w:rPr>
            </w:pPr>
          </w:p>
        </w:tc>
        <w:tc>
          <w:tcPr>
            <w:tcW w:w="1323" w:type="dxa"/>
            <w:vAlign w:val="center"/>
          </w:tcPr>
          <w:p w14:paraId="2FFFFA8C">
            <w:pPr>
              <w:jc w:val="center"/>
              <w:rPr>
                <w:rFonts w:ascii="宋体" w:hAnsi="宋体" w:cs="宋体"/>
                <w:szCs w:val="21"/>
              </w:rPr>
            </w:pPr>
            <w:r>
              <w:rPr>
                <w:rFonts w:hint="eastAsia" w:ascii="宋体" w:hAnsi="宋体" w:cs="宋体"/>
                <w:szCs w:val="21"/>
              </w:rPr>
              <w:t>专职：□</w:t>
            </w:r>
          </w:p>
          <w:p w14:paraId="5A714E7F">
            <w:pPr>
              <w:jc w:val="center"/>
              <w:rPr>
                <w:rFonts w:ascii="宋体" w:hAnsi="宋体" w:cs="宋体"/>
                <w:szCs w:val="21"/>
              </w:rPr>
            </w:pPr>
            <w:r>
              <w:rPr>
                <w:rFonts w:hint="eastAsia" w:ascii="宋体" w:hAnsi="宋体" w:cs="宋体"/>
                <w:szCs w:val="21"/>
              </w:rPr>
              <w:t>兼职：□</w:t>
            </w:r>
          </w:p>
        </w:tc>
      </w:tr>
      <w:tr w14:paraId="2CC6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tcPr>
          <w:p w14:paraId="0924498F">
            <w:pPr>
              <w:spacing w:line="440" w:lineRule="exact"/>
              <w:jc w:val="center"/>
              <w:rPr>
                <w:rFonts w:ascii="宋体" w:hAnsi="宋体"/>
                <w:szCs w:val="32"/>
              </w:rPr>
            </w:pPr>
            <w:r>
              <w:rPr>
                <w:rFonts w:hint="eastAsia" w:ascii="宋体" w:hAnsi="宋体"/>
                <w:szCs w:val="32"/>
              </w:rPr>
              <w:t>质量员</w:t>
            </w:r>
          </w:p>
        </w:tc>
        <w:tc>
          <w:tcPr>
            <w:tcW w:w="970" w:type="dxa"/>
            <w:vAlign w:val="center"/>
          </w:tcPr>
          <w:p w14:paraId="631B51D5">
            <w:pPr>
              <w:jc w:val="center"/>
              <w:rPr>
                <w:rFonts w:ascii="宋体" w:hAnsi="宋体" w:cs="宋体"/>
                <w:szCs w:val="21"/>
              </w:rPr>
            </w:pPr>
          </w:p>
        </w:tc>
        <w:tc>
          <w:tcPr>
            <w:tcW w:w="564" w:type="dxa"/>
            <w:vAlign w:val="center"/>
          </w:tcPr>
          <w:p w14:paraId="02B52A61">
            <w:pPr>
              <w:jc w:val="center"/>
              <w:rPr>
                <w:rFonts w:ascii="宋体" w:hAnsi="宋体" w:cs="宋体"/>
                <w:szCs w:val="21"/>
              </w:rPr>
            </w:pPr>
          </w:p>
        </w:tc>
        <w:tc>
          <w:tcPr>
            <w:tcW w:w="1356" w:type="dxa"/>
            <w:vAlign w:val="center"/>
          </w:tcPr>
          <w:p w14:paraId="1818D87A">
            <w:pPr>
              <w:jc w:val="center"/>
              <w:rPr>
                <w:rFonts w:ascii="宋体" w:hAnsi="宋体" w:cs="宋体"/>
                <w:szCs w:val="21"/>
              </w:rPr>
            </w:pPr>
          </w:p>
        </w:tc>
        <w:tc>
          <w:tcPr>
            <w:tcW w:w="698" w:type="dxa"/>
            <w:vAlign w:val="center"/>
          </w:tcPr>
          <w:p w14:paraId="5B8F2631">
            <w:pPr>
              <w:jc w:val="center"/>
              <w:rPr>
                <w:rFonts w:ascii="宋体" w:hAnsi="宋体" w:cs="宋体"/>
                <w:szCs w:val="21"/>
              </w:rPr>
            </w:pPr>
          </w:p>
        </w:tc>
        <w:tc>
          <w:tcPr>
            <w:tcW w:w="1050" w:type="dxa"/>
            <w:vAlign w:val="center"/>
          </w:tcPr>
          <w:p w14:paraId="73046E2C">
            <w:pPr>
              <w:jc w:val="center"/>
              <w:rPr>
                <w:rFonts w:ascii="宋体" w:hAnsi="宋体" w:cs="宋体"/>
                <w:szCs w:val="21"/>
              </w:rPr>
            </w:pPr>
          </w:p>
        </w:tc>
        <w:tc>
          <w:tcPr>
            <w:tcW w:w="945" w:type="dxa"/>
            <w:vAlign w:val="center"/>
          </w:tcPr>
          <w:p w14:paraId="149BC61F">
            <w:pPr>
              <w:jc w:val="center"/>
              <w:rPr>
                <w:rFonts w:ascii="宋体" w:hAnsi="宋体" w:cs="宋体"/>
                <w:szCs w:val="21"/>
              </w:rPr>
            </w:pPr>
          </w:p>
        </w:tc>
        <w:tc>
          <w:tcPr>
            <w:tcW w:w="1323" w:type="dxa"/>
            <w:vAlign w:val="center"/>
          </w:tcPr>
          <w:p w14:paraId="50D7B9E7">
            <w:pPr>
              <w:jc w:val="center"/>
              <w:rPr>
                <w:rFonts w:ascii="宋体" w:hAnsi="宋体" w:cs="宋体"/>
                <w:szCs w:val="21"/>
              </w:rPr>
            </w:pPr>
          </w:p>
        </w:tc>
        <w:tc>
          <w:tcPr>
            <w:tcW w:w="1323" w:type="dxa"/>
            <w:vAlign w:val="center"/>
          </w:tcPr>
          <w:p w14:paraId="4D815B61">
            <w:pPr>
              <w:jc w:val="center"/>
              <w:rPr>
                <w:rFonts w:ascii="宋体" w:hAnsi="宋体" w:cs="宋体"/>
                <w:szCs w:val="21"/>
              </w:rPr>
            </w:pPr>
            <w:r>
              <w:rPr>
                <w:rFonts w:hint="eastAsia" w:ascii="宋体" w:hAnsi="宋体" w:cs="宋体"/>
                <w:szCs w:val="21"/>
              </w:rPr>
              <w:t>专职：□</w:t>
            </w:r>
          </w:p>
          <w:p w14:paraId="2F061DEB">
            <w:pPr>
              <w:jc w:val="center"/>
              <w:rPr>
                <w:rFonts w:ascii="宋体" w:hAnsi="宋体" w:cs="宋体"/>
                <w:szCs w:val="21"/>
              </w:rPr>
            </w:pPr>
            <w:r>
              <w:rPr>
                <w:rFonts w:hint="eastAsia" w:ascii="宋体" w:hAnsi="宋体" w:cs="宋体"/>
                <w:szCs w:val="21"/>
              </w:rPr>
              <w:t>兼职：□</w:t>
            </w:r>
          </w:p>
        </w:tc>
      </w:tr>
      <w:tr w14:paraId="4C09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tcPr>
          <w:p w14:paraId="0EC5F3F1">
            <w:pPr>
              <w:spacing w:line="440" w:lineRule="exact"/>
              <w:jc w:val="center"/>
              <w:rPr>
                <w:rFonts w:ascii="宋体" w:hAnsi="宋体"/>
                <w:szCs w:val="32"/>
              </w:rPr>
            </w:pPr>
            <w:r>
              <w:rPr>
                <w:rFonts w:hint="eastAsia" w:ascii="宋体" w:hAnsi="宋体"/>
                <w:szCs w:val="32"/>
              </w:rPr>
              <w:t>标准员</w:t>
            </w:r>
          </w:p>
        </w:tc>
        <w:tc>
          <w:tcPr>
            <w:tcW w:w="970" w:type="dxa"/>
            <w:vAlign w:val="center"/>
          </w:tcPr>
          <w:p w14:paraId="7C8DE12D">
            <w:pPr>
              <w:jc w:val="center"/>
              <w:rPr>
                <w:rFonts w:ascii="宋体" w:hAnsi="宋体" w:cs="宋体"/>
                <w:szCs w:val="21"/>
              </w:rPr>
            </w:pPr>
          </w:p>
        </w:tc>
        <w:tc>
          <w:tcPr>
            <w:tcW w:w="564" w:type="dxa"/>
            <w:vAlign w:val="center"/>
          </w:tcPr>
          <w:p w14:paraId="7AF26917">
            <w:pPr>
              <w:jc w:val="center"/>
              <w:rPr>
                <w:rFonts w:ascii="宋体" w:hAnsi="宋体" w:cs="宋体"/>
                <w:szCs w:val="21"/>
              </w:rPr>
            </w:pPr>
          </w:p>
        </w:tc>
        <w:tc>
          <w:tcPr>
            <w:tcW w:w="1356" w:type="dxa"/>
            <w:vAlign w:val="center"/>
          </w:tcPr>
          <w:p w14:paraId="1BA50FF8">
            <w:pPr>
              <w:jc w:val="center"/>
              <w:rPr>
                <w:rFonts w:ascii="宋体" w:hAnsi="宋体" w:cs="宋体"/>
                <w:szCs w:val="21"/>
              </w:rPr>
            </w:pPr>
          </w:p>
        </w:tc>
        <w:tc>
          <w:tcPr>
            <w:tcW w:w="698" w:type="dxa"/>
            <w:vAlign w:val="center"/>
          </w:tcPr>
          <w:p w14:paraId="6D182024">
            <w:pPr>
              <w:jc w:val="center"/>
              <w:rPr>
                <w:rFonts w:ascii="宋体" w:hAnsi="宋体" w:cs="宋体"/>
                <w:szCs w:val="21"/>
              </w:rPr>
            </w:pPr>
          </w:p>
        </w:tc>
        <w:tc>
          <w:tcPr>
            <w:tcW w:w="1050" w:type="dxa"/>
            <w:vAlign w:val="center"/>
          </w:tcPr>
          <w:p w14:paraId="3DB42100">
            <w:pPr>
              <w:jc w:val="center"/>
              <w:rPr>
                <w:rFonts w:ascii="宋体" w:hAnsi="宋体" w:cs="宋体"/>
                <w:szCs w:val="21"/>
              </w:rPr>
            </w:pPr>
          </w:p>
        </w:tc>
        <w:tc>
          <w:tcPr>
            <w:tcW w:w="945" w:type="dxa"/>
            <w:vAlign w:val="center"/>
          </w:tcPr>
          <w:p w14:paraId="12AF208F">
            <w:pPr>
              <w:jc w:val="center"/>
              <w:rPr>
                <w:rFonts w:ascii="宋体" w:hAnsi="宋体" w:cs="宋体"/>
                <w:szCs w:val="21"/>
              </w:rPr>
            </w:pPr>
          </w:p>
        </w:tc>
        <w:tc>
          <w:tcPr>
            <w:tcW w:w="1323" w:type="dxa"/>
            <w:vAlign w:val="center"/>
          </w:tcPr>
          <w:p w14:paraId="007BAAD0">
            <w:pPr>
              <w:jc w:val="center"/>
              <w:rPr>
                <w:rFonts w:ascii="宋体" w:hAnsi="宋体" w:cs="宋体"/>
                <w:szCs w:val="21"/>
              </w:rPr>
            </w:pPr>
          </w:p>
        </w:tc>
        <w:tc>
          <w:tcPr>
            <w:tcW w:w="1323" w:type="dxa"/>
            <w:vAlign w:val="center"/>
          </w:tcPr>
          <w:p w14:paraId="49229AC9">
            <w:pPr>
              <w:jc w:val="center"/>
              <w:rPr>
                <w:rFonts w:ascii="宋体" w:hAnsi="宋体" w:cs="宋体"/>
                <w:szCs w:val="21"/>
              </w:rPr>
            </w:pPr>
            <w:r>
              <w:rPr>
                <w:rFonts w:hint="eastAsia" w:ascii="宋体" w:hAnsi="宋体" w:cs="宋体"/>
                <w:szCs w:val="21"/>
              </w:rPr>
              <w:t>专职：□</w:t>
            </w:r>
          </w:p>
          <w:p w14:paraId="11D756C3">
            <w:pPr>
              <w:jc w:val="center"/>
              <w:rPr>
                <w:rFonts w:ascii="宋体" w:hAnsi="宋体" w:cs="宋体"/>
                <w:szCs w:val="21"/>
              </w:rPr>
            </w:pPr>
            <w:r>
              <w:rPr>
                <w:rFonts w:hint="eastAsia" w:ascii="宋体" w:hAnsi="宋体" w:cs="宋体"/>
                <w:szCs w:val="21"/>
              </w:rPr>
              <w:t>兼职：□</w:t>
            </w:r>
          </w:p>
        </w:tc>
      </w:tr>
      <w:tr w14:paraId="038A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tcBorders>
              <w:top w:val="single" w:color="auto" w:sz="4" w:space="0"/>
              <w:left w:val="single" w:color="auto" w:sz="4" w:space="0"/>
              <w:bottom w:val="single" w:color="auto" w:sz="4" w:space="0"/>
              <w:right w:val="single" w:color="auto" w:sz="4" w:space="0"/>
            </w:tcBorders>
          </w:tcPr>
          <w:p w14:paraId="619A3DD1">
            <w:pPr>
              <w:spacing w:line="440" w:lineRule="exact"/>
              <w:jc w:val="center"/>
              <w:rPr>
                <w:rFonts w:ascii="宋体" w:hAnsi="宋体"/>
                <w:szCs w:val="32"/>
              </w:rPr>
            </w:pPr>
            <w:r>
              <w:rPr>
                <w:rFonts w:hint="eastAsia" w:ascii="宋体" w:hAnsi="宋体"/>
                <w:szCs w:val="32"/>
              </w:rPr>
              <w:t>材料员</w:t>
            </w:r>
          </w:p>
        </w:tc>
        <w:tc>
          <w:tcPr>
            <w:tcW w:w="970" w:type="dxa"/>
            <w:tcBorders>
              <w:top w:val="single" w:color="auto" w:sz="4" w:space="0"/>
              <w:left w:val="single" w:color="auto" w:sz="4" w:space="0"/>
              <w:bottom w:val="single" w:color="auto" w:sz="4" w:space="0"/>
              <w:right w:val="single" w:color="auto" w:sz="4" w:space="0"/>
            </w:tcBorders>
            <w:vAlign w:val="center"/>
          </w:tcPr>
          <w:p w14:paraId="2407C66D">
            <w:pPr>
              <w:jc w:val="center"/>
              <w:rPr>
                <w:rFonts w:ascii="宋体" w:hAnsi="宋体" w:cs="宋体"/>
                <w:szCs w:val="21"/>
              </w:rPr>
            </w:pPr>
          </w:p>
        </w:tc>
        <w:tc>
          <w:tcPr>
            <w:tcW w:w="564" w:type="dxa"/>
            <w:tcBorders>
              <w:top w:val="single" w:color="auto" w:sz="4" w:space="0"/>
              <w:left w:val="single" w:color="auto" w:sz="4" w:space="0"/>
              <w:bottom w:val="single" w:color="auto" w:sz="4" w:space="0"/>
              <w:right w:val="single" w:color="auto" w:sz="4" w:space="0"/>
            </w:tcBorders>
            <w:vAlign w:val="center"/>
          </w:tcPr>
          <w:p w14:paraId="1DE9E537">
            <w:pPr>
              <w:jc w:val="center"/>
              <w:rPr>
                <w:rFonts w:ascii="宋体" w:hAnsi="宋体" w:cs="宋体"/>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0CF137DC">
            <w:pPr>
              <w:jc w:val="center"/>
              <w:rPr>
                <w:rFonts w:ascii="宋体" w:hAnsi="宋体" w:cs="宋体"/>
                <w:szCs w:val="21"/>
              </w:rPr>
            </w:pPr>
          </w:p>
        </w:tc>
        <w:tc>
          <w:tcPr>
            <w:tcW w:w="698" w:type="dxa"/>
            <w:tcBorders>
              <w:top w:val="single" w:color="auto" w:sz="4" w:space="0"/>
              <w:left w:val="single" w:color="auto" w:sz="4" w:space="0"/>
              <w:bottom w:val="single" w:color="auto" w:sz="4" w:space="0"/>
              <w:right w:val="single" w:color="auto" w:sz="4" w:space="0"/>
            </w:tcBorders>
            <w:vAlign w:val="center"/>
          </w:tcPr>
          <w:p w14:paraId="4E6BFD58">
            <w:pPr>
              <w:jc w:val="center"/>
              <w:rPr>
                <w:rFonts w:ascii="宋体" w:hAnsi="宋体" w:cs="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66C46E8B">
            <w:pPr>
              <w:jc w:val="center"/>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7543CFCC">
            <w:pPr>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356A5A41">
            <w:pPr>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599852E7">
            <w:pPr>
              <w:jc w:val="center"/>
              <w:rPr>
                <w:rFonts w:ascii="宋体" w:hAnsi="宋体" w:cs="宋体"/>
                <w:szCs w:val="21"/>
              </w:rPr>
            </w:pPr>
            <w:r>
              <w:rPr>
                <w:rFonts w:hint="eastAsia" w:ascii="宋体" w:hAnsi="宋体" w:cs="宋体"/>
                <w:szCs w:val="21"/>
              </w:rPr>
              <w:t>专职：□</w:t>
            </w:r>
          </w:p>
          <w:p w14:paraId="034DB201">
            <w:pPr>
              <w:jc w:val="center"/>
              <w:rPr>
                <w:rFonts w:ascii="宋体" w:hAnsi="宋体" w:cs="宋体"/>
                <w:szCs w:val="21"/>
              </w:rPr>
            </w:pPr>
            <w:r>
              <w:rPr>
                <w:rFonts w:hint="eastAsia" w:ascii="宋体" w:hAnsi="宋体" w:cs="宋体"/>
                <w:szCs w:val="21"/>
              </w:rPr>
              <w:t>兼职：□</w:t>
            </w:r>
          </w:p>
        </w:tc>
      </w:tr>
      <w:tr w14:paraId="5A1B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tcBorders>
              <w:top w:val="single" w:color="auto" w:sz="4" w:space="0"/>
              <w:left w:val="single" w:color="auto" w:sz="4" w:space="0"/>
              <w:bottom w:val="single" w:color="auto" w:sz="4" w:space="0"/>
              <w:right w:val="single" w:color="auto" w:sz="4" w:space="0"/>
            </w:tcBorders>
          </w:tcPr>
          <w:p w14:paraId="768069A6">
            <w:pPr>
              <w:spacing w:line="440" w:lineRule="exact"/>
              <w:jc w:val="center"/>
              <w:rPr>
                <w:rFonts w:ascii="宋体" w:hAnsi="宋体"/>
                <w:szCs w:val="32"/>
              </w:rPr>
            </w:pPr>
            <w:r>
              <w:rPr>
                <w:rFonts w:hint="eastAsia" w:ascii="宋体" w:hAnsi="宋体"/>
                <w:szCs w:val="32"/>
              </w:rPr>
              <w:t>机械员</w:t>
            </w:r>
          </w:p>
        </w:tc>
        <w:tc>
          <w:tcPr>
            <w:tcW w:w="970" w:type="dxa"/>
            <w:tcBorders>
              <w:top w:val="single" w:color="auto" w:sz="4" w:space="0"/>
              <w:left w:val="single" w:color="auto" w:sz="4" w:space="0"/>
              <w:bottom w:val="single" w:color="auto" w:sz="4" w:space="0"/>
              <w:right w:val="single" w:color="auto" w:sz="4" w:space="0"/>
            </w:tcBorders>
            <w:vAlign w:val="center"/>
          </w:tcPr>
          <w:p w14:paraId="0F793CF3">
            <w:pPr>
              <w:jc w:val="center"/>
              <w:rPr>
                <w:rFonts w:ascii="宋体" w:hAnsi="宋体" w:cs="宋体"/>
                <w:szCs w:val="21"/>
              </w:rPr>
            </w:pPr>
          </w:p>
        </w:tc>
        <w:tc>
          <w:tcPr>
            <w:tcW w:w="564" w:type="dxa"/>
            <w:tcBorders>
              <w:top w:val="single" w:color="auto" w:sz="4" w:space="0"/>
              <w:left w:val="single" w:color="auto" w:sz="4" w:space="0"/>
              <w:bottom w:val="single" w:color="auto" w:sz="4" w:space="0"/>
              <w:right w:val="single" w:color="auto" w:sz="4" w:space="0"/>
            </w:tcBorders>
            <w:vAlign w:val="center"/>
          </w:tcPr>
          <w:p w14:paraId="0539142F">
            <w:pPr>
              <w:jc w:val="center"/>
              <w:rPr>
                <w:rFonts w:ascii="宋体" w:hAnsi="宋体" w:cs="宋体"/>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28C4119E">
            <w:pPr>
              <w:jc w:val="center"/>
              <w:rPr>
                <w:rFonts w:ascii="宋体" w:hAnsi="宋体" w:cs="宋体"/>
                <w:szCs w:val="21"/>
              </w:rPr>
            </w:pPr>
          </w:p>
        </w:tc>
        <w:tc>
          <w:tcPr>
            <w:tcW w:w="698" w:type="dxa"/>
            <w:tcBorders>
              <w:top w:val="single" w:color="auto" w:sz="4" w:space="0"/>
              <w:left w:val="single" w:color="auto" w:sz="4" w:space="0"/>
              <w:bottom w:val="single" w:color="auto" w:sz="4" w:space="0"/>
              <w:right w:val="single" w:color="auto" w:sz="4" w:space="0"/>
            </w:tcBorders>
            <w:vAlign w:val="center"/>
          </w:tcPr>
          <w:p w14:paraId="465C6309">
            <w:pPr>
              <w:jc w:val="center"/>
              <w:rPr>
                <w:rFonts w:ascii="宋体" w:hAnsi="宋体" w:cs="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34AB7094">
            <w:pPr>
              <w:jc w:val="center"/>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7A83D1E4">
            <w:pPr>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6387D052">
            <w:pPr>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40289826">
            <w:pPr>
              <w:jc w:val="center"/>
              <w:rPr>
                <w:rFonts w:ascii="宋体" w:hAnsi="宋体" w:cs="宋体"/>
                <w:szCs w:val="21"/>
              </w:rPr>
            </w:pPr>
            <w:r>
              <w:rPr>
                <w:rFonts w:hint="eastAsia" w:ascii="宋体" w:hAnsi="宋体" w:cs="宋体"/>
                <w:szCs w:val="21"/>
              </w:rPr>
              <w:t>专职：□</w:t>
            </w:r>
          </w:p>
          <w:p w14:paraId="072C4401">
            <w:pPr>
              <w:jc w:val="center"/>
              <w:rPr>
                <w:rFonts w:ascii="宋体" w:hAnsi="宋体" w:cs="宋体"/>
                <w:szCs w:val="21"/>
              </w:rPr>
            </w:pPr>
            <w:r>
              <w:rPr>
                <w:rFonts w:hint="eastAsia" w:ascii="宋体" w:hAnsi="宋体" w:cs="宋体"/>
                <w:szCs w:val="21"/>
              </w:rPr>
              <w:t>兼职：□</w:t>
            </w:r>
          </w:p>
        </w:tc>
      </w:tr>
      <w:tr w14:paraId="49C3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tcBorders>
              <w:top w:val="single" w:color="auto" w:sz="4" w:space="0"/>
              <w:left w:val="single" w:color="auto" w:sz="4" w:space="0"/>
              <w:bottom w:val="single" w:color="auto" w:sz="4" w:space="0"/>
              <w:right w:val="single" w:color="auto" w:sz="4" w:space="0"/>
            </w:tcBorders>
          </w:tcPr>
          <w:p w14:paraId="08BE8CDD">
            <w:pPr>
              <w:spacing w:line="440" w:lineRule="exact"/>
              <w:jc w:val="center"/>
              <w:rPr>
                <w:rFonts w:ascii="宋体" w:hAnsi="宋体"/>
                <w:szCs w:val="32"/>
              </w:rPr>
            </w:pPr>
            <w:r>
              <w:rPr>
                <w:rFonts w:hint="eastAsia" w:ascii="宋体" w:hAnsi="宋体"/>
                <w:szCs w:val="32"/>
              </w:rPr>
              <w:t>劳务员</w:t>
            </w:r>
          </w:p>
        </w:tc>
        <w:tc>
          <w:tcPr>
            <w:tcW w:w="970" w:type="dxa"/>
            <w:tcBorders>
              <w:top w:val="single" w:color="auto" w:sz="4" w:space="0"/>
              <w:left w:val="single" w:color="auto" w:sz="4" w:space="0"/>
              <w:bottom w:val="single" w:color="auto" w:sz="4" w:space="0"/>
              <w:right w:val="single" w:color="auto" w:sz="4" w:space="0"/>
            </w:tcBorders>
            <w:vAlign w:val="center"/>
          </w:tcPr>
          <w:p w14:paraId="25338085">
            <w:pPr>
              <w:jc w:val="center"/>
              <w:rPr>
                <w:rFonts w:ascii="宋体" w:hAnsi="宋体" w:cs="宋体"/>
                <w:szCs w:val="21"/>
              </w:rPr>
            </w:pPr>
          </w:p>
        </w:tc>
        <w:tc>
          <w:tcPr>
            <w:tcW w:w="564" w:type="dxa"/>
            <w:tcBorders>
              <w:top w:val="single" w:color="auto" w:sz="4" w:space="0"/>
              <w:left w:val="single" w:color="auto" w:sz="4" w:space="0"/>
              <w:bottom w:val="single" w:color="auto" w:sz="4" w:space="0"/>
              <w:right w:val="single" w:color="auto" w:sz="4" w:space="0"/>
            </w:tcBorders>
            <w:vAlign w:val="center"/>
          </w:tcPr>
          <w:p w14:paraId="5C69B5C8">
            <w:pPr>
              <w:jc w:val="center"/>
              <w:rPr>
                <w:rFonts w:ascii="宋体" w:hAnsi="宋体" w:cs="宋体"/>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606B04F9">
            <w:pPr>
              <w:jc w:val="center"/>
              <w:rPr>
                <w:rFonts w:ascii="宋体" w:hAnsi="宋体" w:cs="宋体"/>
                <w:szCs w:val="21"/>
              </w:rPr>
            </w:pPr>
          </w:p>
        </w:tc>
        <w:tc>
          <w:tcPr>
            <w:tcW w:w="698" w:type="dxa"/>
            <w:tcBorders>
              <w:top w:val="single" w:color="auto" w:sz="4" w:space="0"/>
              <w:left w:val="single" w:color="auto" w:sz="4" w:space="0"/>
              <w:bottom w:val="single" w:color="auto" w:sz="4" w:space="0"/>
              <w:right w:val="single" w:color="auto" w:sz="4" w:space="0"/>
            </w:tcBorders>
            <w:vAlign w:val="center"/>
          </w:tcPr>
          <w:p w14:paraId="14576E88">
            <w:pPr>
              <w:jc w:val="center"/>
              <w:rPr>
                <w:rFonts w:ascii="宋体" w:hAnsi="宋体" w:cs="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68D56548">
            <w:pPr>
              <w:jc w:val="center"/>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0F7B94E1">
            <w:pPr>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55C5F5D0">
            <w:pPr>
              <w:jc w:val="center"/>
              <w:rPr>
                <w:rFonts w:ascii="宋体" w:hAnsi="宋体" w:cs="宋体"/>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2DA14189">
            <w:pPr>
              <w:jc w:val="center"/>
              <w:rPr>
                <w:rFonts w:ascii="宋体" w:hAnsi="宋体" w:cs="宋体"/>
                <w:szCs w:val="21"/>
              </w:rPr>
            </w:pPr>
            <w:r>
              <w:rPr>
                <w:rFonts w:hint="eastAsia" w:ascii="宋体" w:hAnsi="宋体" w:cs="宋体"/>
                <w:szCs w:val="21"/>
              </w:rPr>
              <w:t>专职：□</w:t>
            </w:r>
          </w:p>
          <w:p w14:paraId="43E6FB3E">
            <w:pPr>
              <w:jc w:val="center"/>
              <w:rPr>
                <w:rFonts w:ascii="宋体" w:hAnsi="宋体" w:cs="宋体"/>
                <w:szCs w:val="21"/>
              </w:rPr>
            </w:pPr>
            <w:r>
              <w:rPr>
                <w:rFonts w:hint="eastAsia" w:ascii="宋体" w:hAnsi="宋体" w:cs="宋体"/>
                <w:szCs w:val="21"/>
              </w:rPr>
              <w:t>兼职：□</w:t>
            </w:r>
          </w:p>
        </w:tc>
      </w:tr>
      <w:tr w14:paraId="493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66" w:type="dxa"/>
          </w:tcPr>
          <w:p w14:paraId="2FF5CD9C">
            <w:pPr>
              <w:spacing w:line="440" w:lineRule="exact"/>
              <w:jc w:val="center"/>
              <w:rPr>
                <w:rFonts w:ascii="宋体" w:hAnsi="宋体"/>
                <w:szCs w:val="32"/>
              </w:rPr>
            </w:pPr>
            <w:r>
              <w:rPr>
                <w:rFonts w:hint="eastAsia" w:ascii="宋体" w:hAnsi="宋体"/>
                <w:szCs w:val="32"/>
              </w:rPr>
              <w:t>资料员</w:t>
            </w:r>
          </w:p>
        </w:tc>
        <w:tc>
          <w:tcPr>
            <w:tcW w:w="970" w:type="dxa"/>
          </w:tcPr>
          <w:p w14:paraId="62F04B79">
            <w:pPr>
              <w:jc w:val="center"/>
              <w:rPr>
                <w:rFonts w:ascii="宋体" w:hAnsi="宋体" w:cs="宋体"/>
                <w:szCs w:val="21"/>
              </w:rPr>
            </w:pPr>
          </w:p>
        </w:tc>
        <w:tc>
          <w:tcPr>
            <w:tcW w:w="564" w:type="dxa"/>
          </w:tcPr>
          <w:p w14:paraId="63975257">
            <w:pPr>
              <w:jc w:val="center"/>
              <w:rPr>
                <w:rFonts w:ascii="宋体" w:hAnsi="宋体" w:cs="宋体"/>
                <w:szCs w:val="21"/>
              </w:rPr>
            </w:pPr>
          </w:p>
        </w:tc>
        <w:tc>
          <w:tcPr>
            <w:tcW w:w="1356" w:type="dxa"/>
          </w:tcPr>
          <w:p w14:paraId="2911D638">
            <w:pPr>
              <w:jc w:val="center"/>
              <w:rPr>
                <w:rFonts w:ascii="宋体" w:hAnsi="宋体" w:cs="宋体"/>
                <w:szCs w:val="21"/>
              </w:rPr>
            </w:pPr>
          </w:p>
        </w:tc>
        <w:tc>
          <w:tcPr>
            <w:tcW w:w="698" w:type="dxa"/>
          </w:tcPr>
          <w:p w14:paraId="2129D85B">
            <w:pPr>
              <w:jc w:val="center"/>
              <w:rPr>
                <w:rFonts w:ascii="宋体" w:hAnsi="宋体" w:cs="宋体"/>
                <w:szCs w:val="21"/>
              </w:rPr>
            </w:pPr>
          </w:p>
        </w:tc>
        <w:tc>
          <w:tcPr>
            <w:tcW w:w="1050" w:type="dxa"/>
          </w:tcPr>
          <w:p w14:paraId="247DA0F0">
            <w:pPr>
              <w:jc w:val="center"/>
              <w:rPr>
                <w:rFonts w:ascii="宋体" w:hAnsi="宋体" w:cs="宋体"/>
                <w:szCs w:val="21"/>
              </w:rPr>
            </w:pPr>
          </w:p>
        </w:tc>
        <w:tc>
          <w:tcPr>
            <w:tcW w:w="945" w:type="dxa"/>
          </w:tcPr>
          <w:p w14:paraId="74120F03">
            <w:pPr>
              <w:jc w:val="center"/>
              <w:rPr>
                <w:rFonts w:ascii="宋体" w:hAnsi="宋体" w:cs="宋体"/>
                <w:szCs w:val="21"/>
              </w:rPr>
            </w:pPr>
          </w:p>
        </w:tc>
        <w:tc>
          <w:tcPr>
            <w:tcW w:w="1323" w:type="dxa"/>
          </w:tcPr>
          <w:p w14:paraId="5F3722AC">
            <w:pPr>
              <w:jc w:val="center"/>
              <w:rPr>
                <w:rFonts w:ascii="宋体" w:hAnsi="宋体" w:cs="宋体"/>
                <w:szCs w:val="21"/>
              </w:rPr>
            </w:pPr>
          </w:p>
        </w:tc>
        <w:tc>
          <w:tcPr>
            <w:tcW w:w="1323" w:type="dxa"/>
          </w:tcPr>
          <w:p w14:paraId="12915497">
            <w:pPr>
              <w:jc w:val="center"/>
              <w:rPr>
                <w:rFonts w:ascii="宋体" w:hAnsi="宋体" w:cs="宋体"/>
                <w:szCs w:val="21"/>
              </w:rPr>
            </w:pPr>
            <w:r>
              <w:rPr>
                <w:rFonts w:hint="eastAsia" w:ascii="宋体" w:hAnsi="宋体" w:cs="宋体"/>
                <w:szCs w:val="21"/>
              </w:rPr>
              <w:t>专职：□</w:t>
            </w:r>
          </w:p>
          <w:p w14:paraId="6A075371">
            <w:pPr>
              <w:jc w:val="center"/>
              <w:rPr>
                <w:rFonts w:ascii="宋体" w:hAnsi="宋体" w:cs="宋体"/>
                <w:szCs w:val="21"/>
              </w:rPr>
            </w:pPr>
            <w:r>
              <w:rPr>
                <w:rFonts w:hint="eastAsia" w:ascii="宋体" w:hAnsi="宋体" w:cs="宋体"/>
                <w:szCs w:val="21"/>
              </w:rPr>
              <w:t>兼职：□</w:t>
            </w:r>
          </w:p>
        </w:tc>
      </w:tr>
      <w:tr w14:paraId="2CFF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6" w:type="dxa"/>
          </w:tcPr>
          <w:p w14:paraId="6C3BA2A3">
            <w:pPr>
              <w:spacing w:line="440" w:lineRule="exact"/>
              <w:jc w:val="center"/>
              <w:rPr>
                <w:rFonts w:ascii="宋体" w:hAnsi="宋体"/>
                <w:szCs w:val="32"/>
              </w:rPr>
            </w:pPr>
            <w:r>
              <w:rPr>
                <w:rFonts w:hint="eastAsia" w:ascii="宋体" w:hAnsi="宋体"/>
                <w:szCs w:val="32"/>
              </w:rPr>
              <w:t>……</w:t>
            </w:r>
          </w:p>
        </w:tc>
        <w:tc>
          <w:tcPr>
            <w:tcW w:w="970" w:type="dxa"/>
          </w:tcPr>
          <w:p w14:paraId="52317068">
            <w:pPr>
              <w:jc w:val="center"/>
              <w:rPr>
                <w:rFonts w:ascii="宋体" w:hAnsi="宋体" w:cs="宋体"/>
                <w:szCs w:val="21"/>
              </w:rPr>
            </w:pPr>
          </w:p>
        </w:tc>
        <w:tc>
          <w:tcPr>
            <w:tcW w:w="564" w:type="dxa"/>
          </w:tcPr>
          <w:p w14:paraId="32CC3E2B">
            <w:pPr>
              <w:jc w:val="center"/>
              <w:rPr>
                <w:rFonts w:ascii="宋体" w:hAnsi="宋体" w:cs="宋体"/>
                <w:szCs w:val="21"/>
              </w:rPr>
            </w:pPr>
          </w:p>
        </w:tc>
        <w:tc>
          <w:tcPr>
            <w:tcW w:w="1356" w:type="dxa"/>
          </w:tcPr>
          <w:p w14:paraId="23FCB92B">
            <w:pPr>
              <w:jc w:val="center"/>
              <w:rPr>
                <w:rFonts w:ascii="宋体" w:hAnsi="宋体" w:cs="宋体"/>
                <w:szCs w:val="21"/>
              </w:rPr>
            </w:pPr>
          </w:p>
        </w:tc>
        <w:tc>
          <w:tcPr>
            <w:tcW w:w="698" w:type="dxa"/>
          </w:tcPr>
          <w:p w14:paraId="17A818B0">
            <w:pPr>
              <w:jc w:val="center"/>
              <w:rPr>
                <w:rFonts w:ascii="宋体" w:hAnsi="宋体" w:cs="宋体"/>
                <w:szCs w:val="21"/>
              </w:rPr>
            </w:pPr>
          </w:p>
        </w:tc>
        <w:tc>
          <w:tcPr>
            <w:tcW w:w="1050" w:type="dxa"/>
          </w:tcPr>
          <w:p w14:paraId="2943B3A4">
            <w:pPr>
              <w:jc w:val="center"/>
              <w:rPr>
                <w:rFonts w:ascii="宋体" w:hAnsi="宋体" w:cs="宋体"/>
                <w:szCs w:val="21"/>
              </w:rPr>
            </w:pPr>
          </w:p>
        </w:tc>
        <w:tc>
          <w:tcPr>
            <w:tcW w:w="945" w:type="dxa"/>
          </w:tcPr>
          <w:p w14:paraId="46C3A524">
            <w:pPr>
              <w:jc w:val="center"/>
              <w:rPr>
                <w:rFonts w:ascii="宋体" w:hAnsi="宋体" w:cs="宋体"/>
                <w:szCs w:val="21"/>
              </w:rPr>
            </w:pPr>
          </w:p>
        </w:tc>
        <w:tc>
          <w:tcPr>
            <w:tcW w:w="1323" w:type="dxa"/>
          </w:tcPr>
          <w:p w14:paraId="74098622">
            <w:pPr>
              <w:jc w:val="center"/>
              <w:rPr>
                <w:rFonts w:ascii="宋体" w:hAnsi="宋体" w:cs="宋体"/>
                <w:szCs w:val="21"/>
              </w:rPr>
            </w:pPr>
          </w:p>
        </w:tc>
        <w:tc>
          <w:tcPr>
            <w:tcW w:w="1323" w:type="dxa"/>
          </w:tcPr>
          <w:p w14:paraId="3BB0DB26">
            <w:pPr>
              <w:jc w:val="center"/>
              <w:rPr>
                <w:rFonts w:ascii="宋体" w:hAnsi="宋体" w:cs="宋体"/>
                <w:szCs w:val="21"/>
              </w:rPr>
            </w:pPr>
            <w:r>
              <w:rPr>
                <w:rFonts w:hint="eastAsia" w:ascii="宋体" w:hAnsi="宋体" w:cs="宋体"/>
                <w:szCs w:val="21"/>
              </w:rPr>
              <w:t>专职：□</w:t>
            </w:r>
          </w:p>
          <w:p w14:paraId="6E8A4B76">
            <w:pPr>
              <w:jc w:val="center"/>
              <w:rPr>
                <w:rFonts w:ascii="宋体" w:hAnsi="宋体" w:cs="宋体"/>
                <w:szCs w:val="21"/>
              </w:rPr>
            </w:pPr>
            <w:r>
              <w:rPr>
                <w:rFonts w:hint="eastAsia" w:ascii="宋体" w:hAnsi="宋体" w:cs="宋体"/>
                <w:szCs w:val="21"/>
              </w:rPr>
              <w:t>兼职：□</w:t>
            </w:r>
          </w:p>
        </w:tc>
      </w:tr>
    </w:tbl>
    <w:p w14:paraId="6242F19E">
      <w:pPr>
        <w:spacing w:line="360" w:lineRule="auto"/>
        <w:rPr>
          <w:rFonts w:ascii="宋体" w:hAnsi="宋体" w:cs="宋体"/>
          <w:szCs w:val="21"/>
        </w:rPr>
      </w:pPr>
      <w:r>
        <w:rPr>
          <w:rFonts w:hint="eastAsia" w:ascii="宋体" w:hAnsi="宋体" w:cs="宋体"/>
          <w:szCs w:val="21"/>
        </w:rPr>
        <w:t>注：1.表中“岗位要求”栏专职、兼职由投标人在“□”内打“√”。</w:t>
      </w:r>
    </w:p>
    <w:p w14:paraId="13003962">
      <w:pPr>
        <w:pStyle w:val="68"/>
        <w:numPr>
          <w:ilvl w:val="0"/>
          <w:numId w:val="11"/>
        </w:numPr>
        <w:spacing w:line="360" w:lineRule="auto"/>
        <w:ind w:firstLine="480" w:firstLineChars="200"/>
        <w:rPr>
          <w:rFonts w:hint="eastAsia" w:ascii="宋体" w:hAnsi="宋体" w:cs="宋体"/>
          <w:kern w:val="0"/>
          <w:sz w:val="24"/>
          <w:szCs w:val="21"/>
        </w:rPr>
      </w:pPr>
      <w:r>
        <w:rPr>
          <w:rFonts w:hint="eastAsia" w:ascii="宋体" w:hAnsi="宋体" w:cs="宋体"/>
          <w:kern w:val="0"/>
          <w:sz w:val="24"/>
          <w:szCs w:val="21"/>
        </w:rPr>
        <w:t>拟投入的项目经理</w:t>
      </w:r>
      <w:r>
        <w:rPr>
          <w:rFonts w:hint="eastAsia" w:ascii="宋体" w:hAnsi="宋体" w:cs="宋体"/>
          <w:kern w:val="0"/>
          <w:sz w:val="24"/>
          <w:szCs w:val="21"/>
          <w:lang w:val="en-US" w:eastAsia="zh-CN"/>
        </w:rPr>
        <w:t>附</w:t>
      </w:r>
      <w:r>
        <w:rPr>
          <w:rFonts w:hint="eastAsia" w:ascii="宋体" w:hAnsi="宋体" w:cs="宋体"/>
          <w:kern w:val="0"/>
          <w:sz w:val="24"/>
          <w:szCs w:val="21"/>
          <w:lang w:eastAsia="zh-CN"/>
        </w:rPr>
        <w:t>水利水电工程</w:t>
      </w:r>
      <w:r>
        <w:rPr>
          <w:rFonts w:hint="eastAsia" w:ascii="宋体" w:hAnsi="宋体" w:cs="宋体"/>
          <w:kern w:val="0"/>
          <w:sz w:val="24"/>
          <w:szCs w:val="21"/>
        </w:rPr>
        <w:t>专业二级及以上注册建造师</w:t>
      </w:r>
      <w:r>
        <w:rPr>
          <w:rFonts w:hint="eastAsia" w:ascii="宋体" w:hAnsi="宋体" w:cs="宋体"/>
          <w:kern w:val="0"/>
          <w:sz w:val="24"/>
          <w:szCs w:val="21"/>
          <w:lang w:val="en-US" w:eastAsia="zh-CN"/>
        </w:rPr>
        <w:t>证</w:t>
      </w:r>
      <w:r>
        <w:rPr>
          <w:rFonts w:hint="eastAsia" w:ascii="宋体" w:hAnsi="宋体" w:cs="宋体"/>
          <w:kern w:val="0"/>
          <w:sz w:val="24"/>
          <w:szCs w:val="21"/>
        </w:rPr>
        <w:t>、有效的全生产考核合格证书 B 证</w:t>
      </w:r>
      <w:r>
        <w:rPr>
          <w:rFonts w:hint="eastAsia" w:ascii="宋体" w:hAnsi="宋体" w:cs="宋体"/>
          <w:kern w:val="0"/>
          <w:sz w:val="24"/>
          <w:szCs w:val="21"/>
          <w:lang w:eastAsia="zh-CN"/>
        </w:rPr>
        <w:t>，</w:t>
      </w:r>
      <w:r>
        <w:rPr>
          <w:rFonts w:hint="eastAsia" w:ascii="宋体" w:hAnsi="宋体" w:cs="宋体"/>
          <w:kern w:val="0"/>
          <w:sz w:val="24"/>
          <w:szCs w:val="21"/>
        </w:rPr>
        <w:t>不得在其他在建工程施工项目中担任项目经理（提供承诺书），提供社保证明材料</w:t>
      </w:r>
      <w:r>
        <w:rPr>
          <w:rFonts w:hint="eastAsia" w:ascii="宋体" w:hAnsi="宋体" w:cs="宋体"/>
          <w:kern w:val="0"/>
          <w:sz w:val="24"/>
          <w:szCs w:val="21"/>
          <w:lang w:val="en-US" w:eastAsia="zh-CN"/>
        </w:rPr>
        <w:t>等相关材料复印件</w:t>
      </w:r>
      <w:r>
        <w:rPr>
          <w:rFonts w:hint="eastAsia" w:ascii="宋体" w:hAnsi="宋体" w:cs="宋体"/>
          <w:kern w:val="0"/>
          <w:sz w:val="24"/>
          <w:szCs w:val="21"/>
        </w:rPr>
        <w:t>。</w:t>
      </w:r>
    </w:p>
    <w:p w14:paraId="29CFE983">
      <w:pPr>
        <w:pStyle w:val="68"/>
        <w:numPr>
          <w:ilvl w:val="0"/>
          <w:numId w:val="11"/>
        </w:numPr>
        <w:spacing w:line="360" w:lineRule="auto"/>
        <w:ind w:firstLine="480" w:firstLineChars="200"/>
        <w:rPr>
          <w:rFonts w:hint="default" w:ascii="宋体" w:hAnsi="宋体" w:cs="宋体"/>
          <w:b/>
          <w:sz w:val="26"/>
          <w:szCs w:val="26"/>
        </w:rPr>
      </w:pPr>
      <w:r>
        <w:rPr>
          <w:rFonts w:ascii="宋体" w:hAnsi="宋体" w:cs="宋体"/>
          <w:kern w:val="0"/>
          <w:sz w:val="24"/>
          <w:szCs w:val="21"/>
        </w:rPr>
        <w:t>主要项目管理人员应附相应注册证书和（或）资格证书、身份证、职称证、社保证明等材料复印件。</w:t>
      </w:r>
    </w:p>
    <w:p w14:paraId="62BDE35D">
      <w:pPr>
        <w:jc w:val="center"/>
        <w:rPr>
          <w:rFonts w:hint="eastAsia" w:ascii="宋体" w:hAnsi="宋体" w:eastAsia="宋体"/>
          <w:bCs/>
          <w:szCs w:val="28"/>
          <w:lang w:eastAsia="zh-CN"/>
        </w:rPr>
      </w:pPr>
      <w:r>
        <w:rPr>
          <w:rFonts w:hint="eastAsia" w:ascii="宋体" w:hAnsi="宋体" w:cs="宋体"/>
          <w:b/>
          <w:sz w:val="26"/>
          <w:szCs w:val="26"/>
        </w:rPr>
        <w:t>项目实施经验的证明材料</w:t>
      </w:r>
      <w:r>
        <w:rPr>
          <w:rFonts w:hint="eastAsia" w:ascii="宋体" w:hAnsi="宋体" w:cs="宋体"/>
          <w:b/>
          <w:sz w:val="26"/>
          <w:szCs w:val="26"/>
          <w:lang w:eastAsia="zh-CN"/>
        </w:rPr>
        <w:t>（</w:t>
      </w:r>
      <w:r>
        <w:rPr>
          <w:rFonts w:hint="eastAsia" w:ascii="宋体" w:hAnsi="宋体" w:cs="宋体"/>
          <w:b/>
          <w:sz w:val="26"/>
          <w:szCs w:val="26"/>
          <w:lang w:val="en-US" w:eastAsia="zh-CN"/>
        </w:rPr>
        <w:t>如有</w:t>
      </w:r>
      <w:r>
        <w:rPr>
          <w:rFonts w:hint="eastAsia" w:ascii="宋体" w:hAnsi="宋体" w:cs="宋体"/>
          <w:b/>
          <w:sz w:val="26"/>
          <w:szCs w:val="26"/>
          <w:lang w:eastAsia="zh-CN"/>
        </w:rPr>
        <w:t>）</w:t>
      </w:r>
    </w:p>
    <w:p w14:paraId="1D7985F5">
      <w:pPr>
        <w:spacing w:line="500" w:lineRule="exact"/>
        <w:ind w:firstLine="270" w:firstLineChars="112"/>
        <w:jc w:val="center"/>
        <w:rPr>
          <w:rFonts w:ascii="宋体" w:hAnsi="宋体"/>
          <w:b/>
          <w:bCs/>
          <w:szCs w:val="21"/>
        </w:rPr>
      </w:pPr>
      <w:r>
        <w:rPr>
          <w:rFonts w:hint="eastAsia" w:ascii="宋体" w:hAnsi="宋体"/>
          <w:b/>
          <w:bCs/>
          <w:szCs w:val="21"/>
        </w:rPr>
        <w:t>在建和已完成工程项目情况（自20</w:t>
      </w:r>
      <w:r>
        <w:rPr>
          <w:rFonts w:hint="eastAsia" w:ascii="宋体" w:hAnsi="宋体"/>
          <w:b/>
          <w:bCs/>
          <w:szCs w:val="21"/>
          <w:lang w:val="en-US" w:eastAsia="zh-CN"/>
        </w:rPr>
        <w:t>20</w:t>
      </w:r>
      <w:r>
        <w:rPr>
          <w:rFonts w:hint="eastAsia" w:ascii="宋体" w:hAnsi="宋体"/>
          <w:b/>
          <w:bCs/>
          <w:szCs w:val="21"/>
        </w:rPr>
        <w:t>年1月至今）</w:t>
      </w:r>
    </w:p>
    <w:p w14:paraId="2E3570A8">
      <w:pPr>
        <w:rPr>
          <w:rFonts w:ascii="宋体" w:hAnsi="宋体"/>
          <w:lang w:val="zh-CN"/>
        </w:rPr>
      </w:pPr>
    </w:p>
    <w:tbl>
      <w:tblPr>
        <w:tblStyle w:val="5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22"/>
        <w:gridCol w:w="925"/>
        <w:gridCol w:w="925"/>
        <w:gridCol w:w="926"/>
        <w:gridCol w:w="926"/>
        <w:gridCol w:w="1413"/>
        <w:gridCol w:w="926"/>
        <w:gridCol w:w="926"/>
        <w:gridCol w:w="926"/>
      </w:tblGrid>
      <w:tr w14:paraId="2F86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54905EDB">
            <w:pPr>
              <w:jc w:val="center"/>
              <w:rPr>
                <w:rFonts w:ascii="宋体" w:hAnsi="宋体"/>
                <w:szCs w:val="21"/>
              </w:rPr>
            </w:pPr>
            <w:r>
              <w:rPr>
                <w:rFonts w:ascii="宋体" w:hAnsi="宋体"/>
                <w:szCs w:val="21"/>
              </w:rPr>
              <w:t>序号</w:t>
            </w:r>
          </w:p>
        </w:tc>
        <w:tc>
          <w:tcPr>
            <w:tcW w:w="922" w:type="dxa"/>
            <w:vAlign w:val="center"/>
          </w:tcPr>
          <w:p w14:paraId="01E3ABD6">
            <w:pPr>
              <w:jc w:val="center"/>
              <w:rPr>
                <w:rFonts w:ascii="宋体" w:hAnsi="宋体"/>
                <w:szCs w:val="21"/>
              </w:rPr>
            </w:pPr>
            <w:r>
              <w:rPr>
                <w:rFonts w:ascii="宋体" w:hAnsi="宋体"/>
                <w:szCs w:val="21"/>
              </w:rPr>
              <w:t>项目名称</w:t>
            </w:r>
          </w:p>
        </w:tc>
        <w:tc>
          <w:tcPr>
            <w:tcW w:w="925" w:type="dxa"/>
            <w:vAlign w:val="center"/>
          </w:tcPr>
          <w:p w14:paraId="2A75DEBB">
            <w:pPr>
              <w:jc w:val="center"/>
              <w:rPr>
                <w:rFonts w:ascii="宋体" w:hAnsi="宋体"/>
                <w:szCs w:val="21"/>
              </w:rPr>
            </w:pPr>
            <w:r>
              <w:rPr>
                <w:rFonts w:ascii="宋体" w:hAnsi="宋体"/>
                <w:szCs w:val="21"/>
              </w:rPr>
              <w:t>项目规模</w:t>
            </w:r>
          </w:p>
        </w:tc>
        <w:tc>
          <w:tcPr>
            <w:tcW w:w="925" w:type="dxa"/>
            <w:vAlign w:val="center"/>
          </w:tcPr>
          <w:p w14:paraId="08BB0BAD">
            <w:pPr>
              <w:jc w:val="center"/>
              <w:rPr>
                <w:rFonts w:ascii="宋体" w:hAnsi="宋体"/>
                <w:szCs w:val="21"/>
              </w:rPr>
            </w:pPr>
            <w:r>
              <w:rPr>
                <w:rFonts w:ascii="宋体" w:hAnsi="宋体"/>
                <w:szCs w:val="21"/>
              </w:rPr>
              <w:t>发包人</w:t>
            </w:r>
          </w:p>
          <w:p w14:paraId="13BB3BA1">
            <w:pPr>
              <w:jc w:val="center"/>
              <w:rPr>
                <w:rFonts w:ascii="宋体" w:hAnsi="宋体"/>
                <w:szCs w:val="21"/>
              </w:rPr>
            </w:pPr>
            <w:r>
              <w:rPr>
                <w:rFonts w:ascii="宋体" w:hAnsi="宋体"/>
                <w:szCs w:val="21"/>
              </w:rPr>
              <w:t>名称</w:t>
            </w:r>
          </w:p>
        </w:tc>
        <w:tc>
          <w:tcPr>
            <w:tcW w:w="926" w:type="dxa"/>
            <w:vAlign w:val="center"/>
          </w:tcPr>
          <w:p w14:paraId="73E41B3A">
            <w:pPr>
              <w:jc w:val="center"/>
              <w:rPr>
                <w:rFonts w:ascii="宋体" w:hAnsi="宋体"/>
                <w:szCs w:val="21"/>
              </w:rPr>
            </w:pPr>
            <w:r>
              <w:rPr>
                <w:rFonts w:ascii="宋体" w:hAnsi="宋体"/>
                <w:szCs w:val="21"/>
              </w:rPr>
              <w:t>发包人联系人及电话</w:t>
            </w:r>
          </w:p>
        </w:tc>
        <w:tc>
          <w:tcPr>
            <w:tcW w:w="926" w:type="dxa"/>
            <w:vAlign w:val="center"/>
          </w:tcPr>
          <w:p w14:paraId="3F3A3EC8">
            <w:pPr>
              <w:jc w:val="center"/>
              <w:rPr>
                <w:rFonts w:ascii="宋体" w:hAnsi="宋体"/>
                <w:szCs w:val="21"/>
              </w:rPr>
            </w:pPr>
            <w:r>
              <w:rPr>
                <w:rFonts w:ascii="宋体" w:hAnsi="宋体"/>
                <w:szCs w:val="21"/>
              </w:rPr>
              <w:t>合同价格</w:t>
            </w:r>
          </w:p>
        </w:tc>
        <w:tc>
          <w:tcPr>
            <w:tcW w:w="1413" w:type="dxa"/>
            <w:vAlign w:val="center"/>
          </w:tcPr>
          <w:p w14:paraId="37B22E8A">
            <w:pPr>
              <w:jc w:val="center"/>
              <w:rPr>
                <w:rFonts w:ascii="宋体" w:hAnsi="宋体"/>
                <w:szCs w:val="21"/>
              </w:rPr>
            </w:pPr>
            <w:r>
              <w:rPr>
                <w:rFonts w:ascii="宋体" w:hAnsi="宋体"/>
                <w:szCs w:val="21"/>
              </w:rPr>
              <w:t>开、竣工日期</w:t>
            </w:r>
          </w:p>
        </w:tc>
        <w:tc>
          <w:tcPr>
            <w:tcW w:w="926" w:type="dxa"/>
            <w:vAlign w:val="center"/>
          </w:tcPr>
          <w:p w14:paraId="7D014754">
            <w:pPr>
              <w:jc w:val="center"/>
              <w:rPr>
                <w:rFonts w:ascii="宋体" w:hAnsi="宋体"/>
                <w:szCs w:val="21"/>
              </w:rPr>
            </w:pPr>
            <w:r>
              <w:rPr>
                <w:rFonts w:ascii="宋体" w:hAnsi="宋体"/>
                <w:szCs w:val="21"/>
              </w:rPr>
              <w:t>工程质量</w:t>
            </w:r>
          </w:p>
        </w:tc>
        <w:tc>
          <w:tcPr>
            <w:tcW w:w="926" w:type="dxa"/>
            <w:vAlign w:val="center"/>
          </w:tcPr>
          <w:p w14:paraId="107E5B8F">
            <w:pPr>
              <w:jc w:val="center"/>
              <w:rPr>
                <w:rFonts w:ascii="宋体" w:hAnsi="宋体"/>
                <w:szCs w:val="21"/>
              </w:rPr>
            </w:pPr>
            <w:r>
              <w:rPr>
                <w:rFonts w:ascii="宋体" w:hAnsi="宋体"/>
                <w:szCs w:val="21"/>
              </w:rPr>
              <w:t>项目经理</w:t>
            </w:r>
          </w:p>
        </w:tc>
        <w:tc>
          <w:tcPr>
            <w:tcW w:w="926" w:type="dxa"/>
            <w:vAlign w:val="center"/>
          </w:tcPr>
          <w:p w14:paraId="7BCF828F">
            <w:pPr>
              <w:jc w:val="center"/>
              <w:rPr>
                <w:rFonts w:ascii="宋体" w:hAnsi="宋体"/>
                <w:szCs w:val="21"/>
              </w:rPr>
            </w:pPr>
            <w:r>
              <w:rPr>
                <w:rFonts w:ascii="宋体" w:hAnsi="宋体"/>
                <w:szCs w:val="21"/>
              </w:rPr>
              <w:t>技术负责人</w:t>
            </w:r>
          </w:p>
        </w:tc>
      </w:tr>
      <w:tr w14:paraId="77C5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3A0A05B1">
            <w:pPr>
              <w:jc w:val="center"/>
              <w:rPr>
                <w:rFonts w:ascii="宋体" w:hAnsi="宋体"/>
                <w:szCs w:val="21"/>
              </w:rPr>
            </w:pPr>
            <w:r>
              <w:rPr>
                <w:rFonts w:ascii="宋体" w:hAnsi="宋体"/>
                <w:szCs w:val="21"/>
              </w:rPr>
              <w:t>1</w:t>
            </w:r>
          </w:p>
        </w:tc>
        <w:tc>
          <w:tcPr>
            <w:tcW w:w="922" w:type="dxa"/>
            <w:vAlign w:val="center"/>
          </w:tcPr>
          <w:p w14:paraId="5C7AE143">
            <w:pPr>
              <w:jc w:val="center"/>
              <w:rPr>
                <w:rFonts w:ascii="宋体" w:hAnsi="宋体"/>
                <w:szCs w:val="21"/>
              </w:rPr>
            </w:pPr>
          </w:p>
        </w:tc>
        <w:tc>
          <w:tcPr>
            <w:tcW w:w="925" w:type="dxa"/>
            <w:vAlign w:val="center"/>
          </w:tcPr>
          <w:p w14:paraId="52FCD4F7">
            <w:pPr>
              <w:jc w:val="center"/>
              <w:rPr>
                <w:rFonts w:ascii="宋体" w:hAnsi="宋体"/>
                <w:szCs w:val="21"/>
              </w:rPr>
            </w:pPr>
          </w:p>
        </w:tc>
        <w:tc>
          <w:tcPr>
            <w:tcW w:w="925" w:type="dxa"/>
            <w:vAlign w:val="center"/>
          </w:tcPr>
          <w:p w14:paraId="30B15066">
            <w:pPr>
              <w:jc w:val="center"/>
              <w:rPr>
                <w:rFonts w:ascii="宋体" w:hAnsi="宋体"/>
                <w:szCs w:val="21"/>
              </w:rPr>
            </w:pPr>
          </w:p>
        </w:tc>
        <w:tc>
          <w:tcPr>
            <w:tcW w:w="926" w:type="dxa"/>
            <w:vAlign w:val="center"/>
          </w:tcPr>
          <w:p w14:paraId="3B616ED8">
            <w:pPr>
              <w:jc w:val="center"/>
              <w:rPr>
                <w:rFonts w:ascii="宋体" w:hAnsi="宋体"/>
                <w:szCs w:val="21"/>
              </w:rPr>
            </w:pPr>
          </w:p>
        </w:tc>
        <w:tc>
          <w:tcPr>
            <w:tcW w:w="926" w:type="dxa"/>
            <w:vAlign w:val="center"/>
          </w:tcPr>
          <w:p w14:paraId="5C0E8DF5">
            <w:pPr>
              <w:jc w:val="center"/>
              <w:rPr>
                <w:rFonts w:ascii="宋体" w:hAnsi="宋体"/>
                <w:szCs w:val="21"/>
              </w:rPr>
            </w:pPr>
          </w:p>
        </w:tc>
        <w:tc>
          <w:tcPr>
            <w:tcW w:w="1413" w:type="dxa"/>
            <w:vAlign w:val="center"/>
          </w:tcPr>
          <w:p w14:paraId="38FA801D">
            <w:pPr>
              <w:jc w:val="center"/>
              <w:rPr>
                <w:rFonts w:ascii="宋体" w:hAnsi="宋体"/>
                <w:szCs w:val="21"/>
              </w:rPr>
            </w:pPr>
          </w:p>
        </w:tc>
        <w:tc>
          <w:tcPr>
            <w:tcW w:w="926" w:type="dxa"/>
            <w:vAlign w:val="center"/>
          </w:tcPr>
          <w:p w14:paraId="1D314D1F">
            <w:pPr>
              <w:jc w:val="center"/>
              <w:rPr>
                <w:rFonts w:ascii="宋体" w:hAnsi="宋体"/>
                <w:szCs w:val="21"/>
              </w:rPr>
            </w:pPr>
          </w:p>
        </w:tc>
        <w:tc>
          <w:tcPr>
            <w:tcW w:w="926" w:type="dxa"/>
            <w:vAlign w:val="center"/>
          </w:tcPr>
          <w:p w14:paraId="6A60C8C6">
            <w:pPr>
              <w:jc w:val="center"/>
              <w:rPr>
                <w:rFonts w:ascii="宋体" w:hAnsi="宋体"/>
                <w:szCs w:val="21"/>
              </w:rPr>
            </w:pPr>
          </w:p>
        </w:tc>
        <w:tc>
          <w:tcPr>
            <w:tcW w:w="926" w:type="dxa"/>
            <w:vAlign w:val="center"/>
          </w:tcPr>
          <w:p w14:paraId="043164B7">
            <w:pPr>
              <w:jc w:val="center"/>
              <w:rPr>
                <w:rFonts w:ascii="宋体" w:hAnsi="宋体"/>
                <w:szCs w:val="21"/>
              </w:rPr>
            </w:pPr>
          </w:p>
        </w:tc>
      </w:tr>
      <w:tr w14:paraId="20D3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39C3C069">
            <w:pPr>
              <w:jc w:val="center"/>
              <w:rPr>
                <w:rFonts w:ascii="宋体" w:hAnsi="宋体"/>
                <w:szCs w:val="21"/>
              </w:rPr>
            </w:pPr>
            <w:r>
              <w:rPr>
                <w:rFonts w:ascii="宋体" w:hAnsi="宋体"/>
                <w:szCs w:val="21"/>
              </w:rPr>
              <w:t>2</w:t>
            </w:r>
          </w:p>
        </w:tc>
        <w:tc>
          <w:tcPr>
            <w:tcW w:w="922" w:type="dxa"/>
            <w:vAlign w:val="center"/>
          </w:tcPr>
          <w:p w14:paraId="39E68D2C">
            <w:pPr>
              <w:jc w:val="center"/>
              <w:rPr>
                <w:rFonts w:ascii="宋体" w:hAnsi="宋体"/>
                <w:szCs w:val="21"/>
              </w:rPr>
            </w:pPr>
          </w:p>
        </w:tc>
        <w:tc>
          <w:tcPr>
            <w:tcW w:w="925" w:type="dxa"/>
            <w:vAlign w:val="center"/>
          </w:tcPr>
          <w:p w14:paraId="688DE45F">
            <w:pPr>
              <w:jc w:val="center"/>
              <w:rPr>
                <w:rFonts w:ascii="宋体" w:hAnsi="宋体"/>
                <w:szCs w:val="21"/>
              </w:rPr>
            </w:pPr>
          </w:p>
        </w:tc>
        <w:tc>
          <w:tcPr>
            <w:tcW w:w="925" w:type="dxa"/>
            <w:vAlign w:val="center"/>
          </w:tcPr>
          <w:p w14:paraId="1D9FFA23">
            <w:pPr>
              <w:jc w:val="center"/>
              <w:rPr>
                <w:rFonts w:ascii="宋体" w:hAnsi="宋体"/>
                <w:szCs w:val="21"/>
              </w:rPr>
            </w:pPr>
          </w:p>
        </w:tc>
        <w:tc>
          <w:tcPr>
            <w:tcW w:w="926" w:type="dxa"/>
            <w:vAlign w:val="center"/>
          </w:tcPr>
          <w:p w14:paraId="4A0C2BBA">
            <w:pPr>
              <w:jc w:val="center"/>
              <w:rPr>
                <w:rFonts w:ascii="宋体" w:hAnsi="宋体"/>
                <w:szCs w:val="21"/>
              </w:rPr>
            </w:pPr>
          </w:p>
        </w:tc>
        <w:tc>
          <w:tcPr>
            <w:tcW w:w="926" w:type="dxa"/>
            <w:vAlign w:val="center"/>
          </w:tcPr>
          <w:p w14:paraId="46D75D67">
            <w:pPr>
              <w:jc w:val="center"/>
              <w:rPr>
                <w:rFonts w:ascii="宋体" w:hAnsi="宋体"/>
                <w:szCs w:val="21"/>
              </w:rPr>
            </w:pPr>
          </w:p>
        </w:tc>
        <w:tc>
          <w:tcPr>
            <w:tcW w:w="1413" w:type="dxa"/>
            <w:vAlign w:val="center"/>
          </w:tcPr>
          <w:p w14:paraId="2EAD4CB2">
            <w:pPr>
              <w:jc w:val="center"/>
              <w:rPr>
                <w:rFonts w:ascii="宋体" w:hAnsi="宋体"/>
                <w:szCs w:val="21"/>
              </w:rPr>
            </w:pPr>
          </w:p>
        </w:tc>
        <w:tc>
          <w:tcPr>
            <w:tcW w:w="926" w:type="dxa"/>
            <w:vAlign w:val="center"/>
          </w:tcPr>
          <w:p w14:paraId="495A856E">
            <w:pPr>
              <w:jc w:val="center"/>
              <w:rPr>
                <w:rFonts w:ascii="宋体" w:hAnsi="宋体"/>
                <w:szCs w:val="21"/>
              </w:rPr>
            </w:pPr>
          </w:p>
        </w:tc>
        <w:tc>
          <w:tcPr>
            <w:tcW w:w="926" w:type="dxa"/>
            <w:vAlign w:val="center"/>
          </w:tcPr>
          <w:p w14:paraId="23F342A9">
            <w:pPr>
              <w:jc w:val="center"/>
              <w:rPr>
                <w:rFonts w:ascii="宋体" w:hAnsi="宋体"/>
                <w:szCs w:val="21"/>
              </w:rPr>
            </w:pPr>
          </w:p>
        </w:tc>
        <w:tc>
          <w:tcPr>
            <w:tcW w:w="926" w:type="dxa"/>
            <w:vAlign w:val="center"/>
          </w:tcPr>
          <w:p w14:paraId="4864565E">
            <w:pPr>
              <w:jc w:val="center"/>
              <w:rPr>
                <w:rFonts w:ascii="宋体" w:hAnsi="宋体"/>
                <w:szCs w:val="21"/>
              </w:rPr>
            </w:pPr>
          </w:p>
        </w:tc>
      </w:tr>
      <w:tr w14:paraId="0539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076D73E0">
            <w:pPr>
              <w:jc w:val="center"/>
              <w:rPr>
                <w:rFonts w:ascii="宋体" w:hAnsi="宋体"/>
                <w:szCs w:val="21"/>
              </w:rPr>
            </w:pPr>
            <w:r>
              <w:rPr>
                <w:rFonts w:ascii="宋体" w:hAnsi="宋体"/>
                <w:szCs w:val="21"/>
              </w:rPr>
              <w:t>3</w:t>
            </w:r>
          </w:p>
        </w:tc>
        <w:tc>
          <w:tcPr>
            <w:tcW w:w="922" w:type="dxa"/>
            <w:vAlign w:val="center"/>
          </w:tcPr>
          <w:p w14:paraId="2CDB6746">
            <w:pPr>
              <w:jc w:val="center"/>
              <w:rPr>
                <w:rFonts w:ascii="宋体" w:hAnsi="宋体"/>
                <w:szCs w:val="21"/>
              </w:rPr>
            </w:pPr>
          </w:p>
        </w:tc>
        <w:tc>
          <w:tcPr>
            <w:tcW w:w="925" w:type="dxa"/>
            <w:vAlign w:val="center"/>
          </w:tcPr>
          <w:p w14:paraId="2F7F6C2F">
            <w:pPr>
              <w:jc w:val="center"/>
              <w:rPr>
                <w:rFonts w:ascii="宋体" w:hAnsi="宋体"/>
                <w:szCs w:val="21"/>
              </w:rPr>
            </w:pPr>
          </w:p>
        </w:tc>
        <w:tc>
          <w:tcPr>
            <w:tcW w:w="925" w:type="dxa"/>
            <w:vAlign w:val="center"/>
          </w:tcPr>
          <w:p w14:paraId="34E12F9B">
            <w:pPr>
              <w:jc w:val="center"/>
              <w:rPr>
                <w:rFonts w:ascii="宋体" w:hAnsi="宋体"/>
                <w:szCs w:val="21"/>
              </w:rPr>
            </w:pPr>
          </w:p>
        </w:tc>
        <w:tc>
          <w:tcPr>
            <w:tcW w:w="926" w:type="dxa"/>
            <w:vAlign w:val="center"/>
          </w:tcPr>
          <w:p w14:paraId="606DD4C6">
            <w:pPr>
              <w:jc w:val="center"/>
              <w:rPr>
                <w:rFonts w:ascii="宋体" w:hAnsi="宋体"/>
                <w:szCs w:val="21"/>
              </w:rPr>
            </w:pPr>
          </w:p>
        </w:tc>
        <w:tc>
          <w:tcPr>
            <w:tcW w:w="926" w:type="dxa"/>
            <w:vAlign w:val="center"/>
          </w:tcPr>
          <w:p w14:paraId="58ACE711">
            <w:pPr>
              <w:jc w:val="center"/>
              <w:rPr>
                <w:rFonts w:ascii="宋体" w:hAnsi="宋体"/>
                <w:szCs w:val="21"/>
              </w:rPr>
            </w:pPr>
          </w:p>
        </w:tc>
        <w:tc>
          <w:tcPr>
            <w:tcW w:w="1413" w:type="dxa"/>
            <w:vAlign w:val="center"/>
          </w:tcPr>
          <w:p w14:paraId="41D683B9">
            <w:pPr>
              <w:jc w:val="center"/>
              <w:rPr>
                <w:rFonts w:ascii="宋体" w:hAnsi="宋体"/>
                <w:szCs w:val="21"/>
              </w:rPr>
            </w:pPr>
          </w:p>
        </w:tc>
        <w:tc>
          <w:tcPr>
            <w:tcW w:w="926" w:type="dxa"/>
            <w:vAlign w:val="center"/>
          </w:tcPr>
          <w:p w14:paraId="202F5E73">
            <w:pPr>
              <w:jc w:val="center"/>
              <w:rPr>
                <w:rFonts w:ascii="宋体" w:hAnsi="宋体"/>
                <w:szCs w:val="21"/>
              </w:rPr>
            </w:pPr>
          </w:p>
        </w:tc>
        <w:tc>
          <w:tcPr>
            <w:tcW w:w="926" w:type="dxa"/>
            <w:vAlign w:val="center"/>
          </w:tcPr>
          <w:p w14:paraId="65464AB2">
            <w:pPr>
              <w:jc w:val="center"/>
              <w:rPr>
                <w:rFonts w:ascii="宋体" w:hAnsi="宋体"/>
                <w:szCs w:val="21"/>
              </w:rPr>
            </w:pPr>
          </w:p>
        </w:tc>
        <w:tc>
          <w:tcPr>
            <w:tcW w:w="926" w:type="dxa"/>
            <w:vAlign w:val="center"/>
          </w:tcPr>
          <w:p w14:paraId="277E48B2">
            <w:pPr>
              <w:jc w:val="center"/>
              <w:rPr>
                <w:rFonts w:ascii="宋体" w:hAnsi="宋体"/>
                <w:szCs w:val="21"/>
              </w:rPr>
            </w:pPr>
          </w:p>
        </w:tc>
      </w:tr>
      <w:tr w14:paraId="30B2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6D6C753B">
            <w:pPr>
              <w:jc w:val="center"/>
              <w:rPr>
                <w:rFonts w:ascii="宋体" w:hAnsi="宋体"/>
                <w:szCs w:val="21"/>
              </w:rPr>
            </w:pPr>
            <w:r>
              <w:rPr>
                <w:rFonts w:ascii="宋体" w:hAnsi="宋体"/>
                <w:szCs w:val="21"/>
              </w:rPr>
              <w:t>4</w:t>
            </w:r>
          </w:p>
        </w:tc>
        <w:tc>
          <w:tcPr>
            <w:tcW w:w="922" w:type="dxa"/>
            <w:vAlign w:val="center"/>
          </w:tcPr>
          <w:p w14:paraId="776A5994">
            <w:pPr>
              <w:jc w:val="center"/>
              <w:rPr>
                <w:rFonts w:ascii="宋体" w:hAnsi="宋体"/>
                <w:szCs w:val="21"/>
              </w:rPr>
            </w:pPr>
          </w:p>
        </w:tc>
        <w:tc>
          <w:tcPr>
            <w:tcW w:w="925" w:type="dxa"/>
            <w:vAlign w:val="center"/>
          </w:tcPr>
          <w:p w14:paraId="1DA2C615">
            <w:pPr>
              <w:jc w:val="center"/>
              <w:rPr>
                <w:rFonts w:ascii="宋体" w:hAnsi="宋体"/>
                <w:szCs w:val="21"/>
              </w:rPr>
            </w:pPr>
          </w:p>
        </w:tc>
        <w:tc>
          <w:tcPr>
            <w:tcW w:w="925" w:type="dxa"/>
            <w:vAlign w:val="center"/>
          </w:tcPr>
          <w:p w14:paraId="32090C05">
            <w:pPr>
              <w:jc w:val="center"/>
              <w:rPr>
                <w:rFonts w:ascii="宋体" w:hAnsi="宋体"/>
                <w:szCs w:val="21"/>
              </w:rPr>
            </w:pPr>
          </w:p>
        </w:tc>
        <w:tc>
          <w:tcPr>
            <w:tcW w:w="926" w:type="dxa"/>
            <w:vAlign w:val="center"/>
          </w:tcPr>
          <w:p w14:paraId="01040EBE">
            <w:pPr>
              <w:jc w:val="center"/>
              <w:rPr>
                <w:rFonts w:ascii="宋体" w:hAnsi="宋体"/>
                <w:szCs w:val="21"/>
              </w:rPr>
            </w:pPr>
          </w:p>
        </w:tc>
        <w:tc>
          <w:tcPr>
            <w:tcW w:w="926" w:type="dxa"/>
            <w:vAlign w:val="center"/>
          </w:tcPr>
          <w:p w14:paraId="4146D563">
            <w:pPr>
              <w:jc w:val="center"/>
              <w:rPr>
                <w:rFonts w:ascii="宋体" w:hAnsi="宋体"/>
                <w:szCs w:val="21"/>
              </w:rPr>
            </w:pPr>
          </w:p>
        </w:tc>
        <w:tc>
          <w:tcPr>
            <w:tcW w:w="1413" w:type="dxa"/>
            <w:vAlign w:val="center"/>
          </w:tcPr>
          <w:p w14:paraId="12621489">
            <w:pPr>
              <w:jc w:val="center"/>
              <w:rPr>
                <w:rFonts w:ascii="宋体" w:hAnsi="宋体"/>
                <w:szCs w:val="21"/>
              </w:rPr>
            </w:pPr>
          </w:p>
        </w:tc>
        <w:tc>
          <w:tcPr>
            <w:tcW w:w="926" w:type="dxa"/>
            <w:vAlign w:val="center"/>
          </w:tcPr>
          <w:p w14:paraId="559253EF">
            <w:pPr>
              <w:jc w:val="center"/>
              <w:rPr>
                <w:rFonts w:ascii="宋体" w:hAnsi="宋体"/>
                <w:szCs w:val="21"/>
              </w:rPr>
            </w:pPr>
          </w:p>
        </w:tc>
        <w:tc>
          <w:tcPr>
            <w:tcW w:w="926" w:type="dxa"/>
            <w:vAlign w:val="center"/>
          </w:tcPr>
          <w:p w14:paraId="36323C8B">
            <w:pPr>
              <w:jc w:val="center"/>
              <w:rPr>
                <w:rFonts w:ascii="宋体" w:hAnsi="宋体"/>
                <w:szCs w:val="21"/>
              </w:rPr>
            </w:pPr>
          </w:p>
        </w:tc>
        <w:tc>
          <w:tcPr>
            <w:tcW w:w="926" w:type="dxa"/>
            <w:vAlign w:val="center"/>
          </w:tcPr>
          <w:p w14:paraId="61EE5123">
            <w:pPr>
              <w:jc w:val="center"/>
              <w:rPr>
                <w:rFonts w:ascii="宋体" w:hAnsi="宋体"/>
                <w:szCs w:val="21"/>
              </w:rPr>
            </w:pPr>
          </w:p>
        </w:tc>
      </w:tr>
      <w:tr w14:paraId="1C83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30B00ABD">
            <w:pPr>
              <w:jc w:val="center"/>
              <w:rPr>
                <w:rFonts w:ascii="宋体" w:hAnsi="宋体"/>
                <w:szCs w:val="21"/>
              </w:rPr>
            </w:pPr>
            <w:r>
              <w:rPr>
                <w:rFonts w:ascii="宋体" w:hAnsi="宋体"/>
                <w:szCs w:val="21"/>
              </w:rPr>
              <w:t>……</w:t>
            </w:r>
          </w:p>
        </w:tc>
        <w:tc>
          <w:tcPr>
            <w:tcW w:w="922" w:type="dxa"/>
            <w:vAlign w:val="center"/>
          </w:tcPr>
          <w:p w14:paraId="365565F4">
            <w:pPr>
              <w:jc w:val="center"/>
              <w:rPr>
                <w:rFonts w:ascii="宋体" w:hAnsi="宋体"/>
                <w:szCs w:val="21"/>
              </w:rPr>
            </w:pPr>
          </w:p>
        </w:tc>
        <w:tc>
          <w:tcPr>
            <w:tcW w:w="925" w:type="dxa"/>
            <w:vAlign w:val="center"/>
          </w:tcPr>
          <w:p w14:paraId="31C67164">
            <w:pPr>
              <w:jc w:val="center"/>
              <w:rPr>
                <w:rFonts w:ascii="宋体" w:hAnsi="宋体"/>
                <w:szCs w:val="21"/>
              </w:rPr>
            </w:pPr>
          </w:p>
        </w:tc>
        <w:tc>
          <w:tcPr>
            <w:tcW w:w="925" w:type="dxa"/>
            <w:vAlign w:val="center"/>
          </w:tcPr>
          <w:p w14:paraId="733EC528">
            <w:pPr>
              <w:jc w:val="center"/>
              <w:rPr>
                <w:rFonts w:ascii="宋体" w:hAnsi="宋体"/>
                <w:szCs w:val="21"/>
              </w:rPr>
            </w:pPr>
          </w:p>
        </w:tc>
        <w:tc>
          <w:tcPr>
            <w:tcW w:w="926" w:type="dxa"/>
            <w:vAlign w:val="center"/>
          </w:tcPr>
          <w:p w14:paraId="529872F3">
            <w:pPr>
              <w:jc w:val="center"/>
              <w:rPr>
                <w:rFonts w:ascii="宋体" w:hAnsi="宋体"/>
                <w:szCs w:val="21"/>
              </w:rPr>
            </w:pPr>
          </w:p>
        </w:tc>
        <w:tc>
          <w:tcPr>
            <w:tcW w:w="926" w:type="dxa"/>
            <w:vAlign w:val="center"/>
          </w:tcPr>
          <w:p w14:paraId="16ED7955">
            <w:pPr>
              <w:jc w:val="center"/>
              <w:rPr>
                <w:rFonts w:ascii="宋体" w:hAnsi="宋体"/>
                <w:szCs w:val="21"/>
              </w:rPr>
            </w:pPr>
          </w:p>
        </w:tc>
        <w:tc>
          <w:tcPr>
            <w:tcW w:w="1413" w:type="dxa"/>
            <w:vAlign w:val="center"/>
          </w:tcPr>
          <w:p w14:paraId="6631C0C9">
            <w:pPr>
              <w:jc w:val="center"/>
              <w:rPr>
                <w:rFonts w:ascii="宋体" w:hAnsi="宋体"/>
                <w:szCs w:val="21"/>
              </w:rPr>
            </w:pPr>
          </w:p>
        </w:tc>
        <w:tc>
          <w:tcPr>
            <w:tcW w:w="926" w:type="dxa"/>
            <w:vAlign w:val="center"/>
          </w:tcPr>
          <w:p w14:paraId="1222A1DB">
            <w:pPr>
              <w:jc w:val="center"/>
              <w:rPr>
                <w:rFonts w:ascii="宋体" w:hAnsi="宋体"/>
                <w:szCs w:val="21"/>
              </w:rPr>
            </w:pPr>
          </w:p>
        </w:tc>
        <w:tc>
          <w:tcPr>
            <w:tcW w:w="926" w:type="dxa"/>
            <w:vAlign w:val="center"/>
          </w:tcPr>
          <w:p w14:paraId="21AABF4A">
            <w:pPr>
              <w:jc w:val="center"/>
              <w:rPr>
                <w:rFonts w:ascii="宋体" w:hAnsi="宋体"/>
                <w:szCs w:val="21"/>
              </w:rPr>
            </w:pPr>
          </w:p>
        </w:tc>
        <w:tc>
          <w:tcPr>
            <w:tcW w:w="926" w:type="dxa"/>
            <w:vAlign w:val="center"/>
          </w:tcPr>
          <w:p w14:paraId="7F4F1B06">
            <w:pPr>
              <w:jc w:val="center"/>
              <w:rPr>
                <w:rFonts w:ascii="宋体" w:hAnsi="宋体"/>
                <w:szCs w:val="21"/>
              </w:rPr>
            </w:pPr>
          </w:p>
        </w:tc>
      </w:tr>
    </w:tbl>
    <w:p w14:paraId="4DC64BE4">
      <w:pPr>
        <w:widowControl w:val="0"/>
        <w:spacing w:line="588" w:lineRule="exact"/>
        <w:outlineLvl w:val="1"/>
        <w:rPr>
          <w:rFonts w:ascii="宋体" w:hAnsi="宋体" w:cs="宋体"/>
          <w:szCs w:val="21"/>
        </w:rPr>
      </w:pPr>
      <w:bookmarkStart w:id="160" w:name="_Toc27817"/>
      <w:r>
        <w:rPr>
          <w:rFonts w:hint="eastAsia" w:ascii="宋体" w:hAnsi="宋体" w:cs="宋体"/>
          <w:szCs w:val="21"/>
        </w:rPr>
        <w:t>备注：本表后附合同协议书复印件，并标明序号。类似项目经验以合同签订时间为准，时段为20</w:t>
      </w:r>
      <w:r>
        <w:rPr>
          <w:rFonts w:hint="eastAsia" w:ascii="宋体" w:hAnsi="宋体" w:cs="宋体"/>
          <w:szCs w:val="21"/>
          <w:lang w:val="en-US" w:eastAsia="zh-CN"/>
        </w:rPr>
        <w:t>20</w:t>
      </w:r>
      <w:r>
        <w:rPr>
          <w:rFonts w:hint="eastAsia" w:ascii="宋体" w:hAnsi="宋体" w:cs="宋体"/>
          <w:szCs w:val="21"/>
        </w:rPr>
        <w:t>年1月1日起至今为准。</w:t>
      </w:r>
      <w:bookmarkEnd w:id="160"/>
    </w:p>
    <w:p w14:paraId="3035A121">
      <w:pPr>
        <w:widowControl w:val="0"/>
        <w:spacing w:line="588" w:lineRule="exact"/>
        <w:outlineLvl w:val="1"/>
        <w:rPr>
          <w:rFonts w:ascii="宋体" w:hAnsi="宋体" w:cs="宋体"/>
          <w:b/>
          <w:spacing w:val="6"/>
        </w:rPr>
      </w:pPr>
    </w:p>
    <w:p w14:paraId="1BF254E5">
      <w:pPr>
        <w:widowControl w:val="0"/>
        <w:spacing w:line="588" w:lineRule="exact"/>
        <w:jc w:val="center"/>
        <w:outlineLvl w:val="1"/>
        <w:rPr>
          <w:rFonts w:ascii="宋体" w:hAnsi="宋体" w:cs="宋体"/>
          <w:b/>
          <w:spacing w:val="6"/>
        </w:rPr>
      </w:pPr>
    </w:p>
    <w:p w14:paraId="2445D70F">
      <w:pPr>
        <w:widowControl w:val="0"/>
        <w:spacing w:line="588" w:lineRule="exact"/>
        <w:jc w:val="center"/>
        <w:outlineLvl w:val="1"/>
        <w:rPr>
          <w:rFonts w:ascii="宋体" w:hAnsi="宋体" w:cs="宋体"/>
          <w:b/>
          <w:spacing w:val="6"/>
        </w:rPr>
      </w:pPr>
    </w:p>
    <w:p w14:paraId="469D4547">
      <w:pPr>
        <w:widowControl w:val="0"/>
        <w:spacing w:line="588" w:lineRule="exact"/>
        <w:jc w:val="center"/>
        <w:outlineLvl w:val="1"/>
        <w:rPr>
          <w:rFonts w:ascii="宋体" w:hAnsi="宋体" w:cs="宋体"/>
          <w:b/>
          <w:spacing w:val="6"/>
        </w:rPr>
      </w:pPr>
    </w:p>
    <w:p w14:paraId="752F09B3">
      <w:pPr>
        <w:widowControl w:val="0"/>
        <w:spacing w:line="588" w:lineRule="exact"/>
        <w:jc w:val="center"/>
        <w:outlineLvl w:val="1"/>
        <w:rPr>
          <w:rFonts w:ascii="宋体" w:hAnsi="宋体" w:cs="宋体"/>
          <w:b/>
          <w:spacing w:val="6"/>
        </w:rPr>
      </w:pPr>
    </w:p>
    <w:p w14:paraId="6632277E">
      <w:pPr>
        <w:pStyle w:val="13"/>
        <w:ind w:firstLine="506"/>
        <w:rPr>
          <w:rFonts w:ascii="宋体" w:hAnsi="宋体" w:cs="宋体"/>
          <w:b/>
          <w:spacing w:val="6"/>
          <w:szCs w:val="24"/>
        </w:rPr>
      </w:pPr>
    </w:p>
    <w:p w14:paraId="0E280F95">
      <w:pPr>
        <w:pStyle w:val="13"/>
        <w:ind w:firstLine="506"/>
        <w:rPr>
          <w:rFonts w:ascii="宋体" w:hAnsi="宋体" w:cs="宋体"/>
          <w:b/>
          <w:spacing w:val="6"/>
          <w:szCs w:val="24"/>
        </w:rPr>
      </w:pPr>
    </w:p>
    <w:p w14:paraId="707B7DE6">
      <w:pPr>
        <w:pStyle w:val="13"/>
        <w:ind w:firstLine="506"/>
        <w:rPr>
          <w:rFonts w:ascii="宋体" w:hAnsi="宋体" w:cs="宋体"/>
          <w:b/>
          <w:spacing w:val="6"/>
          <w:szCs w:val="24"/>
        </w:rPr>
      </w:pPr>
    </w:p>
    <w:p w14:paraId="3EC8F1B5">
      <w:pPr>
        <w:pStyle w:val="13"/>
        <w:ind w:firstLine="506"/>
        <w:rPr>
          <w:rFonts w:ascii="宋体" w:hAnsi="宋体" w:cs="宋体"/>
          <w:b/>
          <w:spacing w:val="6"/>
          <w:szCs w:val="24"/>
        </w:rPr>
      </w:pPr>
    </w:p>
    <w:p w14:paraId="741BD054">
      <w:pPr>
        <w:pStyle w:val="13"/>
        <w:ind w:firstLine="506"/>
        <w:rPr>
          <w:rFonts w:ascii="宋体" w:hAnsi="宋体" w:cs="宋体"/>
          <w:b/>
          <w:spacing w:val="6"/>
          <w:szCs w:val="24"/>
        </w:rPr>
      </w:pPr>
    </w:p>
    <w:p w14:paraId="70C37B76">
      <w:pPr>
        <w:pStyle w:val="13"/>
        <w:ind w:firstLine="506"/>
        <w:rPr>
          <w:rFonts w:ascii="宋体" w:hAnsi="宋体" w:cs="宋体"/>
          <w:b/>
          <w:spacing w:val="6"/>
          <w:szCs w:val="24"/>
        </w:rPr>
      </w:pPr>
    </w:p>
    <w:p w14:paraId="113313E0">
      <w:pPr>
        <w:pStyle w:val="13"/>
        <w:ind w:firstLine="506"/>
        <w:rPr>
          <w:rFonts w:ascii="宋体" w:hAnsi="宋体" w:cs="宋体"/>
          <w:b/>
          <w:spacing w:val="6"/>
          <w:szCs w:val="24"/>
        </w:rPr>
      </w:pPr>
    </w:p>
    <w:p w14:paraId="0A09D381">
      <w:pPr>
        <w:pStyle w:val="13"/>
        <w:ind w:firstLine="506"/>
        <w:rPr>
          <w:rFonts w:ascii="宋体" w:hAnsi="宋体" w:cs="宋体"/>
          <w:b/>
          <w:spacing w:val="6"/>
          <w:szCs w:val="24"/>
        </w:rPr>
      </w:pPr>
    </w:p>
    <w:p w14:paraId="3A8C2ABD">
      <w:pPr>
        <w:pStyle w:val="13"/>
        <w:ind w:firstLine="506"/>
        <w:rPr>
          <w:rFonts w:ascii="宋体" w:hAnsi="宋体" w:cs="宋体"/>
          <w:b/>
          <w:spacing w:val="6"/>
          <w:szCs w:val="24"/>
        </w:rPr>
      </w:pPr>
    </w:p>
    <w:p w14:paraId="094F62F8">
      <w:pPr>
        <w:pStyle w:val="13"/>
        <w:ind w:firstLine="506"/>
        <w:rPr>
          <w:rFonts w:ascii="宋体" w:hAnsi="宋体" w:cs="宋体"/>
          <w:b/>
          <w:spacing w:val="6"/>
          <w:szCs w:val="24"/>
        </w:rPr>
      </w:pPr>
    </w:p>
    <w:p w14:paraId="121ECB25">
      <w:pPr>
        <w:widowControl/>
        <w:jc w:val="left"/>
        <w:outlineLvl w:val="1"/>
        <w:rPr>
          <w:rFonts w:ascii="宋体" w:hAnsi="宋体" w:eastAsia="宋体" w:cs="宋体"/>
          <w:b/>
          <w:bCs/>
          <w:sz w:val="28"/>
          <w:szCs w:val="28"/>
        </w:rPr>
      </w:pPr>
      <w:r>
        <w:rPr>
          <w:rFonts w:hint="eastAsia" w:ascii="宋体" w:hAnsi="宋体" w:cs="宋体"/>
          <w:b/>
          <w:bCs/>
          <w:sz w:val="28"/>
          <w:szCs w:val="28"/>
          <w:lang w:val="en-US" w:eastAsia="zh-CN"/>
        </w:rPr>
        <w:t>十一</w:t>
      </w:r>
      <w:r>
        <w:rPr>
          <w:rFonts w:hint="eastAsia" w:ascii="宋体" w:hAnsi="宋体" w:cs="宋体"/>
          <w:b/>
          <w:bCs/>
          <w:sz w:val="28"/>
          <w:szCs w:val="28"/>
          <w:lang w:eastAsia="zh-CN"/>
        </w:rPr>
        <w:t>、</w:t>
      </w:r>
      <w:r>
        <w:rPr>
          <w:rFonts w:hint="eastAsia" w:ascii="宋体" w:hAnsi="宋体" w:eastAsia="宋体" w:cs="宋体"/>
          <w:b/>
          <w:bCs/>
          <w:sz w:val="28"/>
          <w:szCs w:val="28"/>
        </w:rPr>
        <w:t>《中小企业声明函》或《残疾人福利性单位声明函》或《监狱企业声明函》</w:t>
      </w:r>
    </w:p>
    <w:p w14:paraId="57A8EDAF">
      <w:pPr>
        <w:widowControl/>
        <w:jc w:val="left"/>
        <w:rPr>
          <w:rFonts w:ascii="宋体" w:hAnsi="宋体" w:eastAsia="宋体" w:cs="宋体"/>
          <w:b/>
          <w:sz w:val="24"/>
          <w:szCs w:val="24"/>
        </w:rPr>
      </w:pPr>
      <w:r>
        <w:rPr>
          <w:rFonts w:hint="eastAsia" w:ascii="宋体" w:hAnsi="宋体" w:eastAsia="宋体" w:cs="宋体"/>
          <w:b/>
          <w:sz w:val="24"/>
          <w:szCs w:val="24"/>
        </w:rPr>
        <w:t>注：本项目属于专门面向中小企业的政府采购项目。</w:t>
      </w:r>
      <w:r>
        <w:rPr>
          <w:rFonts w:hint="eastAsia" w:ascii="宋体" w:hAnsi="宋体" w:eastAsia="宋体" w:cs="宋体"/>
          <w:b/>
          <w:sz w:val="24"/>
          <w:szCs w:val="24"/>
          <w:lang w:eastAsia="zh-CN"/>
        </w:rPr>
        <w:t>投标人</w:t>
      </w:r>
      <w:r>
        <w:rPr>
          <w:rFonts w:hint="eastAsia" w:ascii="宋体" w:hAnsi="宋体" w:eastAsia="宋体" w:cs="宋体"/>
          <w:b/>
          <w:sz w:val="24"/>
          <w:szCs w:val="24"/>
        </w:rPr>
        <w:t>按要求提供《中小企业声明函》或《残疾人福利性单位声明函》或《监狱企业声明函》，声明函须显示</w:t>
      </w:r>
      <w:r>
        <w:rPr>
          <w:rFonts w:hint="eastAsia" w:ascii="宋体" w:hAnsi="宋体" w:eastAsia="宋体" w:cs="宋体"/>
          <w:b/>
          <w:sz w:val="24"/>
          <w:szCs w:val="24"/>
          <w:lang w:eastAsia="zh-CN"/>
        </w:rPr>
        <w:t>投标人</w:t>
      </w:r>
      <w:r>
        <w:rPr>
          <w:rFonts w:hint="eastAsia" w:ascii="宋体" w:hAnsi="宋体" w:eastAsia="宋体" w:cs="宋体"/>
          <w:b/>
          <w:sz w:val="24"/>
          <w:szCs w:val="24"/>
        </w:rPr>
        <w:t>为中小微企业或残疾人福利性单位或监狱企业，若</w:t>
      </w:r>
      <w:r>
        <w:rPr>
          <w:rFonts w:hint="eastAsia" w:ascii="宋体" w:hAnsi="宋体" w:eastAsia="宋体" w:cs="宋体"/>
          <w:b/>
          <w:sz w:val="24"/>
          <w:szCs w:val="24"/>
          <w:lang w:eastAsia="zh-CN"/>
        </w:rPr>
        <w:t>投标人</w:t>
      </w:r>
      <w:r>
        <w:rPr>
          <w:rFonts w:hint="eastAsia" w:ascii="宋体" w:hAnsi="宋体" w:eastAsia="宋体" w:cs="宋体"/>
          <w:b/>
          <w:sz w:val="24"/>
          <w:szCs w:val="24"/>
        </w:rPr>
        <w:t>不属于此三类企业的或未提供上述材料的，将拒绝其参与本项目的采购活动。</w:t>
      </w:r>
    </w:p>
    <w:p w14:paraId="0B0A26EE">
      <w:pPr>
        <w:widowControl/>
        <w:jc w:val="left"/>
      </w:pPr>
      <w:r>
        <w:rPr>
          <w:rFonts w:hint="eastAsia" w:ascii="宋体" w:hAnsi="宋体" w:eastAsia="宋体" w:cs="宋体"/>
          <w:b/>
          <w:sz w:val="24"/>
          <w:szCs w:val="24"/>
          <w:lang w:eastAsia="zh-CN"/>
        </w:rPr>
        <w:t>投标人</w:t>
      </w:r>
      <w:r>
        <w:rPr>
          <w:rFonts w:hint="eastAsia" w:ascii="宋体" w:hAnsi="宋体" w:eastAsia="宋体" w:cs="宋体"/>
          <w:b/>
          <w:sz w:val="24"/>
          <w:szCs w:val="24"/>
        </w:rPr>
        <w:t>应对其提交的《中小企业声明函》《残疾人福利性单位声明函》《监狱企业声明函》的真实性负责，提交的声明函不真实的，应承担相应的法律责任。</w:t>
      </w:r>
    </w:p>
    <w:p w14:paraId="2554CC7F">
      <w:pPr>
        <w:widowControl/>
        <w:spacing w:line="540" w:lineRule="exact"/>
        <w:jc w:val="center"/>
      </w:pPr>
      <w:r>
        <w:rPr>
          <w:rFonts w:hint="eastAsia" w:ascii="宋体" w:hAnsi="宋体" w:cs="宋体"/>
          <w:b/>
          <w:kern w:val="0"/>
          <w:sz w:val="30"/>
          <w:szCs w:val="30"/>
        </w:rPr>
        <w:t>（1）中小企业声明函（</w:t>
      </w:r>
      <w:r>
        <w:rPr>
          <w:rFonts w:hint="eastAsia" w:ascii="宋体" w:hAnsi="宋体" w:cs="宋体"/>
          <w:b/>
          <w:kern w:val="0"/>
          <w:sz w:val="30"/>
          <w:szCs w:val="30"/>
          <w:lang w:val="en-US" w:eastAsia="zh-CN"/>
        </w:rPr>
        <w:t>工程、</w:t>
      </w:r>
      <w:r>
        <w:rPr>
          <w:rFonts w:hint="eastAsia" w:ascii="宋体" w:hAnsi="宋体" w:cs="宋体"/>
          <w:b/>
          <w:kern w:val="0"/>
          <w:sz w:val="30"/>
          <w:szCs w:val="30"/>
        </w:rPr>
        <w:t>服务）</w:t>
      </w:r>
    </w:p>
    <w:p w14:paraId="6AB87F64">
      <w:pPr>
        <w:widowControl/>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 （2020) 46号）的规定， 本公司（联合体）参加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采购活动，服务全部由符合政策要求的中小企业承接。相关企业（含联合体中的中小企业、签订分包意向协议的中小企业） 的具体情况如下：</w:t>
      </w:r>
    </w:p>
    <w:p w14:paraId="37D606AF">
      <w:pPr>
        <w:widowControl/>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ab/>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（标的名称）</w:t>
      </w:r>
      <w:r>
        <w:rPr>
          <w:rFonts w:hint="eastAsia" w:ascii="宋体" w:hAnsi="宋体" w:cs="宋体"/>
          <w:kern w:val="0"/>
          <w:sz w:val="24"/>
          <w:szCs w:val="24"/>
        </w:rPr>
        <w:t>，属于</w:t>
      </w:r>
      <w:r>
        <w:rPr>
          <w:rFonts w:hint="eastAsia" w:ascii="宋体" w:hAnsi="宋体" w:cs="宋体"/>
          <w:kern w:val="0"/>
          <w:sz w:val="24"/>
          <w:szCs w:val="24"/>
          <w:u w:val="single"/>
          <w:lang w:val="en-US" w:eastAsia="zh-CN"/>
        </w:rPr>
        <w:t xml:space="preserve">  建筑业 </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行业；承建（承接）企业为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 xml:space="preserve">   </w:t>
      </w:r>
      <w:r>
        <w:rPr>
          <w:rFonts w:hint="eastAsia" w:ascii="宋体" w:hAnsi="宋体" w:cs="宋体"/>
          <w:kern w:val="0"/>
          <w:sz w:val="24"/>
          <w:szCs w:val="24"/>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w:t>
      </w:r>
    </w:p>
    <w:p w14:paraId="515F9CFD">
      <w:pPr>
        <w:widowControl/>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u w:val="single"/>
        </w:rPr>
        <w:tab/>
      </w:r>
      <w:r>
        <w:rPr>
          <w:rFonts w:hint="eastAsia" w:ascii="宋体" w:hAnsi="宋体" w:cs="宋体"/>
          <w:kern w:val="0"/>
          <w:sz w:val="24"/>
          <w:szCs w:val="24"/>
          <w:u w:val="single"/>
        </w:rPr>
        <w:t>（标的名称）</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行业；承建（承接）企业为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 xml:space="preserve">   </w:t>
      </w:r>
      <w:r>
        <w:rPr>
          <w:rFonts w:hint="eastAsia" w:ascii="宋体" w:hAnsi="宋体" w:cs="宋体"/>
          <w:kern w:val="0"/>
          <w:sz w:val="24"/>
          <w:szCs w:val="24"/>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w:t>
      </w:r>
    </w:p>
    <w:p w14:paraId="3AE3DE46">
      <w:pPr>
        <w:widowControl/>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14:paraId="41CF9FB9">
      <w:pPr>
        <w:widowControl/>
        <w:spacing w:line="540" w:lineRule="exact"/>
        <w:ind w:firstLine="480" w:firstLineChars="200"/>
        <w:jc w:val="left"/>
        <w:rPr>
          <w:rFonts w:hint="eastAsia" w:ascii="宋体" w:hAnsi="宋体" w:cs="宋体"/>
        </w:rPr>
      </w:pPr>
      <w:r>
        <w:rPr>
          <w:rFonts w:hint="eastAsia" w:ascii="宋体" w:hAnsi="宋体" w:cs="宋体"/>
          <w:kern w:val="0"/>
          <w:sz w:val="24"/>
          <w:szCs w:val="24"/>
        </w:rPr>
        <w:t>本企业对上述声明内容的真实性负责。如有虚假，将依法承担相应责任。</w:t>
      </w:r>
    </w:p>
    <w:p w14:paraId="50876CA0">
      <w:pPr>
        <w:widowControl w:val="0"/>
        <w:adjustRightInd w:val="0"/>
        <w:snapToGrid w:val="0"/>
        <w:spacing w:line="600" w:lineRule="exact"/>
        <w:rPr>
          <w:rFonts w:ascii="宋体" w:hAnsi="宋体" w:cs="宋体"/>
          <w:u w:val="single"/>
        </w:rPr>
      </w:pPr>
      <w:r>
        <w:rPr>
          <w:rFonts w:hint="eastAsia" w:ascii="宋体" w:hAnsi="宋体" w:cs="宋体"/>
        </w:rPr>
        <w:t>法定代表人（签字或盖章）：</w:t>
      </w:r>
      <w:r>
        <w:rPr>
          <w:rFonts w:hint="eastAsia" w:ascii="宋体" w:hAnsi="宋体" w:cs="宋体"/>
          <w:u w:val="single"/>
        </w:rPr>
        <w:t xml:space="preserve">              </w:t>
      </w:r>
    </w:p>
    <w:p w14:paraId="1227D6BE">
      <w:pPr>
        <w:widowControl w:val="0"/>
        <w:spacing w:line="600" w:lineRule="exact"/>
        <w:ind w:firstLine="2" w:firstLineChars="1"/>
        <w:rPr>
          <w:rFonts w:ascii="宋体" w:hAnsi="宋体" w:cs="宋体"/>
          <w:b/>
          <w:u w:val="single"/>
        </w:rPr>
      </w:pPr>
      <w:r>
        <w:rPr>
          <w:rFonts w:hint="eastAsia" w:ascii="宋体" w:hAnsi="宋体" w:cs="宋体"/>
        </w:rPr>
        <w:t>磋商申请人全称（加盖电子公章）：</w:t>
      </w:r>
      <w:r>
        <w:rPr>
          <w:rFonts w:hint="eastAsia" w:ascii="宋体" w:hAnsi="宋体" w:cs="宋体"/>
          <w:u w:val="single"/>
        </w:rPr>
        <w:t xml:space="preserve">                </w:t>
      </w:r>
    </w:p>
    <w:p w14:paraId="0764446D">
      <w:pPr>
        <w:widowControl w:val="0"/>
        <w:adjustRightInd w:val="0"/>
        <w:snapToGrid w:val="0"/>
        <w:spacing w:line="600" w:lineRule="exact"/>
        <w:rPr>
          <w:rFonts w:hint="eastAsia" w:ascii="宋体" w:hAnsi="宋体" w:cs="宋体"/>
          <w:kern w:val="0"/>
          <w:sz w:val="24"/>
          <w:szCs w:val="24"/>
        </w:rPr>
      </w:pPr>
      <w:r>
        <w:rPr>
          <w:rFonts w:hint="eastAsia" w:ascii="宋体" w:hAnsi="宋体" w:cs="宋体"/>
        </w:rPr>
        <w:t>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14:paraId="75A5B85D">
      <w:pPr>
        <w:widowControl/>
        <w:spacing w:line="540" w:lineRule="exact"/>
        <w:ind w:firstLine="480" w:firstLineChars="200"/>
        <w:jc w:val="left"/>
        <w:rPr>
          <w:rFonts w:ascii="宋体" w:hAnsi="宋体" w:cs="宋体"/>
          <w:kern w:val="0"/>
          <w:sz w:val="24"/>
          <w:szCs w:val="24"/>
        </w:rPr>
      </w:pPr>
      <w:r>
        <w:rPr>
          <w:rFonts w:hint="eastAsia" w:ascii="宋体" w:hAnsi="宋体" w:cs="宋体"/>
          <w:kern w:val="0"/>
          <w:sz w:val="24"/>
          <w:szCs w:val="24"/>
        </w:rPr>
        <w:t>1、从业人员、营业收入、资产总额填报上一年度数据 ，无上一年度数据的新成立企业可不填报。</w:t>
      </w:r>
    </w:p>
    <w:p w14:paraId="24EB3A9F">
      <w:pPr>
        <w:pStyle w:val="21"/>
        <w:widowControl w:val="0"/>
        <w:spacing w:line="360" w:lineRule="auto"/>
        <w:jc w:val="both"/>
        <w:rPr>
          <w:rFonts w:ascii="宋体" w:hAnsi="宋体" w:cs="宋体"/>
          <w:b/>
          <w:sz w:val="24"/>
          <w:szCs w:val="24"/>
        </w:rPr>
      </w:pPr>
    </w:p>
    <w:p w14:paraId="1EECDFBD">
      <w:pPr>
        <w:pStyle w:val="21"/>
        <w:widowControl w:val="0"/>
        <w:spacing w:line="360" w:lineRule="auto"/>
        <w:jc w:val="center"/>
        <w:rPr>
          <w:rFonts w:ascii="宋体" w:hAnsi="宋体" w:cs="宋体"/>
          <w:b/>
          <w:sz w:val="24"/>
          <w:szCs w:val="24"/>
        </w:rPr>
      </w:pPr>
    </w:p>
    <w:p w14:paraId="5A58D3D8">
      <w:pPr>
        <w:pStyle w:val="21"/>
        <w:widowControl w:val="0"/>
        <w:spacing w:line="360" w:lineRule="auto"/>
        <w:jc w:val="center"/>
        <w:rPr>
          <w:rFonts w:ascii="宋体" w:hAnsi="宋体" w:cs="宋体"/>
          <w:b/>
          <w:kern w:val="0"/>
          <w:sz w:val="24"/>
          <w:szCs w:val="24"/>
        </w:rPr>
      </w:pPr>
      <w:r>
        <w:rPr>
          <w:rFonts w:hint="eastAsia" w:ascii="宋体" w:hAnsi="宋体" w:cs="宋体"/>
          <w:b/>
          <w:sz w:val="24"/>
          <w:szCs w:val="24"/>
        </w:rPr>
        <w:t>（二）</w:t>
      </w:r>
      <w:r>
        <w:rPr>
          <w:rFonts w:hint="eastAsia" w:ascii="宋体" w:hAnsi="宋体" w:cs="宋体"/>
          <w:b/>
          <w:kern w:val="0"/>
          <w:sz w:val="24"/>
          <w:szCs w:val="24"/>
        </w:rPr>
        <w:t>监狱企业声明函</w:t>
      </w:r>
    </w:p>
    <w:p w14:paraId="57C23B47">
      <w:pPr>
        <w:pStyle w:val="21"/>
        <w:widowControl w:val="0"/>
        <w:spacing w:line="360" w:lineRule="auto"/>
        <w:jc w:val="center"/>
        <w:rPr>
          <w:rFonts w:ascii="宋体" w:hAnsi="宋体" w:cs="宋体"/>
          <w:spacing w:val="-4"/>
          <w:sz w:val="24"/>
          <w:szCs w:val="24"/>
        </w:rPr>
      </w:pPr>
      <w:r>
        <w:rPr>
          <w:rFonts w:hint="eastAsia" w:ascii="宋体" w:hAnsi="宋体" w:cs="宋体"/>
          <w:spacing w:val="-4"/>
          <w:sz w:val="24"/>
          <w:szCs w:val="24"/>
        </w:rPr>
        <w:t>（</w:t>
      </w:r>
      <w:r>
        <w:rPr>
          <w:rFonts w:hint="eastAsia" w:ascii="宋体" w:hAnsi="宋体" w:cs="宋体"/>
          <w:sz w:val="24"/>
          <w:szCs w:val="24"/>
        </w:rPr>
        <w:t>不属于监狱企业的无需填写</w:t>
      </w:r>
      <w:r>
        <w:rPr>
          <w:rFonts w:hint="eastAsia" w:ascii="宋体" w:hAnsi="宋体" w:cs="宋体"/>
          <w:spacing w:val="-4"/>
          <w:sz w:val="24"/>
          <w:szCs w:val="24"/>
        </w:rPr>
        <w:t>）</w:t>
      </w:r>
    </w:p>
    <w:p w14:paraId="3BF48D77">
      <w:pPr>
        <w:pStyle w:val="21"/>
        <w:widowControl w:val="0"/>
        <w:spacing w:line="360" w:lineRule="auto"/>
        <w:ind w:firstLine="464" w:firstLineChars="200"/>
        <w:rPr>
          <w:rFonts w:ascii="宋体" w:hAnsi="宋体" w:cs="宋体"/>
          <w:sz w:val="24"/>
          <w:szCs w:val="24"/>
        </w:rPr>
      </w:pPr>
      <w:r>
        <w:rPr>
          <w:rFonts w:hint="eastAsia" w:ascii="宋体" w:hAnsi="宋体" w:cs="宋体"/>
          <w:spacing w:val="-4"/>
          <w:sz w:val="24"/>
          <w:szCs w:val="24"/>
        </w:rPr>
        <w:t xml:space="preserve">公司郑重声明，根据《关于政府采购支持监狱企业发展有关问题的通知》 </w:t>
      </w:r>
      <w:r>
        <w:rPr>
          <w:rFonts w:hint="eastAsia" w:ascii="宋体" w:hAnsi="宋体" w:cs="宋体"/>
          <w:sz w:val="24"/>
          <w:szCs w:val="24"/>
        </w:rPr>
        <w:t>（财库[2014]68</w:t>
      </w:r>
      <w:r>
        <w:rPr>
          <w:rFonts w:hint="eastAsia" w:ascii="宋体" w:hAnsi="宋体" w:cs="宋体"/>
          <w:spacing w:val="-47"/>
          <w:sz w:val="24"/>
          <w:szCs w:val="24"/>
        </w:rPr>
        <w:t xml:space="preserve"> </w:t>
      </w:r>
      <w:r>
        <w:rPr>
          <w:rFonts w:hint="eastAsia" w:ascii="宋体" w:hAnsi="宋体" w:cs="宋体"/>
          <w:sz w:val="24"/>
          <w:szCs w:val="24"/>
        </w:rPr>
        <w:t xml:space="preserve">号）的规定，本公司为监狱企业。 </w:t>
      </w:r>
    </w:p>
    <w:p w14:paraId="49E4A084">
      <w:pPr>
        <w:pStyle w:val="21"/>
        <w:widowControl w:val="0"/>
        <w:spacing w:line="360" w:lineRule="auto"/>
        <w:ind w:firstLine="452" w:firstLineChars="200"/>
        <w:rPr>
          <w:rFonts w:ascii="宋体" w:hAnsi="宋体" w:cs="宋体"/>
          <w:sz w:val="24"/>
          <w:szCs w:val="24"/>
        </w:rPr>
      </w:pPr>
      <w:r>
        <w:rPr>
          <w:rFonts w:hint="eastAsia" w:ascii="宋体" w:hAnsi="宋体" w:cs="宋体"/>
          <w:spacing w:val="-7"/>
          <w:sz w:val="24"/>
          <w:szCs w:val="24"/>
        </w:rPr>
        <w:t>根据上述标准，我公司属于监狱企业的理由为：</w:t>
      </w:r>
      <w:r>
        <w:rPr>
          <w:rFonts w:hint="eastAsia" w:ascii="宋体" w:hAnsi="宋体" w:cs="宋体"/>
          <w:spacing w:val="-7"/>
          <w:sz w:val="24"/>
          <w:szCs w:val="24"/>
          <w:u w:val="single"/>
        </w:rPr>
        <w:t xml:space="preserve">                    </w:t>
      </w:r>
      <w:r>
        <w:rPr>
          <w:rFonts w:hint="eastAsia" w:ascii="宋体" w:hAnsi="宋体" w:cs="宋体"/>
          <w:spacing w:val="-7"/>
          <w:sz w:val="24"/>
          <w:szCs w:val="24"/>
        </w:rPr>
        <w:t>。</w:t>
      </w:r>
    </w:p>
    <w:p w14:paraId="2F2B8FA2">
      <w:pPr>
        <w:pStyle w:val="21"/>
        <w:widowControl w:val="0"/>
        <w:tabs>
          <w:tab w:val="left" w:pos="3120"/>
        </w:tabs>
        <w:spacing w:line="360" w:lineRule="auto"/>
        <w:ind w:firstLine="476" w:firstLineChars="200"/>
        <w:rPr>
          <w:rFonts w:ascii="宋体" w:hAnsi="宋体" w:cs="宋体"/>
          <w:sz w:val="24"/>
          <w:szCs w:val="24"/>
        </w:rPr>
      </w:pPr>
      <w:r>
        <w:rPr>
          <w:rFonts w:hint="eastAsia" w:ascii="宋体" w:hAnsi="宋体" w:cs="宋体"/>
          <w:spacing w:val="-1"/>
          <w:sz w:val="24"/>
          <w:szCs w:val="24"/>
        </w:rPr>
        <w:t>本公司为参加</w:t>
      </w:r>
      <w:r>
        <w:rPr>
          <w:rFonts w:hint="eastAsia" w:ascii="宋体" w:hAnsi="宋体" w:cs="宋体"/>
          <w:spacing w:val="-1"/>
          <w:sz w:val="24"/>
          <w:szCs w:val="24"/>
          <w:u w:val="single" w:color="000000"/>
        </w:rPr>
        <w:tab/>
      </w:r>
      <w:r>
        <w:rPr>
          <w:rFonts w:hint="eastAsia" w:ascii="宋体" w:hAnsi="宋体" w:cs="宋体"/>
          <w:spacing w:val="-1"/>
          <w:sz w:val="24"/>
          <w:szCs w:val="24"/>
          <w:u w:val="single" w:color="000000"/>
        </w:rPr>
        <w:t>（项目名称）</w:t>
      </w:r>
      <w:r>
        <w:rPr>
          <w:rFonts w:hint="eastAsia" w:ascii="宋体" w:hAnsi="宋体" w:cs="宋体"/>
          <w:spacing w:val="34"/>
          <w:sz w:val="24"/>
          <w:szCs w:val="24"/>
          <w:u w:val="single" w:color="000000"/>
        </w:rPr>
        <w:t xml:space="preserve"> </w:t>
      </w:r>
      <w:r>
        <w:rPr>
          <w:rFonts w:hint="eastAsia" w:ascii="宋体" w:hAnsi="宋体" w:cs="宋体"/>
          <w:spacing w:val="-6"/>
          <w:sz w:val="24"/>
          <w:szCs w:val="24"/>
        </w:rPr>
        <w:t xml:space="preserve">（项目编号： </w:t>
      </w:r>
      <w:r>
        <w:rPr>
          <w:rFonts w:hint="eastAsia" w:ascii="宋体" w:hAnsi="宋体" w:cs="宋体"/>
          <w:spacing w:val="-6"/>
          <w:sz w:val="24"/>
          <w:szCs w:val="24"/>
          <w:u w:val="single"/>
        </w:rPr>
        <w:t xml:space="preserve">        </w:t>
      </w:r>
      <w:r>
        <w:rPr>
          <w:rFonts w:hint="eastAsia" w:ascii="宋体" w:hAnsi="宋体" w:cs="宋体"/>
          <w:spacing w:val="-6"/>
          <w:sz w:val="24"/>
          <w:szCs w:val="24"/>
        </w:rPr>
        <w:t>）采购活动提供本企业</w:t>
      </w:r>
      <w:r>
        <w:rPr>
          <w:rFonts w:hint="eastAsia" w:ascii="宋体" w:hAnsi="宋体" w:cs="宋体"/>
          <w:spacing w:val="-6"/>
          <w:sz w:val="24"/>
          <w:szCs w:val="24"/>
          <w:u w:val="single"/>
        </w:rPr>
        <w:t xml:space="preserve">     </w:t>
      </w:r>
      <w:r>
        <w:rPr>
          <w:rFonts w:hint="eastAsia" w:ascii="宋体" w:hAnsi="宋体" w:cs="宋体"/>
          <w:spacing w:val="-6"/>
          <w:sz w:val="24"/>
          <w:szCs w:val="24"/>
          <w:u w:val="single" w:color="000000"/>
        </w:rPr>
        <w:t>（填写制造的货</w:t>
      </w:r>
      <w:r>
        <w:rPr>
          <w:rFonts w:hint="eastAsia" w:ascii="宋体" w:hAnsi="宋体" w:cs="宋体"/>
          <w:spacing w:val="-8"/>
          <w:sz w:val="24"/>
          <w:szCs w:val="24"/>
          <w:u w:val="single" w:color="000000"/>
        </w:rPr>
        <w:t>物，由本企业承担工程、提供服务）</w:t>
      </w:r>
      <w:r>
        <w:rPr>
          <w:rFonts w:hint="eastAsia" w:ascii="宋体" w:hAnsi="宋体" w:cs="宋体"/>
          <w:spacing w:val="-8"/>
          <w:sz w:val="24"/>
          <w:szCs w:val="24"/>
        </w:rPr>
        <w:t>。</w:t>
      </w:r>
    </w:p>
    <w:p w14:paraId="709766F0">
      <w:pPr>
        <w:widowControl w:val="0"/>
        <w:spacing w:line="360" w:lineRule="auto"/>
        <w:rPr>
          <w:rFonts w:ascii="宋体" w:hAnsi="宋体" w:cs="宋体"/>
        </w:rPr>
      </w:pPr>
    </w:p>
    <w:p w14:paraId="0117EFBA">
      <w:pPr>
        <w:pStyle w:val="21"/>
        <w:widowControl w:val="0"/>
        <w:spacing w:line="360" w:lineRule="auto"/>
        <w:ind w:firstLine="480" w:firstLineChars="200"/>
        <w:rPr>
          <w:rFonts w:ascii="宋体" w:hAnsi="宋体" w:cs="宋体"/>
          <w:sz w:val="24"/>
          <w:szCs w:val="24"/>
        </w:rPr>
      </w:pPr>
      <w:r>
        <w:rPr>
          <w:rFonts w:hint="eastAsia" w:ascii="宋体" w:hAnsi="宋体" w:cs="宋体"/>
          <w:sz w:val="24"/>
          <w:szCs w:val="24"/>
        </w:rPr>
        <w:t xml:space="preserve">本条所称货物不包括使用大型企业注册商标的货物和服务。 </w:t>
      </w:r>
    </w:p>
    <w:p w14:paraId="21A83215">
      <w:pPr>
        <w:pStyle w:val="21"/>
        <w:widowControl w:val="0"/>
        <w:spacing w:line="360" w:lineRule="auto"/>
        <w:ind w:firstLine="472" w:firstLineChars="200"/>
        <w:rPr>
          <w:rFonts w:ascii="宋体" w:hAnsi="宋体" w:cs="宋体"/>
          <w:sz w:val="24"/>
          <w:szCs w:val="24"/>
        </w:rPr>
      </w:pPr>
      <w:r>
        <w:rPr>
          <w:rFonts w:hint="eastAsia" w:ascii="宋体" w:hAnsi="宋体" w:cs="宋体"/>
          <w:spacing w:val="-2"/>
          <w:sz w:val="24"/>
          <w:szCs w:val="24"/>
        </w:rPr>
        <w:t>本公司对上述声明的真实性负责。如有虚假，将依法承担相应责任。</w:t>
      </w:r>
    </w:p>
    <w:p w14:paraId="654A6C60">
      <w:pPr>
        <w:widowControl w:val="0"/>
        <w:spacing w:line="360" w:lineRule="auto"/>
        <w:rPr>
          <w:rFonts w:ascii="宋体" w:hAnsi="宋体" w:cs="宋体"/>
        </w:rPr>
      </w:pPr>
    </w:p>
    <w:p w14:paraId="51B13BDB">
      <w:pPr>
        <w:widowControl w:val="0"/>
        <w:spacing w:line="360" w:lineRule="auto"/>
        <w:rPr>
          <w:rFonts w:ascii="宋体" w:hAnsi="宋体" w:cs="宋体"/>
        </w:rPr>
      </w:pPr>
    </w:p>
    <w:p w14:paraId="2E73702B">
      <w:pPr>
        <w:widowControl w:val="0"/>
        <w:adjustRightInd w:val="0"/>
        <w:snapToGrid w:val="0"/>
        <w:spacing w:line="600" w:lineRule="exact"/>
        <w:rPr>
          <w:rFonts w:ascii="宋体" w:hAnsi="宋体" w:cs="宋体"/>
          <w:u w:val="single"/>
        </w:rPr>
      </w:pPr>
      <w:r>
        <w:rPr>
          <w:rFonts w:hint="eastAsia" w:ascii="宋体" w:hAnsi="宋体" w:cs="宋体"/>
        </w:rPr>
        <w:t>法定代表人（签字或盖章）：</w:t>
      </w:r>
      <w:r>
        <w:rPr>
          <w:rFonts w:hint="eastAsia" w:ascii="宋体" w:hAnsi="宋体" w:cs="宋体"/>
          <w:u w:val="single"/>
        </w:rPr>
        <w:t xml:space="preserve">              </w:t>
      </w:r>
    </w:p>
    <w:p w14:paraId="7BC3A323">
      <w:pPr>
        <w:widowControl w:val="0"/>
        <w:spacing w:line="600" w:lineRule="exact"/>
        <w:ind w:firstLine="2" w:firstLineChars="1"/>
        <w:rPr>
          <w:rFonts w:ascii="宋体" w:hAnsi="宋体" w:cs="宋体"/>
          <w:b/>
          <w:u w:val="single"/>
        </w:rPr>
      </w:pPr>
      <w:r>
        <w:rPr>
          <w:rFonts w:hint="eastAsia" w:ascii="宋体" w:hAnsi="宋体" w:cs="宋体"/>
        </w:rPr>
        <w:t>磋商申请人全称（加盖电子公章）：</w:t>
      </w:r>
      <w:r>
        <w:rPr>
          <w:rFonts w:hint="eastAsia" w:ascii="宋体" w:hAnsi="宋体" w:cs="宋体"/>
          <w:u w:val="single"/>
        </w:rPr>
        <w:t xml:space="preserve">                </w:t>
      </w:r>
    </w:p>
    <w:p w14:paraId="4B9E715A">
      <w:pPr>
        <w:widowControl w:val="0"/>
        <w:adjustRightInd w:val="0"/>
        <w:snapToGrid w:val="0"/>
        <w:spacing w:line="600" w:lineRule="exact"/>
        <w:rPr>
          <w:rFonts w:ascii="宋体" w:hAnsi="宋体" w:cs="宋体"/>
        </w:rPr>
      </w:pPr>
      <w:r>
        <w:rPr>
          <w:rFonts w:hint="eastAsia" w:ascii="宋体" w:hAnsi="宋体" w:cs="宋体"/>
        </w:rPr>
        <w:t>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14:paraId="4DD3E763">
      <w:pPr>
        <w:widowControl w:val="0"/>
        <w:spacing w:line="360" w:lineRule="auto"/>
        <w:rPr>
          <w:rFonts w:ascii="宋体" w:hAnsi="宋体" w:cs="宋体"/>
        </w:rPr>
      </w:pPr>
    </w:p>
    <w:p w14:paraId="7ED7BE89">
      <w:pPr>
        <w:widowControl w:val="0"/>
        <w:spacing w:line="360" w:lineRule="auto"/>
        <w:rPr>
          <w:rFonts w:ascii="宋体" w:hAnsi="宋体" w:cs="宋体"/>
        </w:rPr>
      </w:pPr>
    </w:p>
    <w:p w14:paraId="695DDB8D">
      <w:pPr>
        <w:pStyle w:val="21"/>
        <w:widowControl w:val="0"/>
        <w:spacing w:line="360" w:lineRule="auto"/>
        <w:ind w:firstLine="478" w:firstLineChars="200"/>
        <w:rPr>
          <w:rFonts w:ascii="宋体" w:hAnsi="宋体" w:cs="宋体"/>
          <w:b/>
          <w:bCs/>
          <w:spacing w:val="-1"/>
          <w:sz w:val="24"/>
          <w:szCs w:val="24"/>
        </w:rPr>
      </w:pPr>
      <w:r>
        <w:rPr>
          <w:rFonts w:hint="eastAsia" w:ascii="宋体" w:hAnsi="宋体" w:cs="宋体"/>
          <w:b/>
          <w:bCs/>
          <w:spacing w:val="-1"/>
          <w:sz w:val="24"/>
          <w:szCs w:val="24"/>
        </w:rPr>
        <w:t xml:space="preserve">注： </w:t>
      </w:r>
      <w:r>
        <w:rPr>
          <w:rFonts w:hint="eastAsia" w:ascii="宋体" w:hAnsi="宋体" w:cs="宋体"/>
          <w:b/>
          <w:bCs/>
          <w:spacing w:val="-1"/>
          <w:sz w:val="24"/>
          <w:szCs w:val="24"/>
          <w:lang w:val="en-US"/>
        </w:rPr>
        <w:t>1.</w:t>
      </w:r>
      <w:r>
        <w:rPr>
          <w:rFonts w:hint="eastAsia" w:ascii="宋体" w:hAnsi="宋体" w:cs="宋体"/>
          <w:b/>
          <w:bCs/>
          <w:spacing w:val="-1"/>
          <w:sz w:val="24"/>
          <w:szCs w:val="24"/>
        </w:rPr>
        <w:t>若产品出自符合国家规定的监狱企业，则该产品制造企业必须出具上述声明函，且磋商申请人必须提供 应当提供由省级以上监狱管理局、戒毒管理局（含新疆生产建设兵团）出具的属于监狱企业的证明文件，否则在评审时将不考虑对该监狱企业的相关优惠。监狱企业视同小型、微型企业，享受评审中价格扣除等政府采购促进中小企业发展的政府采购政策。</w:t>
      </w:r>
    </w:p>
    <w:p w14:paraId="177BB496">
      <w:pPr>
        <w:widowControl w:val="0"/>
        <w:spacing w:line="360" w:lineRule="auto"/>
        <w:ind w:firstLine="482" w:firstLineChars="200"/>
        <w:rPr>
          <w:rFonts w:ascii="宋体" w:hAnsi="宋体" w:cs="宋体"/>
          <w:b/>
        </w:rPr>
      </w:pPr>
      <w:r>
        <w:rPr>
          <w:rFonts w:hint="eastAsia" w:ascii="宋体" w:hAnsi="宋体" w:cs="宋体"/>
          <w:b/>
        </w:rPr>
        <w:t>2.不属于监狱企业的磋商申请人此表可不填写。</w:t>
      </w:r>
    </w:p>
    <w:p w14:paraId="0AD56148">
      <w:pPr>
        <w:pStyle w:val="21"/>
        <w:widowControl w:val="0"/>
        <w:spacing w:line="360" w:lineRule="auto"/>
        <w:ind w:firstLine="478" w:firstLineChars="200"/>
        <w:jc w:val="center"/>
        <w:rPr>
          <w:rFonts w:ascii="宋体" w:hAnsi="宋体" w:cs="宋体"/>
          <w:b/>
          <w:kern w:val="0"/>
          <w:sz w:val="24"/>
          <w:szCs w:val="24"/>
        </w:rPr>
      </w:pPr>
      <w:r>
        <w:rPr>
          <w:rFonts w:hint="eastAsia" w:ascii="宋体" w:hAnsi="宋体" w:cs="宋体"/>
          <w:b/>
          <w:bCs/>
          <w:spacing w:val="-1"/>
          <w:sz w:val="24"/>
          <w:szCs w:val="24"/>
        </w:rPr>
        <w:br w:type="page"/>
      </w:r>
      <w:r>
        <w:rPr>
          <w:rFonts w:hint="eastAsia" w:ascii="宋体" w:hAnsi="宋体" w:cs="宋体"/>
          <w:b/>
          <w:sz w:val="24"/>
          <w:szCs w:val="24"/>
        </w:rPr>
        <w:t>（三）</w:t>
      </w:r>
      <w:r>
        <w:rPr>
          <w:rFonts w:hint="eastAsia" w:ascii="宋体" w:hAnsi="宋体" w:cs="宋体"/>
          <w:b/>
          <w:kern w:val="0"/>
          <w:sz w:val="24"/>
          <w:szCs w:val="24"/>
        </w:rPr>
        <w:t>残疾人福利性单位声明函</w:t>
      </w:r>
    </w:p>
    <w:p w14:paraId="6F965109">
      <w:pPr>
        <w:pStyle w:val="21"/>
        <w:widowControl w:val="0"/>
        <w:spacing w:line="360" w:lineRule="auto"/>
        <w:ind w:firstLine="420"/>
        <w:jc w:val="center"/>
        <w:rPr>
          <w:rFonts w:ascii="宋体" w:hAnsi="宋体" w:cs="宋体"/>
          <w:sz w:val="24"/>
          <w:szCs w:val="24"/>
        </w:rPr>
      </w:pPr>
      <w:bookmarkStart w:id="161" w:name="_Toc20904"/>
      <w:bookmarkStart w:id="162" w:name="_Toc12907"/>
      <w:r>
        <w:rPr>
          <w:rFonts w:hint="eastAsia" w:ascii="宋体" w:hAnsi="宋体" w:cs="宋体"/>
          <w:sz w:val="24"/>
          <w:szCs w:val="24"/>
        </w:rPr>
        <w:t>（不属于残疾人福利性单位的无需填写）</w:t>
      </w:r>
      <w:bookmarkEnd w:id="161"/>
      <w:bookmarkEnd w:id="162"/>
    </w:p>
    <w:p w14:paraId="392BC711">
      <w:pPr>
        <w:pStyle w:val="21"/>
        <w:widowControl w:val="0"/>
        <w:spacing w:line="460" w:lineRule="exact"/>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w:t>
      </w:r>
      <w:r>
        <w:rPr>
          <w:rFonts w:hint="eastAsia" w:ascii="宋体" w:hAnsi="宋体" w:cs="宋体"/>
          <w:spacing w:val="-10"/>
          <w:sz w:val="24"/>
          <w:szCs w:val="24"/>
        </w:rPr>
        <w:t xml:space="preserve">的通知》（财库〔2017〕  </w:t>
      </w:r>
      <w:r>
        <w:rPr>
          <w:rFonts w:hint="eastAsia" w:ascii="宋体" w:hAnsi="宋体" w:cs="宋体"/>
          <w:sz w:val="24"/>
          <w:szCs w:val="24"/>
        </w:rPr>
        <w:t>141</w:t>
      </w:r>
      <w:r>
        <w:rPr>
          <w:rFonts w:hint="eastAsia" w:ascii="宋体" w:hAnsi="宋体" w:cs="宋体"/>
          <w:spacing w:val="-32"/>
          <w:sz w:val="24"/>
          <w:szCs w:val="24"/>
        </w:rPr>
        <w:t xml:space="preserve"> </w:t>
      </w:r>
      <w:r>
        <w:rPr>
          <w:rFonts w:hint="eastAsia" w:ascii="宋体" w:hAnsi="宋体" w:cs="宋体"/>
          <w:sz w:val="24"/>
          <w:szCs w:val="24"/>
        </w:rPr>
        <w:t>号）的规定，本单位为符合条件的残疾人福利性单位，且本单位参加</w:t>
      </w:r>
      <w:r>
        <w:rPr>
          <w:rFonts w:hint="eastAsia" w:ascii="宋体" w:hAnsi="宋体" w:cs="宋体"/>
          <w:sz w:val="24"/>
          <w:szCs w:val="24"/>
          <w:u w:val="single" w:color="000000"/>
        </w:rPr>
        <w:t xml:space="preserve"> </w:t>
      </w:r>
      <w:r>
        <w:rPr>
          <w:rFonts w:hint="eastAsia" w:ascii="宋体" w:hAnsi="宋体" w:cs="宋体"/>
          <w:sz w:val="24"/>
          <w:szCs w:val="24"/>
          <w:u w:val="single" w:color="000000"/>
        </w:rPr>
        <w:tab/>
      </w:r>
      <w:r>
        <w:rPr>
          <w:rFonts w:hint="eastAsia" w:ascii="宋体" w:hAnsi="宋体" w:cs="宋体"/>
          <w:sz w:val="24"/>
          <w:szCs w:val="24"/>
          <w:u w:val="single" w:color="000000"/>
        </w:rPr>
        <w:t xml:space="preserve">         </w:t>
      </w:r>
      <w:r>
        <w:rPr>
          <w:rFonts w:hint="eastAsia" w:ascii="宋体" w:hAnsi="宋体" w:cs="宋体"/>
          <w:spacing w:val="-1"/>
          <w:sz w:val="24"/>
          <w:szCs w:val="24"/>
        </w:rPr>
        <w:t>单位的</w:t>
      </w:r>
      <w:r>
        <w:rPr>
          <w:rFonts w:hint="eastAsia" w:ascii="宋体" w:hAnsi="宋体" w:cs="宋体"/>
          <w:spacing w:val="-1"/>
          <w:sz w:val="24"/>
          <w:szCs w:val="24"/>
          <w:u w:val="single" w:color="000000"/>
        </w:rPr>
        <w:tab/>
      </w:r>
      <w:r>
        <w:rPr>
          <w:rFonts w:hint="eastAsia" w:ascii="宋体" w:hAnsi="宋体" w:cs="宋体"/>
          <w:spacing w:val="-1"/>
          <w:sz w:val="24"/>
          <w:szCs w:val="24"/>
          <w:u w:val="single" w:color="000000"/>
        </w:rPr>
        <w:t xml:space="preserve">              </w:t>
      </w:r>
      <w:r>
        <w:rPr>
          <w:rFonts w:hint="eastAsia" w:ascii="宋体" w:hAnsi="宋体" w:cs="宋体"/>
          <w:spacing w:val="-4"/>
          <w:sz w:val="24"/>
          <w:szCs w:val="24"/>
        </w:rPr>
        <w:t>项目采购活动提供本单位制造的货物（由本单位承担工程/提供服务），或者提供其他残疾人福利性单位制造的货物（不包括使用非残疾人福利性单位注册商标的货物）。</w:t>
      </w:r>
    </w:p>
    <w:p w14:paraId="52578910">
      <w:pPr>
        <w:pStyle w:val="21"/>
        <w:widowControl w:val="0"/>
        <w:spacing w:line="460" w:lineRule="exact"/>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476F5A13">
      <w:pPr>
        <w:widowControl w:val="0"/>
        <w:spacing w:line="460" w:lineRule="exact"/>
        <w:rPr>
          <w:rFonts w:ascii="宋体" w:hAnsi="宋体" w:cs="宋体"/>
        </w:rPr>
      </w:pPr>
    </w:p>
    <w:p w14:paraId="6387EE56">
      <w:pPr>
        <w:pStyle w:val="21"/>
        <w:widowControl w:val="0"/>
        <w:spacing w:line="460" w:lineRule="exact"/>
        <w:ind w:firstLine="420"/>
        <w:rPr>
          <w:rFonts w:ascii="宋体" w:hAnsi="宋体" w:cs="宋体"/>
          <w:spacing w:val="-4"/>
          <w:sz w:val="24"/>
          <w:szCs w:val="24"/>
        </w:rPr>
      </w:pPr>
      <w:r>
        <w:rPr>
          <w:rFonts w:hint="eastAsia" w:ascii="宋体" w:hAnsi="宋体" w:cs="宋体"/>
          <w:spacing w:val="-4"/>
          <w:sz w:val="24"/>
          <w:szCs w:val="24"/>
        </w:rPr>
        <w:t>注： 单独列出所供残疾人福利性单位制造的货物产品单价和总价。</w:t>
      </w:r>
    </w:p>
    <w:p w14:paraId="56D05E49">
      <w:pPr>
        <w:pStyle w:val="21"/>
        <w:widowControl w:val="0"/>
        <w:spacing w:line="460" w:lineRule="exact"/>
        <w:rPr>
          <w:rFonts w:ascii="宋体" w:hAnsi="宋体" w:cs="宋体"/>
          <w:sz w:val="24"/>
          <w:szCs w:val="24"/>
        </w:rPr>
      </w:pPr>
      <w:r>
        <w:rPr>
          <w:rFonts w:hint="eastAsia" w:ascii="宋体" w:hAnsi="宋体" w:cs="宋体"/>
          <w:spacing w:val="-5"/>
          <w:sz w:val="24"/>
          <w:szCs w:val="24"/>
        </w:rPr>
        <w:t>（若投标文件中无上述材料，则在评审时不考虑对该小、微企业的相关优惠。）</w:t>
      </w:r>
    </w:p>
    <w:p w14:paraId="5DFDCACA">
      <w:pPr>
        <w:widowControl w:val="0"/>
        <w:spacing w:line="460" w:lineRule="exact"/>
        <w:rPr>
          <w:rFonts w:ascii="宋体" w:hAnsi="宋体" w:cs="宋体"/>
        </w:rPr>
      </w:pPr>
    </w:p>
    <w:p w14:paraId="6A195B6A">
      <w:pPr>
        <w:widowControl w:val="0"/>
        <w:adjustRightInd w:val="0"/>
        <w:snapToGrid w:val="0"/>
        <w:spacing w:line="600" w:lineRule="exact"/>
        <w:rPr>
          <w:rFonts w:ascii="宋体" w:hAnsi="宋体" w:cs="宋体"/>
          <w:u w:val="single"/>
        </w:rPr>
      </w:pPr>
      <w:r>
        <w:rPr>
          <w:rFonts w:hint="eastAsia" w:ascii="宋体" w:hAnsi="宋体" w:cs="宋体"/>
        </w:rPr>
        <w:t>法定代表人（签字或盖章）：</w:t>
      </w:r>
      <w:r>
        <w:rPr>
          <w:rFonts w:hint="eastAsia" w:ascii="宋体" w:hAnsi="宋体" w:cs="宋体"/>
          <w:u w:val="single"/>
        </w:rPr>
        <w:t xml:space="preserve">              </w:t>
      </w:r>
    </w:p>
    <w:p w14:paraId="597D0315">
      <w:pPr>
        <w:widowControl w:val="0"/>
        <w:spacing w:line="600" w:lineRule="exact"/>
        <w:ind w:firstLine="2" w:firstLineChars="1"/>
        <w:rPr>
          <w:rFonts w:ascii="宋体" w:hAnsi="宋体" w:cs="宋体"/>
          <w:b/>
          <w:u w:val="single"/>
        </w:rPr>
      </w:pPr>
      <w:r>
        <w:rPr>
          <w:rFonts w:hint="eastAsia" w:ascii="宋体" w:hAnsi="宋体" w:cs="宋体"/>
        </w:rPr>
        <w:t>磋商申请人全称（加盖电子公章）：</w:t>
      </w:r>
      <w:r>
        <w:rPr>
          <w:rFonts w:hint="eastAsia" w:ascii="宋体" w:hAnsi="宋体" w:cs="宋体"/>
          <w:u w:val="single"/>
        </w:rPr>
        <w:t xml:space="preserve">                </w:t>
      </w:r>
    </w:p>
    <w:p w14:paraId="1312FB40">
      <w:pPr>
        <w:widowControl w:val="0"/>
        <w:adjustRightInd w:val="0"/>
        <w:snapToGrid w:val="0"/>
        <w:spacing w:line="600" w:lineRule="exact"/>
        <w:rPr>
          <w:rFonts w:ascii="宋体" w:hAnsi="宋体" w:cs="宋体"/>
        </w:rPr>
      </w:pPr>
      <w:r>
        <w:rPr>
          <w:rFonts w:hint="eastAsia" w:ascii="宋体" w:hAnsi="宋体" w:cs="宋体"/>
        </w:rPr>
        <w:t>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14:paraId="19DBB156">
      <w:pPr>
        <w:pStyle w:val="21"/>
        <w:widowControl w:val="0"/>
        <w:spacing w:line="460" w:lineRule="exact"/>
        <w:ind w:hanging="27"/>
        <w:rPr>
          <w:rFonts w:ascii="宋体" w:hAnsi="宋体" w:cs="宋体"/>
          <w:sz w:val="24"/>
          <w:szCs w:val="24"/>
          <w:lang w:val="en-US"/>
        </w:rPr>
      </w:pPr>
    </w:p>
    <w:p w14:paraId="48F00804">
      <w:pPr>
        <w:widowControl w:val="0"/>
        <w:spacing w:line="460" w:lineRule="exact"/>
        <w:rPr>
          <w:rFonts w:ascii="宋体" w:hAnsi="宋体" w:cs="宋体"/>
        </w:rPr>
      </w:pPr>
    </w:p>
    <w:p w14:paraId="51F62248">
      <w:pPr>
        <w:pStyle w:val="23"/>
        <w:widowControl w:val="0"/>
        <w:spacing w:after="0" w:line="360" w:lineRule="auto"/>
        <w:ind w:left="0" w:leftChars="0" w:firstLine="478" w:firstLineChars="200"/>
        <w:rPr>
          <w:rFonts w:hint="default" w:hAnsi="宋体" w:cs="宋体"/>
          <w:b/>
          <w:bCs/>
          <w:color w:val="auto"/>
          <w:spacing w:val="-1"/>
          <w:sz w:val="24"/>
          <w:szCs w:val="24"/>
        </w:rPr>
      </w:pPr>
      <w:r>
        <w:rPr>
          <w:rFonts w:hAnsi="宋体" w:cs="宋体"/>
          <w:b/>
          <w:bCs/>
          <w:color w:val="auto"/>
          <w:spacing w:val="-1"/>
          <w:sz w:val="24"/>
          <w:szCs w:val="24"/>
        </w:rPr>
        <w:t>注：</w:t>
      </w:r>
      <w:r>
        <w:rPr>
          <w:rFonts w:hAnsi="宋体" w:cs="宋体"/>
          <w:b/>
          <w:bCs/>
          <w:color w:val="auto"/>
          <w:spacing w:val="-1"/>
          <w:sz w:val="24"/>
          <w:szCs w:val="24"/>
          <w:lang w:val="en-US"/>
        </w:rPr>
        <w:t>1.</w:t>
      </w:r>
      <w:r>
        <w:rPr>
          <w:rFonts w:hAnsi="宋体" w:cs="宋体"/>
          <w:b/>
          <w:bCs/>
          <w:color w:val="auto"/>
          <w:spacing w:val="-1"/>
          <w:sz w:val="24"/>
          <w:szCs w:val="24"/>
        </w:rPr>
        <w:t>符合条件的残疾人福利性单位在参加政府采购活动时，应当提供本通知规定的《残疾人福利性单位声明函》，并对声明的真实性负责。招标代理机构在随中标、成交结果同时公告其《残疾人福利性单位声明函》，接受社会监督。磋商申请人提供的《残疾人福利性单位声明函》与事实不符的，依照《政府采购法》第七十七条第一款的规定追究法律责任。</w:t>
      </w:r>
    </w:p>
    <w:p w14:paraId="2AD9164C">
      <w:pPr>
        <w:widowControl w:val="0"/>
        <w:spacing w:line="360" w:lineRule="auto"/>
        <w:ind w:firstLine="482" w:firstLineChars="200"/>
        <w:rPr>
          <w:rFonts w:ascii="宋体" w:hAnsi="宋体" w:cs="宋体"/>
          <w:b/>
        </w:rPr>
      </w:pPr>
      <w:r>
        <w:rPr>
          <w:rFonts w:hint="eastAsia" w:ascii="宋体" w:hAnsi="宋体" w:cs="宋体"/>
          <w:b/>
        </w:rPr>
        <w:t>2.不属于残疾人福利性单位的磋商申请人此表可不填写。</w:t>
      </w:r>
    </w:p>
    <w:p w14:paraId="76412A42">
      <w:pPr>
        <w:widowControl w:val="0"/>
        <w:tabs>
          <w:tab w:val="left" w:pos="0"/>
        </w:tabs>
        <w:spacing w:line="360" w:lineRule="auto"/>
        <w:jc w:val="center"/>
        <w:rPr>
          <w:rFonts w:ascii="宋体" w:hAnsi="宋体" w:cs="宋体"/>
          <w:b/>
          <w:bCs/>
        </w:rPr>
      </w:pPr>
    </w:p>
    <w:p w14:paraId="640B5711">
      <w:pPr>
        <w:widowControl w:val="0"/>
        <w:tabs>
          <w:tab w:val="left" w:pos="0"/>
        </w:tabs>
        <w:spacing w:line="360" w:lineRule="auto"/>
        <w:jc w:val="center"/>
        <w:rPr>
          <w:rFonts w:ascii="宋体" w:hAnsi="宋体" w:cs="宋体"/>
          <w:b/>
          <w:bCs/>
        </w:rPr>
      </w:pPr>
    </w:p>
    <w:p w14:paraId="53F2EC45">
      <w:pPr>
        <w:widowControl w:val="0"/>
        <w:tabs>
          <w:tab w:val="left" w:pos="0"/>
        </w:tabs>
        <w:spacing w:line="360" w:lineRule="auto"/>
        <w:jc w:val="center"/>
        <w:rPr>
          <w:rFonts w:ascii="宋体" w:hAnsi="宋体" w:cs="宋体"/>
          <w:b/>
          <w:bCs/>
        </w:rPr>
      </w:pPr>
    </w:p>
    <w:p w14:paraId="60681192">
      <w:pPr>
        <w:widowControl w:val="0"/>
        <w:tabs>
          <w:tab w:val="left" w:pos="0"/>
        </w:tabs>
        <w:spacing w:line="360" w:lineRule="auto"/>
        <w:jc w:val="center"/>
        <w:rPr>
          <w:rFonts w:ascii="宋体" w:hAnsi="宋体" w:cs="宋体"/>
          <w:b/>
          <w:bCs/>
        </w:rPr>
      </w:pPr>
    </w:p>
    <w:p w14:paraId="21645318">
      <w:pPr>
        <w:widowControl w:val="0"/>
        <w:tabs>
          <w:tab w:val="left" w:pos="0"/>
        </w:tabs>
        <w:spacing w:line="360" w:lineRule="auto"/>
        <w:jc w:val="center"/>
        <w:rPr>
          <w:rFonts w:ascii="宋体" w:hAnsi="宋体" w:cs="宋体"/>
          <w:b/>
          <w:bCs/>
        </w:rPr>
      </w:pPr>
    </w:p>
    <w:p w14:paraId="123FE8CD">
      <w:pPr>
        <w:widowControl w:val="0"/>
        <w:tabs>
          <w:tab w:val="left" w:pos="0"/>
        </w:tabs>
        <w:spacing w:line="360" w:lineRule="auto"/>
        <w:jc w:val="center"/>
        <w:rPr>
          <w:rFonts w:ascii="宋体" w:hAnsi="宋体" w:cs="宋体"/>
          <w:b/>
          <w:bCs/>
        </w:rPr>
      </w:pPr>
    </w:p>
    <w:p w14:paraId="5725867C">
      <w:pPr>
        <w:widowControl w:val="0"/>
        <w:tabs>
          <w:tab w:val="left" w:pos="0"/>
        </w:tabs>
        <w:spacing w:line="360" w:lineRule="auto"/>
        <w:jc w:val="both"/>
        <w:rPr>
          <w:rFonts w:ascii="宋体" w:hAnsi="宋体" w:cs="宋体"/>
          <w:b/>
          <w:bCs/>
        </w:rPr>
      </w:pPr>
    </w:p>
    <w:p w14:paraId="784CC31F">
      <w:pPr>
        <w:widowControl w:val="0"/>
        <w:tabs>
          <w:tab w:val="left" w:pos="0"/>
        </w:tabs>
        <w:spacing w:line="360" w:lineRule="auto"/>
        <w:jc w:val="center"/>
        <w:outlineLvl w:val="1"/>
        <w:rPr>
          <w:rFonts w:ascii="宋体" w:hAnsi="宋体" w:cs="宋体"/>
          <w:b/>
          <w:bCs/>
        </w:rPr>
      </w:pPr>
      <w:bookmarkStart w:id="163" w:name="_Toc18930"/>
      <w:r>
        <w:rPr>
          <w:rFonts w:hint="eastAsia" w:ascii="宋体" w:hAnsi="宋体" w:cs="宋体"/>
          <w:b/>
          <w:bCs/>
        </w:rPr>
        <w:t>十</w:t>
      </w:r>
      <w:r>
        <w:rPr>
          <w:rFonts w:hint="eastAsia" w:ascii="宋体" w:hAnsi="宋体" w:cs="宋体"/>
          <w:b/>
          <w:bCs/>
          <w:lang w:val="en-US" w:eastAsia="zh-CN"/>
        </w:rPr>
        <w:t>二</w:t>
      </w:r>
      <w:r>
        <w:rPr>
          <w:rFonts w:hint="eastAsia" w:ascii="宋体" w:hAnsi="宋体" w:cs="宋体"/>
          <w:b/>
          <w:bCs/>
        </w:rPr>
        <w:t>、磋商申请人认为有必要提供的其他资料</w:t>
      </w:r>
      <w:bookmarkEnd w:id="163"/>
    </w:p>
    <w:p w14:paraId="079DA991">
      <w:pPr>
        <w:widowControl w:val="0"/>
        <w:tabs>
          <w:tab w:val="left" w:pos="0"/>
        </w:tabs>
        <w:spacing w:line="360" w:lineRule="auto"/>
        <w:rPr>
          <w:rFonts w:ascii="宋体" w:hAnsi="宋体" w:cs="宋体"/>
          <w:b/>
          <w:bCs/>
        </w:rPr>
      </w:pPr>
      <w:r>
        <w:rPr>
          <w:rFonts w:hint="eastAsia" w:ascii="宋体" w:hAnsi="宋体" w:cs="宋体"/>
        </w:rPr>
        <w:t>（竞争性磋商文件中提到的相关证件、证书及材料及足够证明其具有承担本项目能力的或竞争性磋商文件中没有提到的相关资料）</w:t>
      </w:r>
    </w:p>
    <w:p w14:paraId="480D5491">
      <w:pPr>
        <w:widowControl w:val="0"/>
        <w:snapToGrid w:val="0"/>
        <w:spacing w:after="100" w:afterAutospacing="1" w:line="360" w:lineRule="auto"/>
        <w:jc w:val="center"/>
        <w:rPr>
          <w:rFonts w:ascii="宋体" w:hAnsi="宋体" w:cs="宋体"/>
          <w:b/>
          <w:bCs/>
        </w:rPr>
      </w:pPr>
    </w:p>
    <w:p w14:paraId="5E47D96C">
      <w:pPr>
        <w:widowControl w:val="0"/>
        <w:snapToGrid w:val="0"/>
        <w:spacing w:after="100" w:afterAutospacing="1" w:line="360" w:lineRule="auto"/>
        <w:rPr>
          <w:rFonts w:ascii="宋体" w:hAnsi="宋体" w:cs="宋体"/>
        </w:rPr>
      </w:pPr>
      <w:r>
        <w:rPr>
          <w:rFonts w:hint="eastAsia" w:ascii="宋体" w:hAnsi="宋体" w:cs="宋体"/>
        </w:rPr>
        <w:t> </w:t>
      </w:r>
    </w:p>
    <w:p w14:paraId="7F198CB1">
      <w:pPr>
        <w:widowControl w:val="0"/>
        <w:snapToGrid w:val="0"/>
        <w:spacing w:after="100" w:afterAutospacing="1" w:line="360" w:lineRule="auto"/>
        <w:rPr>
          <w:rFonts w:ascii="宋体" w:hAnsi="宋体" w:cs="宋体"/>
        </w:rPr>
      </w:pPr>
      <w:r>
        <w:rPr>
          <w:rFonts w:hint="eastAsia" w:ascii="宋体" w:hAnsi="宋体" w:cs="宋体"/>
        </w:rPr>
        <w:t> </w:t>
      </w:r>
    </w:p>
    <w:p w14:paraId="72AC8837">
      <w:pPr>
        <w:widowControl w:val="0"/>
        <w:snapToGrid w:val="0"/>
        <w:spacing w:after="100" w:afterAutospacing="1" w:line="360" w:lineRule="auto"/>
        <w:rPr>
          <w:rFonts w:ascii="宋体" w:hAnsi="宋体" w:cs="宋体"/>
        </w:rPr>
      </w:pPr>
      <w:r>
        <w:rPr>
          <w:rFonts w:hint="eastAsia" w:ascii="宋体" w:hAnsi="宋体" w:cs="宋体"/>
        </w:rPr>
        <w:t> </w:t>
      </w:r>
    </w:p>
    <w:p w14:paraId="3502DF6E">
      <w:pPr>
        <w:widowControl w:val="0"/>
        <w:spacing w:line="360" w:lineRule="auto"/>
        <w:rPr>
          <w:rFonts w:ascii="宋体" w:hAnsi="宋体" w:cs="宋体"/>
          <w:u w:val="single"/>
        </w:rPr>
      </w:pPr>
      <w:r>
        <w:rPr>
          <w:rFonts w:hint="eastAsia" w:ascii="宋体" w:hAnsi="宋体" w:cs="宋体"/>
        </w:rPr>
        <w:t>磋商申请人名称：</w:t>
      </w:r>
      <w:r>
        <w:rPr>
          <w:rFonts w:hint="eastAsia" w:ascii="宋体" w:hAnsi="宋体" w:cs="宋体"/>
          <w:u w:val="single"/>
        </w:rPr>
        <w:t xml:space="preserve">           （盖章）            </w:t>
      </w:r>
    </w:p>
    <w:p w14:paraId="231EFA60">
      <w:pPr>
        <w:widowControl w:val="0"/>
        <w:spacing w:line="360" w:lineRule="auto"/>
        <w:rPr>
          <w:rFonts w:ascii="宋体" w:hAnsi="宋体" w:cs="宋体"/>
          <w:u w:val="single"/>
        </w:rPr>
      </w:pPr>
    </w:p>
    <w:p w14:paraId="0846DD15">
      <w:pPr>
        <w:widowControl w:val="0"/>
        <w:spacing w:line="360" w:lineRule="auto"/>
        <w:rPr>
          <w:rFonts w:ascii="宋体" w:hAnsi="宋体" w:cs="宋体"/>
          <w:u w:val="single"/>
        </w:rPr>
      </w:pPr>
      <w:r>
        <w:rPr>
          <w:rFonts w:hint="eastAsia" w:ascii="宋体" w:hAnsi="宋体" w:cs="宋体"/>
        </w:rPr>
        <w:t>法定代表人或其委托代理人：</w:t>
      </w:r>
      <w:r>
        <w:rPr>
          <w:rFonts w:hint="eastAsia" w:ascii="宋体" w:hAnsi="宋体" w:cs="宋体"/>
          <w:u w:val="single"/>
        </w:rPr>
        <w:t xml:space="preserve">  （签字或盖章） </w:t>
      </w:r>
    </w:p>
    <w:p w14:paraId="7624FB0C">
      <w:pPr>
        <w:widowControl w:val="0"/>
        <w:spacing w:line="360" w:lineRule="auto"/>
        <w:rPr>
          <w:rFonts w:ascii="宋体" w:hAnsi="宋体" w:cs="宋体"/>
          <w:u w:val="single"/>
        </w:rPr>
      </w:pPr>
    </w:p>
    <w:p w14:paraId="60F438B4">
      <w:pPr>
        <w:widowControl w:val="0"/>
        <w:spacing w:line="360" w:lineRule="auto"/>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433AE58">
      <w:pPr>
        <w:pStyle w:val="46"/>
        <w:widowControl w:val="0"/>
        <w:spacing w:after="0" w:line="520" w:lineRule="exact"/>
        <w:ind w:firstLine="880"/>
        <w:jc w:val="center"/>
        <w:rPr>
          <w:b/>
          <w:bCs/>
          <w:sz w:val="30"/>
          <w:szCs w:val="30"/>
        </w:rPr>
      </w:pPr>
    </w:p>
    <w:p w14:paraId="57A00CF9">
      <w:pPr>
        <w:pStyle w:val="46"/>
        <w:widowControl w:val="0"/>
        <w:spacing w:after="0" w:line="520" w:lineRule="exact"/>
        <w:ind w:firstLine="880"/>
        <w:jc w:val="center"/>
        <w:rPr>
          <w:b/>
          <w:bCs/>
          <w:sz w:val="30"/>
          <w:szCs w:val="30"/>
        </w:rPr>
      </w:pPr>
    </w:p>
    <w:p w14:paraId="13579B8B">
      <w:pPr>
        <w:pStyle w:val="46"/>
        <w:widowControl w:val="0"/>
        <w:spacing w:after="0" w:line="520" w:lineRule="exact"/>
        <w:ind w:firstLine="880"/>
        <w:jc w:val="center"/>
        <w:rPr>
          <w:b/>
          <w:bCs/>
          <w:sz w:val="30"/>
          <w:szCs w:val="30"/>
        </w:rPr>
      </w:pPr>
    </w:p>
    <w:p w14:paraId="607C8521">
      <w:pPr>
        <w:pStyle w:val="46"/>
        <w:widowControl w:val="0"/>
        <w:spacing w:after="0" w:line="520" w:lineRule="exact"/>
        <w:ind w:firstLine="880"/>
        <w:jc w:val="center"/>
        <w:rPr>
          <w:b/>
          <w:bCs/>
          <w:sz w:val="30"/>
          <w:szCs w:val="30"/>
        </w:rPr>
      </w:pPr>
    </w:p>
    <w:p w14:paraId="28265394">
      <w:pPr>
        <w:pStyle w:val="46"/>
        <w:widowControl w:val="0"/>
        <w:spacing w:after="0" w:line="520" w:lineRule="exact"/>
        <w:ind w:firstLine="880"/>
        <w:jc w:val="center"/>
        <w:rPr>
          <w:b/>
          <w:bCs/>
          <w:sz w:val="30"/>
          <w:szCs w:val="30"/>
        </w:rPr>
      </w:pPr>
    </w:p>
    <w:p w14:paraId="3E1CCA7F">
      <w:pPr>
        <w:pStyle w:val="46"/>
        <w:widowControl w:val="0"/>
        <w:spacing w:after="0" w:line="520" w:lineRule="exact"/>
        <w:jc w:val="both"/>
        <w:rPr>
          <w:b/>
          <w:bCs/>
          <w:sz w:val="30"/>
          <w:szCs w:val="30"/>
        </w:rPr>
      </w:pPr>
    </w:p>
    <w:p w14:paraId="6F791026">
      <w:pPr>
        <w:pStyle w:val="46"/>
        <w:widowControl w:val="0"/>
        <w:spacing w:after="0" w:line="520" w:lineRule="exact"/>
        <w:ind w:firstLine="880"/>
        <w:jc w:val="center"/>
        <w:rPr>
          <w:b/>
          <w:bCs/>
          <w:sz w:val="30"/>
          <w:szCs w:val="30"/>
        </w:rPr>
      </w:pPr>
    </w:p>
    <w:p w14:paraId="3DB8F879">
      <w:pPr>
        <w:adjustRightInd w:val="0"/>
        <w:snapToGrid w:val="0"/>
        <w:spacing w:line="360" w:lineRule="auto"/>
        <w:jc w:val="both"/>
        <w:outlineLvl w:val="0"/>
        <w:rPr>
          <w:rFonts w:ascii="宋体" w:hAnsi="宋体"/>
          <w:b/>
          <w:sz w:val="44"/>
        </w:rPr>
      </w:pPr>
    </w:p>
    <w:p w14:paraId="15384A5A">
      <w:pPr>
        <w:adjustRightInd w:val="0"/>
        <w:snapToGrid w:val="0"/>
        <w:spacing w:line="360" w:lineRule="auto"/>
        <w:jc w:val="center"/>
        <w:outlineLvl w:val="0"/>
        <w:rPr>
          <w:rFonts w:hint="eastAsia" w:ascii="宋体" w:hAnsi="宋体"/>
          <w:b/>
          <w:sz w:val="44"/>
        </w:rPr>
      </w:pPr>
      <w:bookmarkStart w:id="164" w:name="_Toc15344"/>
    </w:p>
    <w:p w14:paraId="46382539">
      <w:pPr>
        <w:adjustRightInd w:val="0"/>
        <w:snapToGrid w:val="0"/>
        <w:spacing w:line="360" w:lineRule="auto"/>
        <w:jc w:val="center"/>
        <w:outlineLvl w:val="0"/>
        <w:rPr>
          <w:rFonts w:hint="eastAsia" w:ascii="宋体" w:hAnsi="宋体"/>
          <w:b/>
          <w:sz w:val="44"/>
        </w:rPr>
      </w:pPr>
    </w:p>
    <w:p w14:paraId="1E2E45BF">
      <w:pPr>
        <w:adjustRightInd w:val="0"/>
        <w:snapToGrid w:val="0"/>
        <w:spacing w:line="360" w:lineRule="auto"/>
        <w:jc w:val="center"/>
        <w:outlineLvl w:val="0"/>
        <w:rPr>
          <w:rFonts w:hint="eastAsia" w:ascii="宋体" w:hAnsi="宋体"/>
          <w:b/>
          <w:sz w:val="44"/>
        </w:rPr>
      </w:pPr>
    </w:p>
    <w:p w14:paraId="55548DB0">
      <w:pPr>
        <w:adjustRightInd w:val="0"/>
        <w:snapToGrid w:val="0"/>
        <w:spacing w:line="360" w:lineRule="auto"/>
        <w:jc w:val="center"/>
        <w:outlineLvl w:val="0"/>
        <w:rPr>
          <w:rFonts w:hint="eastAsia" w:ascii="宋体" w:hAnsi="宋体"/>
          <w:b/>
          <w:sz w:val="44"/>
        </w:rPr>
      </w:pPr>
    </w:p>
    <w:p w14:paraId="2AA407F1">
      <w:pPr>
        <w:adjustRightInd w:val="0"/>
        <w:snapToGrid w:val="0"/>
        <w:spacing w:line="360" w:lineRule="auto"/>
        <w:jc w:val="center"/>
        <w:outlineLvl w:val="0"/>
        <w:rPr>
          <w:rFonts w:hint="eastAsia" w:ascii="宋体" w:hAnsi="宋体"/>
          <w:b/>
          <w:sz w:val="44"/>
        </w:rPr>
      </w:pPr>
    </w:p>
    <w:p w14:paraId="1AF82DE8">
      <w:pPr>
        <w:adjustRightInd w:val="0"/>
        <w:snapToGrid w:val="0"/>
        <w:spacing w:line="360" w:lineRule="auto"/>
        <w:jc w:val="center"/>
        <w:outlineLvl w:val="0"/>
        <w:rPr>
          <w:rFonts w:hint="eastAsia" w:ascii="宋体" w:hAnsi="宋体"/>
          <w:b/>
          <w:sz w:val="44"/>
        </w:rPr>
      </w:pPr>
    </w:p>
    <w:p w14:paraId="37525ECB">
      <w:pPr>
        <w:adjustRightInd w:val="0"/>
        <w:snapToGrid w:val="0"/>
        <w:spacing w:line="360" w:lineRule="auto"/>
        <w:jc w:val="center"/>
        <w:outlineLvl w:val="0"/>
        <w:rPr>
          <w:rFonts w:hint="eastAsia" w:ascii="宋体" w:hAnsi="宋体"/>
          <w:b/>
          <w:sz w:val="44"/>
        </w:rPr>
      </w:pPr>
    </w:p>
    <w:p w14:paraId="46DC95EF">
      <w:pPr>
        <w:adjustRightInd w:val="0"/>
        <w:snapToGrid w:val="0"/>
        <w:spacing w:line="360" w:lineRule="auto"/>
        <w:jc w:val="center"/>
        <w:outlineLvl w:val="0"/>
        <w:rPr>
          <w:rFonts w:ascii="宋体" w:hAnsi="宋体"/>
          <w:b/>
          <w:sz w:val="44"/>
        </w:rPr>
      </w:pPr>
      <w:r>
        <w:rPr>
          <w:rFonts w:hint="eastAsia" w:ascii="宋体" w:hAnsi="宋体"/>
          <w:b/>
          <w:sz w:val="44"/>
        </w:rPr>
        <w:t>第五章  合同条款及格式</w:t>
      </w:r>
      <w:bookmarkEnd w:id="164"/>
    </w:p>
    <w:p w14:paraId="2FB9B002">
      <w:pPr>
        <w:widowControl w:val="0"/>
        <w:topLinePunct/>
        <w:jc w:val="center"/>
        <w:rPr>
          <w:rFonts w:ascii="宋体" w:hAnsi="宋体" w:cs="宋体"/>
          <w:b/>
          <w:snapToGrid w:val="0"/>
          <w:sz w:val="28"/>
          <w:szCs w:val="20"/>
        </w:rPr>
      </w:pPr>
      <w:r>
        <w:rPr>
          <w:rFonts w:hint="eastAsia" w:ascii="宋体" w:hAnsi="宋体" w:cs="宋体"/>
          <w:b/>
          <w:snapToGrid w:val="0"/>
          <w:sz w:val="28"/>
          <w:szCs w:val="20"/>
        </w:rPr>
        <w:t>（仅供参考，具体内容以签订施工合同时双方约定为准）</w:t>
      </w:r>
    </w:p>
    <w:p w14:paraId="6B08AF0D">
      <w:pPr>
        <w:adjustRightInd w:val="0"/>
        <w:snapToGrid w:val="0"/>
        <w:rPr>
          <w:rFonts w:ascii="宋体" w:hAnsi="宋体"/>
          <w:snapToGrid w:val="0"/>
          <w:szCs w:val="21"/>
        </w:rPr>
      </w:pPr>
    </w:p>
    <w:p w14:paraId="500F6E34">
      <w:pPr>
        <w:pStyle w:val="68"/>
        <w:rPr>
          <w:rFonts w:hint="default" w:ascii="宋体" w:hAnsi="宋体"/>
          <w:snapToGrid w:val="0"/>
          <w:kern w:val="0"/>
          <w:szCs w:val="21"/>
        </w:rPr>
      </w:pPr>
    </w:p>
    <w:p w14:paraId="35F61A22">
      <w:pPr>
        <w:pStyle w:val="68"/>
        <w:rPr>
          <w:rFonts w:hint="default" w:ascii="宋体" w:hAnsi="宋体"/>
          <w:snapToGrid w:val="0"/>
          <w:kern w:val="0"/>
          <w:szCs w:val="21"/>
        </w:rPr>
      </w:pPr>
    </w:p>
    <w:p w14:paraId="42B8E67C">
      <w:pPr>
        <w:pStyle w:val="68"/>
        <w:rPr>
          <w:rFonts w:hint="default" w:ascii="宋体" w:hAnsi="宋体"/>
          <w:snapToGrid w:val="0"/>
          <w:kern w:val="0"/>
          <w:szCs w:val="21"/>
        </w:rPr>
      </w:pPr>
    </w:p>
    <w:p w14:paraId="028AE9B8">
      <w:pPr>
        <w:pStyle w:val="68"/>
        <w:rPr>
          <w:rFonts w:hint="default" w:ascii="宋体" w:hAnsi="宋体"/>
          <w:snapToGrid w:val="0"/>
          <w:kern w:val="0"/>
          <w:szCs w:val="21"/>
        </w:rPr>
      </w:pPr>
    </w:p>
    <w:p w14:paraId="5999E830">
      <w:pPr>
        <w:pStyle w:val="68"/>
        <w:rPr>
          <w:rFonts w:hint="default" w:ascii="宋体" w:hAnsi="宋体"/>
          <w:snapToGrid w:val="0"/>
          <w:kern w:val="0"/>
          <w:szCs w:val="21"/>
        </w:rPr>
      </w:pPr>
    </w:p>
    <w:p w14:paraId="45EDF928">
      <w:pPr>
        <w:pStyle w:val="68"/>
        <w:rPr>
          <w:rFonts w:hint="default" w:ascii="宋体" w:hAnsi="宋体"/>
          <w:snapToGrid w:val="0"/>
          <w:kern w:val="0"/>
          <w:szCs w:val="21"/>
        </w:rPr>
      </w:pPr>
    </w:p>
    <w:p w14:paraId="40FC0D15">
      <w:pPr>
        <w:pStyle w:val="68"/>
        <w:rPr>
          <w:rFonts w:hint="default" w:ascii="宋体" w:hAnsi="宋体"/>
          <w:snapToGrid w:val="0"/>
          <w:kern w:val="0"/>
          <w:szCs w:val="21"/>
        </w:rPr>
      </w:pPr>
    </w:p>
    <w:p w14:paraId="4F0D8DD4">
      <w:pPr>
        <w:pStyle w:val="68"/>
        <w:rPr>
          <w:rFonts w:hint="default" w:ascii="宋体" w:hAnsi="宋体"/>
          <w:snapToGrid w:val="0"/>
          <w:kern w:val="0"/>
          <w:szCs w:val="21"/>
        </w:rPr>
      </w:pPr>
    </w:p>
    <w:p w14:paraId="141DEE9B">
      <w:pPr>
        <w:pStyle w:val="68"/>
        <w:rPr>
          <w:rFonts w:hint="default" w:ascii="宋体" w:hAnsi="宋体"/>
          <w:snapToGrid w:val="0"/>
          <w:kern w:val="0"/>
          <w:szCs w:val="21"/>
        </w:rPr>
      </w:pPr>
    </w:p>
    <w:p w14:paraId="68782C48">
      <w:pPr>
        <w:pStyle w:val="68"/>
        <w:rPr>
          <w:rFonts w:hint="default" w:ascii="宋体" w:hAnsi="宋体"/>
          <w:snapToGrid w:val="0"/>
          <w:kern w:val="0"/>
          <w:szCs w:val="21"/>
        </w:rPr>
      </w:pPr>
    </w:p>
    <w:p w14:paraId="6357D2F1">
      <w:pPr>
        <w:pStyle w:val="68"/>
        <w:rPr>
          <w:rFonts w:hint="default" w:ascii="宋体" w:hAnsi="宋体"/>
          <w:snapToGrid w:val="0"/>
          <w:kern w:val="0"/>
          <w:szCs w:val="21"/>
        </w:rPr>
      </w:pPr>
    </w:p>
    <w:p w14:paraId="4BB49F59">
      <w:pPr>
        <w:pStyle w:val="68"/>
        <w:rPr>
          <w:rFonts w:hint="default" w:ascii="宋体" w:hAnsi="宋体"/>
          <w:snapToGrid w:val="0"/>
          <w:kern w:val="0"/>
          <w:szCs w:val="21"/>
        </w:rPr>
      </w:pPr>
    </w:p>
    <w:p w14:paraId="765140E6">
      <w:pPr>
        <w:pStyle w:val="68"/>
        <w:rPr>
          <w:rFonts w:hint="default" w:ascii="宋体" w:hAnsi="宋体"/>
          <w:snapToGrid w:val="0"/>
          <w:kern w:val="0"/>
          <w:szCs w:val="21"/>
        </w:rPr>
      </w:pPr>
    </w:p>
    <w:p w14:paraId="42558A82">
      <w:pPr>
        <w:adjustRightInd w:val="0"/>
        <w:snapToGrid w:val="0"/>
        <w:rPr>
          <w:rFonts w:ascii="宋体" w:hAnsi="宋体"/>
          <w:snapToGrid w:val="0"/>
          <w:szCs w:val="21"/>
        </w:rPr>
      </w:pPr>
    </w:p>
    <w:p w14:paraId="7918AAED">
      <w:pPr>
        <w:adjustRightInd w:val="0"/>
        <w:snapToGrid w:val="0"/>
        <w:spacing w:line="360" w:lineRule="auto"/>
        <w:outlineLvl w:val="1"/>
        <w:rPr>
          <w:rFonts w:ascii="黑体" w:eastAsia="黑体"/>
          <w:b/>
          <w:szCs w:val="21"/>
        </w:rPr>
      </w:pPr>
      <w:bookmarkStart w:id="165" w:name="_Toc9027"/>
      <w:r>
        <w:rPr>
          <w:rFonts w:hint="eastAsia" w:ascii="黑体" w:eastAsia="黑体"/>
          <w:szCs w:val="21"/>
        </w:rPr>
        <w:t>第一部分 合同协议书</w:t>
      </w:r>
      <w:bookmarkEnd w:id="165"/>
    </w:p>
    <w:p w14:paraId="50B63A79">
      <w:pPr>
        <w:spacing w:line="360" w:lineRule="auto"/>
        <w:rPr>
          <w:rFonts w:eastAsia="仿宋_GB2312"/>
          <w:b/>
          <w:color w:val="000000"/>
          <w:szCs w:val="21"/>
          <w:u w:val="single"/>
        </w:rPr>
      </w:pPr>
      <w:r>
        <w:rPr>
          <w:rFonts w:hint="eastAsia" w:eastAsia="仿宋_GB2312"/>
          <w:b/>
          <w:color w:val="000000"/>
          <w:szCs w:val="21"/>
        </w:rPr>
        <w:t>发包人（全称）：</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input658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p>
    <w:p w14:paraId="2571FFAA">
      <w:pPr>
        <w:spacing w:line="360" w:lineRule="auto"/>
        <w:rPr>
          <w:rFonts w:eastAsia="仿宋_GB2312"/>
          <w:b/>
          <w:color w:val="000000"/>
          <w:szCs w:val="21"/>
          <w:u w:val="single"/>
        </w:rPr>
      </w:pPr>
      <w:r>
        <w:rPr>
          <w:rFonts w:hint="eastAsia" w:eastAsia="仿宋_GB2312"/>
          <w:b/>
          <w:color w:val="000000"/>
          <w:szCs w:val="21"/>
        </w:rPr>
        <w:t>承包人（全称）：</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input659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p>
    <w:p w14:paraId="754F317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根据《中华人民共和国民法典》、《中华人民共和国建筑法》及有关法律规定，遵循平等、自愿、公平和诚实信用的原则，双方就</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input660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工程施工及有关事项协商一致，共同达成如下协议：</w:t>
      </w:r>
    </w:p>
    <w:p w14:paraId="3EA42E60">
      <w:pPr>
        <w:adjustRightInd w:val="0"/>
        <w:snapToGrid w:val="0"/>
        <w:spacing w:line="360" w:lineRule="auto"/>
        <w:outlineLvl w:val="2"/>
        <w:rPr>
          <w:rFonts w:ascii="宋体" w:hAnsi="宋体"/>
          <w:bCs/>
          <w:sz w:val="32"/>
          <w:szCs w:val="32"/>
        </w:rPr>
      </w:pPr>
      <w:r>
        <w:rPr>
          <w:rFonts w:hint="eastAsia" w:ascii="宋体" w:hAnsi="宋体"/>
          <w:b/>
          <w:sz w:val="32"/>
          <w:szCs w:val="32"/>
        </w:rPr>
        <w:t xml:space="preserve">    </w:t>
      </w:r>
      <w:bookmarkStart w:id="166" w:name="_Toc2579"/>
      <w:r>
        <w:rPr>
          <w:rFonts w:hint="eastAsia" w:ascii="宋体" w:hAnsi="宋体"/>
          <w:b/>
          <w:sz w:val="32"/>
          <w:szCs w:val="32"/>
        </w:rPr>
        <w:t>一、工程概况</w:t>
      </w:r>
      <w:bookmarkEnd w:id="166"/>
    </w:p>
    <w:p w14:paraId="40EAB7E3">
      <w:pPr>
        <w:spacing w:line="360" w:lineRule="auto"/>
        <w:ind w:firstLine="470" w:firstLineChars="196"/>
        <w:rPr>
          <w:rFonts w:asciiTheme="minorEastAsia" w:hAnsiTheme="minorEastAsia" w:eastAsiaTheme="minorEastAsia"/>
          <w:color w:val="000000"/>
          <w:szCs w:val="21"/>
          <w:u w:val="single"/>
        </w:rPr>
      </w:pPr>
      <w:r>
        <w:rPr>
          <w:rFonts w:asciiTheme="minorEastAsia" w:hAnsiTheme="minorEastAsia" w:eastAsiaTheme="minorEastAsia"/>
          <w:bCs/>
          <w:color w:val="000000"/>
          <w:szCs w:val="21"/>
        </w:rPr>
        <w:t>1.</w:t>
      </w:r>
      <w:r>
        <w:rPr>
          <w:rFonts w:hint="eastAsia" w:asciiTheme="minorEastAsia" w:hAnsiTheme="minorEastAsia" w:eastAsiaTheme="minorEastAsia"/>
          <w:bCs/>
          <w:color w:val="000000"/>
          <w:szCs w:val="21"/>
        </w:rPr>
        <w:t>工程名称</w:t>
      </w:r>
      <w:r>
        <w:rPr>
          <w:rFonts w:hint="eastAsia" w:asciiTheme="minorEastAsia" w:hAnsiTheme="minorEastAsia" w:eastAsiaTheme="minorEastAsia"/>
          <w:color w:val="000000"/>
          <w:szCs w:val="21"/>
        </w:rPr>
        <w:t>：</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input661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w:t>
      </w:r>
    </w:p>
    <w:p w14:paraId="10DA8E01">
      <w:pPr>
        <w:spacing w:line="360" w:lineRule="auto"/>
        <w:ind w:firstLine="470" w:firstLineChars="196"/>
        <w:rPr>
          <w:rFonts w:asciiTheme="minorEastAsia" w:hAnsiTheme="minorEastAsia" w:eastAsiaTheme="minorEastAsia"/>
          <w:bCs/>
          <w:color w:val="000000"/>
          <w:szCs w:val="21"/>
        </w:rPr>
      </w:pPr>
      <w:r>
        <w:rPr>
          <w:rFonts w:asciiTheme="minorEastAsia" w:hAnsiTheme="minorEastAsia" w:eastAsiaTheme="minorEastAsia"/>
          <w:bCs/>
          <w:color w:val="000000"/>
          <w:szCs w:val="21"/>
        </w:rPr>
        <w:t>2.</w:t>
      </w:r>
      <w:r>
        <w:rPr>
          <w:rFonts w:hint="eastAsia" w:asciiTheme="minorEastAsia" w:hAnsiTheme="minorEastAsia" w:eastAsiaTheme="minorEastAsia"/>
          <w:bCs/>
          <w:color w:val="000000"/>
          <w:szCs w:val="21"/>
        </w:rPr>
        <w:t>工程地点：</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input662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w:t>
      </w:r>
    </w:p>
    <w:p w14:paraId="6985F330">
      <w:pPr>
        <w:spacing w:line="360" w:lineRule="auto"/>
        <w:ind w:firstLine="470" w:firstLineChars="196"/>
        <w:rPr>
          <w:rFonts w:asciiTheme="minorEastAsia" w:hAnsiTheme="minorEastAsia" w:eastAsiaTheme="minorEastAsia"/>
          <w:bCs/>
          <w:color w:val="000000"/>
          <w:szCs w:val="21"/>
        </w:rPr>
      </w:pPr>
      <w:r>
        <w:rPr>
          <w:rFonts w:asciiTheme="minorEastAsia" w:hAnsiTheme="minorEastAsia" w:eastAsiaTheme="minorEastAsia"/>
          <w:bCs/>
          <w:color w:val="000000"/>
          <w:szCs w:val="21"/>
        </w:rPr>
        <w:t>3.</w:t>
      </w:r>
      <w:r>
        <w:rPr>
          <w:rFonts w:hint="eastAsia" w:asciiTheme="minorEastAsia" w:hAnsiTheme="minorEastAsia" w:eastAsiaTheme="minorEastAsia"/>
          <w:bCs/>
          <w:color w:val="000000"/>
          <w:szCs w:val="21"/>
        </w:rPr>
        <w:t>工程立项批准文号：</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input663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bCs/>
          <w:color w:val="000000"/>
          <w:szCs w:val="21"/>
        </w:rPr>
        <w:t>。</w:t>
      </w:r>
    </w:p>
    <w:p w14:paraId="613F6575">
      <w:pPr>
        <w:spacing w:line="360" w:lineRule="auto"/>
        <w:ind w:firstLine="470" w:firstLineChars="196"/>
        <w:rPr>
          <w:rFonts w:asciiTheme="minorEastAsia" w:hAnsiTheme="minorEastAsia" w:eastAsiaTheme="minorEastAsia"/>
          <w:bCs/>
          <w:color w:val="000000"/>
          <w:szCs w:val="21"/>
        </w:rPr>
      </w:pPr>
      <w:r>
        <w:rPr>
          <w:rFonts w:asciiTheme="minorEastAsia" w:hAnsiTheme="minorEastAsia" w:eastAsiaTheme="minorEastAsia"/>
          <w:bCs/>
          <w:color w:val="000000"/>
          <w:szCs w:val="21"/>
        </w:rPr>
        <w:t>4.</w:t>
      </w:r>
      <w:r>
        <w:rPr>
          <w:rFonts w:hint="eastAsia" w:asciiTheme="minorEastAsia" w:hAnsiTheme="minorEastAsia" w:eastAsiaTheme="minorEastAsia"/>
          <w:bCs/>
          <w:color w:val="000000"/>
          <w:szCs w:val="21"/>
        </w:rPr>
        <w:t>资金来源：</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input664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bCs/>
          <w:color w:val="000000"/>
          <w:szCs w:val="21"/>
        </w:rPr>
        <w:t>。</w:t>
      </w:r>
    </w:p>
    <w:p w14:paraId="17D745D5">
      <w:pPr>
        <w:spacing w:line="360" w:lineRule="auto"/>
        <w:ind w:firstLine="470" w:firstLineChars="196"/>
        <w:rPr>
          <w:rFonts w:asciiTheme="minorEastAsia" w:hAnsiTheme="minorEastAsia" w:eastAsiaTheme="minorEastAsia"/>
          <w:bCs/>
          <w:color w:val="000000"/>
          <w:szCs w:val="21"/>
        </w:rPr>
      </w:pPr>
      <w:r>
        <w:rPr>
          <w:rFonts w:asciiTheme="minorEastAsia" w:hAnsiTheme="minorEastAsia" w:eastAsiaTheme="minorEastAsia"/>
          <w:bCs/>
          <w:color w:val="000000"/>
          <w:szCs w:val="21"/>
        </w:rPr>
        <w:t>5.</w:t>
      </w:r>
      <w:r>
        <w:rPr>
          <w:rFonts w:hint="eastAsia" w:asciiTheme="minorEastAsia" w:hAnsiTheme="minorEastAsia" w:eastAsiaTheme="minorEastAsia"/>
          <w:bCs/>
          <w:color w:val="000000"/>
          <w:szCs w:val="21"/>
        </w:rPr>
        <w:t>工程内容：</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input665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bCs/>
          <w:color w:val="000000"/>
          <w:szCs w:val="21"/>
        </w:rPr>
        <w:t>。</w:t>
      </w:r>
    </w:p>
    <w:p w14:paraId="45B837A2">
      <w:pPr>
        <w:spacing w:line="360" w:lineRule="auto"/>
        <w:ind w:firstLine="470" w:firstLineChars="196"/>
        <w:rPr>
          <w:rFonts w:asciiTheme="minorEastAsia" w:hAnsiTheme="minorEastAsia" w:eastAsiaTheme="minorEastAsia"/>
          <w:bCs/>
          <w:color w:val="000000"/>
          <w:szCs w:val="21"/>
        </w:rPr>
      </w:pPr>
      <w:r>
        <w:rPr>
          <w:rFonts w:hint="eastAsia" w:asciiTheme="minorEastAsia" w:hAnsiTheme="minorEastAsia" w:eastAsiaTheme="minorEastAsia"/>
          <w:color w:val="000000"/>
          <w:szCs w:val="21"/>
        </w:rPr>
        <w:t>群体工程应附《承包人承揽工程项目一览表》（附件</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w:t>
      </w:r>
    </w:p>
    <w:p w14:paraId="66BB579C">
      <w:pPr>
        <w:spacing w:line="360" w:lineRule="auto"/>
        <w:ind w:firstLine="470" w:firstLineChars="196"/>
        <w:rPr>
          <w:rFonts w:asciiTheme="minorEastAsia" w:hAnsiTheme="minorEastAsia" w:eastAsiaTheme="minorEastAsia"/>
          <w:bCs/>
          <w:color w:val="000000"/>
          <w:szCs w:val="21"/>
        </w:rPr>
      </w:pPr>
      <w:r>
        <w:rPr>
          <w:rFonts w:asciiTheme="minorEastAsia" w:hAnsiTheme="minorEastAsia" w:eastAsiaTheme="minorEastAsia"/>
          <w:bCs/>
          <w:color w:val="000000"/>
          <w:szCs w:val="21"/>
        </w:rPr>
        <w:t>6.</w:t>
      </w:r>
      <w:r>
        <w:rPr>
          <w:rFonts w:hint="eastAsia" w:asciiTheme="minorEastAsia" w:hAnsiTheme="minorEastAsia" w:eastAsiaTheme="minorEastAsia"/>
          <w:bCs/>
          <w:color w:val="000000"/>
          <w:szCs w:val="21"/>
        </w:rPr>
        <w:t>工程承包范围：</w:t>
      </w:r>
    </w:p>
    <w:p w14:paraId="220BD214">
      <w:pPr>
        <w:spacing w:line="360" w:lineRule="auto"/>
        <w:ind w:firstLine="482" w:firstLineChars="200"/>
        <w:rPr>
          <w:rFonts w:asciiTheme="minorEastAsia" w:hAnsiTheme="minorEastAsia" w:eastAsiaTheme="minorEastAsia"/>
          <w:color w:val="000000"/>
          <w:szCs w:val="21"/>
        </w:rPr>
      </w:pP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input666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w:t>
      </w:r>
    </w:p>
    <w:p w14:paraId="62B858EA">
      <w:pPr>
        <w:adjustRightInd w:val="0"/>
        <w:snapToGrid w:val="0"/>
        <w:spacing w:line="360" w:lineRule="auto"/>
        <w:outlineLvl w:val="2"/>
        <w:rPr>
          <w:rFonts w:ascii="宋体" w:hAnsi="宋体"/>
          <w:b/>
          <w:sz w:val="32"/>
          <w:szCs w:val="32"/>
        </w:rPr>
      </w:pPr>
      <w:r>
        <w:rPr>
          <w:rFonts w:hint="eastAsia" w:ascii="宋体" w:hAnsi="宋体"/>
          <w:b/>
          <w:sz w:val="32"/>
          <w:szCs w:val="32"/>
        </w:rPr>
        <w:t xml:space="preserve">   </w:t>
      </w:r>
      <w:bookmarkStart w:id="167" w:name="_Toc16701"/>
      <w:r>
        <w:rPr>
          <w:rFonts w:hint="eastAsia" w:ascii="宋体" w:hAnsi="宋体"/>
          <w:b/>
          <w:sz w:val="32"/>
          <w:szCs w:val="32"/>
        </w:rPr>
        <w:t>二、合同工期</w:t>
      </w:r>
      <w:bookmarkEnd w:id="167"/>
    </w:p>
    <w:p w14:paraId="604B739A">
      <w:pPr>
        <w:spacing w:line="360" w:lineRule="auto"/>
        <w:ind w:firstLine="45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计划开工日期：</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input667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p>
    <w:p w14:paraId="5D58470F">
      <w:pPr>
        <w:spacing w:line="360" w:lineRule="auto"/>
        <w:ind w:firstLine="45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计划竣工日期：</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input668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p>
    <w:p w14:paraId="4ADE0177">
      <w:pPr>
        <w:spacing w:line="360" w:lineRule="auto"/>
        <w:ind w:firstLine="45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工期总日历天数：</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input669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天。工期总日历天数与根据前述计划开竣工日期计算的工期天数不一致的，以工期总日历天数为准。</w:t>
      </w:r>
    </w:p>
    <w:p w14:paraId="4D9E1D9C">
      <w:pPr>
        <w:adjustRightInd w:val="0"/>
        <w:snapToGrid w:val="0"/>
        <w:spacing w:line="360" w:lineRule="auto"/>
        <w:outlineLvl w:val="2"/>
        <w:rPr>
          <w:rFonts w:ascii="宋体" w:hAnsi="宋体"/>
          <w:bCs/>
          <w:sz w:val="32"/>
          <w:szCs w:val="32"/>
        </w:rPr>
      </w:pPr>
      <w:r>
        <w:rPr>
          <w:rFonts w:hint="eastAsia" w:ascii="宋体" w:hAnsi="宋体"/>
          <w:b/>
          <w:sz w:val="32"/>
          <w:szCs w:val="32"/>
        </w:rPr>
        <w:t xml:space="preserve">    </w:t>
      </w:r>
      <w:bookmarkStart w:id="168" w:name="_Toc21284"/>
      <w:r>
        <w:rPr>
          <w:rFonts w:hint="eastAsia" w:ascii="宋体" w:hAnsi="宋体"/>
          <w:b/>
          <w:sz w:val="32"/>
          <w:szCs w:val="32"/>
        </w:rPr>
        <w:t>三、质量标准</w:t>
      </w:r>
      <w:bookmarkEnd w:id="168"/>
    </w:p>
    <w:p w14:paraId="223B3FF5">
      <w:pPr>
        <w:spacing w:line="360" w:lineRule="auto"/>
        <w:ind w:firstLine="459"/>
        <w:rPr>
          <w:rFonts w:eastAsia="仿宋_GB2312"/>
          <w:color w:val="000000"/>
          <w:szCs w:val="21"/>
        </w:rPr>
      </w:pPr>
      <w:r>
        <w:rPr>
          <w:rFonts w:hint="eastAsia" w:eastAsia="仿宋_GB2312"/>
          <w:color w:val="000000"/>
          <w:szCs w:val="21"/>
        </w:rPr>
        <w:t>工程质量符合</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input670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eastAsia="仿宋_GB2312"/>
          <w:color w:val="000000"/>
          <w:szCs w:val="21"/>
        </w:rPr>
        <w:t>标准。</w:t>
      </w:r>
    </w:p>
    <w:p w14:paraId="7A4EC070">
      <w:pPr>
        <w:adjustRightInd w:val="0"/>
        <w:snapToGrid w:val="0"/>
        <w:spacing w:line="360" w:lineRule="auto"/>
        <w:outlineLvl w:val="2"/>
        <w:rPr>
          <w:color w:val="000000"/>
          <w:szCs w:val="21"/>
        </w:rPr>
      </w:pPr>
      <w:r>
        <w:rPr>
          <w:rFonts w:hint="eastAsia" w:ascii="宋体" w:hAnsi="宋体"/>
          <w:b/>
          <w:sz w:val="32"/>
          <w:szCs w:val="32"/>
        </w:rPr>
        <w:t xml:space="preserve">    </w:t>
      </w:r>
      <w:bookmarkStart w:id="169" w:name="_Toc18605"/>
      <w:r>
        <w:rPr>
          <w:rFonts w:hint="eastAsia" w:ascii="宋体" w:hAnsi="宋体"/>
          <w:b/>
          <w:sz w:val="32"/>
          <w:szCs w:val="32"/>
        </w:rPr>
        <w:t>四、签约合同价与合同价格形式</w:t>
      </w:r>
      <w:bookmarkEnd w:id="169"/>
      <w:r>
        <w:rPr>
          <w:rFonts w:eastAsia="黑体"/>
          <w:b/>
          <w:color w:val="000000"/>
          <w:szCs w:val="21"/>
        </w:rPr>
        <w:tab/>
      </w:r>
    </w:p>
    <w:p w14:paraId="077CEF8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签约合同价为：</w:t>
      </w:r>
    </w:p>
    <w:p w14:paraId="342BEA17">
      <w:pPr>
        <w:spacing w:line="360" w:lineRule="auto"/>
        <w:ind w:firstLine="600" w:firstLineChars="2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人民币（大写）</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input671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 xml:space="preserve"> </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input672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元</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w:t>
      </w:r>
    </w:p>
    <w:p w14:paraId="125DF14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其中：</w:t>
      </w:r>
    </w:p>
    <w:p w14:paraId="2EA6F90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）安全文明施工费：</w:t>
      </w:r>
    </w:p>
    <w:p w14:paraId="1ADB221B">
      <w:pPr>
        <w:spacing w:line="360" w:lineRule="auto"/>
        <w:ind w:firstLine="1080" w:firstLineChars="4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人民币（大写）</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input673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 xml:space="preserve"> </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input674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元</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w:t>
      </w:r>
    </w:p>
    <w:p w14:paraId="032A6E2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）材料和工程设备暂估价金额：</w:t>
      </w:r>
    </w:p>
    <w:p w14:paraId="65A8B5D7">
      <w:pPr>
        <w:spacing w:line="360" w:lineRule="auto"/>
        <w:ind w:firstLine="1080" w:firstLineChars="4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人民币（大写）</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input675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 xml:space="preserve"> </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input676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元</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w:t>
      </w:r>
    </w:p>
    <w:p w14:paraId="5CF70C2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）专业工程暂估价金额：</w:t>
      </w:r>
    </w:p>
    <w:p w14:paraId="0B16E2C4">
      <w:pPr>
        <w:spacing w:line="360" w:lineRule="auto"/>
        <w:ind w:firstLine="1080" w:firstLineChars="4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人民币（大写）</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input677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 xml:space="preserve"> </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input678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元</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w:t>
      </w:r>
    </w:p>
    <w:p w14:paraId="144D761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）暂列金额：</w:t>
      </w:r>
    </w:p>
    <w:p w14:paraId="6C6D4FBF">
      <w:pPr>
        <w:spacing w:line="360" w:lineRule="auto"/>
        <w:ind w:firstLine="1080" w:firstLineChars="4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人民币（大写）</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input679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 xml:space="preserve"> </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input680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元</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w:t>
      </w:r>
    </w:p>
    <w:p w14:paraId="421EFE78">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合同价格形式：</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input681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color w:val="000000"/>
          <w:szCs w:val="21"/>
        </w:rPr>
        <w:t>。</w:t>
      </w:r>
    </w:p>
    <w:p w14:paraId="418E9A9F">
      <w:pPr>
        <w:adjustRightInd w:val="0"/>
        <w:snapToGrid w:val="0"/>
        <w:spacing w:line="360" w:lineRule="auto"/>
        <w:outlineLvl w:val="2"/>
        <w:rPr>
          <w:rFonts w:ascii="宋体" w:hAnsi="宋体"/>
          <w:b/>
          <w:sz w:val="32"/>
          <w:szCs w:val="32"/>
        </w:rPr>
      </w:pPr>
      <w:r>
        <w:rPr>
          <w:rFonts w:hint="eastAsia" w:ascii="宋体" w:hAnsi="宋体"/>
          <w:b/>
          <w:sz w:val="32"/>
          <w:szCs w:val="32"/>
        </w:rPr>
        <w:t xml:space="preserve">    </w:t>
      </w:r>
      <w:bookmarkStart w:id="170" w:name="_Toc12806"/>
      <w:r>
        <w:rPr>
          <w:rFonts w:hint="eastAsia" w:ascii="宋体" w:hAnsi="宋体"/>
          <w:b/>
          <w:sz w:val="32"/>
          <w:szCs w:val="32"/>
        </w:rPr>
        <w:t>五、项目经理</w:t>
      </w:r>
      <w:bookmarkEnd w:id="170"/>
    </w:p>
    <w:p w14:paraId="03759F2E">
      <w:pPr>
        <w:spacing w:line="360" w:lineRule="auto"/>
        <w:ind w:firstLine="480" w:firstLineChars="200"/>
        <w:rPr>
          <w:rFonts w:eastAsia="仿宋_GB2312"/>
          <w:color w:val="000000"/>
          <w:szCs w:val="21"/>
        </w:rPr>
      </w:pPr>
      <w:r>
        <w:rPr>
          <w:rFonts w:hint="eastAsia" w:eastAsia="仿宋_GB2312"/>
          <w:color w:val="000000"/>
          <w:szCs w:val="21"/>
        </w:rPr>
        <w:t>承包人项目经理：</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input682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eastAsia="仿宋_GB2312"/>
          <w:color w:val="000000"/>
          <w:szCs w:val="21"/>
        </w:rPr>
        <w:t>。</w:t>
      </w:r>
    </w:p>
    <w:p w14:paraId="3DB2DC73">
      <w:pPr>
        <w:adjustRightInd w:val="0"/>
        <w:snapToGrid w:val="0"/>
        <w:spacing w:line="360" w:lineRule="auto"/>
        <w:outlineLvl w:val="2"/>
        <w:rPr>
          <w:rFonts w:ascii="宋体" w:hAnsi="宋体"/>
          <w:bCs/>
          <w:sz w:val="32"/>
          <w:szCs w:val="32"/>
        </w:rPr>
      </w:pPr>
      <w:r>
        <w:rPr>
          <w:rFonts w:hint="eastAsia" w:ascii="宋体" w:hAnsi="宋体"/>
          <w:b/>
          <w:sz w:val="32"/>
          <w:szCs w:val="32"/>
        </w:rPr>
        <w:t xml:space="preserve">    </w:t>
      </w:r>
      <w:bookmarkStart w:id="171" w:name="_Toc29971"/>
      <w:r>
        <w:rPr>
          <w:rFonts w:hint="eastAsia" w:ascii="宋体" w:hAnsi="宋体"/>
          <w:b/>
          <w:sz w:val="32"/>
          <w:szCs w:val="32"/>
        </w:rPr>
        <w:t>六、合同文件构成</w:t>
      </w:r>
      <w:bookmarkEnd w:id="171"/>
    </w:p>
    <w:p w14:paraId="3F3FF65E">
      <w:pPr>
        <w:spacing w:line="360" w:lineRule="auto"/>
        <w:ind w:firstLine="48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本协议书与下列文件一起构成合同文件：</w:t>
      </w:r>
    </w:p>
    <w:p w14:paraId="1281315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）中标通知书（如果有）；</w:t>
      </w:r>
    </w:p>
    <w:p w14:paraId="699EF34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）投标函及其附录（如果有）；</w:t>
      </w:r>
      <w:r>
        <w:rPr>
          <w:rFonts w:asciiTheme="minorEastAsia" w:hAnsiTheme="minorEastAsia" w:eastAsiaTheme="minorEastAsia"/>
          <w:color w:val="000000"/>
          <w:szCs w:val="21"/>
        </w:rPr>
        <w:t xml:space="preserve"> </w:t>
      </w:r>
    </w:p>
    <w:p w14:paraId="3286E7A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）专用合同条款及其附件；</w:t>
      </w:r>
    </w:p>
    <w:p w14:paraId="046B77D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）通用合同条款；</w:t>
      </w:r>
    </w:p>
    <w:p w14:paraId="696EF60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）技术标准和要求；</w:t>
      </w:r>
    </w:p>
    <w:p w14:paraId="252C310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）图纸；</w:t>
      </w:r>
    </w:p>
    <w:p w14:paraId="3372D39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）已标价工程量清单或预算书；</w:t>
      </w:r>
    </w:p>
    <w:p w14:paraId="30F33FF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）其他合同文件。</w:t>
      </w:r>
    </w:p>
    <w:p w14:paraId="44317C2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在合同订立及履行过程中形成的与合同有关的文件均构成合同文件组成部分。</w:t>
      </w:r>
    </w:p>
    <w:p w14:paraId="68EEC62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上述各项合同文件包括合同当事人就该项合同文件所作出的补充和修改，属于同一类内容的文件，应以最新签署的为准。专用合同条款及其附件须经合同当事人签字或盖章。</w:t>
      </w:r>
    </w:p>
    <w:p w14:paraId="0575F12E">
      <w:pPr>
        <w:adjustRightInd w:val="0"/>
        <w:snapToGrid w:val="0"/>
        <w:spacing w:line="360" w:lineRule="auto"/>
        <w:outlineLvl w:val="2"/>
        <w:rPr>
          <w:rFonts w:ascii="宋体" w:hAnsi="宋体"/>
          <w:b/>
          <w:bCs/>
          <w:sz w:val="32"/>
          <w:szCs w:val="32"/>
        </w:rPr>
      </w:pPr>
      <w:r>
        <w:rPr>
          <w:rFonts w:hint="eastAsia" w:ascii="宋体" w:hAnsi="宋体"/>
          <w:b/>
          <w:sz w:val="32"/>
          <w:szCs w:val="32"/>
        </w:rPr>
        <w:t xml:space="preserve">    </w:t>
      </w:r>
      <w:bookmarkStart w:id="172" w:name="_Toc22481"/>
      <w:r>
        <w:rPr>
          <w:rFonts w:hint="eastAsia" w:ascii="宋体" w:hAnsi="宋体"/>
          <w:b/>
          <w:sz w:val="32"/>
          <w:szCs w:val="32"/>
        </w:rPr>
        <w:t>七、承诺</w:t>
      </w:r>
      <w:bookmarkEnd w:id="172"/>
    </w:p>
    <w:p w14:paraId="30646BBB">
      <w:pPr>
        <w:spacing w:line="360" w:lineRule="auto"/>
        <w:ind w:firstLine="480" w:firstLineChars="200"/>
        <w:rPr>
          <w:rFonts w:asciiTheme="minorEastAsia" w:hAnsiTheme="minorEastAsia" w:eastAsiaTheme="minorEastAsia"/>
          <w:bCs/>
          <w:color w:val="000000"/>
          <w:szCs w:val="21"/>
        </w:rPr>
      </w:pPr>
      <w:r>
        <w:rPr>
          <w:rFonts w:asciiTheme="minorEastAsia" w:hAnsiTheme="minorEastAsia" w:eastAsiaTheme="minorEastAsia"/>
          <w:bCs/>
          <w:color w:val="000000"/>
          <w:szCs w:val="21"/>
        </w:rPr>
        <w:t>1.</w:t>
      </w:r>
      <w:r>
        <w:rPr>
          <w:rFonts w:hint="eastAsia" w:asciiTheme="minorEastAsia" w:hAnsiTheme="minorEastAsia" w:eastAsiaTheme="minorEastAsia"/>
          <w:bCs/>
          <w:color w:val="000000"/>
          <w:szCs w:val="21"/>
        </w:rPr>
        <w:t>发包人承诺按照法律规定履行项目审批手续、筹集工程建设资金并按照合同约定的期限和方式支付合同价款。</w:t>
      </w:r>
    </w:p>
    <w:p w14:paraId="61B007BA">
      <w:pPr>
        <w:spacing w:line="360" w:lineRule="auto"/>
        <w:ind w:firstLine="480" w:firstLineChars="200"/>
        <w:rPr>
          <w:rFonts w:asciiTheme="minorEastAsia" w:hAnsiTheme="minorEastAsia" w:eastAsiaTheme="minorEastAsia"/>
          <w:bCs/>
          <w:color w:val="000000"/>
          <w:szCs w:val="21"/>
        </w:rPr>
      </w:pPr>
      <w:r>
        <w:rPr>
          <w:rFonts w:asciiTheme="minorEastAsia" w:hAnsiTheme="minorEastAsia" w:eastAsiaTheme="minorEastAsia"/>
          <w:bCs/>
          <w:color w:val="000000"/>
          <w:szCs w:val="21"/>
        </w:rPr>
        <w:t>2.</w:t>
      </w:r>
      <w:r>
        <w:rPr>
          <w:rFonts w:hint="eastAsia" w:asciiTheme="minorEastAsia" w:hAnsiTheme="minorEastAsia" w:eastAsiaTheme="minorEastAsia"/>
          <w:bCs/>
          <w:color w:val="000000"/>
          <w:szCs w:val="21"/>
        </w:rPr>
        <w:t>承包人承诺按照法律规定及合同约定组织完成工程施工，确保工程质量和安全，不进行转包及违法分包，并在缺陷责任期及保修期内承担相应的工程维修责任。</w:t>
      </w:r>
    </w:p>
    <w:p w14:paraId="5C8E96AA">
      <w:pPr>
        <w:spacing w:line="360" w:lineRule="auto"/>
        <w:ind w:firstLine="480" w:firstLineChars="200"/>
        <w:rPr>
          <w:rFonts w:asciiTheme="minorEastAsia" w:hAnsiTheme="minorEastAsia" w:eastAsiaTheme="minorEastAsia"/>
          <w:bCs/>
          <w:color w:val="000000"/>
          <w:szCs w:val="21"/>
        </w:rPr>
      </w:pPr>
      <w:r>
        <w:rPr>
          <w:rFonts w:asciiTheme="minorEastAsia" w:hAnsiTheme="minorEastAsia" w:eastAsiaTheme="minorEastAsia"/>
          <w:bCs/>
          <w:color w:val="000000"/>
          <w:szCs w:val="21"/>
        </w:rPr>
        <w:t>3.</w:t>
      </w:r>
      <w:r>
        <w:rPr>
          <w:rFonts w:hint="eastAsia" w:asciiTheme="minorEastAsia" w:hAnsiTheme="minorEastAsia" w:eastAsiaTheme="minorEastAsia"/>
          <w:bCs/>
          <w:color w:val="000000"/>
          <w:szCs w:val="21"/>
        </w:rPr>
        <w:t>发包人和承包人通过招投标形式签订合同的，双方理解并承诺不再就同一工程另行签订与合同实质性内容相背离的协议。</w:t>
      </w:r>
    </w:p>
    <w:p w14:paraId="13E6D975">
      <w:pPr>
        <w:spacing w:line="360" w:lineRule="auto"/>
        <w:rPr>
          <w:rFonts w:eastAsia="黑体"/>
          <w:bCs/>
          <w:color w:val="000000"/>
          <w:szCs w:val="21"/>
        </w:rPr>
      </w:pPr>
      <w:r>
        <w:rPr>
          <w:rFonts w:eastAsia="黑体"/>
          <w:b/>
          <w:color w:val="000000"/>
          <w:szCs w:val="21"/>
        </w:rPr>
        <w:t xml:space="preserve">    </w:t>
      </w:r>
      <w:r>
        <w:rPr>
          <w:rFonts w:hint="eastAsia" w:eastAsia="黑体"/>
          <w:b/>
          <w:color w:val="000000"/>
          <w:szCs w:val="21"/>
        </w:rPr>
        <w:t>八、词语含义</w:t>
      </w:r>
    </w:p>
    <w:p w14:paraId="1CE4D330">
      <w:pPr>
        <w:spacing w:line="360" w:lineRule="auto"/>
        <w:ind w:firstLine="48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本协议书中词语含义与第二部分通用合同条款中赋予的含义相同。</w:t>
      </w:r>
    </w:p>
    <w:p w14:paraId="5A487AED">
      <w:pPr>
        <w:adjustRightInd w:val="0"/>
        <w:snapToGrid w:val="0"/>
        <w:spacing w:line="360" w:lineRule="auto"/>
        <w:outlineLvl w:val="2"/>
        <w:rPr>
          <w:rFonts w:ascii="宋体" w:hAnsi="宋体"/>
          <w:bCs/>
          <w:sz w:val="32"/>
          <w:szCs w:val="32"/>
        </w:rPr>
      </w:pPr>
      <w:r>
        <w:rPr>
          <w:rFonts w:hint="eastAsia" w:ascii="宋体" w:hAnsi="宋体"/>
          <w:b/>
          <w:sz w:val="32"/>
          <w:szCs w:val="32"/>
        </w:rPr>
        <w:t xml:space="preserve">    </w:t>
      </w:r>
      <w:bookmarkStart w:id="173" w:name="_Toc28758"/>
      <w:r>
        <w:rPr>
          <w:rFonts w:hint="eastAsia" w:ascii="宋体" w:hAnsi="宋体"/>
          <w:b/>
          <w:sz w:val="32"/>
          <w:szCs w:val="32"/>
        </w:rPr>
        <w:t>九、签订时间</w:t>
      </w:r>
      <w:bookmarkEnd w:id="173"/>
    </w:p>
    <w:p w14:paraId="78C7C2E5">
      <w:pPr>
        <w:spacing w:line="360" w:lineRule="auto"/>
        <w:ind w:firstLine="48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本合同于</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input683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bCs/>
          <w:color w:val="000000"/>
          <w:szCs w:val="21"/>
        </w:rPr>
        <w:t>签订。</w:t>
      </w:r>
    </w:p>
    <w:p w14:paraId="5B65DC21">
      <w:pPr>
        <w:adjustRightInd w:val="0"/>
        <w:snapToGrid w:val="0"/>
        <w:spacing w:line="360" w:lineRule="auto"/>
        <w:outlineLvl w:val="2"/>
        <w:rPr>
          <w:rFonts w:ascii="宋体" w:hAnsi="宋体"/>
          <w:bCs/>
          <w:sz w:val="32"/>
          <w:szCs w:val="32"/>
        </w:rPr>
      </w:pPr>
      <w:r>
        <w:rPr>
          <w:rFonts w:hint="eastAsia" w:ascii="宋体" w:hAnsi="宋体"/>
          <w:b/>
          <w:sz w:val="32"/>
          <w:szCs w:val="32"/>
        </w:rPr>
        <w:t xml:space="preserve">    </w:t>
      </w:r>
      <w:bookmarkStart w:id="174" w:name="_Toc22336"/>
      <w:r>
        <w:rPr>
          <w:rFonts w:hint="eastAsia" w:ascii="宋体" w:hAnsi="宋体"/>
          <w:b/>
          <w:sz w:val="32"/>
          <w:szCs w:val="32"/>
        </w:rPr>
        <w:t>十、签订地点</w:t>
      </w:r>
      <w:bookmarkEnd w:id="174"/>
    </w:p>
    <w:p w14:paraId="49CF1A58">
      <w:pPr>
        <w:spacing w:line="360" w:lineRule="auto"/>
        <w:ind w:firstLine="48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本合同在</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input684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bCs/>
          <w:color w:val="000000"/>
          <w:szCs w:val="21"/>
        </w:rPr>
        <w:t>签订。</w:t>
      </w:r>
    </w:p>
    <w:p w14:paraId="4437A1FF">
      <w:pPr>
        <w:adjustRightInd w:val="0"/>
        <w:snapToGrid w:val="0"/>
        <w:spacing w:line="360" w:lineRule="auto"/>
        <w:outlineLvl w:val="2"/>
        <w:rPr>
          <w:rFonts w:ascii="宋体" w:hAnsi="宋体"/>
          <w:bCs/>
          <w:sz w:val="32"/>
          <w:szCs w:val="32"/>
        </w:rPr>
      </w:pPr>
      <w:r>
        <w:rPr>
          <w:rFonts w:hint="eastAsia" w:ascii="宋体" w:hAnsi="宋体"/>
          <w:b/>
          <w:sz w:val="32"/>
          <w:szCs w:val="32"/>
        </w:rPr>
        <w:t xml:space="preserve">    </w:t>
      </w:r>
      <w:bookmarkStart w:id="175" w:name="_Toc30981"/>
      <w:r>
        <w:rPr>
          <w:rFonts w:hint="eastAsia" w:ascii="宋体" w:hAnsi="宋体"/>
          <w:b/>
          <w:sz w:val="32"/>
          <w:szCs w:val="32"/>
        </w:rPr>
        <w:t>十一、补充协议</w:t>
      </w:r>
      <w:bookmarkEnd w:id="175"/>
    </w:p>
    <w:p w14:paraId="7D012540">
      <w:pPr>
        <w:spacing w:line="360" w:lineRule="auto"/>
        <w:ind w:firstLine="480" w:firstLineChars="200"/>
        <w:rPr>
          <w:rFonts w:asciiTheme="minorEastAsia" w:hAnsiTheme="minorEastAsia" w:eastAsiaTheme="minorEastAsia"/>
          <w:b/>
          <w:bCs/>
          <w:color w:val="000000"/>
          <w:szCs w:val="21"/>
        </w:rPr>
      </w:pPr>
      <w:r>
        <w:rPr>
          <w:rFonts w:hint="eastAsia" w:asciiTheme="minorEastAsia" w:hAnsiTheme="minorEastAsia" w:eastAsiaTheme="minorEastAsia"/>
          <w:bCs/>
          <w:color w:val="000000"/>
          <w:szCs w:val="21"/>
        </w:rPr>
        <w:t>合同未尽事宜，合同当事人另行签订补充协议，补充协议是合同的组成部分。</w:t>
      </w:r>
    </w:p>
    <w:p w14:paraId="4CEE1B0B">
      <w:pPr>
        <w:adjustRightInd w:val="0"/>
        <w:snapToGrid w:val="0"/>
        <w:spacing w:line="360" w:lineRule="auto"/>
        <w:outlineLvl w:val="2"/>
        <w:rPr>
          <w:rFonts w:ascii="宋体" w:hAnsi="宋体"/>
          <w:bCs/>
          <w:sz w:val="32"/>
          <w:szCs w:val="32"/>
        </w:rPr>
      </w:pPr>
      <w:r>
        <w:rPr>
          <w:rFonts w:hint="eastAsia" w:ascii="宋体" w:hAnsi="宋体"/>
          <w:b/>
          <w:sz w:val="32"/>
          <w:szCs w:val="32"/>
        </w:rPr>
        <w:t xml:space="preserve">    </w:t>
      </w:r>
      <w:bookmarkStart w:id="176" w:name="_Toc6233"/>
      <w:r>
        <w:rPr>
          <w:rFonts w:hint="eastAsia" w:ascii="宋体" w:hAnsi="宋体"/>
          <w:b/>
          <w:sz w:val="32"/>
          <w:szCs w:val="32"/>
        </w:rPr>
        <w:t>十二、合同生效</w:t>
      </w:r>
      <w:bookmarkEnd w:id="176"/>
    </w:p>
    <w:p w14:paraId="0798B1BA">
      <w:pPr>
        <w:spacing w:line="360" w:lineRule="auto"/>
        <w:ind w:firstLine="48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本合同自</w:t>
      </w:r>
      <w:r>
        <w:rPr>
          <w:rFonts w:eastAsia="仿宋_GB2312"/>
          <w:b/>
          <w:color w:val="000000"/>
          <w:szCs w:val="21"/>
          <w:u w:val="single"/>
        </w:rPr>
        <w:fldChar w:fldCharType="begin"/>
      </w:r>
      <w:r>
        <w:rPr>
          <w:rFonts w:eastAsia="仿宋_GB2312"/>
          <w:b/>
          <w:color w:val="000000"/>
          <w:szCs w:val="21"/>
          <w:u w:val="single"/>
        </w:rPr>
        <w:instrText xml:space="preserve"> </w:instrText>
      </w:r>
      <w:r>
        <w:rPr>
          <w:rFonts w:hint="eastAsia" w:eastAsia="仿宋_GB2312"/>
          <w:b/>
          <w:color w:val="000000"/>
          <w:szCs w:val="21"/>
          <w:u w:val="single"/>
        </w:rPr>
        <w:instrText xml:space="preserve">AUTOTEXT  input685 \* MERGEFORMAT</w:instrText>
      </w:r>
      <w:r>
        <w:rPr>
          <w:rFonts w:eastAsia="仿宋_GB2312"/>
          <w:b/>
          <w:color w:val="000000"/>
          <w:szCs w:val="21"/>
          <w:u w:val="single"/>
        </w:rPr>
        <w:instrText xml:space="preserve"> </w:instrText>
      </w:r>
      <w:r>
        <w:rPr>
          <w:rFonts w:eastAsia="仿宋_GB2312"/>
          <w:b/>
          <w:color w:val="000000"/>
          <w:szCs w:val="21"/>
          <w:u w:val="single"/>
        </w:rPr>
        <w:fldChar w:fldCharType="separate"/>
      </w:r>
      <w:r>
        <w:rPr>
          <w:rFonts w:hint="eastAsia" w:eastAsia="仿宋_GB2312"/>
          <w:b/>
          <w:color w:val="000000"/>
          <w:szCs w:val="21"/>
          <w:u w:val="single"/>
        </w:rPr>
        <w:t xml:space="preserve">     </w:t>
      </w:r>
      <w:r>
        <w:rPr>
          <w:rFonts w:eastAsia="仿宋_GB2312"/>
          <w:b/>
          <w:color w:val="000000"/>
          <w:szCs w:val="21"/>
          <w:u w:val="single"/>
        </w:rPr>
        <w:fldChar w:fldCharType="end"/>
      </w:r>
      <w:r>
        <w:rPr>
          <w:rFonts w:hint="eastAsia" w:asciiTheme="minorEastAsia" w:hAnsiTheme="minorEastAsia" w:eastAsiaTheme="minorEastAsia"/>
          <w:bCs/>
          <w:color w:val="000000"/>
          <w:szCs w:val="21"/>
        </w:rPr>
        <w:t>生效。</w:t>
      </w:r>
    </w:p>
    <w:p w14:paraId="050FAC4D">
      <w:pPr>
        <w:adjustRightInd w:val="0"/>
        <w:snapToGrid w:val="0"/>
        <w:spacing w:line="360" w:lineRule="auto"/>
        <w:outlineLvl w:val="2"/>
        <w:rPr>
          <w:rFonts w:ascii="宋体" w:hAnsi="宋体"/>
          <w:bCs/>
          <w:sz w:val="32"/>
          <w:szCs w:val="32"/>
        </w:rPr>
      </w:pPr>
      <w:r>
        <w:rPr>
          <w:rFonts w:hint="eastAsia" w:ascii="宋体" w:hAnsi="宋体"/>
          <w:b/>
          <w:sz w:val="32"/>
          <w:szCs w:val="32"/>
        </w:rPr>
        <w:t xml:space="preserve">    </w:t>
      </w:r>
      <w:bookmarkStart w:id="177" w:name="_Toc21477"/>
      <w:r>
        <w:rPr>
          <w:rFonts w:hint="eastAsia" w:ascii="宋体" w:hAnsi="宋体"/>
          <w:b/>
          <w:sz w:val="32"/>
          <w:szCs w:val="32"/>
        </w:rPr>
        <w:t>十三、合同份数</w:t>
      </w:r>
      <w:bookmarkEnd w:id="177"/>
    </w:p>
    <w:p w14:paraId="28A54B0F">
      <w:pPr>
        <w:spacing w:line="360" w:lineRule="auto"/>
        <w:ind w:firstLine="48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本合同一式</w:t>
      </w:r>
      <w:r>
        <w:rPr>
          <w:rFonts w:eastAsia="仿宋_GB2312"/>
          <w:color w:val="000000"/>
          <w:szCs w:val="21"/>
          <w:u w:val="single"/>
        </w:rPr>
        <w:fldChar w:fldCharType="begin"/>
      </w:r>
      <w:r>
        <w:rPr>
          <w:rFonts w:eastAsia="仿宋_GB2312"/>
          <w:color w:val="000000"/>
          <w:szCs w:val="21"/>
          <w:u w:val="single"/>
        </w:rPr>
        <w:instrText xml:space="preserve"> </w:instrText>
      </w:r>
      <w:r>
        <w:rPr>
          <w:rFonts w:hint="eastAsia" w:eastAsia="仿宋_GB2312"/>
          <w:color w:val="000000"/>
          <w:szCs w:val="21"/>
          <w:u w:val="single"/>
        </w:rPr>
        <w:instrText xml:space="preserve">AUTOTEXT  input686 \* MERGEFORMAT</w:instrText>
      </w:r>
      <w:r>
        <w:rPr>
          <w:rFonts w:eastAsia="仿宋_GB2312"/>
          <w:color w:val="000000"/>
          <w:szCs w:val="21"/>
          <w:u w:val="single"/>
        </w:rPr>
        <w:instrText xml:space="preserve"> </w:instrText>
      </w:r>
      <w:r>
        <w:rPr>
          <w:rFonts w:eastAsia="仿宋_GB2312"/>
          <w:color w:val="000000"/>
          <w:szCs w:val="21"/>
          <w:u w:val="single"/>
        </w:rPr>
        <w:fldChar w:fldCharType="separate"/>
      </w:r>
      <w:r>
        <w:rPr>
          <w:rFonts w:hint="eastAsia" w:eastAsia="仿宋_GB2312"/>
          <w:color w:val="000000"/>
          <w:szCs w:val="21"/>
          <w:u w:val="single"/>
        </w:rPr>
        <w:t xml:space="preserve">     </w:t>
      </w:r>
      <w:r>
        <w:rPr>
          <w:rFonts w:eastAsia="仿宋_GB2312"/>
          <w:color w:val="000000"/>
          <w:szCs w:val="21"/>
          <w:u w:val="single"/>
        </w:rPr>
        <w:fldChar w:fldCharType="end"/>
      </w:r>
      <w:r>
        <w:rPr>
          <w:rFonts w:hint="eastAsia" w:asciiTheme="minorEastAsia" w:hAnsiTheme="minorEastAsia" w:eastAsiaTheme="minorEastAsia"/>
          <w:bCs/>
          <w:color w:val="000000"/>
          <w:szCs w:val="21"/>
        </w:rPr>
        <w:t>份，均具有同等法律效力，发包人执</w:t>
      </w:r>
      <w:r>
        <w:rPr>
          <w:rFonts w:eastAsia="仿宋_GB2312"/>
          <w:color w:val="000000"/>
          <w:szCs w:val="21"/>
          <w:u w:val="single"/>
        </w:rPr>
        <w:fldChar w:fldCharType="begin"/>
      </w:r>
      <w:r>
        <w:rPr>
          <w:rFonts w:eastAsia="仿宋_GB2312"/>
          <w:color w:val="000000"/>
          <w:szCs w:val="21"/>
          <w:u w:val="single"/>
        </w:rPr>
        <w:instrText xml:space="preserve"> </w:instrText>
      </w:r>
      <w:r>
        <w:rPr>
          <w:rFonts w:hint="eastAsia" w:eastAsia="仿宋_GB2312"/>
          <w:color w:val="000000"/>
          <w:szCs w:val="21"/>
          <w:u w:val="single"/>
        </w:rPr>
        <w:instrText xml:space="preserve">AUTOTEXT  input687 \* MERGEFORMAT</w:instrText>
      </w:r>
      <w:r>
        <w:rPr>
          <w:rFonts w:eastAsia="仿宋_GB2312"/>
          <w:color w:val="000000"/>
          <w:szCs w:val="21"/>
          <w:u w:val="single"/>
        </w:rPr>
        <w:instrText xml:space="preserve"> </w:instrText>
      </w:r>
      <w:r>
        <w:rPr>
          <w:rFonts w:eastAsia="仿宋_GB2312"/>
          <w:color w:val="000000"/>
          <w:szCs w:val="21"/>
          <w:u w:val="single"/>
        </w:rPr>
        <w:fldChar w:fldCharType="separate"/>
      </w:r>
      <w:r>
        <w:rPr>
          <w:rFonts w:hint="eastAsia" w:eastAsia="仿宋_GB2312"/>
          <w:color w:val="000000"/>
          <w:szCs w:val="21"/>
          <w:u w:val="single"/>
        </w:rPr>
        <w:t xml:space="preserve">     </w:t>
      </w:r>
      <w:r>
        <w:rPr>
          <w:rFonts w:eastAsia="仿宋_GB2312"/>
          <w:color w:val="000000"/>
          <w:szCs w:val="21"/>
          <w:u w:val="single"/>
        </w:rPr>
        <w:fldChar w:fldCharType="end"/>
      </w:r>
      <w:r>
        <w:rPr>
          <w:rFonts w:hint="eastAsia" w:asciiTheme="minorEastAsia" w:hAnsiTheme="minorEastAsia" w:eastAsiaTheme="minorEastAsia"/>
          <w:bCs/>
          <w:color w:val="000000"/>
          <w:szCs w:val="21"/>
        </w:rPr>
        <w:t>份，承包人执</w:t>
      </w:r>
      <w:r>
        <w:rPr>
          <w:rFonts w:eastAsia="仿宋_GB2312"/>
          <w:color w:val="000000"/>
          <w:szCs w:val="21"/>
          <w:u w:val="single"/>
        </w:rPr>
        <w:fldChar w:fldCharType="begin"/>
      </w:r>
      <w:r>
        <w:rPr>
          <w:rFonts w:eastAsia="仿宋_GB2312"/>
          <w:color w:val="000000"/>
          <w:szCs w:val="21"/>
          <w:u w:val="single"/>
        </w:rPr>
        <w:instrText xml:space="preserve"> </w:instrText>
      </w:r>
      <w:r>
        <w:rPr>
          <w:rFonts w:hint="eastAsia" w:eastAsia="仿宋_GB2312"/>
          <w:color w:val="000000"/>
          <w:szCs w:val="21"/>
          <w:u w:val="single"/>
        </w:rPr>
        <w:instrText xml:space="preserve">AUTOTEXT  input688 \* MERGEFORMAT</w:instrText>
      </w:r>
      <w:r>
        <w:rPr>
          <w:rFonts w:eastAsia="仿宋_GB2312"/>
          <w:color w:val="000000"/>
          <w:szCs w:val="21"/>
          <w:u w:val="single"/>
        </w:rPr>
        <w:instrText xml:space="preserve"> </w:instrText>
      </w:r>
      <w:r>
        <w:rPr>
          <w:rFonts w:eastAsia="仿宋_GB2312"/>
          <w:color w:val="000000"/>
          <w:szCs w:val="21"/>
          <w:u w:val="single"/>
        </w:rPr>
        <w:fldChar w:fldCharType="separate"/>
      </w:r>
      <w:r>
        <w:rPr>
          <w:rFonts w:hint="eastAsia" w:eastAsia="仿宋_GB2312"/>
          <w:color w:val="000000"/>
          <w:szCs w:val="21"/>
          <w:u w:val="single"/>
        </w:rPr>
        <w:t xml:space="preserve">     </w:t>
      </w:r>
      <w:r>
        <w:rPr>
          <w:rFonts w:eastAsia="仿宋_GB2312"/>
          <w:color w:val="000000"/>
          <w:szCs w:val="21"/>
          <w:u w:val="single"/>
        </w:rPr>
        <w:fldChar w:fldCharType="end"/>
      </w:r>
      <w:r>
        <w:rPr>
          <w:rFonts w:hint="eastAsia" w:asciiTheme="minorEastAsia" w:hAnsiTheme="minorEastAsia" w:eastAsiaTheme="minorEastAsia"/>
          <w:bCs/>
          <w:color w:val="000000"/>
          <w:szCs w:val="21"/>
        </w:rPr>
        <w:t>份。</w:t>
      </w:r>
    </w:p>
    <w:p w14:paraId="06A67EFF">
      <w:pPr>
        <w:spacing w:line="360" w:lineRule="auto"/>
        <w:rPr>
          <w:rFonts w:asciiTheme="minorEastAsia" w:hAnsiTheme="minorEastAsia" w:eastAsiaTheme="minorEastAsia"/>
          <w:bCs/>
          <w:color w:val="000000"/>
          <w:szCs w:val="21"/>
        </w:rPr>
      </w:pPr>
      <w:r>
        <w:rPr>
          <w:rFonts w:asciiTheme="minorEastAsia" w:hAnsiTheme="minorEastAsia" w:eastAsiaTheme="minorEastAsia"/>
          <w:bCs/>
          <w:color w:val="000000"/>
          <w:szCs w:val="21"/>
          <w:u w:val="single"/>
        </w:rPr>
        <w:fldChar w:fldCharType="begin"/>
      </w:r>
      <w:r>
        <w:rPr>
          <w:rFonts w:asciiTheme="minorEastAsia" w:hAnsiTheme="minorEastAsia" w:eastAsiaTheme="minorEastAsia"/>
          <w:bCs/>
          <w:color w:val="000000"/>
          <w:szCs w:val="21"/>
          <w:u w:val="single"/>
        </w:rPr>
        <w:instrText xml:space="preserve"> </w:instrText>
      </w:r>
      <w:r>
        <w:rPr>
          <w:rFonts w:hint="eastAsia" w:asciiTheme="minorEastAsia" w:hAnsiTheme="minorEastAsia" w:eastAsiaTheme="minorEastAsia"/>
          <w:bCs/>
          <w:color w:val="000000"/>
          <w:szCs w:val="21"/>
          <w:u w:val="single"/>
        </w:rPr>
        <w:instrText xml:space="preserve">AUTOTEXT  input715 \* MERGEFORMAT</w:instrText>
      </w:r>
      <w:r>
        <w:rPr>
          <w:rFonts w:asciiTheme="minorEastAsia" w:hAnsiTheme="minorEastAsia" w:eastAsiaTheme="minorEastAsia"/>
          <w:bCs/>
          <w:color w:val="000000"/>
          <w:szCs w:val="21"/>
          <w:u w:val="single"/>
        </w:rPr>
        <w:instrText xml:space="preserve"> </w:instrText>
      </w:r>
      <w:r>
        <w:rPr>
          <w:rFonts w:asciiTheme="minorEastAsia" w:hAnsiTheme="minorEastAsia" w:eastAsiaTheme="minorEastAsia"/>
          <w:bCs/>
          <w:color w:val="000000"/>
          <w:szCs w:val="21"/>
          <w:u w:val="single"/>
        </w:rPr>
        <w:fldChar w:fldCharType="separate"/>
      </w:r>
      <w:r>
        <w:rPr>
          <w:rFonts w:hint="eastAsia" w:asciiTheme="minorEastAsia" w:hAnsiTheme="minorEastAsia" w:eastAsiaTheme="minorEastAsia"/>
          <w:bCs/>
          <w:color w:val="000000"/>
          <w:szCs w:val="21"/>
          <w:u w:val="single"/>
        </w:rPr>
        <w:t xml:space="preserve">     </w:t>
      </w:r>
      <w:r>
        <w:rPr>
          <w:rFonts w:asciiTheme="minorEastAsia" w:hAnsiTheme="minorEastAsia" w:eastAsiaTheme="minorEastAsia"/>
          <w:bCs/>
          <w:color w:val="000000"/>
          <w:szCs w:val="21"/>
          <w:u w:val="single"/>
        </w:rPr>
        <w:fldChar w:fldCharType="end"/>
      </w:r>
    </w:p>
    <w:p w14:paraId="507D8E10">
      <w:pPr>
        <w:spacing w:line="360" w:lineRule="auto"/>
        <w:rPr>
          <w:rFonts w:asciiTheme="minorEastAsia" w:hAnsiTheme="minorEastAsia" w:eastAsiaTheme="minorEastAsia"/>
          <w:bCs/>
          <w:color w:val="000000"/>
          <w:szCs w:val="21"/>
        </w:rPr>
      </w:pPr>
    </w:p>
    <w:tbl>
      <w:tblPr>
        <w:tblStyle w:val="51"/>
        <w:tblW w:w="9286" w:type="dxa"/>
        <w:jc w:val="center"/>
        <w:tblLayout w:type="fixed"/>
        <w:tblCellMar>
          <w:top w:w="0" w:type="dxa"/>
          <w:left w:w="108" w:type="dxa"/>
          <w:bottom w:w="0" w:type="dxa"/>
          <w:right w:w="108" w:type="dxa"/>
        </w:tblCellMar>
      </w:tblPr>
      <w:tblGrid>
        <w:gridCol w:w="1952"/>
        <w:gridCol w:w="2117"/>
        <w:gridCol w:w="1709"/>
        <w:gridCol w:w="3508"/>
      </w:tblGrid>
      <w:tr w14:paraId="69B508FD">
        <w:tblPrEx>
          <w:tblCellMar>
            <w:top w:w="0" w:type="dxa"/>
            <w:left w:w="108" w:type="dxa"/>
            <w:bottom w:w="0" w:type="dxa"/>
            <w:right w:w="108" w:type="dxa"/>
          </w:tblCellMar>
        </w:tblPrEx>
        <w:trPr>
          <w:cantSplit/>
          <w:jc w:val="center"/>
        </w:trPr>
        <w:tc>
          <w:tcPr>
            <w:tcW w:w="1952" w:type="dxa"/>
            <w:shd w:val="clear" w:color="auto" w:fill="auto"/>
            <w:vAlign w:val="center"/>
          </w:tcPr>
          <w:p w14:paraId="040EE146">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发包人:</w:t>
            </w:r>
          </w:p>
        </w:tc>
        <w:tc>
          <w:tcPr>
            <w:tcW w:w="2117" w:type="dxa"/>
            <w:shd w:val="clear" w:color="auto" w:fill="auto"/>
            <w:vAlign w:val="center"/>
          </w:tcPr>
          <w:p w14:paraId="5CE16CF8">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AUTOTEXT  input689 \* MERGEFORMAT</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 xml:space="preserve">     </w:t>
            </w:r>
            <w:r>
              <w:rPr>
                <w:rFonts w:ascii="宋体" w:hAnsi="宋体"/>
                <w:szCs w:val="21"/>
                <w:u w:val="single"/>
              </w:rPr>
              <w:fldChar w:fldCharType="end"/>
            </w:r>
            <w:r>
              <w:rPr>
                <w:rFonts w:hint="eastAsia" w:ascii="宋体" w:hAnsi="宋体"/>
                <w:szCs w:val="21"/>
              </w:rPr>
              <w:t>(公章)</w:t>
            </w:r>
          </w:p>
        </w:tc>
        <w:tc>
          <w:tcPr>
            <w:tcW w:w="1709" w:type="dxa"/>
            <w:shd w:val="clear" w:color="auto" w:fill="auto"/>
            <w:vAlign w:val="center"/>
          </w:tcPr>
          <w:p w14:paraId="0E0F19F4">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承包人：</w:t>
            </w:r>
          </w:p>
        </w:tc>
        <w:tc>
          <w:tcPr>
            <w:tcW w:w="3508" w:type="dxa"/>
            <w:shd w:val="clear" w:color="auto" w:fill="auto"/>
            <w:vAlign w:val="center"/>
          </w:tcPr>
          <w:p w14:paraId="600A3E0E">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AUTOTEXT  input690 \* MERGEFORMAT</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 xml:space="preserve">     </w:t>
            </w:r>
            <w:r>
              <w:rPr>
                <w:rFonts w:ascii="宋体" w:hAnsi="宋体"/>
                <w:szCs w:val="21"/>
                <w:u w:val="single"/>
              </w:rPr>
              <w:fldChar w:fldCharType="end"/>
            </w:r>
            <w:r>
              <w:rPr>
                <w:rFonts w:hint="eastAsia" w:ascii="宋体" w:hAnsi="宋体"/>
                <w:szCs w:val="21"/>
              </w:rPr>
              <w:t>(公章)</w:t>
            </w:r>
          </w:p>
        </w:tc>
      </w:tr>
      <w:tr w14:paraId="74BF64C4">
        <w:tblPrEx>
          <w:tblCellMar>
            <w:top w:w="0" w:type="dxa"/>
            <w:left w:w="108" w:type="dxa"/>
            <w:bottom w:w="0" w:type="dxa"/>
            <w:right w:w="108" w:type="dxa"/>
          </w:tblCellMar>
        </w:tblPrEx>
        <w:trPr>
          <w:cantSplit/>
          <w:jc w:val="center"/>
        </w:trPr>
        <w:tc>
          <w:tcPr>
            <w:tcW w:w="1952" w:type="dxa"/>
            <w:shd w:val="clear" w:color="auto" w:fill="auto"/>
            <w:vAlign w:val="center"/>
          </w:tcPr>
          <w:p w14:paraId="42A159F7">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法定代表人或其委托代理人：</w:t>
            </w:r>
          </w:p>
        </w:tc>
        <w:tc>
          <w:tcPr>
            <w:tcW w:w="2117" w:type="dxa"/>
            <w:shd w:val="clear" w:color="auto" w:fill="auto"/>
            <w:vAlign w:val="center"/>
          </w:tcPr>
          <w:p w14:paraId="45922234">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AUTOTEXT  input691 \* MERGEFORMAT</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 xml:space="preserve">     </w:t>
            </w:r>
            <w:r>
              <w:rPr>
                <w:rFonts w:ascii="宋体" w:hAnsi="宋体"/>
                <w:szCs w:val="21"/>
                <w:u w:val="single"/>
              </w:rPr>
              <w:fldChar w:fldCharType="end"/>
            </w:r>
            <w:r>
              <w:rPr>
                <w:rFonts w:hint="eastAsia" w:ascii="宋体" w:hAnsi="宋体"/>
                <w:szCs w:val="21"/>
              </w:rPr>
              <w:t>（签字）</w:t>
            </w:r>
          </w:p>
        </w:tc>
        <w:tc>
          <w:tcPr>
            <w:tcW w:w="1709" w:type="dxa"/>
            <w:shd w:val="clear" w:color="auto" w:fill="auto"/>
            <w:vAlign w:val="center"/>
          </w:tcPr>
          <w:p w14:paraId="1A1850B2">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法定代表人或其委托代理人：</w:t>
            </w:r>
          </w:p>
        </w:tc>
        <w:tc>
          <w:tcPr>
            <w:tcW w:w="3508" w:type="dxa"/>
            <w:shd w:val="clear" w:color="auto" w:fill="auto"/>
            <w:vAlign w:val="center"/>
          </w:tcPr>
          <w:p w14:paraId="30847A46">
            <w:pPr>
              <w:topLinePunct/>
              <w:adjustRightInd w:val="0"/>
              <w:snapToGrid w:val="0"/>
              <w:spacing w:line="360" w:lineRule="auto"/>
              <w:rPr>
                <w:rFonts w:ascii="宋体" w:hAnsi="宋体"/>
                <w:szCs w:val="21"/>
                <w:u w:val="single"/>
              </w:rPr>
            </w:pP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AUTOTEXT  input692 \* MERGEFORMAT</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 xml:space="preserve">     </w:t>
            </w:r>
            <w:r>
              <w:rPr>
                <w:rFonts w:ascii="宋体" w:hAnsi="宋体"/>
                <w:szCs w:val="21"/>
                <w:u w:val="single"/>
              </w:rPr>
              <w:fldChar w:fldCharType="end"/>
            </w:r>
            <w:r>
              <w:rPr>
                <w:rFonts w:hint="eastAsia" w:ascii="宋体" w:hAnsi="宋体"/>
                <w:szCs w:val="21"/>
              </w:rPr>
              <w:t>（签字）</w:t>
            </w:r>
          </w:p>
        </w:tc>
      </w:tr>
      <w:tr w14:paraId="6B5943A6">
        <w:tblPrEx>
          <w:tblCellMar>
            <w:top w:w="0" w:type="dxa"/>
            <w:left w:w="108" w:type="dxa"/>
            <w:bottom w:w="0" w:type="dxa"/>
            <w:right w:w="108" w:type="dxa"/>
          </w:tblCellMar>
        </w:tblPrEx>
        <w:trPr>
          <w:cantSplit/>
          <w:jc w:val="center"/>
        </w:trPr>
        <w:tc>
          <w:tcPr>
            <w:tcW w:w="1952" w:type="dxa"/>
            <w:shd w:val="clear" w:color="auto" w:fill="auto"/>
            <w:vAlign w:val="center"/>
          </w:tcPr>
          <w:p w14:paraId="3A1735DB">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统一社会信用代码</w:t>
            </w:r>
            <w:r>
              <w:rPr>
                <w:rFonts w:ascii="宋体" w:hAnsi="宋体"/>
                <w:szCs w:val="21"/>
              </w:rPr>
              <w:t>：</w:t>
            </w:r>
          </w:p>
        </w:tc>
        <w:tc>
          <w:tcPr>
            <w:tcW w:w="2117" w:type="dxa"/>
            <w:shd w:val="clear" w:color="auto" w:fill="auto"/>
            <w:vAlign w:val="center"/>
          </w:tcPr>
          <w:p w14:paraId="04D8E6F4">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input693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1E5CEA4A">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统一社会信用代码</w:t>
            </w:r>
            <w:r>
              <w:rPr>
                <w:rFonts w:ascii="宋体" w:hAnsi="宋体"/>
                <w:szCs w:val="21"/>
              </w:rPr>
              <w:t>：</w:t>
            </w:r>
          </w:p>
        </w:tc>
        <w:tc>
          <w:tcPr>
            <w:tcW w:w="3508" w:type="dxa"/>
            <w:shd w:val="clear" w:color="auto" w:fill="auto"/>
            <w:vAlign w:val="center"/>
          </w:tcPr>
          <w:p w14:paraId="239E4367">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input694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r>
      <w:tr w14:paraId="0C917E16">
        <w:tblPrEx>
          <w:tblCellMar>
            <w:top w:w="0" w:type="dxa"/>
            <w:left w:w="108" w:type="dxa"/>
            <w:bottom w:w="0" w:type="dxa"/>
            <w:right w:w="108" w:type="dxa"/>
          </w:tblCellMar>
        </w:tblPrEx>
        <w:trPr>
          <w:cantSplit/>
          <w:jc w:val="center"/>
        </w:trPr>
        <w:tc>
          <w:tcPr>
            <w:tcW w:w="1952" w:type="dxa"/>
            <w:shd w:val="clear" w:color="auto" w:fill="auto"/>
            <w:vAlign w:val="center"/>
          </w:tcPr>
          <w:p w14:paraId="3956817A">
            <w:pPr>
              <w:topLinePunct/>
              <w:adjustRightInd w:val="0"/>
              <w:snapToGrid w:val="0"/>
              <w:spacing w:line="360" w:lineRule="auto"/>
              <w:jc w:val="right"/>
              <w:rPr>
                <w:rFonts w:ascii="宋体" w:hAnsi="宋体"/>
                <w:szCs w:val="21"/>
              </w:rPr>
            </w:pPr>
            <w:r>
              <w:rPr>
                <w:rFonts w:ascii="宋体" w:hAnsi="宋体"/>
                <w:szCs w:val="21"/>
              </w:rPr>
              <w:t>地    址：</w:t>
            </w:r>
          </w:p>
        </w:tc>
        <w:tc>
          <w:tcPr>
            <w:tcW w:w="2117" w:type="dxa"/>
            <w:shd w:val="clear" w:color="auto" w:fill="auto"/>
            <w:vAlign w:val="center"/>
          </w:tcPr>
          <w:p w14:paraId="78C3BF8C">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input695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6C6418BA">
            <w:pPr>
              <w:topLinePunct/>
              <w:adjustRightInd w:val="0"/>
              <w:snapToGrid w:val="0"/>
              <w:spacing w:line="360" w:lineRule="auto"/>
              <w:jc w:val="right"/>
              <w:rPr>
                <w:rFonts w:ascii="宋体" w:hAnsi="宋体"/>
                <w:szCs w:val="21"/>
              </w:rPr>
            </w:pPr>
            <w:r>
              <w:rPr>
                <w:rFonts w:ascii="宋体" w:hAnsi="宋体"/>
                <w:szCs w:val="21"/>
              </w:rPr>
              <w:t>地    址：</w:t>
            </w:r>
          </w:p>
        </w:tc>
        <w:tc>
          <w:tcPr>
            <w:tcW w:w="3508" w:type="dxa"/>
            <w:shd w:val="clear" w:color="auto" w:fill="auto"/>
            <w:vAlign w:val="center"/>
          </w:tcPr>
          <w:p w14:paraId="14D4F496">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input696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r>
      <w:tr w14:paraId="617C8D03">
        <w:tblPrEx>
          <w:tblCellMar>
            <w:top w:w="0" w:type="dxa"/>
            <w:left w:w="108" w:type="dxa"/>
            <w:bottom w:w="0" w:type="dxa"/>
            <w:right w:w="108" w:type="dxa"/>
          </w:tblCellMar>
        </w:tblPrEx>
        <w:trPr>
          <w:cantSplit/>
          <w:jc w:val="center"/>
        </w:trPr>
        <w:tc>
          <w:tcPr>
            <w:tcW w:w="1952" w:type="dxa"/>
            <w:shd w:val="clear" w:color="auto" w:fill="auto"/>
            <w:vAlign w:val="center"/>
          </w:tcPr>
          <w:p w14:paraId="08A8E0CF">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邮政编码</w:t>
            </w:r>
            <w:r>
              <w:rPr>
                <w:rFonts w:ascii="宋体" w:hAnsi="宋体"/>
                <w:szCs w:val="21"/>
              </w:rPr>
              <w:t>：</w:t>
            </w:r>
          </w:p>
        </w:tc>
        <w:tc>
          <w:tcPr>
            <w:tcW w:w="2117" w:type="dxa"/>
            <w:shd w:val="clear" w:color="auto" w:fill="auto"/>
            <w:vAlign w:val="center"/>
          </w:tcPr>
          <w:p w14:paraId="2B588F0E">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input697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115561E2">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邮政编码</w:t>
            </w:r>
            <w:r>
              <w:rPr>
                <w:rFonts w:ascii="宋体" w:hAnsi="宋体"/>
                <w:szCs w:val="21"/>
              </w:rPr>
              <w:t>：</w:t>
            </w:r>
          </w:p>
        </w:tc>
        <w:tc>
          <w:tcPr>
            <w:tcW w:w="3508" w:type="dxa"/>
            <w:shd w:val="clear" w:color="auto" w:fill="auto"/>
            <w:vAlign w:val="center"/>
          </w:tcPr>
          <w:p w14:paraId="302914C4">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input698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r>
      <w:tr w14:paraId="30989D8F">
        <w:tblPrEx>
          <w:tblCellMar>
            <w:top w:w="0" w:type="dxa"/>
            <w:left w:w="108" w:type="dxa"/>
            <w:bottom w:w="0" w:type="dxa"/>
            <w:right w:w="108" w:type="dxa"/>
          </w:tblCellMar>
        </w:tblPrEx>
        <w:trPr>
          <w:cantSplit/>
          <w:jc w:val="center"/>
        </w:trPr>
        <w:tc>
          <w:tcPr>
            <w:tcW w:w="1952" w:type="dxa"/>
            <w:shd w:val="clear" w:color="auto" w:fill="auto"/>
            <w:vAlign w:val="center"/>
          </w:tcPr>
          <w:p w14:paraId="18B4D829">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法定代表人</w:t>
            </w:r>
            <w:r>
              <w:rPr>
                <w:rFonts w:ascii="宋体" w:hAnsi="宋体"/>
                <w:szCs w:val="21"/>
              </w:rPr>
              <w:t>：</w:t>
            </w:r>
          </w:p>
        </w:tc>
        <w:tc>
          <w:tcPr>
            <w:tcW w:w="2117" w:type="dxa"/>
            <w:shd w:val="clear" w:color="auto" w:fill="auto"/>
            <w:vAlign w:val="center"/>
          </w:tcPr>
          <w:p w14:paraId="65D9D27B">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input699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6FBAA66C">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法定代表人</w:t>
            </w:r>
            <w:r>
              <w:rPr>
                <w:rFonts w:ascii="宋体" w:hAnsi="宋体"/>
                <w:szCs w:val="21"/>
              </w:rPr>
              <w:t>：</w:t>
            </w:r>
          </w:p>
        </w:tc>
        <w:tc>
          <w:tcPr>
            <w:tcW w:w="3508" w:type="dxa"/>
            <w:shd w:val="clear" w:color="auto" w:fill="auto"/>
            <w:vAlign w:val="center"/>
          </w:tcPr>
          <w:p w14:paraId="185AB510">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input700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r>
      <w:tr w14:paraId="78A37057">
        <w:tblPrEx>
          <w:tblCellMar>
            <w:top w:w="0" w:type="dxa"/>
            <w:left w:w="108" w:type="dxa"/>
            <w:bottom w:w="0" w:type="dxa"/>
            <w:right w:w="108" w:type="dxa"/>
          </w:tblCellMar>
        </w:tblPrEx>
        <w:trPr>
          <w:cantSplit/>
          <w:jc w:val="center"/>
        </w:trPr>
        <w:tc>
          <w:tcPr>
            <w:tcW w:w="1952" w:type="dxa"/>
            <w:shd w:val="clear" w:color="auto" w:fill="auto"/>
            <w:vAlign w:val="center"/>
          </w:tcPr>
          <w:p w14:paraId="1AC95E83">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委托代理人：</w:t>
            </w:r>
          </w:p>
        </w:tc>
        <w:tc>
          <w:tcPr>
            <w:tcW w:w="2117" w:type="dxa"/>
            <w:shd w:val="clear" w:color="auto" w:fill="auto"/>
            <w:vAlign w:val="center"/>
          </w:tcPr>
          <w:p w14:paraId="689FFD53">
            <w:pPr>
              <w:topLinePunct/>
              <w:adjustRightInd w:val="0"/>
              <w:snapToGrid w:val="0"/>
              <w:spacing w:line="360" w:lineRule="auto"/>
              <w:rPr>
                <w:rFonts w:ascii="宋体" w:hAnsi="宋体"/>
                <w:szCs w:val="21"/>
                <w:u w:val="single"/>
              </w:rPr>
            </w:pPr>
            <w:r>
              <w:rPr>
                <w:rFonts w:ascii="宋体" w:hAnsi="宋体"/>
                <w:szCs w:val="21"/>
                <w:u w:val="single"/>
              </w:rPr>
              <w:fldChar w:fldCharType="begin"/>
            </w:r>
            <w:r>
              <w:rPr>
                <w:rFonts w:ascii="宋体" w:hAnsi="宋体"/>
                <w:szCs w:val="21"/>
                <w:u w:val="single"/>
              </w:rPr>
              <w:instrText xml:space="preserve"> AUTOTEXT  input701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39DEB402">
            <w:pPr>
              <w:topLinePunct/>
              <w:adjustRightInd w:val="0"/>
              <w:snapToGrid w:val="0"/>
              <w:spacing w:line="360" w:lineRule="auto"/>
              <w:jc w:val="right"/>
              <w:rPr>
                <w:rFonts w:ascii="宋体" w:hAnsi="宋体"/>
                <w:szCs w:val="21"/>
              </w:rPr>
            </w:pPr>
            <w:r>
              <w:rPr>
                <w:rFonts w:hint="eastAsia" w:asciiTheme="minorEastAsia" w:hAnsiTheme="minorEastAsia" w:eastAsiaTheme="minorEastAsia"/>
                <w:color w:val="000000"/>
                <w:szCs w:val="21"/>
              </w:rPr>
              <w:t>委托代理人：</w:t>
            </w:r>
          </w:p>
        </w:tc>
        <w:tc>
          <w:tcPr>
            <w:tcW w:w="3508" w:type="dxa"/>
            <w:shd w:val="clear" w:color="auto" w:fill="auto"/>
            <w:vAlign w:val="center"/>
          </w:tcPr>
          <w:p w14:paraId="7235A10E">
            <w:pPr>
              <w:topLinePunct/>
              <w:adjustRightInd w:val="0"/>
              <w:snapToGrid w:val="0"/>
              <w:spacing w:line="360" w:lineRule="auto"/>
              <w:rPr>
                <w:rFonts w:ascii="宋体" w:hAnsi="宋体"/>
                <w:szCs w:val="21"/>
                <w:u w:val="single"/>
              </w:rPr>
            </w:pPr>
            <w:r>
              <w:rPr>
                <w:rFonts w:ascii="宋体" w:hAnsi="宋体"/>
                <w:szCs w:val="21"/>
                <w:u w:val="single"/>
              </w:rPr>
              <w:fldChar w:fldCharType="begin"/>
            </w:r>
            <w:r>
              <w:rPr>
                <w:rFonts w:ascii="宋体" w:hAnsi="宋体"/>
                <w:szCs w:val="21"/>
                <w:u w:val="single"/>
              </w:rPr>
              <w:instrText xml:space="preserve"> AUTOTEXT  input702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r>
      <w:tr w14:paraId="5646A5C1">
        <w:tblPrEx>
          <w:tblCellMar>
            <w:top w:w="0" w:type="dxa"/>
            <w:left w:w="108" w:type="dxa"/>
            <w:bottom w:w="0" w:type="dxa"/>
            <w:right w:w="108" w:type="dxa"/>
          </w:tblCellMar>
        </w:tblPrEx>
        <w:trPr>
          <w:cantSplit/>
          <w:jc w:val="center"/>
        </w:trPr>
        <w:tc>
          <w:tcPr>
            <w:tcW w:w="1952" w:type="dxa"/>
            <w:shd w:val="clear" w:color="auto" w:fill="auto"/>
            <w:vAlign w:val="center"/>
          </w:tcPr>
          <w:p w14:paraId="2856DA69">
            <w:pPr>
              <w:topLinePunct/>
              <w:adjustRightInd w:val="0"/>
              <w:snapToGrid w:val="0"/>
              <w:spacing w:line="360" w:lineRule="auto"/>
              <w:jc w:val="right"/>
              <w:rPr>
                <w:rFonts w:ascii="宋体" w:hAnsi="宋体"/>
                <w:szCs w:val="21"/>
              </w:rPr>
            </w:pPr>
            <w:r>
              <w:rPr>
                <w:rFonts w:ascii="宋体" w:hAnsi="宋体"/>
                <w:szCs w:val="21"/>
              </w:rPr>
              <w:t>电    话：</w:t>
            </w:r>
          </w:p>
        </w:tc>
        <w:tc>
          <w:tcPr>
            <w:tcW w:w="2117" w:type="dxa"/>
            <w:shd w:val="clear" w:color="auto" w:fill="auto"/>
            <w:vAlign w:val="center"/>
          </w:tcPr>
          <w:p w14:paraId="21DB8B18">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input703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63AAFDE1">
            <w:pPr>
              <w:topLinePunct/>
              <w:adjustRightInd w:val="0"/>
              <w:snapToGrid w:val="0"/>
              <w:spacing w:line="360" w:lineRule="auto"/>
              <w:jc w:val="right"/>
              <w:rPr>
                <w:rFonts w:ascii="宋体" w:hAnsi="宋体"/>
                <w:szCs w:val="21"/>
              </w:rPr>
            </w:pPr>
            <w:r>
              <w:rPr>
                <w:rFonts w:ascii="宋体" w:hAnsi="宋体"/>
                <w:szCs w:val="21"/>
              </w:rPr>
              <w:t>电    话：</w:t>
            </w:r>
          </w:p>
        </w:tc>
        <w:tc>
          <w:tcPr>
            <w:tcW w:w="3508" w:type="dxa"/>
            <w:shd w:val="clear" w:color="auto" w:fill="auto"/>
            <w:vAlign w:val="center"/>
          </w:tcPr>
          <w:p w14:paraId="75786951">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input704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r>
      <w:tr w14:paraId="48028B84">
        <w:tblPrEx>
          <w:tblCellMar>
            <w:top w:w="0" w:type="dxa"/>
            <w:left w:w="108" w:type="dxa"/>
            <w:bottom w:w="0" w:type="dxa"/>
            <w:right w:w="108" w:type="dxa"/>
          </w:tblCellMar>
        </w:tblPrEx>
        <w:trPr>
          <w:cantSplit/>
          <w:jc w:val="center"/>
        </w:trPr>
        <w:tc>
          <w:tcPr>
            <w:tcW w:w="1952" w:type="dxa"/>
            <w:shd w:val="clear" w:color="auto" w:fill="auto"/>
            <w:vAlign w:val="center"/>
          </w:tcPr>
          <w:p w14:paraId="6DC0AB7F">
            <w:pPr>
              <w:topLinePunct/>
              <w:adjustRightInd w:val="0"/>
              <w:snapToGrid w:val="0"/>
              <w:spacing w:line="360" w:lineRule="auto"/>
              <w:jc w:val="right"/>
              <w:rPr>
                <w:rFonts w:ascii="宋体" w:hAnsi="宋体"/>
                <w:szCs w:val="21"/>
              </w:rPr>
            </w:pPr>
            <w:r>
              <w:rPr>
                <w:rFonts w:ascii="宋体" w:hAnsi="宋体"/>
                <w:szCs w:val="21"/>
              </w:rPr>
              <w:t>传    真：</w:t>
            </w:r>
          </w:p>
        </w:tc>
        <w:tc>
          <w:tcPr>
            <w:tcW w:w="2117" w:type="dxa"/>
            <w:shd w:val="clear" w:color="auto" w:fill="auto"/>
            <w:vAlign w:val="center"/>
          </w:tcPr>
          <w:p w14:paraId="0F364718">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input705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5629AA9A">
            <w:pPr>
              <w:topLinePunct/>
              <w:adjustRightInd w:val="0"/>
              <w:snapToGrid w:val="0"/>
              <w:spacing w:line="360" w:lineRule="auto"/>
              <w:jc w:val="right"/>
              <w:rPr>
                <w:rFonts w:ascii="宋体" w:hAnsi="宋体"/>
                <w:szCs w:val="21"/>
              </w:rPr>
            </w:pPr>
            <w:r>
              <w:rPr>
                <w:rFonts w:ascii="宋体" w:hAnsi="宋体"/>
                <w:szCs w:val="21"/>
              </w:rPr>
              <w:t>传    真：</w:t>
            </w:r>
          </w:p>
        </w:tc>
        <w:tc>
          <w:tcPr>
            <w:tcW w:w="3508" w:type="dxa"/>
            <w:shd w:val="clear" w:color="auto" w:fill="auto"/>
            <w:vAlign w:val="center"/>
          </w:tcPr>
          <w:p w14:paraId="40A55566">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input706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r>
      <w:tr w14:paraId="63C9A021">
        <w:tblPrEx>
          <w:tblCellMar>
            <w:top w:w="0" w:type="dxa"/>
            <w:left w:w="108" w:type="dxa"/>
            <w:bottom w:w="0" w:type="dxa"/>
            <w:right w:w="108" w:type="dxa"/>
          </w:tblCellMar>
        </w:tblPrEx>
        <w:trPr>
          <w:cantSplit/>
          <w:jc w:val="center"/>
        </w:trPr>
        <w:tc>
          <w:tcPr>
            <w:tcW w:w="1952" w:type="dxa"/>
            <w:shd w:val="clear" w:color="auto" w:fill="auto"/>
            <w:vAlign w:val="center"/>
          </w:tcPr>
          <w:p w14:paraId="6F094D9C">
            <w:pPr>
              <w:topLinePunct/>
              <w:adjustRightInd w:val="0"/>
              <w:snapToGrid w:val="0"/>
              <w:spacing w:line="360" w:lineRule="auto"/>
              <w:jc w:val="right"/>
              <w:rPr>
                <w:rFonts w:ascii="宋体" w:hAnsi="宋体"/>
                <w:szCs w:val="21"/>
              </w:rPr>
            </w:pPr>
            <w:r>
              <w:rPr>
                <w:rFonts w:ascii="宋体" w:hAnsi="宋体"/>
                <w:szCs w:val="21"/>
              </w:rPr>
              <w:t>电子</w:t>
            </w:r>
            <w:r>
              <w:rPr>
                <w:rFonts w:hint="eastAsia" w:ascii="宋体" w:hAnsi="宋体"/>
                <w:szCs w:val="21"/>
              </w:rPr>
              <w:t>信箱</w:t>
            </w:r>
            <w:r>
              <w:rPr>
                <w:rFonts w:ascii="宋体" w:hAnsi="宋体"/>
                <w:szCs w:val="21"/>
              </w:rPr>
              <w:t>：</w:t>
            </w:r>
          </w:p>
        </w:tc>
        <w:tc>
          <w:tcPr>
            <w:tcW w:w="2117" w:type="dxa"/>
            <w:shd w:val="clear" w:color="auto" w:fill="auto"/>
            <w:vAlign w:val="center"/>
          </w:tcPr>
          <w:p w14:paraId="473B26EE">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input707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495ACF6C">
            <w:pPr>
              <w:topLinePunct/>
              <w:adjustRightInd w:val="0"/>
              <w:snapToGrid w:val="0"/>
              <w:spacing w:line="360" w:lineRule="auto"/>
              <w:jc w:val="right"/>
              <w:rPr>
                <w:rFonts w:ascii="宋体" w:hAnsi="宋体"/>
                <w:szCs w:val="21"/>
              </w:rPr>
            </w:pPr>
            <w:r>
              <w:rPr>
                <w:rFonts w:ascii="宋体" w:hAnsi="宋体"/>
                <w:szCs w:val="21"/>
              </w:rPr>
              <w:t>电子</w:t>
            </w:r>
            <w:r>
              <w:rPr>
                <w:rFonts w:hint="eastAsia" w:ascii="宋体" w:hAnsi="宋体"/>
                <w:szCs w:val="21"/>
              </w:rPr>
              <w:t>信箱</w:t>
            </w:r>
            <w:r>
              <w:rPr>
                <w:rFonts w:ascii="宋体" w:hAnsi="宋体"/>
                <w:szCs w:val="21"/>
              </w:rPr>
              <w:t>：</w:t>
            </w:r>
          </w:p>
        </w:tc>
        <w:tc>
          <w:tcPr>
            <w:tcW w:w="3508" w:type="dxa"/>
            <w:shd w:val="clear" w:color="auto" w:fill="auto"/>
            <w:vAlign w:val="center"/>
          </w:tcPr>
          <w:p w14:paraId="78FC92C3">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input708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r>
      <w:tr w14:paraId="1EA9817D">
        <w:tblPrEx>
          <w:tblCellMar>
            <w:top w:w="0" w:type="dxa"/>
            <w:left w:w="108" w:type="dxa"/>
            <w:bottom w:w="0" w:type="dxa"/>
            <w:right w:w="108" w:type="dxa"/>
          </w:tblCellMar>
        </w:tblPrEx>
        <w:trPr>
          <w:cantSplit/>
          <w:jc w:val="center"/>
        </w:trPr>
        <w:tc>
          <w:tcPr>
            <w:tcW w:w="1952" w:type="dxa"/>
            <w:shd w:val="clear" w:color="auto" w:fill="auto"/>
            <w:vAlign w:val="center"/>
          </w:tcPr>
          <w:p w14:paraId="2905EB6E">
            <w:pPr>
              <w:topLinePunct/>
              <w:adjustRightInd w:val="0"/>
              <w:snapToGrid w:val="0"/>
              <w:spacing w:line="360" w:lineRule="auto"/>
              <w:jc w:val="right"/>
              <w:rPr>
                <w:rFonts w:ascii="宋体" w:hAnsi="宋体"/>
                <w:szCs w:val="21"/>
              </w:rPr>
            </w:pPr>
            <w:r>
              <w:rPr>
                <w:rFonts w:ascii="宋体" w:hAnsi="宋体"/>
                <w:szCs w:val="21"/>
              </w:rPr>
              <w:t>开户银行：</w:t>
            </w:r>
          </w:p>
        </w:tc>
        <w:tc>
          <w:tcPr>
            <w:tcW w:w="2117" w:type="dxa"/>
            <w:shd w:val="clear" w:color="auto" w:fill="auto"/>
            <w:vAlign w:val="center"/>
          </w:tcPr>
          <w:p w14:paraId="1A896551">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input709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7FBD9516">
            <w:pPr>
              <w:topLinePunct/>
              <w:adjustRightInd w:val="0"/>
              <w:snapToGrid w:val="0"/>
              <w:spacing w:line="360" w:lineRule="auto"/>
              <w:jc w:val="right"/>
              <w:rPr>
                <w:rFonts w:ascii="宋体" w:hAnsi="宋体"/>
                <w:szCs w:val="21"/>
              </w:rPr>
            </w:pPr>
            <w:r>
              <w:rPr>
                <w:rFonts w:ascii="宋体" w:hAnsi="宋体"/>
                <w:szCs w:val="21"/>
              </w:rPr>
              <w:t>开户银行：</w:t>
            </w:r>
          </w:p>
        </w:tc>
        <w:tc>
          <w:tcPr>
            <w:tcW w:w="3508" w:type="dxa"/>
            <w:shd w:val="clear" w:color="auto" w:fill="auto"/>
            <w:vAlign w:val="center"/>
          </w:tcPr>
          <w:p w14:paraId="63C1FD86">
            <w:pPr>
              <w:topLinePunct/>
              <w:adjustRightInd w:val="0"/>
              <w:snapToGrid w:val="0"/>
              <w:spacing w:line="360" w:lineRule="auto"/>
              <w:rPr>
                <w:rFonts w:ascii="宋体" w:hAnsi="宋体"/>
                <w:szCs w:val="21"/>
                <w:u w:val="single"/>
              </w:rPr>
            </w:pPr>
            <w:r>
              <w:rPr>
                <w:rFonts w:ascii="宋体" w:hAnsi="宋体"/>
                <w:szCs w:val="21"/>
                <w:u w:val="single"/>
              </w:rPr>
              <w:fldChar w:fldCharType="begin"/>
            </w:r>
            <w:r>
              <w:rPr>
                <w:rFonts w:ascii="宋体" w:hAnsi="宋体"/>
                <w:szCs w:val="21"/>
                <w:u w:val="single"/>
              </w:rPr>
              <w:instrText xml:space="preserve"> AUTOTEXT  input710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r>
      <w:tr w14:paraId="151DCD4D">
        <w:tblPrEx>
          <w:tblCellMar>
            <w:top w:w="0" w:type="dxa"/>
            <w:left w:w="108" w:type="dxa"/>
            <w:bottom w:w="0" w:type="dxa"/>
            <w:right w:w="108" w:type="dxa"/>
          </w:tblCellMar>
        </w:tblPrEx>
        <w:trPr>
          <w:cantSplit/>
          <w:jc w:val="center"/>
        </w:trPr>
        <w:tc>
          <w:tcPr>
            <w:tcW w:w="1952" w:type="dxa"/>
            <w:shd w:val="clear" w:color="auto" w:fill="auto"/>
            <w:vAlign w:val="center"/>
          </w:tcPr>
          <w:p w14:paraId="589CFF0E">
            <w:pPr>
              <w:topLinePunct/>
              <w:adjustRightInd w:val="0"/>
              <w:snapToGrid w:val="0"/>
              <w:spacing w:line="360" w:lineRule="auto"/>
              <w:jc w:val="right"/>
              <w:rPr>
                <w:rFonts w:ascii="宋体" w:hAnsi="宋体"/>
                <w:szCs w:val="21"/>
              </w:rPr>
            </w:pPr>
            <w:r>
              <w:rPr>
                <w:rFonts w:hint="eastAsia" w:ascii="宋体" w:hAnsi="宋体"/>
                <w:szCs w:val="21"/>
              </w:rPr>
              <w:t>账</w:t>
            </w:r>
            <w:r>
              <w:rPr>
                <w:rFonts w:ascii="宋体" w:hAnsi="宋体"/>
                <w:szCs w:val="21"/>
              </w:rPr>
              <w:t xml:space="preserve">    号：</w:t>
            </w:r>
          </w:p>
        </w:tc>
        <w:tc>
          <w:tcPr>
            <w:tcW w:w="2117" w:type="dxa"/>
            <w:shd w:val="clear" w:color="auto" w:fill="auto"/>
            <w:vAlign w:val="center"/>
          </w:tcPr>
          <w:p w14:paraId="5CA0A105">
            <w:pPr>
              <w:topLinePunct/>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input711 \* MERGEFORMAT </w:instrText>
            </w:r>
            <w:r>
              <w:rPr>
                <w:rFonts w:ascii="宋体" w:hAnsi="宋体"/>
                <w:szCs w:val="21"/>
                <w:u w:val="single"/>
              </w:rPr>
              <w:fldChar w:fldCharType="separate"/>
            </w:r>
            <w:r>
              <w:rPr>
                <w:rFonts w:ascii="宋体" w:hAnsi="宋体"/>
                <w:szCs w:val="21"/>
                <w:u w:val="single"/>
              </w:rPr>
              <w:t xml:space="preserve">     </w:t>
            </w:r>
            <w:r>
              <w:rPr>
                <w:rFonts w:ascii="宋体" w:hAnsi="宋体"/>
                <w:szCs w:val="21"/>
                <w:u w:val="single"/>
              </w:rPr>
              <w:fldChar w:fldCharType="end"/>
            </w:r>
          </w:p>
        </w:tc>
        <w:tc>
          <w:tcPr>
            <w:tcW w:w="1709" w:type="dxa"/>
            <w:shd w:val="clear" w:color="auto" w:fill="auto"/>
            <w:vAlign w:val="center"/>
          </w:tcPr>
          <w:p w14:paraId="25E685D4">
            <w:pPr>
              <w:topLinePunct/>
              <w:adjustRightInd w:val="0"/>
              <w:snapToGrid w:val="0"/>
              <w:spacing w:line="360" w:lineRule="auto"/>
              <w:jc w:val="right"/>
              <w:rPr>
                <w:rFonts w:ascii="宋体" w:hAnsi="宋体"/>
                <w:szCs w:val="21"/>
              </w:rPr>
            </w:pPr>
            <w:r>
              <w:rPr>
                <w:rFonts w:hint="eastAsia" w:ascii="宋体" w:hAnsi="宋体"/>
                <w:szCs w:val="21"/>
              </w:rPr>
              <w:t>账</w:t>
            </w:r>
            <w:r>
              <w:rPr>
                <w:rFonts w:ascii="宋体" w:hAnsi="宋体"/>
                <w:szCs w:val="21"/>
              </w:rPr>
              <w:t xml:space="preserve">    号：</w:t>
            </w:r>
          </w:p>
        </w:tc>
        <w:tc>
          <w:tcPr>
            <w:tcW w:w="3508" w:type="dxa"/>
            <w:shd w:val="clear" w:color="auto" w:fill="auto"/>
            <w:vAlign w:val="center"/>
          </w:tcPr>
          <w:p w14:paraId="0B5305D4">
            <w:pPr>
              <w:topLinePunct/>
              <w:adjustRightInd w:val="0"/>
              <w:snapToGrid w:val="0"/>
              <w:spacing w:line="360" w:lineRule="auto"/>
              <w:rPr>
                <w:rFonts w:ascii="宋体" w:hAnsi="宋体"/>
                <w:szCs w:val="21"/>
                <w:u w:val="single"/>
              </w:rPr>
            </w:pP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AUTOTEXT  input719 \* MERGEFORMAT</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 xml:space="preserve">     </w:t>
            </w:r>
            <w:r>
              <w:rPr>
                <w:rFonts w:ascii="宋体" w:hAnsi="宋体"/>
                <w:szCs w:val="21"/>
                <w:u w:val="single"/>
              </w:rPr>
              <w:fldChar w:fldCharType="end"/>
            </w:r>
          </w:p>
        </w:tc>
      </w:tr>
    </w:tbl>
    <w:p w14:paraId="504198A7">
      <w:pPr>
        <w:rPr>
          <w:rFonts w:asciiTheme="minorEastAsia" w:hAnsiTheme="minorEastAsia" w:eastAsiaTheme="minorEastAsia"/>
          <w:color w:val="000000"/>
          <w:szCs w:val="21"/>
        </w:rPr>
      </w:pPr>
      <w:r>
        <w:rPr>
          <w:rFonts w:asciiTheme="minorEastAsia" w:hAnsiTheme="minorEastAsia" w:eastAsiaTheme="minorEastAsia"/>
          <w:color w:val="000000"/>
          <w:szCs w:val="21"/>
          <w:u w:val="single"/>
        </w:rPr>
        <w:fldChar w:fldCharType="begin"/>
      </w:r>
      <w:r>
        <w:rPr>
          <w:rFonts w:asciiTheme="minorEastAsia" w:hAnsiTheme="minorEastAsia" w:eastAsiaTheme="minorEastAsia"/>
          <w:color w:val="000000"/>
          <w:szCs w:val="21"/>
          <w:u w:val="single"/>
        </w:rPr>
        <w:instrText xml:space="preserve"> </w:instrText>
      </w:r>
      <w:r>
        <w:rPr>
          <w:rFonts w:hint="eastAsia" w:asciiTheme="minorEastAsia" w:hAnsiTheme="minorEastAsia" w:eastAsiaTheme="minorEastAsia"/>
          <w:color w:val="000000"/>
          <w:szCs w:val="21"/>
          <w:u w:val="single"/>
        </w:rPr>
        <w:instrText xml:space="preserve">AUTOTEXT  input717 \* MERGEFORMAT</w:instrText>
      </w:r>
      <w:r>
        <w:rPr>
          <w:rFonts w:asciiTheme="minorEastAsia" w:hAnsiTheme="minorEastAsia" w:eastAsiaTheme="minorEastAsia"/>
          <w:color w:val="000000"/>
          <w:szCs w:val="21"/>
          <w:u w:val="single"/>
        </w:rPr>
        <w:instrText xml:space="preserve"> </w:instrText>
      </w:r>
      <w:r>
        <w:rPr>
          <w:rFonts w:asciiTheme="minorEastAsia" w:hAnsiTheme="minorEastAsia" w:eastAsiaTheme="minorEastAsia"/>
          <w:color w:val="000000"/>
          <w:szCs w:val="21"/>
          <w:u w:val="single"/>
        </w:rPr>
        <w:fldChar w:fldCharType="separate"/>
      </w:r>
      <w:r>
        <w:rPr>
          <w:rFonts w:hint="eastAsia" w:asciiTheme="minorEastAsia" w:hAnsiTheme="minorEastAsia" w:eastAsiaTheme="minorEastAsia"/>
          <w:color w:val="000000"/>
          <w:szCs w:val="21"/>
          <w:u w:val="single"/>
        </w:rPr>
        <w:t xml:space="preserve">     </w:t>
      </w:r>
      <w:r>
        <w:rPr>
          <w:rFonts w:asciiTheme="minorEastAsia" w:hAnsiTheme="minorEastAsia" w:eastAsiaTheme="minorEastAsia"/>
          <w:color w:val="000000"/>
          <w:szCs w:val="21"/>
          <w:u w:val="single"/>
        </w:rPr>
        <w:fldChar w:fldCharType="end"/>
      </w:r>
    </w:p>
    <w:p w14:paraId="58C7C82A">
      <w:pPr>
        <w:rPr>
          <w:rFonts w:eastAsia="仿宋_GB2312"/>
          <w:color w:val="000000"/>
          <w:szCs w:val="21"/>
        </w:rPr>
      </w:pPr>
      <w:r>
        <w:rPr>
          <w:rFonts w:eastAsia="仿宋_GB2312"/>
          <w:color w:val="000000"/>
          <w:szCs w:val="21"/>
        </w:rPr>
        <w:br w:type="page"/>
      </w:r>
    </w:p>
    <w:p w14:paraId="5F3A3680">
      <w:pPr>
        <w:adjustRightInd w:val="0"/>
        <w:snapToGrid w:val="0"/>
        <w:spacing w:line="360" w:lineRule="auto"/>
        <w:outlineLvl w:val="1"/>
        <w:rPr>
          <w:rFonts w:ascii="华文中宋" w:hAnsi="华文中宋" w:eastAsia="华文中宋"/>
          <w:szCs w:val="21"/>
        </w:rPr>
      </w:pPr>
      <w:bookmarkStart w:id="178" w:name="_Toc7772"/>
      <w:r>
        <w:rPr>
          <w:rFonts w:hint="eastAsia" w:ascii="黑体" w:eastAsia="黑体"/>
          <w:szCs w:val="21"/>
        </w:rPr>
        <w:t>第二部分 通用合同条款</w:t>
      </w:r>
      <w:bookmarkEnd w:id="178"/>
    </w:p>
    <w:p w14:paraId="295359C0">
      <w:pPr>
        <w:adjustRightInd w:val="0"/>
        <w:snapToGrid w:val="0"/>
        <w:spacing w:line="360" w:lineRule="auto"/>
        <w:outlineLvl w:val="2"/>
        <w:rPr>
          <w:rFonts w:ascii="宋体" w:hAnsi="宋体"/>
          <w:b/>
          <w:sz w:val="32"/>
          <w:szCs w:val="32"/>
        </w:rPr>
      </w:pPr>
      <w:bookmarkStart w:id="179" w:name="_Toc10898"/>
      <w:r>
        <w:rPr>
          <w:rFonts w:hint="eastAsia" w:ascii="宋体" w:hAnsi="宋体"/>
          <w:b/>
          <w:sz w:val="32"/>
          <w:szCs w:val="32"/>
        </w:rPr>
        <w:t>1. 一般约定</w:t>
      </w:r>
      <w:bookmarkEnd w:id="179"/>
    </w:p>
    <w:p w14:paraId="0130BDA3">
      <w:pPr>
        <w:pStyle w:val="6"/>
        <w:keepNext w:val="0"/>
        <w:keepLines w:val="0"/>
        <w:spacing w:before="120" w:after="120" w:line="360" w:lineRule="auto"/>
        <w:ind w:firstLine="420" w:firstLineChars="200"/>
        <w:rPr>
          <w:rFonts w:eastAsia="黑体"/>
          <w:b w:val="0"/>
          <w:color w:val="000000"/>
          <w:sz w:val="21"/>
          <w:szCs w:val="21"/>
        </w:rPr>
      </w:pPr>
      <w:r>
        <w:rPr>
          <w:rFonts w:eastAsia="黑体"/>
          <w:b w:val="0"/>
          <w:color w:val="000000"/>
          <w:sz w:val="21"/>
          <w:szCs w:val="21"/>
        </w:rPr>
        <w:t>1.1</w:t>
      </w:r>
      <w:r>
        <w:rPr>
          <w:rFonts w:hint="eastAsia" w:eastAsia="黑体"/>
          <w:b w:val="0"/>
          <w:color w:val="000000"/>
          <w:sz w:val="21"/>
          <w:szCs w:val="21"/>
        </w:rPr>
        <w:t>词语定义与解释</w:t>
      </w:r>
    </w:p>
    <w:p w14:paraId="68E920F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合同协议书、通用合同条款、专用合同条款中的下列词语具有本款所赋予的含义：</w:t>
      </w:r>
    </w:p>
    <w:p w14:paraId="0C7CE3CE">
      <w:pPr>
        <w:autoSpaceDE w:val="0"/>
        <w:autoSpaceDN w:val="0"/>
        <w:adjustRightInd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1.1.1 </w:t>
      </w:r>
      <w:r>
        <w:rPr>
          <w:rFonts w:hint="eastAsia" w:asciiTheme="minorEastAsia" w:hAnsiTheme="minorEastAsia" w:eastAsiaTheme="minorEastAsia"/>
          <w:color w:val="000000"/>
          <w:szCs w:val="21"/>
        </w:rPr>
        <w:t>合同</w:t>
      </w:r>
    </w:p>
    <w:p w14:paraId="1634144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1.1.1.1 </w:t>
      </w:r>
      <w:r>
        <w:rPr>
          <w:rFonts w:hint="eastAsia" w:asciiTheme="minorEastAsia" w:hAnsiTheme="minorEastAsia" w:eastAsiaTheme="minorEastAsia"/>
          <w:color w:val="000000"/>
          <w:szCs w:val="21"/>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3D032AF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1.1.1.2 </w:t>
      </w:r>
      <w:r>
        <w:rPr>
          <w:rFonts w:hint="eastAsia" w:asciiTheme="minorEastAsia" w:hAnsiTheme="minorEastAsia" w:eastAsiaTheme="minorEastAsia"/>
          <w:color w:val="000000"/>
          <w:szCs w:val="21"/>
        </w:rPr>
        <w:t>合同协议书：是指构成合同的由发包人和承包人共同签署的称为</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合同协议书</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的书面文件。</w:t>
      </w:r>
    </w:p>
    <w:p w14:paraId="04B462C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1.1.1.3 </w:t>
      </w:r>
      <w:r>
        <w:rPr>
          <w:rFonts w:hint="eastAsia" w:asciiTheme="minorEastAsia" w:hAnsiTheme="minorEastAsia" w:eastAsiaTheme="minorEastAsia"/>
          <w:color w:val="000000"/>
          <w:szCs w:val="21"/>
        </w:rPr>
        <w:t>中标通知书：是指构成合同的由发包人通知承包人中标的书面文件。</w:t>
      </w:r>
    </w:p>
    <w:p w14:paraId="5F88771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1.1.1.4 </w:t>
      </w:r>
      <w:r>
        <w:rPr>
          <w:rFonts w:hint="eastAsia" w:asciiTheme="minorEastAsia" w:hAnsiTheme="minorEastAsia" w:eastAsiaTheme="minorEastAsia"/>
          <w:color w:val="000000"/>
          <w:szCs w:val="21"/>
        </w:rPr>
        <w:t>投标函：是指构成合同的由承包人填写并签署的用于投标的称为</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投标函</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的文件。</w:t>
      </w:r>
    </w:p>
    <w:p w14:paraId="65972EE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1.1.1.5 </w:t>
      </w:r>
      <w:r>
        <w:rPr>
          <w:rFonts w:hint="eastAsia" w:asciiTheme="minorEastAsia" w:hAnsiTheme="minorEastAsia" w:eastAsiaTheme="minorEastAsia"/>
          <w:color w:val="000000"/>
          <w:szCs w:val="21"/>
        </w:rPr>
        <w:t>投标函附录：是指构成合同的附在投标函后的称为</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投标函附录</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的文件。</w:t>
      </w:r>
    </w:p>
    <w:p w14:paraId="21F4F9D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1.1.1.6 </w:t>
      </w:r>
      <w:r>
        <w:rPr>
          <w:rFonts w:hint="eastAsia" w:asciiTheme="minorEastAsia" w:hAnsiTheme="minorEastAsia" w:eastAsiaTheme="minorEastAsia"/>
          <w:color w:val="000000"/>
          <w:szCs w:val="21"/>
        </w:rPr>
        <w:t>技术标准和要求：是指构成合同的施工应当遵守的或指导施工的国家、行业或地方的技术标准和要求，以及合同约定的技术标准和要求。</w:t>
      </w:r>
    </w:p>
    <w:p w14:paraId="3391DA9D">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1.1.1.7 </w:t>
      </w:r>
      <w:r>
        <w:rPr>
          <w:rFonts w:hint="eastAsia" w:asciiTheme="minorEastAsia" w:hAnsiTheme="minorEastAsia" w:eastAsiaTheme="minorEastAsia"/>
          <w:color w:val="000000"/>
          <w:szCs w:val="21"/>
        </w:rPr>
        <w:t>图纸：是指构成合同的图纸，包括由发包人按照合同约定提供或经发包人批准的设计文件、施工图、鸟瞰图及模型等，以及在合同履行过程中形成的图纸文件。图纸应当按照法律规定审查合格。</w:t>
      </w:r>
    </w:p>
    <w:p w14:paraId="4772B51E">
      <w:pPr>
        <w:autoSpaceDE w:val="0"/>
        <w:autoSpaceDN w:val="0"/>
        <w:adjustRightInd w:val="0"/>
        <w:spacing w:line="360" w:lineRule="auto"/>
        <w:ind w:firstLine="468" w:firstLineChars="195"/>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1.1.1.8 </w:t>
      </w:r>
      <w:r>
        <w:rPr>
          <w:rFonts w:hint="eastAsia" w:asciiTheme="minorEastAsia" w:hAnsiTheme="minorEastAsia" w:eastAsiaTheme="minorEastAsia"/>
          <w:color w:val="000000"/>
          <w:szCs w:val="21"/>
        </w:rPr>
        <w:t>已标价工程量清单：是指构成合同的由承包人按照规定的格式和要求填写并标明价格的工程量清单，包括说明和表格。</w:t>
      </w:r>
    </w:p>
    <w:p w14:paraId="5B97340B">
      <w:pPr>
        <w:autoSpaceDE w:val="0"/>
        <w:autoSpaceDN w:val="0"/>
        <w:adjustRightInd w:val="0"/>
        <w:spacing w:line="360" w:lineRule="auto"/>
        <w:ind w:firstLine="468" w:firstLineChars="195"/>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1.1.1.9 </w:t>
      </w:r>
      <w:r>
        <w:rPr>
          <w:rFonts w:hint="eastAsia" w:asciiTheme="minorEastAsia" w:hAnsiTheme="minorEastAsia" w:eastAsiaTheme="minorEastAsia"/>
          <w:color w:val="000000"/>
          <w:szCs w:val="21"/>
        </w:rPr>
        <w:t>预算书：是指构成合同的由承包人按照发包人规定的格式和要求编制的工程预算文件。</w:t>
      </w:r>
    </w:p>
    <w:p w14:paraId="7CB9920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1.1.1.10 </w:t>
      </w:r>
      <w:r>
        <w:rPr>
          <w:rFonts w:hint="eastAsia" w:asciiTheme="minorEastAsia" w:hAnsiTheme="minorEastAsia" w:eastAsiaTheme="minorEastAsia"/>
          <w:color w:val="000000"/>
          <w:szCs w:val="21"/>
        </w:rPr>
        <w:t>其他合同文件：是指经合同当事人约定的与工程施工有关的具有合同约束力的文件或书面协议。合同当事人可以在专用合同条款中进行约定。</w:t>
      </w:r>
    </w:p>
    <w:p w14:paraId="03D7AB77">
      <w:pPr>
        <w:autoSpaceDE w:val="0"/>
        <w:autoSpaceDN w:val="0"/>
        <w:adjustRightInd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1.1.2 </w:t>
      </w:r>
      <w:r>
        <w:rPr>
          <w:rFonts w:hint="eastAsia" w:asciiTheme="minorEastAsia" w:hAnsiTheme="minorEastAsia" w:eastAsiaTheme="minorEastAsia"/>
          <w:color w:val="000000"/>
          <w:szCs w:val="21"/>
        </w:rPr>
        <w:t>合同当事人及其他相关方</w:t>
      </w:r>
    </w:p>
    <w:p w14:paraId="6268E02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1.1.2.1 </w:t>
      </w:r>
      <w:r>
        <w:rPr>
          <w:rFonts w:hint="eastAsia" w:asciiTheme="minorEastAsia" w:hAnsiTheme="minorEastAsia" w:eastAsiaTheme="minorEastAsia"/>
          <w:color w:val="000000"/>
          <w:szCs w:val="21"/>
        </w:rPr>
        <w:t>合同当事人：是指发包人和（或）承包人。</w:t>
      </w:r>
    </w:p>
    <w:p w14:paraId="34A7859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1.1.2.2 </w:t>
      </w:r>
      <w:r>
        <w:rPr>
          <w:rFonts w:hint="eastAsia" w:asciiTheme="minorEastAsia" w:hAnsiTheme="minorEastAsia" w:eastAsiaTheme="minorEastAsia"/>
          <w:color w:val="000000"/>
          <w:szCs w:val="21"/>
        </w:rPr>
        <w:t>发包人：是指与承包人签订合同协议书的当事人及取得该当事人资格的合法继承人。</w:t>
      </w:r>
    </w:p>
    <w:p w14:paraId="2BCD813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1.1.2.3 </w:t>
      </w:r>
      <w:r>
        <w:rPr>
          <w:rFonts w:hint="eastAsia" w:asciiTheme="minorEastAsia" w:hAnsiTheme="minorEastAsia" w:eastAsiaTheme="minorEastAsia"/>
          <w:color w:val="000000"/>
          <w:szCs w:val="21"/>
        </w:rPr>
        <w:t>承包人：是指与发包人签订合同协议书的，具有相应工程施工承包资质的当事人及取得该当事人资格的合法继承人。</w:t>
      </w:r>
    </w:p>
    <w:p w14:paraId="358827D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1.1.2.4 </w:t>
      </w:r>
      <w:r>
        <w:rPr>
          <w:rFonts w:hint="eastAsia" w:asciiTheme="minorEastAsia" w:hAnsiTheme="minorEastAsia" w:eastAsiaTheme="minorEastAsia"/>
          <w:color w:val="000000"/>
          <w:szCs w:val="21"/>
        </w:rPr>
        <w:t>监理人：是指在专用合同条款中指明的，受发包人委托按照法律规定进行工程监督管理的法人或其他组织。</w:t>
      </w:r>
    </w:p>
    <w:p w14:paraId="2A42D34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1.1.2.5 </w:t>
      </w:r>
      <w:r>
        <w:rPr>
          <w:rFonts w:hint="eastAsia" w:asciiTheme="minorEastAsia" w:hAnsiTheme="minorEastAsia" w:eastAsiaTheme="minorEastAsia"/>
          <w:color w:val="000000"/>
          <w:szCs w:val="21"/>
        </w:rPr>
        <w:t>设计人：是指在专用合同条款中指明的，受发包人委托负责工程设计并具备相应工程设计资质的法人或其他组织。</w:t>
      </w:r>
    </w:p>
    <w:p w14:paraId="46F53FBB">
      <w:pPr>
        <w:spacing w:line="360" w:lineRule="auto"/>
        <w:ind w:firstLine="468" w:firstLineChars="195"/>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1.1.2.6 </w:t>
      </w:r>
      <w:r>
        <w:rPr>
          <w:rFonts w:hint="eastAsia" w:asciiTheme="minorEastAsia" w:hAnsiTheme="minorEastAsia" w:eastAsiaTheme="minorEastAsia"/>
          <w:color w:val="000000"/>
          <w:szCs w:val="21"/>
        </w:rPr>
        <w:t>分包人：是指按照法律规定和合同约定，分包部分工程或工作，并与承包人签订分包合同的具有相应资质的法人。</w:t>
      </w:r>
    </w:p>
    <w:p w14:paraId="3F7802B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1.1.2.7 </w:t>
      </w:r>
      <w:r>
        <w:rPr>
          <w:rFonts w:hint="eastAsia" w:asciiTheme="minorEastAsia" w:hAnsiTheme="minorEastAsia" w:eastAsiaTheme="minorEastAsia"/>
          <w:color w:val="000000"/>
          <w:szCs w:val="21"/>
        </w:rPr>
        <w:t>发包人代表：是指由发包人任命并派驻施工现场在发包人授权范围内行使发包人权利的人。</w:t>
      </w:r>
    </w:p>
    <w:p w14:paraId="505DDC9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1.1.2.8 </w:t>
      </w:r>
      <w:r>
        <w:rPr>
          <w:rFonts w:hint="eastAsia" w:asciiTheme="minorEastAsia" w:hAnsiTheme="minorEastAsia" w:eastAsiaTheme="minorEastAsia"/>
          <w:color w:val="000000"/>
          <w:szCs w:val="21"/>
        </w:rPr>
        <w:t>项目经理：是指由承包人任命并派驻施工现场，在承包人授权范围内负责合同履行，且按照法律规定具有相应资格的项目负责人。</w:t>
      </w:r>
    </w:p>
    <w:p w14:paraId="2B01D2CE">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1.1.2.9 </w:t>
      </w:r>
      <w:r>
        <w:rPr>
          <w:rFonts w:hint="eastAsia" w:asciiTheme="minorEastAsia" w:hAnsiTheme="minorEastAsia" w:eastAsiaTheme="minorEastAsia"/>
          <w:color w:val="000000"/>
          <w:szCs w:val="21"/>
        </w:rPr>
        <w:t>总监理工程师：是指由监理人任命并派驻施工现场进行工程监理的总负责人。</w:t>
      </w:r>
    </w:p>
    <w:p w14:paraId="7299668C">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 </w:t>
      </w:r>
      <w:r>
        <w:rPr>
          <w:rFonts w:hint="eastAsia" w:asciiTheme="minorEastAsia" w:hAnsiTheme="minorEastAsia" w:eastAsiaTheme="minorEastAsia"/>
          <w:color w:val="000000"/>
          <w:szCs w:val="21"/>
        </w:rPr>
        <w:t>工程和设备</w:t>
      </w:r>
    </w:p>
    <w:p w14:paraId="5D502F3E">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1.1.3.1 </w:t>
      </w:r>
      <w:r>
        <w:rPr>
          <w:rFonts w:hint="eastAsia" w:asciiTheme="minorEastAsia" w:hAnsiTheme="minorEastAsia" w:eastAsiaTheme="minorEastAsia"/>
          <w:color w:val="000000"/>
          <w:szCs w:val="21"/>
        </w:rPr>
        <w:t>工程：是指与合同协议书中工程承包范围对应的永久工程和（或）临时工程。</w:t>
      </w:r>
    </w:p>
    <w:p w14:paraId="5BECEF6D">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1.1.3.2 </w:t>
      </w:r>
      <w:r>
        <w:rPr>
          <w:rFonts w:hint="eastAsia" w:asciiTheme="minorEastAsia" w:hAnsiTheme="minorEastAsia" w:eastAsiaTheme="minorEastAsia"/>
          <w:color w:val="000000"/>
          <w:szCs w:val="21"/>
        </w:rPr>
        <w:t>永久工程：是指按合同约定建造并移交给发包人的工程，包括工程设备。</w:t>
      </w:r>
    </w:p>
    <w:p w14:paraId="57B0639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1.1.3.3 </w:t>
      </w:r>
      <w:r>
        <w:rPr>
          <w:rFonts w:hint="eastAsia" w:asciiTheme="minorEastAsia" w:hAnsiTheme="minorEastAsia" w:eastAsiaTheme="minorEastAsia"/>
          <w:color w:val="000000"/>
          <w:szCs w:val="21"/>
        </w:rPr>
        <w:t>临时工程：是指为完成合同约定的永久工程所修建的各类临时性工程，不包括施工设备。</w:t>
      </w:r>
    </w:p>
    <w:p w14:paraId="5536CD5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1.1.3.4 </w:t>
      </w:r>
      <w:r>
        <w:rPr>
          <w:rFonts w:hint="eastAsia" w:asciiTheme="minorEastAsia" w:hAnsiTheme="minorEastAsia" w:eastAsiaTheme="minorEastAsia"/>
          <w:color w:val="000000"/>
          <w:szCs w:val="21"/>
        </w:rPr>
        <w:t>单位工程：是指在合同协议书中指明的，具备独立施工条件并能形成独立使用功能的永久工程。</w:t>
      </w:r>
    </w:p>
    <w:p w14:paraId="23F9649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1.1.3.5 </w:t>
      </w:r>
      <w:r>
        <w:rPr>
          <w:rFonts w:hint="eastAsia" w:asciiTheme="minorEastAsia" w:hAnsiTheme="minorEastAsia" w:eastAsiaTheme="minorEastAsia"/>
          <w:color w:val="000000"/>
          <w:szCs w:val="21"/>
        </w:rPr>
        <w:t>工程设备：是指构成永久工程的机电设备、金属结构设备、仪器及其他类似的设备和装置。</w:t>
      </w:r>
    </w:p>
    <w:p w14:paraId="6E6D5820">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1.1.3.6 </w:t>
      </w:r>
      <w:r>
        <w:rPr>
          <w:rFonts w:hint="eastAsia" w:asciiTheme="minorEastAsia" w:hAnsiTheme="minorEastAsia" w:eastAsiaTheme="minorEastAsia"/>
          <w:color w:val="000000"/>
          <w:szCs w:val="21"/>
        </w:rPr>
        <w:t>施工设备：是指为完成合同约定的各项工作所需的设备、器具和其他物品，但不包括工程设备、临时工程和材料。</w:t>
      </w:r>
    </w:p>
    <w:p w14:paraId="07F979C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1.1.3.7 </w:t>
      </w:r>
      <w:r>
        <w:rPr>
          <w:rFonts w:hint="eastAsia" w:asciiTheme="minorEastAsia" w:hAnsiTheme="minorEastAsia" w:eastAsiaTheme="minorEastAsia"/>
          <w:color w:val="000000"/>
          <w:szCs w:val="21"/>
        </w:rPr>
        <w:t>施工现场：是指用于工程施工的场所，以及在专用合同条款中指明作为施工场所组成部分的其他场所，包括永久占地和临时占地。</w:t>
      </w:r>
    </w:p>
    <w:p w14:paraId="6474F291">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1.1.3.8</w:t>
      </w:r>
      <w:r>
        <w:rPr>
          <w:rFonts w:hint="eastAsia" w:asciiTheme="minorEastAsia" w:hAnsiTheme="minorEastAsia" w:eastAsiaTheme="minorEastAsia"/>
          <w:color w:val="000000"/>
          <w:szCs w:val="21"/>
        </w:rPr>
        <w:t>临时设施：是指为完成合同约定的各项工作所服务的临时性生产和生活设施。</w:t>
      </w:r>
    </w:p>
    <w:p w14:paraId="2A963851">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1.1.3.9 </w:t>
      </w:r>
      <w:r>
        <w:rPr>
          <w:rFonts w:hint="eastAsia" w:asciiTheme="minorEastAsia" w:hAnsiTheme="minorEastAsia" w:eastAsiaTheme="minorEastAsia"/>
          <w:color w:val="000000"/>
          <w:szCs w:val="21"/>
        </w:rPr>
        <w:t>永久占地：是指专用合同条款中指明为实施工程需永久占用的土地。</w:t>
      </w:r>
    </w:p>
    <w:p w14:paraId="39420D14">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1.1.3.10 </w:t>
      </w:r>
      <w:r>
        <w:rPr>
          <w:rFonts w:hint="eastAsia" w:asciiTheme="minorEastAsia" w:hAnsiTheme="minorEastAsia" w:eastAsiaTheme="minorEastAsia"/>
          <w:color w:val="000000"/>
          <w:szCs w:val="21"/>
        </w:rPr>
        <w:t>临时占地：是指专用合同条款中指明为实施工程需要临时占用的土地。</w:t>
      </w:r>
    </w:p>
    <w:p w14:paraId="572FC764">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1.1.4 </w:t>
      </w:r>
      <w:r>
        <w:rPr>
          <w:rFonts w:hint="eastAsia" w:asciiTheme="minorEastAsia" w:hAnsiTheme="minorEastAsia" w:eastAsiaTheme="minorEastAsia"/>
          <w:color w:val="000000"/>
          <w:szCs w:val="21"/>
        </w:rPr>
        <w:t>日期和期限</w:t>
      </w:r>
    </w:p>
    <w:p w14:paraId="077716A0">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1.1.4.1 </w:t>
      </w:r>
      <w:r>
        <w:rPr>
          <w:rFonts w:hint="eastAsia" w:asciiTheme="minorEastAsia" w:hAnsiTheme="minorEastAsia" w:eastAsiaTheme="minorEastAsia"/>
          <w:color w:val="000000"/>
          <w:szCs w:val="21"/>
        </w:rPr>
        <w:t>开工日期：包括计划开工日期和实际开工日期。计划开工日期是指合同协议书约定的开工日期；实际开工日期是指监理人按照第</w:t>
      </w:r>
      <w:r>
        <w:rPr>
          <w:rFonts w:asciiTheme="minorEastAsia" w:hAnsiTheme="minorEastAsia" w:eastAsiaTheme="minorEastAsia"/>
          <w:color w:val="000000"/>
          <w:szCs w:val="21"/>
        </w:rPr>
        <w:t>7.3.2</w:t>
      </w:r>
      <w:r>
        <w:rPr>
          <w:rFonts w:hint="eastAsia" w:asciiTheme="minorEastAsia" w:hAnsiTheme="minorEastAsia" w:eastAsiaTheme="minorEastAsia"/>
          <w:color w:val="000000"/>
          <w:szCs w:val="21"/>
        </w:rPr>
        <w:t>项〔开工通知〕约定发出的符合法律规定的开工通知中载明的开工日期。</w:t>
      </w:r>
    </w:p>
    <w:p w14:paraId="753692B1">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1.1.4.2 </w:t>
      </w:r>
      <w:r>
        <w:rPr>
          <w:rFonts w:hint="eastAsia" w:asciiTheme="minorEastAsia" w:hAnsiTheme="minorEastAsia" w:eastAsiaTheme="minorEastAsia"/>
          <w:color w:val="000000"/>
          <w:szCs w:val="21"/>
        </w:rPr>
        <w:t>竣工日期：包括计划竣工日期和实际竣工日期。计划竣工日期是指合同协议书约定的竣工日期；实际竣工日期按照第</w:t>
      </w:r>
      <w:r>
        <w:rPr>
          <w:rFonts w:asciiTheme="minorEastAsia" w:hAnsiTheme="minorEastAsia" w:eastAsiaTheme="minorEastAsia"/>
          <w:color w:val="000000"/>
          <w:szCs w:val="21"/>
        </w:rPr>
        <w:t>13.2.3</w:t>
      </w:r>
      <w:r>
        <w:rPr>
          <w:rFonts w:hint="eastAsia" w:asciiTheme="minorEastAsia" w:hAnsiTheme="minorEastAsia" w:eastAsiaTheme="minorEastAsia"/>
          <w:color w:val="000000"/>
          <w:szCs w:val="21"/>
        </w:rPr>
        <w:t>项〔竣工日期〕的约定确定。</w:t>
      </w:r>
      <w:r>
        <w:rPr>
          <w:rFonts w:asciiTheme="minorEastAsia" w:hAnsiTheme="minorEastAsia" w:eastAsiaTheme="minorEastAsia"/>
          <w:color w:val="000000"/>
          <w:szCs w:val="21"/>
        </w:rPr>
        <w:t xml:space="preserve"> </w:t>
      </w:r>
    </w:p>
    <w:p w14:paraId="365BE528">
      <w:pPr>
        <w:spacing w:line="360" w:lineRule="auto"/>
        <w:ind w:firstLine="487" w:firstLineChars="203"/>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1.1.4.3 </w:t>
      </w:r>
      <w:r>
        <w:rPr>
          <w:rFonts w:hint="eastAsia" w:asciiTheme="minorEastAsia" w:hAnsiTheme="minorEastAsia" w:eastAsiaTheme="minorEastAsia"/>
          <w:color w:val="000000"/>
          <w:szCs w:val="21"/>
        </w:rPr>
        <w:t>工期：是指在合同协议书约定的承包人完成工程所需的期限，包括按照合同约定所作的期限变更。</w:t>
      </w:r>
    </w:p>
    <w:p w14:paraId="7220EB2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1.1.4.4 </w:t>
      </w:r>
      <w:r>
        <w:rPr>
          <w:rFonts w:hint="eastAsia" w:asciiTheme="minorEastAsia" w:hAnsiTheme="minorEastAsia" w:eastAsiaTheme="minorEastAsia"/>
          <w:color w:val="000000"/>
          <w:szCs w:val="21"/>
        </w:rPr>
        <w:t>缺陷责任期：是指承包人按照合同约定承担缺陷修复义务，且发包人预留质量保证金（已缴纳履约保证金的除外）的期限，自工程实际竣工日期起计算。</w:t>
      </w:r>
    </w:p>
    <w:p w14:paraId="3FC56FD3">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1.1.4.5 </w:t>
      </w:r>
      <w:r>
        <w:rPr>
          <w:rFonts w:hint="eastAsia" w:asciiTheme="minorEastAsia" w:hAnsiTheme="minorEastAsia" w:eastAsiaTheme="minorEastAsia"/>
          <w:color w:val="000000"/>
          <w:szCs w:val="21"/>
        </w:rPr>
        <w:t>保修期：是指承包人按照合同约定对工程承担保修责任的期限，从工程竣工验收合格之日起计算。</w:t>
      </w:r>
    </w:p>
    <w:p w14:paraId="25AA8BCF">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1.1.4.6 </w:t>
      </w:r>
      <w:r>
        <w:rPr>
          <w:rFonts w:hint="eastAsia" w:asciiTheme="minorEastAsia" w:hAnsiTheme="minorEastAsia" w:eastAsiaTheme="minorEastAsia"/>
          <w:color w:val="000000"/>
          <w:szCs w:val="21"/>
        </w:rPr>
        <w:t>基准日期：招标发包的工程以投标截止日前</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天的日期为基准日期，直接发包的工程以合同签订日前</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天的日期为基准日期。</w:t>
      </w:r>
    </w:p>
    <w:p w14:paraId="003B95C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1.1.4.7 </w:t>
      </w:r>
      <w:r>
        <w:rPr>
          <w:rFonts w:hint="eastAsia" w:asciiTheme="minorEastAsia" w:hAnsiTheme="minorEastAsia" w:eastAsiaTheme="minorEastAsia"/>
          <w:color w:val="000000"/>
          <w:szCs w:val="21"/>
        </w:rPr>
        <w:t>天：除特别指明外，均指日历天。合同中按天计算时间的，开始当天不计入，从次日开始计算，期限最后一天的截止时间为当天</w:t>
      </w:r>
      <w:r>
        <w:rPr>
          <w:rFonts w:asciiTheme="minorEastAsia" w:hAnsiTheme="minorEastAsia" w:eastAsiaTheme="minorEastAsia"/>
          <w:color w:val="000000"/>
          <w:szCs w:val="21"/>
        </w:rPr>
        <w:t>24:00</w:t>
      </w:r>
      <w:r>
        <w:rPr>
          <w:rFonts w:hint="eastAsia" w:asciiTheme="minorEastAsia" w:hAnsiTheme="minorEastAsia" w:eastAsiaTheme="minorEastAsia"/>
          <w:color w:val="000000"/>
          <w:szCs w:val="21"/>
        </w:rPr>
        <w:t>时。</w:t>
      </w:r>
    </w:p>
    <w:p w14:paraId="428249AB">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1.1.5 </w:t>
      </w:r>
      <w:r>
        <w:rPr>
          <w:rFonts w:hint="eastAsia" w:asciiTheme="minorEastAsia" w:hAnsiTheme="minorEastAsia" w:eastAsiaTheme="minorEastAsia"/>
          <w:color w:val="000000"/>
          <w:szCs w:val="21"/>
        </w:rPr>
        <w:t>合同价格和费用</w:t>
      </w:r>
    </w:p>
    <w:p w14:paraId="2983BDCC">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1.1.5.1 </w:t>
      </w:r>
      <w:r>
        <w:rPr>
          <w:rFonts w:hint="eastAsia" w:asciiTheme="minorEastAsia" w:hAnsiTheme="minorEastAsia" w:eastAsiaTheme="minorEastAsia"/>
          <w:color w:val="000000"/>
          <w:szCs w:val="21"/>
        </w:rPr>
        <w:t>签约合同价：是指发包人和承包人在合同协议书中确定的总金额，包括安全文明施工费、暂估价及暂列金额等。</w:t>
      </w:r>
    </w:p>
    <w:p w14:paraId="386E4D32">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1.1.5.2 </w:t>
      </w:r>
      <w:r>
        <w:rPr>
          <w:rFonts w:hint="eastAsia" w:asciiTheme="minorEastAsia" w:hAnsiTheme="minorEastAsia" w:eastAsiaTheme="minorEastAsia"/>
          <w:color w:val="000000"/>
          <w:szCs w:val="21"/>
        </w:rPr>
        <w:t>合同价格：是指发包人用于支付承包人按照合同约定完成承包范围内全部工作的金额，包括合同履行过程中按合同约定发生的价格变化。</w:t>
      </w:r>
    </w:p>
    <w:p w14:paraId="4D3F762E">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1.1.5.3 </w:t>
      </w:r>
      <w:r>
        <w:rPr>
          <w:rFonts w:hint="eastAsia" w:asciiTheme="minorEastAsia" w:hAnsiTheme="minorEastAsia" w:eastAsiaTheme="minorEastAsia"/>
          <w:color w:val="000000"/>
          <w:szCs w:val="21"/>
        </w:rPr>
        <w:t>费用：是指为履行合同所发生的或将要发生的所有必需的开支，包括管理费和应分摊的其他费用，但不包括利润。</w:t>
      </w:r>
    </w:p>
    <w:p w14:paraId="697D1A2C">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1.1.5.4 </w:t>
      </w:r>
      <w:r>
        <w:rPr>
          <w:rFonts w:hint="eastAsia" w:asciiTheme="minorEastAsia" w:hAnsiTheme="minorEastAsia" w:eastAsiaTheme="minorEastAsia"/>
          <w:color w:val="000000"/>
          <w:szCs w:val="21"/>
        </w:rPr>
        <w:t>暂估价：是指发包人在工程量清单或预算书中提供的用于支付必然发生但暂时不能确定价格的材料、工程设备的单价、专业工程以及服务工作的金额。</w:t>
      </w:r>
    </w:p>
    <w:p w14:paraId="0A1F1713">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1.1.5.5 </w:t>
      </w:r>
      <w:r>
        <w:rPr>
          <w:rFonts w:hint="eastAsia" w:asciiTheme="minorEastAsia" w:hAnsiTheme="minorEastAsia" w:eastAsiaTheme="minorEastAsia"/>
          <w:color w:val="000000"/>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2D5FB72">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1.1.5.6 </w:t>
      </w:r>
      <w:r>
        <w:rPr>
          <w:rFonts w:hint="eastAsia" w:asciiTheme="minorEastAsia" w:hAnsiTheme="minorEastAsia" w:eastAsiaTheme="minorEastAsia"/>
          <w:color w:val="000000"/>
          <w:szCs w:val="21"/>
        </w:rPr>
        <w:t>计日工：是指合同履行过程中，承包人完成发包人提出的零星工作或需要采用计日工计价的变更工作时，按合同中约定的单价计价的一种方式。</w:t>
      </w:r>
    </w:p>
    <w:p w14:paraId="0AB24792">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1.1.5.7 </w:t>
      </w:r>
      <w:r>
        <w:rPr>
          <w:rFonts w:hint="eastAsia" w:asciiTheme="minorEastAsia" w:hAnsiTheme="minorEastAsia" w:eastAsiaTheme="minorEastAsia"/>
          <w:color w:val="000000"/>
          <w:szCs w:val="21"/>
        </w:rPr>
        <w:t>质量保证金：是指按照第</w:t>
      </w:r>
      <w:r>
        <w:rPr>
          <w:rFonts w:asciiTheme="minorEastAsia" w:hAnsiTheme="minorEastAsia" w:eastAsiaTheme="minorEastAsia"/>
          <w:color w:val="000000"/>
          <w:szCs w:val="21"/>
        </w:rPr>
        <w:t>15.3</w:t>
      </w:r>
      <w:r>
        <w:rPr>
          <w:rFonts w:hint="eastAsia" w:asciiTheme="minorEastAsia" w:hAnsiTheme="minorEastAsia" w:eastAsiaTheme="minorEastAsia"/>
          <w:color w:val="000000"/>
          <w:szCs w:val="21"/>
        </w:rPr>
        <w:t>款〔质量保证金〕约定承包人用于保证其在缺陷责任期内履行缺陷修补义务的担保。</w:t>
      </w:r>
    </w:p>
    <w:p w14:paraId="6B7424B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1.1.5.8 </w:t>
      </w:r>
      <w:r>
        <w:rPr>
          <w:rFonts w:hint="eastAsia" w:asciiTheme="minorEastAsia" w:hAnsiTheme="minorEastAsia" w:eastAsiaTheme="minorEastAsia"/>
          <w:color w:val="000000"/>
          <w:szCs w:val="21"/>
        </w:rPr>
        <w:t>总价项目：是指在现行国家、行业以及地方的计量规则中无工程量计算规则，在已标价工程量清单或预算书中以总价或以费率形式计算的项目。</w:t>
      </w:r>
    </w:p>
    <w:p w14:paraId="488698FB">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1.1.6 </w:t>
      </w:r>
      <w:r>
        <w:rPr>
          <w:rFonts w:hint="eastAsia" w:asciiTheme="minorEastAsia" w:hAnsiTheme="minorEastAsia" w:eastAsiaTheme="minorEastAsia"/>
          <w:color w:val="000000"/>
          <w:szCs w:val="21"/>
        </w:rPr>
        <w:t>其他</w:t>
      </w:r>
    </w:p>
    <w:p w14:paraId="3AF9D36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1.1.6.1 </w:t>
      </w:r>
      <w:r>
        <w:rPr>
          <w:rFonts w:hint="eastAsia" w:asciiTheme="minorEastAsia" w:hAnsiTheme="minorEastAsia" w:eastAsiaTheme="minorEastAsia"/>
          <w:color w:val="000000"/>
          <w:szCs w:val="21"/>
        </w:rPr>
        <w:t>书面形式：是指合同文件、信函、电报、传真等可以有形地表现所载内容的形式。</w:t>
      </w:r>
    </w:p>
    <w:p w14:paraId="06CA2B53">
      <w:pPr>
        <w:pStyle w:val="6"/>
        <w:keepNext w:val="0"/>
        <w:keepLines w:val="0"/>
        <w:spacing w:before="120" w:after="120" w:line="360" w:lineRule="auto"/>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1.2</w:t>
      </w:r>
      <w:r>
        <w:rPr>
          <w:rFonts w:hint="eastAsia" w:asciiTheme="minorEastAsia" w:hAnsiTheme="minorEastAsia" w:eastAsiaTheme="minorEastAsia"/>
          <w:b w:val="0"/>
          <w:color w:val="000000"/>
          <w:sz w:val="21"/>
          <w:szCs w:val="21"/>
        </w:rPr>
        <w:t>语言文字</w:t>
      </w:r>
    </w:p>
    <w:p w14:paraId="73CBBDD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合同以中国的汉语简体文字编写、解释和说明。合同当事人在专用合同条款中约定使用两种以上语言时，汉语为优先解释和说明合同的语言。</w:t>
      </w:r>
    </w:p>
    <w:p w14:paraId="4393F34B">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1.3</w:t>
      </w:r>
      <w:r>
        <w:rPr>
          <w:rFonts w:hint="eastAsia" w:asciiTheme="minorEastAsia" w:hAnsiTheme="minorEastAsia" w:eastAsiaTheme="minorEastAsia"/>
          <w:b w:val="0"/>
          <w:color w:val="000000"/>
          <w:sz w:val="21"/>
          <w:szCs w:val="21"/>
        </w:rPr>
        <w:t>法律</w:t>
      </w:r>
    </w:p>
    <w:p w14:paraId="1B1A307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合同所称法律是指中华人民共和国法律、行政法规、部门规章，以及工程所在地的地方性法规、自治条例、单行条例和地方政府规章等。</w:t>
      </w:r>
    </w:p>
    <w:p w14:paraId="554CCED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合同当事人可以在专用合同条款中约定合同适用的其他规范性文件。</w:t>
      </w:r>
    </w:p>
    <w:p w14:paraId="23F2F956">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1.4 </w:t>
      </w:r>
      <w:r>
        <w:rPr>
          <w:rFonts w:hint="eastAsia" w:asciiTheme="minorEastAsia" w:hAnsiTheme="minorEastAsia" w:eastAsiaTheme="minorEastAsia"/>
          <w:b w:val="0"/>
          <w:color w:val="000000"/>
          <w:sz w:val="21"/>
          <w:szCs w:val="21"/>
        </w:rPr>
        <w:t>标准和规范</w:t>
      </w:r>
    </w:p>
    <w:p w14:paraId="7C1C2339">
      <w:pPr>
        <w:autoSpaceDE w:val="0"/>
        <w:autoSpaceDN w:val="0"/>
        <w:adjustRightInd w:val="0"/>
        <w:spacing w:line="360" w:lineRule="auto"/>
        <w:ind w:firstLine="64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1.4.1 </w:t>
      </w:r>
      <w:r>
        <w:rPr>
          <w:rFonts w:hint="eastAsia" w:asciiTheme="minorEastAsia" w:hAnsiTheme="minorEastAsia" w:eastAsiaTheme="minorEastAsia"/>
          <w:color w:val="000000"/>
          <w:szCs w:val="21"/>
        </w:rPr>
        <w:t>适用于工程的国家标准、行业标准、工程所在地的地方性标准，以及相应的规范、规程等，合同当事人有特别要求的，应在专用合同条款中约定。</w:t>
      </w:r>
    </w:p>
    <w:p w14:paraId="169CC2B4">
      <w:pPr>
        <w:autoSpaceDE w:val="0"/>
        <w:autoSpaceDN w:val="0"/>
        <w:adjustRightInd w:val="0"/>
        <w:spacing w:line="360" w:lineRule="auto"/>
        <w:ind w:firstLine="64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1.4.2 </w:t>
      </w:r>
      <w:r>
        <w:rPr>
          <w:rFonts w:hint="eastAsia" w:asciiTheme="minorEastAsia" w:hAnsiTheme="minorEastAsia" w:eastAsiaTheme="minorEastAsia"/>
          <w:color w:val="000000"/>
          <w:szCs w:val="21"/>
        </w:rPr>
        <w:t>发包人要求使用国外标准、规范的，发包人负责提供原文版本和中文译本，并在专用合同条款中约定提供标准规范的名称、份数和时间。</w:t>
      </w:r>
    </w:p>
    <w:p w14:paraId="6A6E6430">
      <w:pPr>
        <w:autoSpaceDE w:val="0"/>
        <w:autoSpaceDN w:val="0"/>
        <w:adjustRightInd w:val="0"/>
        <w:spacing w:line="360" w:lineRule="auto"/>
        <w:ind w:firstLine="64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1.4.3 </w:t>
      </w:r>
      <w:r>
        <w:rPr>
          <w:rFonts w:hint="eastAsia" w:asciiTheme="minorEastAsia" w:hAnsiTheme="minorEastAsia" w:eastAsiaTheme="minorEastAsia"/>
          <w:color w:val="000000"/>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F299AB8">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1.5 </w:t>
      </w:r>
      <w:r>
        <w:rPr>
          <w:rFonts w:hint="eastAsia" w:asciiTheme="minorEastAsia" w:hAnsiTheme="minorEastAsia" w:eastAsiaTheme="minorEastAsia"/>
          <w:b w:val="0"/>
          <w:color w:val="000000"/>
          <w:sz w:val="21"/>
          <w:szCs w:val="21"/>
        </w:rPr>
        <w:t>合同文件的优先顺序</w:t>
      </w:r>
    </w:p>
    <w:p w14:paraId="70D242D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组成合同的各项文件应互相解释，互为说明。除专用合同条款另有约定外，解释合同文件的优先顺序如下：</w:t>
      </w:r>
    </w:p>
    <w:p w14:paraId="403E2C4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）合同协议书；</w:t>
      </w:r>
    </w:p>
    <w:p w14:paraId="3FDD9CF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）中标通知书（如果有）；</w:t>
      </w:r>
    </w:p>
    <w:p w14:paraId="0A5BE96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）投标函及其附录（如果有）；</w:t>
      </w:r>
    </w:p>
    <w:p w14:paraId="49BBEB5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）专用合同条款及其附件；</w:t>
      </w:r>
    </w:p>
    <w:p w14:paraId="04C89C4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）通用合同条款；</w:t>
      </w:r>
    </w:p>
    <w:p w14:paraId="7AA4CBD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）技术标准和要求；</w:t>
      </w:r>
    </w:p>
    <w:p w14:paraId="0C86B45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）图纸；</w:t>
      </w:r>
    </w:p>
    <w:p w14:paraId="5FBB7E2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）已标价工程量清单或预算书；</w:t>
      </w:r>
    </w:p>
    <w:p w14:paraId="1DD1A0F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9</w:t>
      </w:r>
      <w:r>
        <w:rPr>
          <w:rFonts w:hint="eastAsia" w:asciiTheme="minorEastAsia" w:hAnsiTheme="minorEastAsia" w:eastAsiaTheme="minorEastAsia"/>
          <w:color w:val="000000"/>
          <w:szCs w:val="21"/>
        </w:rPr>
        <w:t>）其他合同文件。</w:t>
      </w:r>
    </w:p>
    <w:p w14:paraId="772DC56E">
      <w:pPr>
        <w:spacing w:line="360" w:lineRule="auto"/>
        <w:ind w:firstLine="511" w:firstLineChars="21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上述各项合同文件包括合同当事人就该项合同文件所作出的补充和修改，属于同一类内容的文件，应以最新签署的为准。</w:t>
      </w:r>
    </w:p>
    <w:p w14:paraId="0F490275">
      <w:pPr>
        <w:spacing w:line="360" w:lineRule="auto"/>
        <w:ind w:firstLine="511" w:firstLineChars="21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在合同订立及履行过程中形成的与合同有关的文件均构成合同文件组成部分，并根据其性质确定优先解释顺序。</w:t>
      </w:r>
    </w:p>
    <w:p w14:paraId="1AAB4DE9">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1.6</w:t>
      </w:r>
      <w:r>
        <w:rPr>
          <w:rFonts w:hint="eastAsia" w:asciiTheme="minorEastAsia" w:hAnsiTheme="minorEastAsia" w:eastAsiaTheme="minorEastAsia"/>
          <w:b w:val="0"/>
          <w:color w:val="000000"/>
          <w:sz w:val="21"/>
          <w:szCs w:val="21"/>
        </w:rPr>
        <w:t>图纸和承包人文件</w:t>
      </w:r>
    </w:p>
    <w:p w14:paraId="2B8EA097">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1.6.1 </w:t>
      </w:r>
      <w:r>
        <w:rPr>
          <w:rFonts w:hint="eastAsia" w:asciiTheme="minorEastAsia" w:hAnsiTheme="minorEastAsia" w:eastAsiaTheme="minorEastAsia"/>
          <w:color w:val="000000"/>
          <w:szCs w:val="21"/>
        </w:rPr>
        <w:t>图纸的提供和交底</w:t>
      </w:r>
    </w:p>
    <w:p w14:paraId="4F2DCD68">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发包人应按照专用合同条款约定的期限、数量和内容向承包人免费提供图纸，并组织承包人、监理人和设计人进行图纸会审和设计交底。发包人至迟不得晚于第</w:t>
      </w:r>
      <w:r>
        <w:rPr>
          <w:rFonts w:asciiTheme="minorEastAsia" w:hAnsiTheme="minorEastAsia" w:eastAsiaTheme="minorEastAsia"/>
          <w:color w:val="000000"/>
          <w:szCs w:val="21"/>
        </w:rPr>
        <w:t>7.3.2</w:t>
      </w:r>
      <w:r>
        <w:rPr>
          <w:rFonts w:hint="eastAsia" w:asciiTheme="minorEastAsia" w:hAnsiTheme="minorEastAsia" w:eastAsiaTheme="minorEastAsia"/>
          <w:color w:val="000000"/>
          <w:szCs w:val="21"/>
        </w:rPr>
        <w:t>项〔开工通知〕载明的开工日期前</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天向承包人提供图纸。</w:t>
      </w:r>
    </w:p>
    <w:p w14:paraId="0157543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因发包人未按合同约定提供图纸导致承包人费用增加和（或）工期延误的，按照第</w:t>
      </w:r>
      <w:r>
        <w:rPr>
          <w:rFonts w:asciiTheme="minorEastAsia" w:hAnsiTheme="minorEastAsia" w:eastAsiaTheme="minorEastAsia"/>
          <w:color w:val="000000"/>
          <w:szCs w:val="21"/>
        </w:rPr>
        <w:t>7.5.1</w:t>
      </w:r>
      <w:r>
        <w:rPr>
          <w:rFonts w:hint="eastAsia" w:asciiTheme="minorEastAsia" w:hAnsiTheme="minorEastAsia" w:eastAsiaTheme="minorEastAsia"/>
          <w:color w:val="000000"/>
          <w:szCs w:val="21"/>
        </w:rPr>
        <w:t>项〔因发包人原因导致工期延误〕约定办理。</w:t>
      </w:r>
    </w:p>
    <w:p w14:paraId="5F338200">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1.6.2 </w:t>
      </w:r>
      <w:r>
        <w:rPr>
          <w:rFonts w:hint="eastAsia" w:asciiTheme="minorEastAsia" w:hAnsiTheme="minorEastAsia" w:eastAsiaTheme="minorEastAsia"/>
          <w:color w:val="000000"/>
          <w:szCs w:val="21"/>
        </w:rPr>
        <w:t>图纸的错误</w:t>
      </w:r>
    </w:p>
    <w:p w14:paraId="6579BC5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3FBBBA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1.6.3 </w:t>
      </w:r>
      <w:r>
        <w:rPr>
          <w:rFonts w:hint="eastAsia" w:asciiTheme="minorEastAsia" w:hAnsiTheme="minorEastAsia" w:eastAsiaTheme="minorEastAsia"/>
          <w:color w:val="000000"/>
          <w:szCs w:val="21"/>
        </w:rPr>
        <w:t>图纸的修改和补充</w:t>
      </w:r>
    </w:p>
    <w:p w14:paraId="4A77092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图纸需要修改和补充的，应经图纸原设计人及审批部门同意，并由监理人在工程或工程相应部位施工前将修改后的图纸或补充图纸提交给承包人，承包人应按修改或补充后的图纸施工。</w:t>
      </w:r>
    </w:p>
    <w:p w14:paraId="2D672F4C">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1.6.4 </w:t>
      </w:r>
      <w:r>
        <w:rPr>
          <w:rFonts w:hint="eastAsia" w:asciiTheme="minorEastAsia" w:hAnsiTheme="minorEastAsia" w:eastAsiaTheme="minorEastAsia"/>
          <w:color w:val="000000"/>
          <w:szCs w:val="21"/>
        </w:rPr>
        <w:t>承包人文件</w:t>
      </w:r>
    </w:p>
    <w:p w14:paraId="32E3E0E8">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承包人应按照专用合同条款的约定提供应当由其编制的与工程施工有关的文件，并按照专用合同条款约定的期限、数量和形式提交监理人，并由监理人报送发包人。</w:t>
      </w:r>
    </w:p>
    <w:p w14:paraId="3FCF9C6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除专用合同条款另有约定外，监理人应在收到承包人文件后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天内审查完毕，监理人对承包人文件有异议的，承包人应予以修改，并重新报送监理人。监理人的审查并不减轻或免除承包人根据合同约定应当承担的责任。</w:t>
      </w:r>
    </w:p>
    <w:p w14:paraId="43873E20">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1.6.5 </w:t>
      </w:r>
      <w:r>
        <w:rPr>
          <w:rFonts w:hint="eastAsia" w:asciiTheme="minorEastAsia" w:hAnsiTheme="minorEastAsia" w:eastAsiaTheme="minorEastAsia"/>
          <w:color w:val="000000"/>
          <w:szCs w:val="21"/>
        </w:rPr>
        <w:t>图纸和承包人文件的保管</w:t>
      </w:r>
    </w:p>
    <w:p w14:paraId="29FECA3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除专用合同条款另有约定外，承包人应在施工现场另外保存一套完整的图纸和承包人文件，供发包人、监理人及有关人员进行工程检查时使用。</w:t>
      </w:r>
    </w:p>
    <w:p w14:paraId="78626895">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1.7</w:t>
      </w:r>
      <w:r>
        <w:rPr>
          <w:rFonts w:hint="eastAsia" w:asciiTheme="minorEastAsia" w:hAnsiTheme="minorEastAsia" w:eastAsiaTheme="minorEastAsia"/>
          <w:b w:val="0"/>
          <w:color w:val="000000"/>
          <w:sz w:val="21"/>
          <w:szCs w:val="21"/>
        </w:rPr>
        <w:t>联络</w:t>
      </w:r>
    </w:p>
    <w:p w14:paraId="4451FF0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1.7.1 </w:t>
      </w:r>
      <w:r>
        <w:rPr>
          <w:rFonts w:hint="eastAsia" w:asciiTheme="minorEastAsia" w:hAnsiTheme="minorEastAsia" w:eastAsiaTheme="minorEastAsia"/>
          <w:color w:val="000000"/>
          <w:szCs w:val="21"/>
        </w:rPr>
        <w:t>与合同有关的通知、批准、证明、证书、指示、指令、要求、请求、同意、意见、确定和决定等，均应采用书面形式，并应在合同约定的期限内送达接收人和送达地点。</w:t>
      </w:r>
    </w:p>
    <w:p w14:paraId="2C3438D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1.7.2 </w:t>
      </w:r>
      <w:r>
        <w:rPr>
          <w:rFonts w:hint="eastAsia" w:asciiTheme="minorEastAsia" w:hAnsiTheme="minorEastAsia" w:eastAsiaTheme="minorEastAsia"/>
          <w:color w:val="000000"/>
          <w:szCs w:val="21"/>
        </w:rPr>
        <w:t>发包人和承包人应在专用合同条款中约定各自的送达接收人和送达地点。任何一方合同当事人指定的接收人或送达地点发生变动的，应提前</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天以书面形式通知对方。</w:t>
      </w:r>
    </w:p>
    <w:p w14:paraId="449B68CC">
      <w:pPr>
        <w:autoSpaceDE w:val="0"/>
        <w:autoSpaceDN w:val="0"/>
        <w:adjustRightInd w:val="0"/>
        <w:spacing w:line="360" w:lineRule="auto"/>
        <w:ind w:firstLine="480" w:firstLineChars="200"/>
        <w:rPr>
          <w:rFonts w:asciiTheme="minorEastAsia" w:hAnsiTheme="minorEastAsia" w:eastAsiaTheme="minorEastAsia"/>
          <w:color w:val="FF0000"/>
          <w:szCs w:val="21"/>
        </w:rPr>
      </w:pPr>
      <w:r>
        <w:rPr>
          <w:rFonts w:asciiTheme="minorEastAsia" w:hAnsiTheme="minorEastAsia" w:eastAsiaTheme="minorEastAsia"/>
          <w:color w:val="000000"/>
          <w:szCs w:val="21"/>
        </w:rPr>
        <w:t xml:space="preserve">1.7.3 </w:t>
      </w:r>
      <w:r>
        <w:rPr>
          <w:rFonts w:hint="eastAsia" w:asciiTheme="minorEastAsia" w:hAnsiTheme="minorEastAsia" w:eastAsiaTheme="minorEastAsia"/>
          <w:color w:val="000000"/>
          <w:szCs w:val="21"/>
        </w:rPr>
        <w:t>发包人和承包人应当及时签收另一方送达至送达地点和指定接收人的来往信函。拒不签收的，由此增加的费用和（或）延误的工期由拒绝接收一方承担。</w:t>
      </w:r>
    </w:p>
    <w:p w14:paraId="5B3628C4">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1.8</w:t>
      </w:r>
      <w:r>
        <w:rPr>
          <w:rFonts w:hint="eastAsia" w:asciiTheme="minorEastAsia" w:hAnsiTheme="minorEastAsia" w:eastAsiaTheme="minorEastAsia"/>
          <w:b w:val="0"/>
          <w:color w:val="000000"/>
          <w:sz w:val="21"/>
          <w:szCs w:val="21"/>
        </w:rPr>
        <w:t>严禁贿赂</w:t>
      </w:r>
    </w:p>
    <w:p w14:paraId="15E6CE5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合同当事人不得以贿赂或变相贿赂的方式，谋取非法利益或损害对方权益。因一方合同当事人的贿赂造成对方损失的，应赔偿损失，并承担相应的法律责任。</w:t>
      </w:r>
    </w:p>
    <w:p w14:paraId="7C9AC7E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0E0B173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1.9</w:t>
      </w:r>
      <w:r>
        <w:rPr>
          <w:rFonts w:hint="eastAsia" w:asciiTheme="minorEastAsia" w:hAnsiTheme="minorEastAsia" w:eastAsiaTheme="minorEastAsia"/>
          <w:b w:val="0"/>
          <w:color w:val="000000"/>
          <w:sz w:val="21"/>
          <w:szCs w:val="21"/>
        </w:rPr>
        <w:t>化石、文物</w:t>
      </w:r>
    </w:p>
    <w:p w14:paraId="252DA05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868AF2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发包人、监理人和承包人应按有关政府行政管理部门要求采取妥善的保护措施，由此增加的费用和（或）延误的工期由发包人承担。</w:t>
      </w:r>
    </w:p>
    <w:p w14:paraId="76F2CE7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承包人发现文物后不及时报告或隐瞒不报，致使文物丢失或损坏的，应赔偿损失，并承担相应的法律责任。</w:t>
      </w:r>
    </w:p>
    <w:p w14:paraId="59BCD4F7">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1.10</w:t>
      </w:r>
      <w:r>
        <w:rPr>
          <w:rFonts w:hint="eastAsia" w:asciiTheme="minorEastAsia" w:hAnsiTheme="minorEastAsia" w:eastAsiaTheme="minorEastAsia"/>
          <w:b w:val="0"/>
          <w:color w:val="000000"/>
          <w:sz w:val="21"/>
          <w:szCs w:val="21"/>
        </w:rPr>
        <w:t>交通运输</w:t>
      </w:r>
    </w:p>
    <w:p w14:paraId="1EC22A48">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1.10.1 </w:t>
      </w:r>
      <w:r>
        <w:rPr>
          <w:rFonts w:hint="eastAsia" w:asciiTheme="minorEastAsia" w:hAnsiTheme="minorEastAsia" w:eastAsiaTheme="minorEastAsia"/>
          <w:color w:val="000000"/>
          <w:szCs w:val="21"/>
        </w:rPr>
        <w:t>出入现场的权利</w:t>
      </w:r>
    </w:p>
    <w:p w14:paraId="09E3F7A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5ED61F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67E1EA01">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1.10.2 </w:t>
      </w:r>
      <w:r>
        <w:rPr>
          <w:rFonts w:hint="eastAsia" w:asciiTheme="minorEastAsia" w:hAnsiTheme="minorEastAsia" w:eastAsiaTheme="minorEastAsia"/>
          <w:color w:val="000000"/>
          <w:szCs w:val="21"/>
        </w:rPr>
        <w:t>场外交通</w:t>
      </w:r>
    </w:p>
    <w:p w14:paraId="3B08E5E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C1FD1E1">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1.10.3</w:t>
      </w:r>
      <w:r>
        <w:rPr>
          <w:rFonts w:hint="eastAsia" w:asciiTheme="minorEastAsia" w:hAnsiTheme="minorEastAsia" w:eastAsiaTheme="minorEastAsia"/>
          <w:color w:val="000000"/>
          <w:szCs w:val="21"/>
        </w:rPr>
        <w:t>场内交通</w:t>
      </w:r>
    </w:p>
    <w:p w14:paraId="121E734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208AF28">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F701E0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场外交通和场内交通的边界由合同当事人在专用合同条款中约定。</w:t>
      </w:r>
    </w:p>
    <w:p w14:paraId="7A6C7D0A">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1.10.4 </w:t>
      </w:r>
      <w:r>
        <w:rPr>
          <w:rFonts w:hint="eastAsia" w:asciiTheme="minorEastAsia" w:hAnsiTheme="minorEastAsia" w:eastAsiaTheme="minorEastAsia"/>
          <w:color w:val="000000"/>
          <w:szCs w:val="21"/>
        </w:rPr>
        <w:t>超大件和超重件的运输</w:t>
      </w:r>
    </w:p>
    <w:p w14:paraId="74486C5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73465AC">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1.10.5 </w:t>
      </w:r>
      <w:r>
        <w:rPr>
          <w:rFonts w:hint="eastAsia" w:asciiTheme="minorEastAsia" w:hAnsiTheme="minorEastAsia" w:eastAsiaTheme="minorEastAsia"/>
          <w:color w:val="000000"/>
          <w:szCs w:val="21"/>
        </w:rPr>
        <w:t>道路和桥梁的损坏责任</w:t>
      </w:r>
    </w:p>
    <w:p w14:paraId="471DDFB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因承包人运输造成施工场地内外公共道路和桥梁损坏的，由承包人承担修复损坏的全部费用和可能引起的赔偿。</w:t>
      </w:r>
    </w:p>
    <w:p w14:paraId="54F828D3">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1.10.6 </w:t>
      </w:r>
      <w:r>
        <w:rPr>
          <w:rFonts w:hint="eastAsia" w:asciiTheme="minorEastAsia" w:hAnsiTheme="minorEastAsia" w:eastAsiaTheme="minorEastAsia"/>
          <w:color w:val="000000"/>
          <w:szCs w:val="21"/>
        </w:rPr>
        <w:t>水路和航空运输</w:t>
      </w:r>
    </w:p>
    <w:p w14:paraId="1333F0C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本款前述各项的内容适用于水路运输和航空运输，其中</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道路</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一词的涵义包括河道、航线、船闸、机场、码头、堤防以及水路或航空运输中其他相似结构物；</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车辆</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一词的涵义包括船舶和飞机等。</w:t>
      </w:r>
    </w:p>
    <w:p w14:paraId="7B8C9C7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1.11</w:t>
      </w:r>
      <w:r>
        <w:rPr>
          <w:rFonts w:hint="eastAsia" w:asciiTheme="minorEastAsia" w:hAnsiTheme="minorEastAsia" w:eastAsiaTheme="minorEastAsia"/>
          <w:b w:val="0"/>
          <w:color w:val="000000"/>
          <w:sz w:val="21"/>
          <w:szCs w:val="21"/>
        </w:rPr>
        <w:t>知识产权</w:t>
      </w:r>
      <w:r>
        <w:rPr>
          <w:rFonts w:asciiTheme="minorEastAsia" w:hAnsiTheme="minorEastAsia" w:eastAsiaTheme="minorEastAsia"/>
          <w:b w:val="0"/>
          <w:color w:val="000000"/>
          <w:sz w:val="21"/>
          <w:szCs w:val="21"/>
        </w:rPr>
        <w:t xml:space="preserve"> </w:t>
      </w:r>
    </w:p>
    <w:p w14:paraId="77E2A02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1.11.1 </w:t>
      </w:r>
      <w:r>
        <w:rPr>
          <w:rFonts w:hint="eastAsia" w:asciiTheme="minorEastAsia" w:hAnsiTheme="minorEastAsia" w:eastAsiaTheme="minorEastAsia"/>
          <w:color w:val="000000"/>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FBFD94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1.11.2 </w:t>
      </w:r>
      <w:r>
        <w:rPr>
          <w:rFonts w:hint="eastAsia" w:asciiTheme="minorEastAsia" w:hAnsiTheme="minorEastAsia" w:eastAsiaTheme="minorEastAsia"/>
          <w:color w:val="000000"/>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52F3BC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1.11.3 </w:t>
      </w:r>
      <w:r>
        <w:rPr>
          <w:rFonts w:hint="eastAsia" w:asciiTheme="minorEastAsia" w:hAnsiTheme="minorEastAsia" w:eastAsiaTheme="minorEastAsia"/>
          <w:color w:val="00000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69E73A2">
      <w:pPr>
        <w:rPr>
          <w:rFonts w:asciiTheme="minorEastAsia" w:hAnsiTheme="minorEastAsia" w:eastAsiaTheme="minorEastAsia"/>
          <w:szCs w:val="21"/>
        </w:rPr>
      </w:pPr>
      <w:r>
        <w:rPr>
          <w:rFonts w:asciiTheme="minorEastAsia" w:hAnsiTheme="minorEastAsia" w:eastAsiaTheme="minorEastAsia"/>
          <w:color w:val="000000"/>
          <w:szCs w:val="21"/>
        </w:rPr>
        <w:t xml:space="preserve">    1.11.4 </w:t>
      </w:r>
      <w:r>
        <w:rPr>
          <w:rFonts w:hint="eastAsia" w:asciiTheme="minorEastAsia" w:hAnsiTheme="minorEastAsia" w:eastAsiaTheme="minorEastAsia"/>
          <w:color w:val="000000"/>
          <w:szCs w:val="21"/>
        </w:rPr>
        <w:t>除专用合同条款另有约定外，承包人在合同签订前和签订时已确定采用的专利、专有技术、技术秘密的使用费已包含在签约合同价中。</w:t>
      </w:r>
    </w:p>
    <w:p w14:paraId="16702FD6">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1.12</w:t>
      </w:r>
      <w:r>
        <w:rPr>
          <w:rFonts w:hint="eastAsia" w:asciiTheme="minorEastAsia" w:hAnsiTheme="minorEastAsia" w:eastAsiaTheme="minorEastAsia"/>
          <w:b w:val="0"/>
          <w:color w:val="000000"/>
          <w:sz w:val="21"/>
          <w:szCs w:val="21"/>
        </w:rPr>
        <w:t>保密</w:t>
      </w:r>
    </w:p>
    <w:p w14:paraId="79EBCC8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除法律规定或合同另有约定外，未经发包人同意，承包人不得将发包人提供的图纸、文件以及声明需要保密的资料信息等商业秘密泄露给第三方。</w:t>
      </w:r>
    </w:p>
    <w:p w14:paraId="430C013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除法律规定或合同另有约定外，未经承包人同意，发包人不得将承包人提供的技术秘密及声明需要保密的资料信息等商业秘密泄露给第三方。</w:t>
      </w:r>
    </w:p>
    <w:p w14:paraId="3905A97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1.13</w:t>
      </w:r>
      <w:r>
        <w:rPr>
          <w:rFonts w:hint="eastAsia" w:asciiTheme="minorEastAsia" w:hAnsiTheme="minorEastAsia" w:eastAsiaTheme="minorEastAsia"/>
          <w:b w:val="0"/>
          <w:color w:val="000000"/>
          <w:sz w:val="21"/>
          <w:szCs w:val="21"/>
        </w:rPr>
        <w:t>工程量清单错误的修正</w:t>
      </w:r>
    </w:p>
    <w:p w14:paraId="313C1A6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除专用合同条款另有约定外，发包人提供的工程量清单，应被认为是准确的和完整的。出现下列情形之一时，发包人应予以修正，并相应调整合同价格：</w:t>
      </w:r>
    </w:p>
    <w:p w14:paraId="0138CE3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）工程量清单存在缺项、漏项的；</w:t>
      </w:r>
    </w:p>
    <w:p w14:paraId="0F9D0F2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）工程量清单偏差超出专用合同条款约定的工程量偏差范围的；</w:t>
      </w:r>
    </w:p>
    <w:p w14:paraId="2B86FCE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）未按照国家现行计量规范强制性规定计量的。</w:t>
      </w:r>
    </w:p>
    <w:p w14:paraId="6CB2245B">
      <w:pPr>
        <w:adjustRightInd w:val="0"/>
        <w:snapToGrid w:val="0"/>
        <w:spacing w:line="360" w:lineRule="auto"/>
        <w:outlineLvl w:val="2"/>
        <w:rPr>
          <w:rFonts w:asciiTheme="minorEastAsia" w:hAnsiTheme="minorEastAsia" w:eastAsiaTheme="minorEastAsia"/>
          <w:b/>
          <w:szCs w:val="21"/>
        </w:rPr>
      </w:pPr>
      <w:bookmarkStart w:id="180" w:name="_Toc23115"/>
      <w:r>
        <w:rPr>
          <w:rFonts w:hint="eastAsia" w:asciiTheme="minorEastAsia" w:hAnsiTheme="minorEastAsia" w:eastAsiaTheme="minorEastAsia"/>
          <w:b/>
          <w:szCs w:val="21"/>
        </w:rPr>
        <w:t>2. 发包人</w:t>
      </w:r>
      <w:bookmarkEnd w:id="180"/>
    </w:p>
    <w:p w14:paraId="1D79052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2.1 </w:t>
      </w:r>
      <w:r>
        <w:rPr>
          <w:rFonts w:hint="eastAsia" w:asciiTheme="minorEastAsia" w:hAnsiTheme="minorEastAsia" w:eastAsiaTheme="minorEastAsia"/>
          <w:b w:val="0"/>
          <w:color w:val="000000"/>
          <w:sz w:val="21"/>
          <w:szCs w:val="21"/>
        </w:rPr>
        <w:t>许可或批准</w:t>
      </w:r>
    </w:p>
    <w:p w14:paraId="6E26726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226C9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因发包人原因未能及时办理完毕前述许可、批准或备案，由发包人承担由此增加的费用和（或）延误的工期，并支付承包人合理的利润。</w:t>
      </w:r>
    </w:p>
    <w:p w14:paraId="665DED6E">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2.2 </w:t>
      </w:r>
      <w:r>
        <w:rPr>
          <w:rFonts w:hint="eastAsia" w:asciiTheme="minorEastAsia" w:hAnsiTheme="minorEastAsia" w:eastAsiaTheme="minorEastAsia"/>
          <w:b w:val="0"/>
          <w:color w:val="000000"/>
          <w:sz w:val="21"/>
          <w:szCs w:val="21"/>
        </w:rPr>
        <w:t>发包人代表</w:t>
      </w:r>
    </w:p>
    <w:p w14:paraId="7FA0828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天书面通知承包人。</w:t>
      </w:r>
    </w:p>
    <w:p w14:paraId="164328A9">
      <w:pPr>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发包人代表不能按照合同约定履行其职责及义务，并导致合同无法继续正常履行的，承包人可以要求发包人撤换发包人代表。</w:t>
      </w:r>
    </w:p>
    <w:p w14:paraId="77A64970">
      <w:pPr>
        <w:ind w:firstLine="48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不属于法定必须监理的工程，监理人的职权可以由发包人代表或发包人指定的其他人员行使。</w:t>
      </w:r>
    </w:p>
    <w:p w14:paraId="634CBBDB">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2.3 </w:t>
      </w:r>
      <w:r>
        <w:rPr>
          <w:rFonts w:hint="eastAsia" w:asciiTheme="minorEastAsia" w:hAnsiTheme="minorEastAsia" w:eastAsiaTheme="minorEastAsia"/>
          <w:b w:val="0"/>
          <w:color w:val="000000"/>
          <w:sz w:val="21"/>
          <w:szCs w:val="21"/>
        </w:rPr>
        <w:t>发包人人员</w:t>
      </w:r>
    </w:p>
    <w:p w14:paraId="41FB5FF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发包人应要求在施工现场的发包人人员遵守法律及有关安全、质量、环境保护、文明施工等规定，并保障承包人免于承受因发包人人员未遵守上述要求给承包人造成的损失和责任。</w:t>
      </w:r>
    </w:p>
    <w:p w14:paraId="17DFF18A">
      <w:pPr>
        <w:spacing w:line="360" w:lineRule="auto"/>
        <w:ind w:firstLine="64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发包人人员包括发包人代表及其他由发包人派驻施工现场的人员。</w:t>
      </w:r>
    </w:p>
    <w:p w14:paraId="20F927A1">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2.4 </w:t>
      </w:r>
      <w:r>
        <w:rPr>
          <w:rFonts w:hint="eastAsia" w:asciiTheme="minorEastAsia" w:hAnsiTheme="minorEastAsia" w:eastAsiaTheme="minorEastAsia"/>
          <w:b w:val="0"/>
          <w:color w:val="000000"/>
          <w:sz w:val="21"/>
          <w:szCs w:val="21"/>
        </w:rPr>
        <w:t>施工现场、施工条件和基础资料的提供</w:t>
      </w:r>
      <w:r>
        <w:rPr>
          <w:rFonts w:asciiTheme="minorEastAsia" w:hAnsiTheme="minorEastAsia" w:eastAsiaTheme="minorEastAsia"/>
          <w:b w:val="0"/>
          <w:color w:val="000000"/>
          <w:sz w:val="21"/>
          <w:szCs w:val="21"/>
        </w:rPr>
        <w:t xml:space="preserve">  </w:t>
      </w:r>
    </w:p>
    <w:p w14:paraId="60C5818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2.4.1 </w:t>
      </w:r>
      <w:r>
        <w:rPr>
          <w:rFonts w:hint="eastAsia" w:asciiTheme="minorEastAsia" w:hAnsiTheme="minorEastAsia" w:eastAsiaTheme="minorEastAsia"/>
          <w:color w:val="000000"/>
          <w:szCs w:val="21"/>
        </w:rPr>
        <w:t>提供施工现场</w:t>
      </w:r>
    </w:p>
    <w:p w14:paraId="606F151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除专用合同条款另有约定外，发包人应最迟于开工日期</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天前向承包人移交施工现场。</w:t>
      </w:r>
    </w:p>
    <w:p w14:paraId="75D777F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2.4.2 </w:t>
      </w:r>
      <w:r>
        <w:rPr>
          <w:rFonts w:hint="eastAsia" w:asciiTheme="minorEastAsia" w:hAnsiTheme="minorEastAsia" w:eastAsiaTheme="minorEastAsia"/>
          <w:color w:val="000000"/>
          <w:szCs w:val="21"/>
        </w:rPr>
        <w:t>提供施工条件</w:t>
      </w:r>
    </w:p>
    <w:p w14:paraId="66BD379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除专用合同条款另有约定外，发包人应负责提供施工所需要的条件，包括：</w:t>
      </w:r>
    </w:p>
    <w:p w14:paraId="3FBE547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）将施工用水、电力、通讯线路等施工所必需的条件接至施工现场内；</w:t>
      </w:r>
    </w:p>
    <w:p w14:paraId="0130BB4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）保证向承包人提供正常施工所需要的进入施工现场的交通条件；</w:t>
      </w:r>
    </w:p>
    <w:p w14:paraId="5387E09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）协调处理施工现场周围地下管线和邻近建筑物、构筑物、古树名木的保护工作，并承担相关费用；</w:t>
      </w:r>
    </w:p>
    <w:p w14:paraId="17C5743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）按照专用合同条款约定应提供的其他设施和条件。</w:t>
      </w:r>
    </w:p>
    <w:p w14:paraId="2DD19F2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2.4.3 </w:t>
      </w:r>
      <w:r>
        <w:rPr>
          <w:rFonts w:hint="eastAsia" w:asciiTheme="minorEastAsia" w:hAnsiTheme="minorEastAsia" w:eastAsiaTheme="minorEastAsia"/>
          <w:color w:val="000000"/>
          <w:szCs w:val="21"/>
        </w:rPr>
        <w:t>提供基础资料</w:t>
      </w:r>
    </w:p>
    <w:p w14:paraId="6C4FFEE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25ABFD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按照法律规定确需在开工后方能提供的基础资料，发包人应尽其努力及时地在相应工程施工前的合理期限内提供，合理期限应以不影响承包人的正常施工为限。</w:t>
      </w:r>
    </w:p>
    <w:p w14:paraId="7601A06C">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2.4.4 </w:t>
      </w:r>
      <w:r>
        <w:rPr>
          <w:rFonts w:hint="eastAsia" w:asciiTheme="minorEastAsia" w:hAnsiTheme="minorEastAsia" w:eastAsiaTheme="minorEastAsia"/>
          <w:color w:val="000000"/>
          <w:szCs w:val="21"/>
        </w:rPr>
        <w:t>逾期提供的责任</w:t>
      </w:r>
    </w:p>
    <w:p w14:paraId="43D33DC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因发包人原因未能按合同约定及时向承包人提供施工现场、施工条件、基础资料的，由发包人承担由此增加的费用和（或）延误的工期。</w:t>
      </w:r>
    </w:p>
    <w:p w14:paraId="3345D8E1">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2.5 </w:t>
      </w:r>
      <w:r>
        <w:rPr>
          <w:rFonts w:hint="eastAsia" w:asciiTheme="minorEastAsia" w:hAnsiTheme="minorEastAsia" w:eastAsiaTheme="minorEastAsia"/>
          <w:b w:val="0"/>
          <w:color w:val="000000"/>
          <w:sz w:val="21"/>
          <w:szCs w:val="21"/>
        </w:rPr>
        <w:t>资金来源证明及支付担保</w:t>
      </w:r>
    </w:p>
    <w:p w14:paraId="6FD3DD5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除专用合同条款另有约定外，发包人应在收到承包人要求提供资金来源证明的书面通知后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天内，向承包人提供能够按照合同约定支付合同价款的相应资金来源证明。</w:t>
      </w:r>
    </w:p>
    <w:p w14:paraId="1743DB5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57C1D40E">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2.6 </w:t>
      </w:r>
      <w:r>
        <w:rPr>
          <w:rFonts w:hint="eastAsia" w:asciiTheme="minorEastAsia" w:hAnsiTheme="minorEastAsia" w:eastAsiaTheme="minorEastAsia"/>
          <w:b w:val="0"/>
          <w:color w:val="000000"/>
          <w:sz w:val="21"/>
          <w:szCs w:val="21"/>
        </w:rPr>
        <w:t>支付合同价款</w:t>
      </w:r>
    </w:p>
    <w:p w14:paraId="04C2350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发包人应按合同约定向承包人及时支付合同价款。</w:t>
      </w:r>
    </w:p>
    <w:p w14:paraId="095ACA08">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2.7 </w:t>
      </w:r>
      <w:r>
        <w:rPr>
          <w:rFonts w:hint="eastAsia" w:asciiTheme="minorEastAsia" w:hAnsiTheme="minorEastAsia" w:eastAsiaTheme="minorEastAsia"/>
          <w:b w:val="0"/>
          <w:color w:val="000000"/>
          <w:sz w:val="21"/>
          <w:szCs w:val="21"/>
        </w:rPr>
        <w:t>组织竣工验收</w:t>
      </w:r>
    </w:p>
    <w:p w14:paraId="433E2CA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发包人应按合同约定及时组织竣工验收。</w:t>
      </w:r>
    </w:p>
    <w:p w14:paraId="64D1697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2.8 </w:t>
      </w:r>
      <w:r>
        <w:rPr>
          <w:rFonts w:hint="eastAsia" w:asciiTheme="minorEastAsia" w:hAnsiTheme="minorEastAsia" w:eastAsiaTheme="minorEastAsia"/>
          <w:b w:val="0"/>
          <w:color w:val="000000"/>
          <w:sz w:val="21"/>
          <w:szCs w:val="21"/>
        </w:rPr>
        <w:t>现场统一管理协议</w:t>
      </w:r>
    </w:p>
    <w:p w14:paraId="16C9C84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发包人应与承包人、由发包人直接发包的专业工程的承包人签订施工现场统一管理协议，明确各方的权利义务。施工现场统一管理协议作为专用合同条款的附件。</w:t>
      </w:r>
    </w:p>
    <w:p w14:paraId="007E9422">
      <w:pPr>
        <w:adjustRightInd w:val="0"/>
        <w:snapToGrid w:val="0"/>
        <w:spacing w:line="360" w:lineRule="auto"/>
        <w:outlineLvl w:val="2"/>
        <w:rPr>
          <w:rFonts w:asciiTheme="minorEastAsia" w:hAnsiTheme="minorEastAsia" w:eastAsiaTheme="minorEastAsia"/>
          <w:b/>
          <w:szCs w:val="21"/>
        </w:rPr>
      </w:pPr>
      <w:bookmarkStart w:id="181" w:name="_Toc18557"/>
      <w:r>
        <w:rPr>
          <w:rFonts w:hint="eastAsia" w:asciiTheme="minorEastAsia" w:hAnsiTheme="minorEastAsia" w:eastAsiaTheme="minorEastAsia"/>
          <w:b/>
          <w:szCs w:val="21"/>
        </w:rPr>
        <w:t>3. 承包人</w:t>
      </w:r>
      <w:bookmarkEnd w:id="181"/>
    </w:p>
    <w:p w14:paraId="2902C21B">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3.1 </w:t>
      </w:r>
      <w:r>
        <w:rPr>
          <w:rFonts w:hint="eastAsia" w:asciiTheme="minorEastAsia" w:hAnsiTheme="minorEastAsia" w:eastAsiaTheme="minorEastAsia"/>
          <w:b w:val="0"/>
          <w:color w:val="000000"/>
          <w:sz w:val="21"/>
          <w:szCs w:val="21"/>
        </w:rPr>
        <w:t>承包人的一般义务</w:t>
      </w:r>
    </w:p>
    <w:p w14:paraId="15C8E98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承包人在履行合同过程中应遵守法律和工程建设标准规范，并履行以下义务：</w:t>
      </w:r>
    </w:p>
    <w:p w14:paraId="1BD70915">
      <w:pPr>
        <w:numPr>
          <w:ilvl w:val="0"/>
          <w:numId w:val="12"/>
        </w:num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办理法律规定应由承包人办理的许可和批准，并将办理结果书面报送发包人留存；</w:t>
      </w:r>
    </w:p>
    <w:p w14:paraId="74F6B0D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）按法律规定和合同约定完成工程，并在保修期内承担保修义务；</w:t>
      </w:r>
    </w:p>
    <w:p w14:paraId="4061236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）按法律规定和合同约定采取施工安全和环境保护措施，办理工伤保险，确保工程及人员、材料、设备和设施的安全；</w:t>
      </w:r>
    </w:p>
    <w:p w14:paraId="76DB4CD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）按合同约定的工作内容和施工进度要求，编制施工组织设计和施工措施计划，并对所有施工作业和施工方法的完备性和安全可靠性负责；</w:t>
      </w:r>
    </w:p>
    <w:p w14:paraId="57A56B1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8EF7F8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）按照第</w:t>
      </w:r>
      <w:r>
        <w:rPr>
          <w:rFonts w:asciiTheme="minorEastAsia" w:hAnsiTheme="minorEastAsia" w:eastAsiaTheme="minorEastAsia"/>
          <w:color w:val="000000"/>
          <w:szCs w:val="21"/>
        </w:rPr>
        <w:t>6.3</w:t>
      </w:r>
      <w:r>
        <w:rPr>
          <w:rFonts w:hint="eastAsia" w:asciiTheme="minorEastAsia" w:hAnsiTheme="minorEastAsia" w:eastAsiaTheme="minorEastAsia"/>
          <w:color w:val="000000"/>
          <w:szCs w:val="21"/>
        </w:rPr>
        <w:t>款〔环境保护〕约定负责施工场地及其周边环境与生态的保护工作；</w:t>
      </w:r>
    </w:p>
    <w:p w14:paraId="3B79080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）按第</w:t>
      </w:r>
      <w:r>
        <w:rPr>
          <w:rFonts w:asciiTheme="minorEastAsia" w:hAnsiTheme="minorEastAsia" w:eastAsiaTheme="minorEastAsia"/>
          <w:color w:val="000000"/>
          <w:szCs w:val="21"/>
        </w:rPr>
        <w:t>6.1</w:t>
      </w:r>
      <w:r>
        <w:rPr>
          <w:rFonts w:hint="eastAsia" w:asciiTheme="minorEastAsia" w:hAnsiTheme="minorEastAsia" w:eastAsiaTheme="minorEastAsia"/>
          <w:color w:val="000000"/>
          <w:szCs w:val="21"/>
        </w:rPr>
        <w:t>款〔安全文明施工〕约定采取施工安全措施，确保工程及其人员、材料、设备和设施的安全，防止因工程施工造成的人身伤害和财产损失；</w:t>
      </w:r>
    </w:p>
    <w:p w14:paraId="418B7E8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）将发包人按合同约定支付的各项价款专用于合同工程，且应及时支付其雇用人员工资，并及时向分包人支付合同价款；</w:t>
      </w:r>
    </w:p>
    <w:p w14:paraId="4E83921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9</w:t>
      </w:r>
      <w:r>
        <w:rPr>
          <w:rFonts w:hint="eastAsia" w:asciiTheme="minorEastAsia" w:hAnsiTheme="minorEastAsia" w:eastAsiaTheme="minorEastAsia"/>
          <w:color w:val="000000"/>
          <w:szCs w:val="21"/>
        </w:rPr>
        <w:t>）按照法律规定和合同约定编制竣工资料，完成竣工资料立卷及归档，并按专用合同条款约定的竣工资料的套数、内容、时间等要求移交发包人；</w:t>
      </w:r>
    </w:p>
    <w:p w14:paraId="45B8830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）应履行的其他义务。</w:t>
      </w:r>
    </w:p>
    <w:p w14:paraId="713AA89E">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3.2 </w:t>
      </w:r>
      <w:r>
        <w:rPr>
          <w:rFonts w:hint="eastAsia" w:asciiTheme="minorEastAsia" w:hAnsiTheme="minorEastAsia" w:eastAsiaTheme="minorEastAsia"/>
          <w:b w:val="0"/>
          <w:color w:val="000000"/>
          <w:sz w:val="21"/>
          <w:szCs w:val="21"/>
        </w:rPr>
        <w:t>项目经理</w:t>
      </w:r>
    </w:p>
    <w:p w14:paraId="5A8E9D7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3.2.1 </w:t>
      </w:r>
      <w:r>
        <w:rPr>
          <w:rFonts w:hint="eastAsia" w:asciiTheme="minorEastAsia" w:hAnsiTheme="minorEastAsia" w:eastAsiaTheme="minorEastAsia"/>
          <w:color w:val="000000"/>
          <w:szCs w:val="21"/>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FA0D22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AFB414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承包人违反上述约定的，应按照专用合同条款的约定，承担违约责任。</w:t>
      </w:r>
    </w:p>
    <w:p w14:paraId="7C1163C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3.2.2 </w:t>
      </w:r>
      <w:r>
        <w:rPr>
          <w:rFonts w:hint="eastAsia" w:asciiTheme="minorEastAsia" w:hAnsiTheme="minorEastAsia" w:eastAsiaTheme="minorEastAsia"/>
          <w:color w:val="000000"/>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小时内向发包人代表和总监理工程师提交书面报告。</w:t>
      </w:r>
    </w:p>
    <w:p w14:paraId="0563664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3.2.3 </w:t>
      </w:r>
      <w:r>
        <w:rPr>
          <w:rFonts w:hint="eastAsia" w:asciiTheme="minorEastAsia" w:hAnsiTheme="minorEastAsia" w:eastAsiaTheme="minorEastAsia"/>
          <w:color w:val="000000"/>
          <w:szCs w:val="21"/>
        </w:rPr>
        <w:t>承包人需要更换项目经理的，应提前</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天书面通知发包人和监理人，并征得发包人书面同意。通知中应当载明继任项目经理的注册执业资格、管理经验等资料，继任项目经理继续履行第</w:t>
      </w:r>
      <w:r>
        <w:rPr>
          <w:rFonts w:asciiTheme="minorEastAsia" w:hAnsiTheme="minorEastAsia" w:eastAsiaTheme="minorEastAsia"/>
          <w:color w:val="000000"/>
          <w:szCs w:val="21"/>
        </w:rPr>
        <w:t>3.2.1</w:t>
      </w:r>
      <w:r>
        <w:rPr>
          <w:rFonts w:hint="eastAsia" w:asciiTheme="minorEastAsia" w:hAnsiTheme="minorEastAsia" w:eastAsiaTheme="minorEastAsia"/>
          <w:color w:val="000000"/>
          <w:szCs w:val="21"/>
        </w:rPr>
        <w:t>项约定的职责。未经发包人书面同意，承包人不得擅自更换项目经理。承包人擅自更换项目经理的，应按照专用合同条款的约定承担违约责任。</w:t>
      </w:r>
    </w:p>
    <w:p w14:paraId="49B0589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3.2.4 </w:t>
      </w:r>
      <w:r>
        <w:rPr>
          <w:rFonts w:hint="eastAsia" w:asciiTheme="minorEastAsia" w:hAnsiTheme="minorEastAsia" w:eastAsiaTheme="minorEastAsia"/>
          <w:color w:val="000000"/>
          <w:szCs w:val="21"/>
        </w:rPr>
        <w:t>发包人有权书面通知承包人更换其认为不称职的项目经理，通知中应当载明要求更换的理由。承包人应在接到更换通知后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天内向发包人提出书面的改进报告。发包人收到改进报告后仍要求更换的，承包人应在接到第二次更换通知的</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天内进行更换，并将新任命的项目经理的注册执业资格、管理经验等资料书面通知发包人。继任项目经理继续履行第</w:t>
      </w:r>
      <w:r>
        <w:rPr>
          <w:rFonts w:asciiTheme="minorEastAsia" w:hAnsiTheme="minorEastAsia" w:eastAsiaTheme="minorEastAsia"/>
          <w:color w:val="000000"/>
          <w:szCs w:val="21"/>
        </w:rPr>
        <w:t>3.2.1</w:t>
      </w:r>
      <w:r>
        <w:rPr>
          <w:rFonts w:hint="eastAsia" w:asciiTheme="minorEastAsia" w:hAnsiTheme="minorEastAsia" w:eastAsiaTheme="minorEastAsia"/>
          <w:color w:val="000000"/>
          <w:szCs w:val="21"/>
        </w:rPr>
        <w:t>项约定的职责。承包人无正当理由拒绝更换项目经理的，应按照专用合同条款的约定承担违约责任。</w:t>
      </w:r>
    </w:p>
    <w:p w14:paraId="0B0283E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3.2.5 </w:t>
      </w:r>
      <w:r>
        <w:rPr>
          <w:rFonts w:hint="eastAsia" w:asciiTheme="minorEastAsia" w:hAnsiTheme="minorEastAsia" w:eastAsiaTheme="minorEastAsia"/>
          <w:color w:val="000000"/>
          <w:szCs w:val="21"/>
        </w:rPr>
        <w:t>项目经理因特殊情况授权其下属人员履行其某项工作职责的，该下属人员应具备履行相应职责的能力，并应提前</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天将上述人员的姓名和授权范围书面通知监理人，并征得发包人书面同意。</w:t>
      </w:r>
    </w:p>
    <w:p w14:paraId="7B03D81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3.3 </w:t>
      </w:r>
      <w:r>
        <w:rPr>
          <w:rFonts w:hint="eastAsia" w:asciiTheme="minorEastAsia" w:hAnsiTheme="minorEastAsia" w:eastAsiaTheme="minorEastAsia"/>
          <w:b w:val="0"/>
          <w:color w:val="000000"/>
          <w:sz w:val="21"/>
          <w:szCs w:val="21"/>
        </w:rPr>
        <w:t>承包人人员</w:t>
      </w:r>
    </w:p>
    <w:p w14:paraId="60C96E3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3.3.1 </w:t>
      </w:r>
      <w:r>
        <w:rPr>
          <w:rFonts w:hint="eastAsia" w:asciiTheme="minorEastAsia" w:hAnsiTheme="minorEastAsia" w:eastAsiaTheme="minorEastAsia"/>
          <w:color w:val="000000"/>
          <w:szCs w:val="21"/>
        </w:rPr>
        <w:t>除专用合同条款另有约定外，承包人应在接到开工通知后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0A396F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3.3.2 </w:t>
      </w:r>
      <w:r>
        <w:rPr>
          <w:rFonts w:hint="eastAsia" w:asciiTheme="minorEastAsia" w:hAnsiTheme="minorEastAsia" w:eastAsiaTheme="minorEastAsia"/>
          <w:color w:val="000000"/>
          <w:szCs w:val="21"/>
        </w:rPr>
        <w:t>承包人派驻到施工现场的主要施工管理人员应相对稳定。施工过程中如有变动，承包人应及时向监理人提交施工现场人员变动情况的报告。承包人更换主要施工管理人员时，应提前</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天书面通知监理人，并征得发包人书面同意。通知中应当载明继任人员的注册执业资格、管理经验等资料。</w:t>
      </w:r>
    </w:p>
    <w:p w14:paraId="12ABD28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特殊工种作业人员均应持有相应的资格证明，监理人可以随时检查。</w:t>
      </w:r>
    </w:p>
    <w:p w14:paraId="0F840A7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3.3.3 </w:t>
      </w:r>
      <w:r>
        <w:rPr>
          <w:rFonts w:hint="eastAsia" w:asciiTheme="minorEastAsia" w:hAnsiTheme="minorEastAsia" w:eastAsiaTheme="minorEastAsia"/>
          <w:color w:val="00000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69C0CD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3.3.4 </w:t>
      </w:r>
      <w:r>
        <w:rPr>
          <w:rFonts w:hint="eastAsia" w:asciiTheme="minorEastAsia" w:hAnsiTheme="minorEastAsia" w:eastAsiaTheme="minorEastAsia"/>
          <w:color w:val="000000"/>
          <w:szCs w:val="21"/>
        </w:rPr>
        <w:t>除专用合同条款另有约定外，承包人的主要施工管理人员离开施工现场每月累计不超过</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天的，应报监理人同意；离开施工现场每月累计超过</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天的，应通知监理人，并征得发包人书面同意。主要施工管理人员离开施工现场前应指定一名有经验的人员临时代行其职责，该人员应具备履行相应职责的资格和能力，且应征得监理人或发包人的同意。</w:t>
      </w:r>
    </w:p>
    <w:p w14:paraId="3B2CD09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3.3.5 </w:t>
      </w:r>
      <w:r>
        <w:rPr>
          <w:rFonts w:hint="eastAsia" w:asciiTheme="minorEastAsia" w:hAnsiTheme="minorEastAsia" w:eastAsiaTheme="minorEastAsia"/>
          <w:color w:val="000000"/>
          <w:szCs w:val="21"/>
        </w:rPr>
        <w:t>承包人擅自更换主要施工管理人员，或前述人员未经监理人或发包人同意擅自离开施工现场的，应按照专用合同条款约定承担违约责任。</w:t>
      </w:r>
    </w:p>
    <w:p w14:paraId="6B48AC04">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3.4 </w:t>
      </w:r>
      <w:r>
        <w:rPr>
          <w:rFonts w:hint="eastAsia" w:asciiTheme="minorEastAsia" w:hAnsiTheme="minorEastAsia" w:eastAsiaTheme="minorEastAsia"/>
          <w:b w:val="0"/>
          <w:color w:val="000000"/>
          <w:sz w:val="21"/>
          <w:szCs w:val="21"/>
        </w:rPr>
        <w:t>承包人现场查勘</w:t>
      </w:r>
    </w:p>
    <w:p w14:paraId="1B87694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承包人应对基于发包人按照第</w:t>
      </w:r>
      <w:r>
        <w:rPr>
          <w:rFonts w:asciiTheme="minorEastAsia" w:hAnsiTheme="minorEastAsia" w:eastAsiaTheme="minorEastAsia"/>
          <w:color w:val="000000"/>
          <w:szCs w:val="21"/>
        </w:rPr>
        <w:t>2.4.3</w:t>
      </w:r>
      <w:r>
        <w:rPr>
          <w:rFonts w:hint="eastAsia" w:asciiTheme="minorEastAsia" w:hAnsiTheme="minorEastAsia" w:eastAsiaTheme="minorEastAsia"/>
          <w:color w:val="000000"/>
          <w:szCs w:val="21"/>
        </w:rPr>
        <w:t>项〔提供基础资料〕提交的基础资料所做出的解释和推断负责，但因基础资料存在错误、遗漏导致承包人解释或推断失实的，由发包人承担责任。</w:t>
      </w:r>
    </w:p>
    <w:p w14:paraId="1E2365F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674F026">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3.5 </w:t>
      </w:r>
      <w:r>
        <w:rPr>
          <w:rFonts w:hint="eastAsia" w:asciiTheme="minorEastAsia" w:hAnsiTheme="minorEastAsia" w:eastAsiaTheme="minorEastAsia"/>
          <w:b w:val="0"/>
          <w:color w:val="000000"/>
          <w:sz w:val="21"/>
          <w:szCs w:val="21"/>
        </w:rPr>
        <w:t>分包</w:t>
      </w:r>
    </w:p>
    <w:p w14:paraId="2F310EF7">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3.5.1 </w:t>
      </w:r>
      <w:r>
        <w:rPr>
          <w:rFonts w:hint="eastAsia" w:asciiTheme="minorEastAsia" w:hAnsiTheme="minorEastAsia" w:eastAsiaTheme="minorEastAsia"/>
          <w:color w:val="000000"/>
          <w:szCs w:val="21"/>
        </w:rPr>
        <w:t>分包的一般约定</w:t>
      </w:r>
    </w:p>
    <w:p w14:paraId="1078A62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34FF47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承包人不得以劳务分包的名义转包或违法分包工程。</w:t>
      </w:r>
    </w:p>
    <w:p w14:paraId="6998F4B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3.5.2 </w:t>
      </w:r>
      <w:r>
        <w:rPr>
          <w:rFonts w:hint="eastAsia" w:asciiTheme="minorEastAsia" w:hAnsiTheme="minorEastAsia" w:eastAsiaTheme="minorEastAsia"/>
          <w:color w:val="000000"/>
          <w:szCs w:val="21"/>
        </w:rPr>
        <w:t>分包的确定</w:t>
      </w:r>
    </w:p>
    <w:p w14:paraId="030EE3B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承包人应按专用合同条款的约定进行分包，确定分包人。已标价工程量清单或预算书中给定暂估价的专业工程，按照第</w:t>
      </w:r>
      <w:r>
        <w:rPr>
          <w:rFonts w:asciiTheme="minorEastAsia" w:hAnsiTheme="minorEastAsia" w:eastAsiaTheme="minorEastAsia"/>
          <w:color w:val="000000"/>
          <w:szCs w:val="21"/>
        </w:rPr>
        <w:t>10.7</w:t>
      </w:r>
      <w:r>
        <w:rPr>
          <w:rFonts w:hint="eastAsia" w:asciiTheme="minorEastAsia" w:hAnsiTheme="minorEastAsia" w:eastAsiaTheme="minorEastAsia"/>
          <w:color w:val="000000"/>
          <w:szCs w:val="21"/>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天内向发包人和监理人提交分包合同副本。</w:t>
      </w:r>
    </w:p>
    <w:p w14:paraId="223AADE3">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3.5.3 </w:t>
      </w:r>
      <w:r>
        <w:rPr>
          <w:rFonts w:hint="eastAsia" w:asciiTheme="minorEastAsia" w:hAnsiTheme="minorEastAsia" w:eastAsiaTheme="minorEastAsia"/>
          <w:color w:val="000000"/>
          <w:szCs w:val="21"/>
        </w:rPr>
        <w:t>分包管理</w:t>
      </w:r>
    </w:p>
    <w:p w14:paraId="738F6D9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承包人应向监理人提交分包人的主要施工管理人员表，并对分包人的施工人员进行实名制管理，包括但不限于进出场管理、登记造册以及各种证照的办理。</w:t>
      </w:r>
    </w:p>
    <w:p w14:paraId="1AED5697">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3.5.4 </w:t>
      </w:r>
      <w:r>
        <w:rPr>
          <w:rFonts w:hint="eastAsia" w:asciiTheme="minorEastAsia" w:hAnsiTheme="minorEastAsia" w:eastAsiaTheme="minorEastAsia"/>
          <w:color w:val="000000"/>
          <w:szCs w:val="21"/>
        </w:rPr>
        <w:t>分包合同价款</w:t>
      </w:r>
    </w:p>
    <w:p w14:paraId="779D556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）除本项第（</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）目约定的情况或专用合同条款另有约定外，分包合同价款由承包人与分包人结算，未经承包人同意，发包人不得向分包人支付分包工程价款；</w:t>
      </w:r>
    </w:p>
    <w:p w14:paraId="38B9D19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）生效法律文书要求发包人向分包人支付分包合同价款的，发包人有权从应付承包人工程款中扣除该部分款项。</w:t>
      </w:r>
    </w:p>
    <w:p w14:paraId="3191EA02">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3.5.5 </w:t>
      </w:r>
      <w:r>
        <w:rPr>
          <w:rFonts w:hint="eastAsia" w:asciiTheme="minorEastAsia" w:hAnsiTheme="minorEastAsia" w:eastAsiaTheme="minorEastAsia"/>
          <w:color w:val="000000"/>
          <w:szCs w:val="21"/>
        </w:rPr>
        <w:t>分包合同权益的转让</w:t>
      </w:r>
    </w:p>
    <w:p w14:paraId="17C6FB9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269ADEB0">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3.6 </w:t>
      </w:r>
      <w:r>
        <w:rPr>
          <w:rFonts w:hint="eastAsia" w:asciiTheme="minorEastAsia" w:hAnsiTheme="minorEastAsia" w:eastAsiaTheme="minorEastAsia"/>
          <w:b w:val="0"/>
          <w:color w:val="000000"/>
          <w:sz w:val="21"/>
          <w:szCs w:val="21"/>
        </w:rPr>
        <w:t>工程照管与成品、半成品保护</w:t>
      </w:r>
    </w:p>
    <w:p w14:paraId="4946121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）除专用合同条款另有约定外，自发包人向承包人移交施工现场之日起，承包人应负责照管工程及工程相关的材料、工程设备，直到颁发工程接收证书之日止。</w:t>
      </w:r>
    </w:p>
    <w:p w14:paraId="086C997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）在承包人负责照管期间，因承包人原因造成工程、材料、工程设备损坏的，由承包人负责修复或更换，并承担由此增加的费用和（或）延误的工期。</w:t>
      </w:r>
    </w:p>
    <w:p w14:paraId="7FD2C8E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）对合同内分期完成的成品和半成品，在工程接收证书颁发前，由承包人承担保护责任。因承包人原因造成成品或半成品损坏的，由承包人负责修复或更换，并承担由此增加的费用和（或）延误的工期。</w:t>
      </w:r>
    </w:p>
    <w:p w14:paraId="5CC2F05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3.7 </w:t>
      </w:r>
      <w:r>
        <w:rPr>
          <w:rFonts w:hint="eastAsia" w:asciiTheme="minorEastAsia" w:hAnsiTheme="minorEastAsia" w:eastAsiaTheme="minorEastAsia"/>
          <w:b w:val="0"/>
          <w:color w:val="000000"/>
          <w:sz w:val="21"/>
          <w:szCs w:val="21"/>
        </w:rPr>
        <w:t>履约担保</w:t>
      </w:r>
    </w:p>
    <w:p w14:paraId="2CC24E8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67CF37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因承包人原因导致工期延长的，继续提供履约担保所增加的费用由承包人承担；非因承包人原因导致工期延长的，继续提供履约担保所增加的费用由发包人承担。</w:t>
      </w:r>
    </w:p>
    <w:p w14:paraId="5AAD3A6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3.8 </w:t>
      </w:r>
      <w:r>
        <w:rPr>
          <w:rFonts w:hint="eastAsia" w:asciiTheme="minorEastAsia" w:hAnsiTheme="minorEastAsia" w:eastAsiaTheme="minorEastAsia"/>
          <w:b w:val="0"/>
          <w:color w:val="000000"/>
          <w:sz w:val="21"/>
          <w:szCs w:val="21"/>
        </w:rPr>
        <w:t>联合体</w:t>
      </w:r>
    </w:p>
    <w:p w14:paraId="61CCEE7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3.8.1 </w:t>
      </w:r>
      <w:r>
        <w:rPr>
          <w:rFonts w:hint="eastAsia" w:asciiTheme="minorEastAsia" w:hAnsiTheme="minorEastAsia" w:eastAsiaTheme="minorEastAsia"/>
          <w:color w:val="000000"/>
          <w:szCs w:val="21"/>
        </w:rPr>
        <w:t>联合体各方应共同与发包人签订合同协议书。联合体各方应为履行合同向发包人承担连带责任。</w:t>
      </w:r>
    </w:p>
    <w:p w14:paraId="2A8FB61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3.8.2 </w:t>
      </w:r>
      <w:r>
        <w:rPr>
          <w:rFonts w:hint="eastAsia" w:asciiTheme="minorEastAsia" w:hAnsiTheme="minorEastAsia" w:eastAsiaTheme="minorEastAsia"/>
          <w:color w:val="000000"/>
          <w:szCs w:val="21"/>
        </w:rPr>
        <w:t>联合体协议经发包人确认后作为合同附件。在履行合同过程中，未经发包人同意，不得修改联合体协议。</w:t>
      </w:r>
    </w:p>
    <w:p w14:paraId="014373A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3.8.3 </w:t>
      </w:r>
      <w:r>
        <w:rPr>
          <w:rFonts w:hint="eastAsia" w:asciiTheme="minorEastAsia" w:hAnsiTheme="minorEastAsia" w:eastAsiaTheme="minorEastAsia"/>
          <w:color w:val="000000"/>
          <w:szCs w:val="21"/>
        </w:rPr>
        <w:t>联合体牵头人负责与发包人和监理人联系，并接受指示，负责组织联合体各成员全面履行合同。</w:t>
      </w:r>
    </w:p>
    <w:p w14:paraId="7940677E">
      <w:pPr>
        <w:adjustRightInd w:val="0"/>
        <w:snapToGrid w:val="0"/>
        <w:spacing w:line="360" w:lineRule="auto"/>
        <w:outlineLvl w:val="2"/>
        <w:rPr>
          <w:rFonts w:asciiTheme="minorEastAsia" w:hAnsiTheme="minorEastAsia" w:eastAsiaTheme="minorEastAsia"/>
          <w:b/>
          <w:szCs w:val="21"/>
        </w:rPr>
      </w:pPr>
      <w:bookmarkStart w:id="182" w:name="_Toc22147"/>
      <w:r>
        <w:rPr>
          <w:rFonts w:hint="eastAsia" w:asciiTheme="minorEastAsia" w:hAnsiTheme="minorEastAsia" w:eastAsiaTheme="minorEastAsia"/>
          <w:b/>
          <w:szCs w:val="21"/>
        </w:rPr>
        <w:t>4. 监理人</w:t>
      </w:r>
      <w:bookmarkEnd w:id="182"/>
    </w:p>
    <w:p w14:paraId="35DF89A5">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4.1</w:t>
      </w:r>
      <w:r>
        <w:rPr>
          <w:rFonts w:hint="eastAsia" w:asciiTheme="minorEastAsia" w:hAnsiTheme="minorEastAsia" w:eastAsiaTheme="minorEastAsia"/>
          <w:b w:val="0"/>
          <w:color w:val="000000"/>
          <w:sz w:val="21"/>
          <w:szCs w:val="21"/>
        </w:rPr>
        <w:t>监理人的一般规定</w:t>
      </w:r>
    </w:p>
    <w:p w14:paraId="322B420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AB60C4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除专用合同条款另有约定外，监理人在施工现场的办公场所、生活场所由承包人提供，所发生的费用由发包人承担。</w:t>
      </w:r>
    </w:p>
    <w:p w14:paraId="34440085">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4.2</w:t>
      </w:r>
      <w:r>
        <w:rPr>
          <w:rFonts w:hint="eastAsia" w:asciiTheme="minorEastAsia" w:hAnsiTheme="minorEastAsia" w:eastAsiaTheme="minorEastAsia"/>
          <w:b w:val="0"/>
          <w:color w:val="000000"/>
          <w:sz w:val="21"/>
          <w:szCs w:val="21"/>
        </w:rPr>
        <w:t>监理人员</w:t>
      </w:r>
    </w:p>
    <w:p w14:paraId="6515950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天书面通知承包人；更换其他监理人员，监理人应提前</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小时书面通知承包人。</w:t>
      </w:r>
    </w:p>
    <w:p w14:paraId="76DA055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4.3</w:t>
      </w:r>
      <w:r>
        <w:rPr>
          <w:rFonts w:hint="eastAsia" w:asciiTheme="minorEastAsia" w:hAnsiTheme="minorEastAsia" w:eastAsiaTheme="minorEastAsia"/>
          <w:b w:val="0"/>
          <w:color w:val="000000"/>
          <w:sz w:val="21"/>
          <w:szCs w:val="21"/>
        </w:rPr>
        <w:t>监理人的指示</w:t>
      </w:r>
    </w:p>
    <w:p w14:paraId="25F5EB3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小时内补发书面监理指示，补发的书面监理指示应与口头指示一致。</w:t>
      </w:r>
    </w:p>
    <w:p w14:paraId="14168A2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款〔商定或确定〕约定应由总监理工程师作出确定的权力授权或委托给其他监理人员。</w:t>
      </w:r>
    </w:p>
    <w:p w14:paraId="2AEAB15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承包人对监理人发出的指示有疑问的，应向监理人提出书面异议，监理人应在</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小时内对该指示予以确认、更改或撤销，监理人逾期未回复的，承包人有权拒绝执行上述指示。</w:t>
      </w:r>
    </w:p>
    <w:p w14:paraId="0B4BD9A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监理人对承包人的任何工作、工程或其采用的材料和工程设备未在约定的或合理期限内提出意见的，视为批准，但不免除或减轻承包人对该工作、工程、材料、工程设备等应承担的责任和义务。</w:t>
      </w:r>
    </w:p>
    <w:p w14:paraId="303CAFE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4.4 </w:t>
      </w:r>
      <w:r>
        <w:rPr>
          <w:rFonts w:hint="eastAsia" w:asciiTheme="minorEastAsia" w:hAnsiTheme="minorEastAsia" w:eastAsiaTheme="minorEastAsia"/>
          <w:b w:val="0"/>
          <w:color w:val="000000"/>
          <w:sz w:val="21"/>
          <w:szCs w:val="21"/>
        </w:rPr>
        <w:t>商定或确定</w:t>
      </w:r>
    </w:p>
    <w:p w14:paraId="555EA81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合同当事人进行商定或确定时，总监理工程师应当会同合同当事人尽量通过协商达成一致，不能达成一致的，由总监理工程师按照合同约定审慎做出公正的确定。</w:t>
      </w:r>
    </w:p>
    <w:p w14:paraId="0C7FD21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总监理工程师应将确定以书面形式通知发包人和承包人，并附详细依据。合同当事人对总监理工程师的确定没有异议的，按照总监理工程师的确定执行。任何一方合同当事人有异议，按照第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条〔争议解决〕约定处理。争议解决前，合同当事人暂按总监理工程师的确定执行；争议解决后，争议解决的结果与总监理工程师的确定不一致的，按照争议解决的结果执行，由此造成的损失由责任人承担。</w:t>
      </w:r>
    </w:p>
    <w:p w14:paraId="7D617877">
      <w:pPr>
        <w:adjustRightInd w:val="0"/>
        <w:snapToGrid w:val="0"/>
        <w:spacing w:line="360" w:lineRule="auto"/>
        <w:outlineLvl w:val="2"/>
        <w:rPr>
          <w:rFonts w:asciiTheme="minorEastAsia" w:hAnsiTheme="minorEastAsia" w:eastAsiaTheme="minorEastAsia"/>
          <w:b/>
          <w:szCs w:val="21"/>
        </w:rPr>
      </w:pPr>
      <w:bookmarkStart w:id="183" w:name="_Toc28817"/>
      <w:r>
        <w:rPr>
          <w:rFonts w:hint="eastAsia" w:asciiTheme="minorEastAsia" w:hAnsiTheme="minorEastAsia" w:eastAsiaTheme="minorEastAsia"/>
          <w:b/>
          <w:szCs w:val="21"/>
        </w:rPr>
        <w:t>5. 工程质量</w:t>
      </w:r>
      <w:bookmarkEnd w:id="183"/>
    </w:p>
    <w:p w14:paraId="5AB7C5BB">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5.1</w:t>
      </w:r>
      <w:r>
        <w:rPr>
          <w:rFonts w:hint="eastAsia" w:asciiTheme="minorEastAsia" w:hAnsiTheme="minorEastAsia" w:eastAsiaTheme="minorEastAsia"/>
          <w:b w:val="0"/>
          <w:color w:val="000000"/>
          <w:sz w:val="21"/>
          <w:szCs w:val="21"/>
        </w:rPr>
        <w:t>质量要求</w:t>
      </w:r>
    </w:p>
    <w:p w14:paraId="5CCE649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5.1.1 </w:t>
      </w:r>
      <w:r>
        <w:rPr>
          <w:rFonts w:hint="eastAsia" w:asciiTheme="minorEastAsia" w:hAnsiTheme="minorEastAsia" w:eastAsiaTheme="minorEastAsia"/>
          <w:color w:val="000000"/>
          <w:szCs w:val="21"/>
        </w:rPr>
        <w:t>工程质量标准必须符合现行国家有关工程施工质量验收规范和标准的要求。有关工程质量的特殊标准或要求由合同当事人在专用合同条款中约定。</w:t>
      </w:r>
    </w:p>
    <w:p w14:paraId="4E8864C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5.1.2 </w:t>
      </w:r>
      <w:r>
        <w:rPr>
          <w:rFonts w:hint="eastAsia" w:asciiTheme="minorEastAsia" w:hAnsiTheme="minorEastAsia" w:eastAsiaTheme="minorEastAsia"/>
          <w:color w:val="000000"/>
          <w:szCs w:val="21"/>
        </w:rPr>
        <w:t>因发包人原因造成工程质量未达到合同约定标准的，由发包人承担由此增加的费用和（或）延误的工期，并支付承包人合理的利润。</w:t>
      </w:r>
    </w:p>
    <w:p w14:paraId="0C99B13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5.1.3 </w:t>
      </w:r>
      <w:r>
        <w:rPr>
          <w:rFonts w:hint="eastAsia" w:asciiTheme="minorEastAsia" w:hAnsiTheme="minorEastAsia" w:eastAsiaTheme="minorEastAsia"/>
          <w:color w:val="000000"/>
          <w:szCs w:val="21"/>
        </w:rPr>
        <w:t>因承包人原因造成工程质量未达到合同约定标准的，发包人有权要求承包人返工直至工程质量达到合同约定的标准为止，并由承包人承担由此增加的费用和（或）延误的工期。</w:t>
      </w:r>
    </w:p>
    <w:p w14:paraId="6ABF73F0">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5.2</w:t>
      </w:r>
      <w:r>
        <w:rPr>
          <w:rFonts w:hint="eastAsia" w:asciiTheme="minorEastAsia" w:hAnsiTheme="minorEastAsia" w:eastAsiaTheme="minorEastAsia"/>
          <w:b w:val="0"/>
          <w:color w:val="000000"/>
          <w:sz w:val="21"/>
          <w:szCs w:val="21"/>
        </w:rPr>
        <w:t>质量保证措施</w:t>
      </w:r>
    </w:p>
    <w:p w14:paraId="7C41F41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5.2.1 </w:t>
      </w:r>
      <w:r>
        <w:rPr>
          <w:rFonts w:hint="eastAsia" w:asciiTheme="minorEastAsia" w:hAnsiTheme="minorEastAsia" w:eastAsiaTheme="minorEastAsia"/>
          <w:color w:val="000000"/>
          <w:szCs w:val="21"/>
        </w:rPr>
        <w:t>发包人的质量管理</w:t>
      </w:r>
    </w:p>
    <w:p w14:paraId="1AC54D6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发包人应按照法律规定及合同约定完成与工程质量有关的各项工作。</w:t>
      </w:r>
    </w:p>
    <w:p w14:paraId="512F402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5.2.2 </w:t>
      </w:r>
      <w:r>
        <w:rPr>
          <w:rFonts w:hint="eastAsia" w:asciiTheme="minorEastAsia" w:hAnsiTheme="minorEastAsia" w:eastAsiaTheme="minorEastAsia"/>
          <w:color w:val="000000"/>
          <w:szCs w:val="21"/>
        </w:rPr>
        <w:t>承包人的质量管理</w:t>
      </w:r>
    </w:p>
    <w:p w14:paraId="5C2DDD8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承包人按照第</w:t>
      </w:r>
      <w:r>
        <w:rPr>
          <w:rFonts w:asciiTheme="minorEastAsia" w:hAnsiTheme="minorEastAsia" w:eastAsiaTheme="minorEastAsia"/>
          <w:color w:val="000000"/>
          <w:szCs w:val="21"/>
        </w:rPr>
        <w:t>7.1</w:t>
      </w:r>
      <w:r>
        <w:rPr>
          <w:rFonts w:hint="eastAsia" w:asciiTheme="minorEastAsia" w:hAnsiTheme="minorEastAsia" w:eastAsiaTheme="minorEastAsia"/>
          <w:color w:val="00000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0144A5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承包人应对施工人员进行质量教育和技术培训，定期考核施工人员的劳动技能，严格执行施工规范和操作规程。</w:t>
      </w:r>
    </w:p>
    <w:p w14:paraId="50279B8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7BE1D7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5.2.3 </w:t>
      </w:r>
      <w:r>
        <w:rPr>
          <w:rFonts w:hint="eastAsia" w:asciiTheme="minorEastAsia" w:hAnsiTheme="minorEastAsia" w:eastAsiaTheme="minorEastAsia"/>
          <w:color w:val="000000"/>
          <w:szCs w:val="21"/>
        </w:rPr>
        <w:t>监理人的质量检查和检验</w:t>
      </w:r>
    </w:p>
    <w:p w14:paraId="1B32BF0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9C666D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1B3704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5.3 </w:t>
      </w:r>
      <w:r>
        <w:rPr>
          <w:rFonts w:hint="eastAsia" w:asciiTheme="minorEastAsia" w:hAnsiTheme="minorEastAsia" w:eastAsiaTheme="minorEastAsia"/>
          <w:b w:val="0"/>
          <w:color w:val="000000"/>
          <w:sz w:val="21"/>
          <w:szCs w:val="21"/>
        </w:rPr>
        <w:t>隐蔽工程检查</w:t>
      </w:r>
    </w:p>
    <w:p w14:paraId="5B033CDD">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5.3.1</w:t>
      </w:r>
      <w:r>
        <w:rPr>
          <w:rFonts w:hint="eastAsia" w:asciiTheme="minorEastAsia" w:hAnsiTheme="minorEastAsia" w:eastAsiaTheme="minorEastAsia"/>
          <w:color w:val="000000"/>
          <w:szCs w:val="21"/>
        </w:rPr>
        <w:t>承包人自检</w:t>
      </w:r>
    </w:p>
    <w:p w14:paraId="3A0909B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承包人应当对工程隐蔽部位进行自检，并经自检确认是否具备覆盖条件。</w:t>
      </w:r>
    </w:p>
    <w:p w14:paraId="154E6EA1">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5.3.2</w:t>
      </w:r>
      <w:r>
        <w:rPr>
          <w:rFonts w:hint="eastAsia" w:asciiTheme="minorEastAsia" w:hAnsiTheme="minorEastAsia" w:eastAsiaTheme="minorEastAsia"/>
          <w:color w:val="000000"/>
          <w:szCs w:val="21"/>
        </w:rPr>
        <w:t>检查程序</w:t>
      </w:r>
    </w:p>
    <w:p w14:paraId="5B350C1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除专用合同条款另有约定外，工程隐蔽部位经承包人自检确认具备覆盖条件的，承包人应在共同检查前</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小时书面通知监理人检查，通知中应载明隐蔽检查的内容、时间和地点，并应附有自检记录和必要的检查资料。</w:t>
      </w:r>
    </w:p>
    <w:p w14:paraId="09448B7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87633E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除专用合同条款另有约定外，监理人不能按时进行检查的，应在检查前</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小时向承包人提交书面延期要求，但延期不能超过</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Pr>
          <w:rFonts w:asciiTheme="minorEastAsia" w:hAnsiTheme="minorEastAsia" w:eastAsiaTheme="minorEastAsia"/>
          <w:color w:val="000000"/>
          <w:szCs w:val="21"/>
        </w:rPr>
        <w:t>5.3.3</w:t>
      </w:r>
      <w:r>
        <w:rPr>
          <w:rFonts w:hint="eastAsia" w:asciiTheme="minorEastAsia" w:hAnsiTheme="minorEastAsia" w:eastAsiaTheme="minorEastAsia"/>
          <w:color w:val="000000"/>
          <w:szCs w:val="21"/>
        </w:rPr>
        <w:t>项〔重新检查〕的约定重新检查。</w:t>
      </w:r>
    </w:p>
    <w:p w14:paraId="381A0383">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5.3.3 </w:t>
      </w:r>
      <w:r>
        <w:rPr>
          <w:rFonts w:hint="eastAsia" w:asciiTheme="minorEastAsia" w:hAnsiTheme="minorEastAsia" w:eastAsiaTheme="minorEastAsia"/>
          <w:color w:val="000000"/>
          <w:szCs w:val="21"/>
        </w:rPr>
        <w:t>重新检查</w:t>
      </w:r>
    </w:p>
    <w:p w14:paraId="6C0B4BE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BE2721F">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5.3.4 </w:t>
      </w:r>
      <w:r>
        <w:rPr>
          <w:rFonts w:hint="eastAsia" w:asciiTheme="minorEastAsia" w:hAnsiTheme="minorEastAsia" w:eastAsiaTheme="minorEastAsia"/>
          <w:color w:val="000000"/>
          <w:szCs w:val="21"/>
        </w:rPr>
        <w:t>承包人私自覆盖</w:t>
      </w:r>
    </w:p>
    <w:p w14:paraId="01F4009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4DB32D39">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5.4</w:t>
      </w:r>
      <w:r>
        <w:rPr>
          <w:rFonts w:hint="eastAsia" w:asciiTheme="minorEastAsia" w:hAnsiTheme="minorEastAsia" w:eastAsiaTheme="minorEastAsia"/>
          <w:b w:val="0"/>
          <w:color w:val="000000"/>
          <w:sz w:val="21"/>
          <w:szCs w:val="21"/>
        </w:rPr>
        <w:t>不合格工程的处理</w:t>
      </w:r>
    </w:p>
    <w:p w14:paraId="5099631E">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5.4.1 </w:t>
      </w:r>
      <w:r>
        <w:rPr>
          <w:rFonts w:hint="eastAsia" w:asciiTheme="minorEastAsia" w:hAnsiTheme="minorEastAsia" w:eastAsiaTheme="minorEastAsia"/>
          <w:color w:val="000000"/>
          <w:szCs w:val="21"/>
        </w:rPr>
        <w:t>因承包人原因造成工程不合格的，发包人有权随时要求承包人采取补救措施，直至达到合同要求的质量标准，由此增加的费用和（或）延误的工期由承包人承担。无法补救的，按照第</w:t>
      </w:r>
      <w:r>
        <w:rPr>
          <w:rFonts w:asciiTheme="minorEastAsia" w:hAnsiTheme="minorEastAsia" w:eastAsiaTheme="minorEastAsia"/>
          <w:color w:val="000000"/>
          <w:szCs w:val="21"/>
        </w:rPr>
        <w:t>13.2.4</w:t>
      </w:r>
      <w:r>
        <w:rPr>
          <w:rFonts w:hint="eastAsia" w:asciiTheme="minorEastAsia" w:hAnsiTheme="minorEastAsia" w:eastAsiaTheme="minorEastAsia"/>
          <w:color w:val="000000"/>
          <w:szCs w:val="21"/>
        </w:rPr>
        <w:t>项〔拒绝接收全部或部分工程〕约定执行。</w:t>
      </w:r>
      <w:r>
        <w:rPr>
          <w:rFonts w:asciiTheme="minorEastAsia" w:hAnsiTheme="minorEastAsia" w:eastAsiaTheme="minorEastAsia"/>
          <w:color w:val="000000"/>
          <w:szCs w:val="21"/>
        </w:rPr>
        <w:t xml:space="preserve"> </w:t>
      </w:r>
    </w:p>
    <w:p w14:paraId="5126EFC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5.4.2 </w:t>
      </w:r>
      <w:r>
        <w:rPr>
          <w:rFonts w:hint="eastAsia" w:asciiTheme="minorEastAsia" w:hAnsiTheme="minorEastAsia" w:eastAsiaTheme="minorEastAsia"/>
          <w:color w:val="000000"/>
          <w:szCs w:val="21"/>
        </w:rPr>
        <w:t>因发包人原因造成工程不合格的，由此增加的费用和（或）延误的工期由发包人承担，并支付承包人合理的利润。</w:t>
      </w:r>
    </w:p>
    <w:p w14:paraId="54DBD2E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5.5 </w:t>
      </w:r>
      <w:r>
        <w:rPr>
          <w:rFonts w:hint="eastAsia" w:asciiTheme="minorEastAsia" w:hAnsiTheme="minorEastAsia" w:eastAsiaTheme="minorEastAsia"/>
          <w:b w:val="0"/>
          <w:color w:val="000000"/>
          <w:sz w:val="21"/>
          <w:szCs w:val="21"/>
        </w:rPr>
        <w:t>质量争议检测</w:t>
      </w:r>
    </w:p>
    <w:p w14:paraId="7044D18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合同当事人对工程质量有争议的，由双方协商确定的工程质量检测机构鉴定，由此产生的费用及因此造成的损失，由责任方承担。</w:t>
      </w:r>
    </w:p>
    <w:p w14:paraId="4D0BD452">
      <w:pPr>
        <w:autoSpaceDE w:val="0"/>
        <w:autoSpaceDN w:val="0"/>
        <w:adjustRightInd w:val="0"/>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合同当事人均有责任的，由双方根据其责任分别承担。合同当事人无法达成一致的，按照第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款〔商定或确定〕执行。</w:t>
      </w:r>
    </w:p>
    <w:p w14:paraId="64ADB061">
      <w:pPr>
        <w:adjustRightInd w:val="0"/>
        <w:snapToGrid w:val="0"/>
        <w:spacing w:line="360" w:lineRule="auto"/>
        <w:outlineLvl w:val="2"/>
        <w:rPr>
          <w:rFonts w:asciiTheme="minorEastAsia" w:hAnsiTheme="minorEastAsia" w:eastAsiaTheme="minorEastAsia"/>
          <w:b/>
          <w:szCs w:val="21"/>
        </w:rPr>
      </w:pPr>
      <w:bookmarkStart w:id="184" w:name="_Toc11320"/>
      <w:r>
        <w:rPr>
          <w:rFonts w:hint="eastAsia" w:asciiTheme="minorEastAsia" w:hAnsiTheme="minorEastAsia" w:eastAsiaTheme="minorEastAsia"/>
          <w:b/>
          <w:szCs w:val="21"/>
        </w:rPr>
        <w:t>6. 安全文明施工与环境保护</w:t>
      </w:r>
      <w:bookmarkEnd w:id="184"/>
    </w:p>
    <w:p w14:paraId="39A8BF2C">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6.1</w:t>
      </w:r>
      <w:r>
        <w:rPr>
          <w:rFonts w:hint="eastAsia" w:asciiTheme="minorEastAsia" w:hAnsiTheme="minorEastAsia" w:eastAsiaTheme="minorEastAsia"/>
          <w:b w:val="0"/>
          <w:color w:val="000000"/>
          <w:sz w:val="21"/>
          <w:szCs w:val="21"/>
        </w:rPr>
        <w:t>安全文明施工</w:t>
      </w:r>
    </w:p>
    <w:p w14:paraId="4A7A2F7F">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6.1.1</w:t>
      </w:r>
      <w:r>
        <w:rPr>
          <w:rFonts w:hint="eastAsia" w:asciiTheme="minorEastAsia" w:hAnsiTheme="minorEastAsia" w:eastAsiaTheme="minorEastAsia"/>
          <w:color w:val="000000"/>
          <w:szCs w:val="21"/>
        </w:rPr>
        <w:t>安全生产要求</w:t>
      </w:r>
    </w:p>
    <w:p w14:paraId="22B905D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BDB50A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2BBF697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因安全生产需要暂停施工的，按照第</w:t>
      </w:r>
      <w:r>
        <w:rPr>
          <w:rFonts w:asciiTheme="minorEastAsia" w:hAnsiTheme="minorEastAsia" w:eastAsiaTheme="minorEastAsia"/>
          <w:color w:val="000000"/>
          <w:szCs w:val="21"/>
        </w:rPr>
        <w:t>7.8</w:t>
      </w:r>
      <w:r>
        <w:rPr>
          <w:rFonts w:hint="eastAsia" w:asciiTheme="minorEastAsia" w:hAnsiTheme="minorEastAsia" w:eastAsiaTheme="minorEastAsia"/>
          <w:color w:val="000000"/>
          <w:szCs w:val="21"/>
        </w:rPr>
        <w:t>款〔暂停施工〕的约定执行。</w:t>
      </w:r>
    </w:p>
    <w:p w14:paraId="0615144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6.1.2 </w:t>
      </w:r>
      <w:r>
        <w:rPr>
          <w:rFonts w:hint="eastAsia" w:asciiTheme="minorEastAsia" w:hAnsiTheme="minorEastAsia" w:eastAsiaTheme="minorEastAsia"/>
          <w:color w:val="000000"/>
          <w:szCs w:val="21"/>
        </w:rPr>
        <w:t>安全生产保证措施</w:t>
      </w:r>
    </w:p>
    <w:p w14:paraId="6CB9107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E8C0C93">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6.1.3</w:t>
      </w:r>
      <w:r>
        <w:rPr>
          <w:rFonts w:hint="eastAsia" w:asciiTheme="minorEastAsia" w:hAnsiTheme="minorEastAsia" w:eastAsiaTheme="minorEastAsia"/>
          <w:color w:val="000000"/>
          <w:szCs w:val="21"/>
        </w:rPr>
        <w:t>特别安全生产事项</w:t>
      </w:r>
    </w:p>
    <w:p w14:paraId="79B572A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FA0F79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承包人在动力设备、输电线路、地下管道、密封防震车间、易燃易爆地段以及临街交通要道附近施工时，施工开始前应向发包人和监理人提出安全防护措施，经发包人认可后实施。</w:t>
      </w:r>
      <w:r>
        <w:rPr>
          <w:rFonts w:asciiTheme="minorEastAsia" w:hAnsiTheme="minorEastAsia" w:eastAsiaTheme="minorEastAsia"/>
          <w:color w:val="000000"/>
          <w:szCs w:val="21"/>
        </w:rPr>
        <w:t xml:space="preserve"> </w:t>
      </w:r>
    </w:p>
    <w:p w14:paraId="5C59E55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实施爆破作业，在放射、毒害性环境中施工（含储存、运输、使用）及使用毒害性、腐蚀性物品施工时，承包人应在施工前</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天以书面通知发包人和监理人，并报送相应的安全防护措施，经发包人认可后实施。</w:t>
      </w:r>
    </w:p>
    <w:p w14:paraId="5F4233D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需单独编制危险性较大分部分项专项工程施工方案的，及要求进行专家论证的超过一定规模的危险性较大的分部分项工程，承包人应及时编制和组织论证。</w:t>
      </w:r>
    </w:p>
    <w:p w14:paraId="7F79CB7E">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6.1.4 </w:t>
      </w:r>
      <w:r>
        <w:rPr>
          <w:rFonts w:hint="eastAsia" w:asciiTheme="minorEastAsia" w:hAnsiTheme="minorEastAsia" w:eastAsiaTheme="minorEastAsia"/>
          <w:color w:val="000000"/>
          <w:szCs w:val="21"/>
        </w:rPr>
        <w:t>治安保卫</w:t>
      </w:r>
    </w:p>
    <w:p w14:paraId="333F2F4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除专用合同条款另有约定外，发包人应与当地公安部门协商，在现场建立治安管理机构或联防组织，统一管理施工场地的治安保卫事项，履行合同工程的治安保卫职责。</w:t>
      </w:r>
    </w:p>
    <w:p w14:paraId="26023E5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发包人和承包人除应协助现场治安管理机构或联防组织维护施工场地的社会治安外，还应做好包括生活区在内的各自管辖区的治安保卫工作。</w:t>
      </w:r>
    </w:p>
    <w:p w14:paraId="6D712DD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除专用合同条款另有约定外，发包人和承包人应在工程开工后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2FA07B4">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6.1.5 </w:t>
      </w:r>
      <w:r>
        <w:rPr>
          <w:rFonts w:hint="eastAsia" w:asciiTheme="minorEastAsia" w:hAnsiTheme="minorEastAsia" w:eastAsiaTheme="minorEastAsia"/>
          <w:color w:val="000000"/>
          <w:szCs w:val="21"/>
        </w:rPr>
        <w:t>文明施工</w:t>
      </w:r>
    </w:p>
    <w:p w14:paraId="26D6C89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BAE33C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03A32B4">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6.1.6 </w:t>
      </w:r>
      <w:r>
        <w:rPr>
          <w:rFonts w:hint="eastAsia" w:asciiTheme="minorEastAsia" w:hAnsiTheme="minorEastAsia" w:eastAsiaTheme="minorEastAsia"/>
          <w:color w:val="000000"/>
          <w:szCs w:val="21"/>
        </w:rPr>
        <w:t>安全文明施工费</w:t>
      </w:r>
    </w:p>
    <w:p w14:paraId="2E1DEEF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安全文明施工费由发包人承担，发包人不得以任何形式扣减该部分费用。因基准日期后合同所适用的法律或政府有关规定发生变化，增加的安全文明施工费由发包人承担。</w:t>
      </w:r>
    </w:p>
    <w:p w14:paraId="070FDC0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797FB2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除专用合同条款另有约定外，发包人应在开工后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天内预付安全文明施工费总额的</w:t>
      </w:r>
      <w:r>
        <w:rPr>
          <w:rFonts w:asciiTheme="minorEastAsia" w:hAnsiTheme="minorEastAsia" w:eastAsiaTheme="minorEastAsia"/>
          <w:color w:val="000000"/>
          <w:szCs w:val="21"/>
        </w:rPr>
        <w:t>50%</w:t>
      </w:r>
      <w:r>
        <w:rPr>
          <w:rFonts w:hint="eastAsia" w:asciiTheme="minorEastAsia" w:hAnsiTheme="minorEastAsia" w:eastAsiaTheme="minorEastAsia"/>
          <w:color w:val="000000"/>
          <w:szCs w:val="21"/>
        </w:rPr>
        <w:t>，其余部分与进度款同期支付。发包人逾期支付安全文明施工费超过</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天的，承包人有权向发包人发出要求预付的催告通知，发包人收到通知后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天内仍未支付的，承包人有权暂停施工，并按第</w:t>
      </w:r>
      <w:r>
        <w:rPr>
          <w:rFonts w:asciiTheme="minorEastAsia" w:hAnsiTheme="minorEastAsia" w:eastAsiaTheme="minorEastAsia"/>
          <w:color w:val="000000"/>
          <w:szCs w:val="21"/>
        </w:rPr>
        <w:t>16.1.1</w:t>
      </w:r>
      <w:r>
        <w:rPr>
          <w:rFonts w:hint="eastAsia" w:asciiTheme="minorEastAsia" w:hAnsiTheme="minorEastAsia" w:eastAsiaTheme="minorEastAsia"/>
          <w:color w:val="000000"/>
          <w:szCs w:val="21"/>
        </w:rPr>
        <w:t>项〔发包人违约的情形〕执行。</w:t>
      </w:r>
    </w:p>
    <w:p w14:paraId="574F018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9C23FE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6.1.7 </w:t>
      </w:r>
      <w:r>
        <w:rPr>
          <w:rFonts w:hint="eastAsia" w:asciiTheme="minorEastAsia" w:hAnsiTheme="minorEastAsia" w:eastAsiaTheme="minorEastAsia"/>
          <w:color w:val="000000"/>
          <w:szCs w:val="21"/>
        </w:rPr>
        <w:t>紧急情况处理</w:t>
      </w:r>
    </w:p>
    <w:p w14:paraId="2800F3C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398CE5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6.1.8 </w:t>
      </w:r>
      <w:r>
        <w:rPr>
          <w:rFonts w:hint="eastAsia" w:asciiTheme="minorEastAsia" w:hAnsiTheme="minorEastAsia" w:eastAsiaTheme="minorEastAsia"/>
          <w:color w:val="000000"/>
          <w:szCs w:val="21"/>
        </w:rPr>
        <w:t>事故处理</w:t>
      </w:r>
    </w:p>
    <w:p w14:paraId="3F77ABC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5D0C66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6.1.9 </w:t>
      </w:r>
      <w:r>
        <w:rPr>
          <w:rFonts w:hint="eastAsia" w:asciiTheme="minorEastAsia" w:hAnsiTheme="minorEastAsia" w:eastAsiaTheme="minorEastAsia"/>
          <w:color w:val="000000"/>
          <w:szCs w:val="21"/>
        </w:rPr>
        <w:t>安全生产责任</w:t>
      </w:r>
    </w:p>
    <w:p w14:paraId="21D226F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6.1.9.1 </w:t>
      </w:r>
      <w:r>
        <w:rPr>
          <w:rFonts w:hint="eastAsia" w:asciiTheme="minorEastAsia" w:hAnsiTheme="minorEastAsia" w:eastAsiaTheme="minorEastAsia"/>
          <w:color w:val="000000"/>
          <w:szCs w:val="21"/>
        </w:rPr>
        <w:t>发包人的安全责任</w:t>
      </w:r>
    </w:p>
    <w:p w14:paraId="6DE1D60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发包人应负责赔偿以下各种情况造成的损失：</w:t>
      </w:r>
    </w:p>
    <w:p w14:paraId="668F216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）工程或工程的任何部分对土地的占用所造成的第三者财产损失；</w:t>
      </w:r>
    </w:p>
    <w:p w14:paraId="1C46D87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）由于发包人原因在施工场地及其毗邻地带造成的第三者人身伤亡和财产损失；</w:t>
      </w:r>
    </w:p>
    <w:p w14:paraId="7FB9150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）由于发包人原因对承包人、监理人造成的人员人身伤亡和财产损失；</w:t>
      </w:r>
    </w:p>
    <w:p w14:paraId="293DA03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）由于发包人原因造成的发包人自身人员的人身伤害以及财产损失。</w:t>
      </w:r>
    </w:p>
    <w:p w14:paraId="31B0D0A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6.1.9.2 </w:t>
      </w:r>
      <w:r>
        <w:rPr>
          <w:rFonts w:hint="eastAsia" w:asciiTheme="minorEastAsia" w:hAnsiTheme="minorEastAsia" w:eastAsiaTheme="minorEastAsia"/>
          <w:color w:val="000000"/>
          <w:szCs w:val="21"/>
        </w:rPr>
        <w:t>承包人的安全责任</w:t>
      </w:r>
    </w:p>
    <w:p w14:paraId="2BB2FEB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由于承包人原因在施工场地内及其毗邻地带造成的发包人、监理人以及第三者人员伤亡和财产损失，由承包人负责赔偿。</w:t>
      </w:r>
    </w:p>
    <w:p w14:paraId="02221F65">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6.2 </w:t>
      </w:r>
      <w:r>
        <w:rPr>
          <w:rFonts w:hint="eastAsia" w:asciiTheme="minorEastAsia" w:hAnsiTheme="minorEastAsia" w:eastAsiaTheme="minorEastAsia"/>
          <w:b w:val="0"/>
          <w:color w:val="000000"/>
          <w:sz w:val="21"/>
          <w:szCs w:val="21"/>
        </w:rPr>
        <w:t>职业健康</w:t>
      </w:r>
    </w:p>
    <w:p w14:paraId="6EF3057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6.2.1 </w:t>
      </w:r>
      <w:r>
        <w:rPr>
          <w:rFonts w:hint="eastAsia" w:asciiTheme="minorEastAsia" w:hAnsiTheme="minorEastAsia" w:eastAsiaTheme="minorEastAsia"/>
          <w:color w:val="000000"/>
          <w:szCs w:val="21"/>
        </w:rPr>
        <w:t>劳动保护</w:t>
      </w:r>
    </w:p>
    <w:p w14:paraId="1CB2083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9B30DB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承包人应按照法律规定保障现场施工人员的劳动安全，并提供劳动保护</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31B671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45FED2A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6.2.2 </w:t>
      </w:r>
      <w:r>
        <w:rPr>
          <w:rFonts w:hint="eastAsia" w:asciiTheme="minorEastAsia" w:hAnsiTheme="minorEastAsia" w:eastAsiaTheme="minorEastAsia"/>
          <w:color w:val="000000"/>
          <w:szCs w:val="21"/>
        </w:rPr>
        <w:t>生活条件</w:t>
      </w:r>
    </w:p>
    <w:p w14:paraId="1A43ADD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在远离城镇的施工场地，还应配备必要的伤病防治和急救的医务人员与医疗设施。</w:t>
      </w:r>
    </w:p>
    <w:p w14:paraId="06C4BF43">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6.3 </w:t>
      </w:r>
      <w:r>
        <w:rPr>
          <w:rFonts w:hint="eastAsia" w:asciiTheme="minorEastAsia" w:hAnsiTheme="minorEastAsia" w:eastAsiaTheme="minorEastAsia"/>
          <w:b w:val="0"/>
          <w:color w:val="000000"/>
          <w:sz w:val="21"/>
          <w:szCs w:val="21"/>
        </w:rPr>
        <w:t>环境保护</w:t>
      </w:r>
    </w:p>
    <w:p w14:paraId="24EA770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A93DFF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承包人应当承担因其原因引起的环境污染侵权损害赔偿责任，因上述环境污染引起纠纷而导致暂停施工的，由此增加的费用和（或）延误的工期由承包人承担。</w:t>
      </w:r>
    </w:p>
    <w:p w14:paraId="14A865FB">
      <w:pPr>
        <w:adjustRightInd w:val="0"/>
        <w:snapToGrid w:val="0"/>
        <w:spacing w:line="360" w:lineRule="auto"/>
        <w:outlineLvl w:val="2"/>
        <w:rPr>
          <w:rFonts w:asciiTheme="minorEastAsia" w:hAnsiTheme="minorEastAsia" w:eastAsiaTheme="minorEastAsia"/>
          <w:b/>
          <w:szCs w:val="21"/>
        </w:rPr>
      </w:pPr>
      <w:bookmarkStart w:id="185" w:name="_Toc6463"/>
      <w:r>
        <w:rPr>
          <w:rFonts w:hint="eastAsia" w:asciiTheme="minorEastAsia" w:hAnsiTheme="minorEastAsia" w:eastAsiaTheme="minorEastAsia"/>
          <w:b/>
          <w:szCs w:val="21"/>
        </w:rPr>
        <w:t>7. 工期和进度</w:t>
      </w:r>
      <w:bookmarkEnd w:id="185"/>
    </w:p>
    <w:p w14:paraId="1E874DC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7.1</w:t>
      </w:r>
      <w:r>
        <w:rPr>
          <w:rFonts w:hint="eastAsia" w:asciiTheme="minorEastAsia" w:hAnsiTheme="minorEastAsia" w:eastAsiaTheme="minorEastAsia"/>
          <w:b w:val="0"/>
          <w:color w:val="000000"/>
          <w:sz w:val="21"/>
          <w:szCs w:val="21"/>
        </w:rPr>
        <w:t>施工组织设计</w:t>
      </w:r>
    </w:p>
    <w:p w14:paraId="3546B5C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szCs w:val="21"/>
        </w:rPr>
        <w:t>7.1.1</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施工组织设计的内容</w:t>
      </w:r>
    </w:p>
    <w:p w14:paraId="240CBE1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施工组织设计应包含以下内容：</w:t>
      </w:r>
    </w:p>
    <w:p w14:paraId="70EE4BF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）施工方案；</w:t>
      </w:r>
      <w:r>
        <w:rPr>
          <w:rFonts w:asciiTheme="minorEastAsia" w:hAnsiTheme="minorEastAsia" w:eastAsiaTheme="minorEastAsia"/>
          <w:color w:val="000000"/>
          <w:szCs w:val="21"/>
        </w:rPr>
        <w:t xml:space="preserve"> </w:t>
      </w:r>
    </w:p>
    <w:p w14:paraId="213BF05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）施工现场平面布置图；</w:t>
      </w:r>
    </w:p>
    <w:p w14:paraId="264EE93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）施工进度计划和保证措施；</w:t>
      </w:r>
      <w:r>
        <w:rPr>
          <w:rFonts w:asciiTheme="minorEastAsia" w:hAnsiTheme="minorEastAsia" w:eastAsiaTheme="minorEastAsia"/>
          <w:color w:val="000000"/>
          <w:szCs w:val="21"/>
        </w:rPr>
        <w:t xml:space="preserve"> </w:t>
      </w:r>
    </w:p>
    <w:p w14:paraId="7AB28AA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）劳动力及材料供应计划；</w:t>
      </w:r>
    </w:p>
    <w:p w14:paraId="6AA2130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）施工机械设备的选用；</w:t>
      </w:r>
    </w:p>
    <w:p w14:paraId="4BF5F52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）质量保证体系及措施；</w:t>
      </w:r>
    </w:p>
    <w:p w14:paraId="28B59AF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）安全生产、文明施工措施；</w:t>
      </w:r>
    </w:p>
    <w:p w14:paraId="4F2BD20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）环境保护、成本控制措施；</w:t>
      </w:r>
    </w:p>
    <w:p w14:paraId="287A16C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9</w:t>
      </w:r>
      <w:r>
        <w:rPr>
          <w:rFonts w:hint="eastAsia" w:asciiTheme="minorEastAsia" w:hAnsiTheme="minorEastAsia" w:eastAsiaTheme="minorEastAsia"/>
          <w:color w:val="000000"/>
          <w:szCs w:val="21"/>
        </w:rPr>
        <w:t>）合同当事人约定的其他内容。</w:t>
      </w:r>
    </w:p>
    <w:p w14:paraId="66687ED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szCs w:val="21"/>
        </w:rPr>
        <w:t>7.1.2</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施工组织设计的提交和修改</w:t>
      </w:r>
    </w:p>
    <w:p w14:paraId="2305797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除专用合同条款另有约定外，承包人应在合同签订后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天内，但至迟不得晚于第</w:t>
      </w:r>
      <w:r>
        <w:rPr>
          <w:rFonts w:asciiTheme="minorEastAsia" w:hAnsiTheme="minorEastAsia" w:eastAsiaTheme="minorEastAsia"/>
          <w:color w:val="000000"/>
          <w:szCs w:val="21"/>
        </w:rPr>
        <w:t>7.3.2</w:t>
      </w:r>
      <w:r>
        <w:rPr>
          <w:rFonts w:hint="eastAsia" w:asciiTheme="minorEastAsia" w:hAnsiTheme="minorEastAsia" w:eastAsiaTheme="minorEastAsia"/>
          <w:color w:val="000000"/>
          <w:szCs w:val="21"/>
        </w:rPr>
        <w:t>项〔开工通知〕载明的开工日期前</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天，向监理人提交详细的施工组织设计，并由监理人报送发包人。除专用合同条款另有约定外，发包人和监理人应在监理人收到施工组织设计后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天内确认或提出修改意见。对发包人和监理人提出的合理意见和要求，承包人应自费修改完善。根据工程实际情况需要修改施工组织设计的，承包人应向发包人和监理人提交修改后的施工组织设计。</w:t>
      </w:r>
    </w:p>
    <w:p w14:paraId="3C2BCFA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施工进度计划的编制和修改按照第</w:t>
      </w:r>
      <w:r>
        <w:rPr>
          <w:rFonts w:asciiTheme="minorEastAsia" w:hAnsiTheme="minorEastAsia" w:eastAsiaTheme="minorEastAsia"/>
          <w:color w:val="000000"/>
          <w:szCs w:val="21"/>
        </w:rPr>
        <w:t>7.2</w:t>
      </w:r>
      <w:r>
        <w:rPr>
          <w:rFonts w:hint="eastAsia" w:asciiTheme="minorEastAsia" w:hAnsiTheme="minorEastAsia" w:eastAsiaTheme="minorEastAsia"/>
          <w:color w:val="000000"/>
          <w:szCs w:val="21"/>
        </w:rPr>
        <w:t>款〔施工进度计划〕执行。</w:t>
      </w:r>
    </w:p>
    <w:p w14:paraId="048116B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7.2 </w:t>
      </w:r>
      <w:r>
        <w:rPr>
          <w:rFonts w:hint="eastAsia" w:asciiTheme="minorEastAsia" w:hAnsiTheme="minorEastAsia" w:eastAsiaTheme="minorEastAsia"/>
          <w:b w:val="0"/>
          <w:color w:val="000000"/>
          <w:sz w:val="21"/>
          <w:szCs w:val="21"/>
        </w:rPr>
        <w:t>施工进度计划</w:t>
      </w:r>
    </w:p>
    <w:p w14:paraId="62EED0C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7.2.1 </w:t>
      </w:r>
      <w:r>
        <w:rPr>
          <w:rFonts w:hint="eastAsia" w:asciiTheme="minorEastAsia" w:hAnsiTheme="minorEastAsia" w:eastAsiaTheme="minorEastAsia"/>
          <w:color w:val="000000"/>
          <w:szCs w:val="21"/>
        </w:rPr>
        <w:t>施工进度计划的编制</w:t>
      </w:r>
    </w:p>
    <w:p w14:paraId="43F96F0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承包人应按照第</w:t>
      </w:r>
      <w:r>
        <w:rPr>
          <w:rFonts w:asciiTheme="minorEastAsia" w:hAnsiTheme="minorEastAsia" w:eastAsiaTheme="minorEastAsia"/>
          <w:color w:val="000000"/>
          <w:szCs w:val="21"/>
        </w:rPr>
        <w:t>7.1</w:t>
      </w:r>
      <w:r>
        <w:rPr>
          <w:rFonts w:hint="eastAsia" w:asciiTheme="minorEastAsia" w:hAnsiTheme="minorEastAsia" w:eastAsiaTheme="minorEastAsia"/>
          <w:color w:val="00000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D085D7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7.2.2 </w:t>
      </w:r>
      <w:r>
        <w:rPr>
          <w:rFonts w:hint="eastAsia" w:asciiTheme="minorEastAsia" w:hAnsiTheme="minorEastAsia" w:eastAsiaTheme="minorEastAsia"/>
          <w:color w:val="000000"/>
          <w:szCs w:val="21"/>
        </w:rPr>
        <w:t>施工进度计划的修订</w:t>
      </w:r>
    </w:p>
    <w:p w14:paraId="7A323FF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天内完成审核和批准或提出修改意见。发包人和监理人对承包人提交的施工进度计划的确认，不能减轻或免除承包人根据法律规定和合同约定应承担的任何责任或义务。</w:t>
      </w:r>
    </w:p>
    <w:p w14:paraId="42B393C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7.3 </w:t>
      </w:r>
      <w:r>
        <w:rPr>
          <w:rFonts w:hint="eastAsia" w:asciiTheme="minorEastAsia" w:hAnsiTheme="minorEastAsia" w:eastAsiaTheme="minorEastAsia"/>
          <w:b w:val="0"/>
          <w:color w:val="000000"/>
          <w:sz w:val="21"/>
          <w:szCs w:val="21"/>
        </w:rPr>
        <w:t>开工</w:t>
      </w:r>
    </w:p>
    <w:p w14:paraId="1ABA66F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7.3.1 </w:t>
      </w:r>
      <w:r>
        <w:rPr>
          <w:rFonts w:hint="eastAsia" w:asciiTheme="minorEastAsia" w:hAnsiTheme="minorEastAsia" w:eastAsiaTheme="minorEastAsia"/>
          <w:color w:val="000000"/>
          <w:szCs w:val="21"/>
        </w:rPr>
        <w:t>开工准备</w:t>
      </w:r>
    </w:p>
    <w:p w14:paraId="42F6FAF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除专用合同条款另有约定外，承包人应按照第</w:t>
      </w:r>
      <w:r>
        <w:rPr>
          <w:rFonts w:asciiTheme="minorEastAsia" w:hAnsiTheme="minorEastAsia" w:eastAsiaTheme="minorEastAsia"/>
          <w:color w:val="000000"/>
          <w:szCs w:val="21"/>
        </w:rPr>
        <w:t>7.1</w:t>
      </w:r>
      <w:r>
        <w:rPr>
          <w:rFonts w:hint="eastAsia" w:asciiTheme="minorEastAsia" w:hAnsiTheme="minorEastAsia" w:eastAsiaTheme="minorEastAsia"/>
          <w:color w:val="000000"/>
          <w:szCs w:val="21"/>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35EA13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除专用合同条款另有约定外，合同当事人应按约定完成开工准备工作。</w:t>
      </w:r>
    </w:p>
    <w:p w14:paraId="33CB84E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7.3.2 </w:t>
      </w:r>
      <w:r>
        <w:rPr>
          <w:rFonts w:hint="eastAsia" w:asciiTheme="minorEastAsia" w:hAnsiTheme="minorEastAsia" w:eastAsiaTheme="minorEastAsia"/>
          <w:color w:val="000000"/>
          <w:szCs w:val="21"/>
        </w:rPr>
        <w:t>开工通知</w:t>
      </w:r>
    </w:p>
    <w:p w14:paraId="4F22222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发包人应按照法律规定获得工程施工所需的许可。经发包人同意后，监理人发出的开工通知应符合法律规定。监理人应在计划开工日期</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天前向承包人发出开工通知，工期自开工通知中载明的开工日期起算。</w:t>
      </w:r>
    </w:p>
    <w:p w14:paraId="208CDDE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除专用合同条款另有约定外，因发包人原因造成监理人未能在计划开工日期之日起</w:t>
      </w:r>
      <w:r>
        <w:rPr>
          <w:rFonts w:asciiTheme="minorEastAsia" w:hAnsiTheme="minorEastAsia" w:eastAsiaTheme="minorEastAsia"/>
          <w:color w:val="000000"/>
          <w:szCs w:val="21"/>
        </w:rPr>
        <w:t>90</w:t>
      </w:r>
      <w:r>
        <w:rPr>
          <w:rFonts w:hint="eastAsia" w:asciiTheme="minorEastAsia" w:hAnsiTheme="minorEastAsia" w:eastAsiaTheme="minorEastAsia"/>
          <w:color w:val="000000"/>
          <w:szCs w:val="21"/>
        </w:rPr>
        <w:t>天内发出开工通知的，承包人有权提出价格调整要求，或者解除合同。发包人应当承担由此增加的费用和（或）延误的工期，并向承包人支付合理利润。</w:t>
      </w:r>
    </w:p>
    <w:p w14:paraId="03370A31">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7.4</w:t>
      </w:r>
      <w:r>
        <w:rPr>
          <w:rFonts w:hint="eastAsia" w:asciiTheme="minorEastAsia" w:hAnsiTheme="minorEastAsia" w:eastAsiaTheme="minorEastAsia"/>
          <w:b w:val="0"/>
          <w:color w:val="000000"/>
          <w:sz w:val="21"/>
          <w:szCs w:val="21"/>
        </w:rPr>
        <w:t>测量放线</w:t>
      </w:r>
    </w:p>
    <w:p w14:paraId="04A1BAA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7.4.1 </w:t>
      </w:r>
      <w:r>
        <w:rPr>
          <w:rFonts w:hint="eastAsia" w:asciiTheme="minorEastAsia" w:hAnsiTheme="minorEastAsia" w:eastAsiaTheme="minorEastAsia"/>
          <w:color w:val="000000"/>
          <w:szCs w:val="21"/>
        </w:rPr>
        <w:t>除专用合同条款另有约定外，发包人应在至迟不得晚于第</w:t>
      </w:r>
      <w:r>
        <w:rPr>
          <w:rFonts w:asciiTheme="minorEastAsia" w:hAnsiTheme="minorEastAsia" w:eastAsiaTheme="minorEastAsia"/>
          <w:color w:val="000000"/>
          <w:szCs w:val="21"/>
        </w:rPr>
        <w:t>7.3.2</w:t>
      </w:r>
      <w:r>
        <w:rPr>
          <w:rFonts w:hint="eastAsia" w:asciiTheme="minorEastAsia" w:hAnsiTheme="minorEastAsia" w:eastAsiaTheme="minorEastAsia"/>
          <w:color w:val="000000"/>
          <w:szCs w:val="21"/>
        </w:rPr>
        <w:t>项〔开工通知〕载明的开工日期前</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天通过监理人向承包人提供测量基准点、基准线和水准点及其书面资料。发包人应对其提供的测量基准点、基准线和水准点及其书面资料的真实性、准确性和完整性负责。</w:t>
      </w:r>
    </w:p>
    <w:p w14:paraId="2B4DC0C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F01704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7.4.2 </w:t>
      </w:r>
      <w:r>
        <w:rPr>
          <w:rFonts w:hint="eastAsia" w:asciiTheme="minorEastAsia" w:hAnsiTheme="minorEastAsia" w:eastAsiaTheme="minorEastAsia"/>
          <w:color w:val="000000"/>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14:paraId="549C5EB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施工过程中对施工现场内水准点等测量标志物的保护工作由承包人负责。</w:t>
      </w:r>
    </w:p>
    <w:p w14:paraId="41F7E5A5">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7.5 </w:t>
      </w:r>
      <w:r>
        <w:rPr>
          <w:rFonts w:hint="eastAsia" w:asciiTheme="minorEastAsia" w:hAnsiTheme="minorEastAsia" w:eastAsiaTheme="minorEastAsia"/>
          <w:b w:val="0"/>
          <w:color w:val="000000"/>
          <w:sz w:val="21"/>
          <w:szCs w:val="21"/>
        </w:rPr>
        <w:t>工期延误</w:t>
      </w:r>
    </w:p>
    <w:p w14:paraId="23F54CD4">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7.5.1 </w:t>
      </w:r>
      <w:r>
        <w:rPr>
          <w:rFonts w:hint="eastAsia" w:asciiTheme="minorEastAsia" w:hAnsiTheme="minorEastAsia" w:eastAsiaTheme="minorEastAsia"/>
          <w:color w:val="000000"/>
          <w:szCs w:val="21"/>
        </w:rPr>
        <w:t>因发包人原因导致工期延误</w:t>
      </w:r>
    </w:p>
    <w:p w14:paraId="4F137BB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在合同履行过程中，因下列情况导致工期延误和（或）费用增加的，由发包人承担由此延误的工期和（或）增加的费用，且发包人应支付承包人合理的利润：</w:t>
      </w:r>
      <w:r>
        <w:rPr>
          <w:rFonts w:asciiTheme="minorEastAsia" w:hAnsiTheme="minorEastAsia" w:eastAsiaTheme="minorEastAsia"/>
          <w:color w:val="000000"/>
          <w:szCs w:val="21"/>
        </w:rPr>
        <w:t xml:space="preserve"> </w:t>
      </w:r>
    </w:p>
    <w:p w14:paraId="62443AA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）发包人未能按合同约定提供图纸或所提供图纸不符合合同约定的；</w:t>
      </w:r>
    </w:p>
    <w:p w14:paraId="35E9BDA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）发包人未能按合同约定提供施工现场、施工条件、基础资料、许可、批准等开工条件的；</w:t>
      </w:r>
    </w:p>
    <w:p w14:paraId="0F6CA3F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）发包人提供的测量基准点、基准线和水准点及其书面资料存在错误或疏漏的；</w:t>
      </w:r>
    </w:p>
    <w:p w14:paraId="177C9C2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）发包人未能在计划开工日期之日起</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天内同意下达开工通知的；</w:t>
      </w:r>
    </w:p>
    <w:p w14:paraId="7D978F0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）发包人未能按合同约定日期支付工程预付款、进度款或竣工结算款的；</w:t>
      </w:r>
    </w:p>
    <w:p w14:paraId="1EDB4D9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）监理人未按合同约定发出指示、批准等文件的；</w:t>
      </w:r>
    </w:p>
    <w:p w14:paraId="414057B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）专用合同条款中约定的其他情形。</w:t>
      </w:r>
    </w:p>
    <w:p w14:paraId="23CB841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因发包人原因未按计划开工日期开工的，发包人应按实际开工日期顺延竣工日期，确保实际工期不低于合同约定的工期总日历天数。因发包人原因导致工期延误需要修订施工进度计划的，按照第</w:t>
      </w:r>
      <w:r>
        <w:rPr>
          <w:rFonts w:asciiTheme="minorEastAsia" w:hAnsiTheme="minorEastAsia" w:eastAsiaTheme="minorEastAsia"/>
          <w:color w:val="000000"/>
          <w:szCs w:val="21"/>
        </w:rPr>
        <w:t>7.2.2</w:t>
      </w:r>
      <w:r>
        <w:rPr>
          <w:rFonts w:hint="eastAsia" w:asciiTheme="minorEastAsia" w:hAnsiTheme="minorEastAsia" w:eastAsiaTheme="minorEastAsia"/>
          <w:color w:val="000000"/>
          <w:szCs w:val="21"/>
        </w:rPr>
        <w:t>项〔施工进度计划的修订〕执行。</w:t>
      </w:r>
    </w:p>
    <w:p w14:paraId="4AA6D2F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7.5.2 </w:t>
      </w:r>
      <w:r>
        <w:rPr>
          <w:rFonts w:hint="eastAsia" w:asciiTheme="minorEastAsia" w:hAnsiTheme="minorEastAsia" w:eastAsiaTheme="minorEastAsia"/>
          <w:color w:val="000000"/>
          <w:szCs w:val="21"/>
        </w:rPr>
        <w:t>因承包人原因导致工期延误</w:t>
      </w:r>
    </w:p>
    <w:p w14:paraId="1AD217D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因承包人原因造成工期延误的，可以在专用合同条款中约定逾期竣工违约金的计算方法和逾期竣工违约金的上限。承包人支付逾期竣工违约金后，不免除承包人继续完成工程及修补缺陷的义务。</w:t>
      </w:r>
    </w:p>
    <w:p w14:paraId="7AC8ACB3">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7.6 </w:t>
      </w:r>
      <w:r>
        <w:rPr>
          <w:rFonts w:hint="eastAsia" w:asciiTheme="minorEastAsia" w:hAnsiTheme="minorEastAsia" w:eastAsiaTheme="minorEastAsia"/>
          <w:b w:val="0"/>
          <w:color w:val="000000"/>
          <w:sz w:val="21"/>
          <w:szCs w:val="21"/>
        </w:rPr>
        <w:t>不利物质条件</w:t>
      </w:r>
    </w:p>
    <w:p w14:paraId="00A2698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5CA23E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条〔变更〕约定执行。承包人因采取合理措施而增加的费用和（或）延误的工期由发包人承担。</w:t>
      </w:r>
    </w:p>
    <w:p w14:paraId="3176AF97">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7.7 </w:t>
      </w:r>
      <w:r>
        <w:rPr>
          <w:rFonts w:hint="eastAsia" w:asciiTheme="minorEastAsia" w:hAnsiTheme="minorEastAsia" w:eastAsiaTheme="minorEastAsia"/>
          <w:b w:val="0"/>
          <w:color w:val="000000"/>
          <w:sz w:val="21"/>
          <w:szCs w:val="21"/>
        </w:rPr>
        <w:t>异常恶劣的气候条件</w:t>
      </w:r>
    </w:p>
    <w:p w14:paraId="1C73B12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3DE04C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承包人应采取克服异常恶劣的气候条件的合理措施继续施工，并及时通知发包人和监理人。监理人经发包人同意后应当及时发出指示，指示构成变更的，按第</w:t>
      </w: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条〔变更〕约定办理。承包人因采取合理措施而增加的费用和（或）延误的工期由发包人承担。</w:t>
      </w:r>
    </w:p>
    <w:p w14:paraId="13167D7E">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7.8 </w:t>
      </w:r>
      <w:r>
        <w:rPr>
          <w:rFonts w:hint="eastAsia" w:asciiTheme="minorEastAsia" w:hAnsiTheme="minorEastAsia" w:eastAsiaTheme="minorEastAsia"/>
          <w:b w:val="0"/>
          <w:color w:val="000000"/>
          <w:sz w:val="21"/>
          <w:szCs w:val="21"/>
        </w:rPr>
        <w:t>暂停施工</w:t>
      </w:r>
    </w:p>
    <w:p w14:paraId="32401108">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7.8.1</w:t>
      </w:r>
      <w:r>
        <w:rPr>
          <w:rFonts w:hint="eastAsia" w:asciiTheme="minorEastAsia" w:hAnsiTheme="minorEastAsia" w:eastAsiaTheme="minorEastAsia"/>
          <w:color w:val="000000"/>
          <w:szCs w:val="21"/>
        </w:rPr>
        <w:t>发包人原因引起的暂停施工</w:t>
      </w:r>
    </w:p>
    <w:p w14:paraId="239BA13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因发包人原因引起暂停施工的，监理人经发包人同意后，应及时下达暂停施工指示。情况紧急且监理人未及时下达暂停施工指示的，按照第</w:t>
      </w:r>
      <w:r>
        <w:rPr>
          <w:rFonts w:asciiTheme="minorEastAsia" w:hAnsiTheme="minorEastAsia" w:eastAsiaTheme="minorEastAsia"/>
          <w:color w:val="000000"/>
          <w:szCs w:val="21"/>
        </w:rPr>
        <w:t>7.8.4</w:t>
      </w:r>
      <w:r>
        <w:rPr>
          <w:rFonts w:hint="eastAsia" w:asciiTheme="minorEastAsia" w:hAnsiTheme="minorEastAsia" w:eastAsiaTheme="minorEastAsia"/>
          <w:color w:val="000000"/>
          <w:szCs w:val="21"/>
        </w:rPr>
        <w:t>项〔紧急情况下的暂停施工〕执行。</w:t>
      </w:r>
    </w:p>
    <w:p w14:paraId="6C07A9D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因发包人原因引起的暂停施工，发包人应承担由此增加的费用和（或）延误的工期，</w:t>
      </w:r>
      <w:r>
        <w:rPr>
          <w:rFonts w:hint="eastAsia" w:asciiTheme="minorEastAsia" w:hAnsiTheme="minorEastAsia" w:eastAsiaTheme="minorEastAsia"/>
          <w:szCs w:val="21"/>
        </w:rPr>
        <w:t>并支付承包人</w:t>
      </w:r>
      <w:r>
        <w:rPr>
          <w:rFonts w:hint="eastAsia" w:asciiTheme="minorEastAsia" w:hAnsiTheme="minorEastAsia" w:eastAsiaTheme="minorEastAsia"/>
          <w:color w:val="000000"/>
          <w:szCs w:val="21"/>
        </w:rPr>
        <w:t>合理的利润。</w:t>
      </w:r>
    </w:p>
    <w:p w14:paraId="7DDEE2D8">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7.8.2 </w:t>
      </w:r>
      <w:r>
        <w:rPr>
          <w:rFonts w:hint="eastAsia" w:asciiTheme="minorEastAsia" w:hAnsiTheme="minorEastAsia" w:eastAsiaTheme="minorEastAsia"/>
          <w:color w:val="000000"/>
          <w:szCs w:val="21"/>
        </w:rPr>
        <w:t>承包人原因引起的暂停施工</w:t>
      </w:r>
    </w:p>
    <w:p w14:paraId="7422550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因承包人原因引起的暂停施工，承包人应承担由此增加的费用和（或）延误的工期，且承包人在收到监理人复工指示后</w:t>
      </w:r>
      <w:r>
        <w:rPr>
          <w:rFonts w:asciiTheme="minorEastAsia" w:hAnsiTheme="minorEastAsia" w:eastAsiaTheme="minorEastAsia"/>
          <w:color w:val="000000"/>
          <w:szCs w:val="21"/>
        </w:rPr>
        <w:t>84</w:t>
      </w:r>
      <w:r>
        <w:rPr>
          <w:rFonts w:hint="eastAsia" w:asciiTheme="minorEastAsia" w:hAnsiTheme="minorEastAsia" w:eastAsiaTheme="minorEastAsia"/>
          <w:color w:val="000000"/>
          <w:szCs w:val="21"/>
        </w:rPr>
        <w:t>天内仍未复工的，视为第</w:t>
      </w:r>
      <w:r>
        <w:rPr>
          <w:rFonts w:asciiTheme="minorEastAsia" w:hAnsiTheme="minorEastAsia" w:eastAsiaTheme="minorEastAsia"/>
          <w:color w:val="000000"/>
          <w:szCs w:val="21"/>
        </w:rPr>
        <w:t>16.2.1</w:t>
      </w:r>
      <w:r>
        <w:rPr>
          <w:rFonts w:hint="eastAsia" w:asciiTheme="minorEastAsia" w:hAnsiTheme="minorEastAsia" w:eastAsiaTheme="minorEastAsia"/>
          <w:color w:val="000000"/>
          <w:szCs w:val="21"/>
        </w:rPr>
        <w:t>项〔承包人违约的情形〕第（</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）目约定的承包人无法继续履行合同的情形。</w:t>
      </w:r>
    </w:p>
    <w:p w14:paraId="7BEFAC28">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7.8.3 </w:t>
      </w:r>
      <w:r>
        <w:rPr>
          <w:rFonts w:hint="eastAsia" w:asciiTheme="minorEastAsia" w:hAnsiTheme="minorEastAsia" w:eastAsiaTheme="minorEastAsia"/>
          <w:color w:val="000000"/>
          <w:szCs w:val="21"/>
        </w:rPr>
        <w:t>指示暂停施工</w:t>
      </w:r>
    </w:p>
    <w:p w14:paraId="539F6BE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监理人认为有必要时，并经发包人批准后，可向承包人作出暂停施工的指示，承包人应按监理人指示暂停施工。</w:t>
      </w:r>
    </w:p>
    <w:p w14:paraId="1E02A53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7.8.4 </w:t>
      </w:r>
      <w:r>
        <w:rPr>
          <w:rFonts w:hint="eastAsia" w:asciiTheme="minorEastAsia" w:hAnsiTheme="minorEastAsia" w:eastAsiaTheme="minorEastAsia"/>
          <w:color w:val="000000"/>
          <w:szCs w:val="21"/>
        </w:rPr>
        <w:t>紧急情况下的暂停施工</w:t>
      </w:r>
    </w:p>
    <w:p w14:paraId="3EFDAFF8">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因紧急情况需暂停施工，且监理人未及时下达暂停施工指示的，承包人可先暂停施工，并及时通知监理人。监理人应在接到通知后</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小时内发出指示，逾期未发出指示，视为同意承包人暂停施工。监理人不同意承包人暂停施工的，应说明理由，承包人对监理人的答复有异议，按照第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条〔争议解决〕约定处理。</w:t>
      </w:r>
    </w:p>
    <w:p w14:paraId="710937C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7.8.5 </w:t>
      </w:r>
      <w:r>
        <w:rPr>
          <w:rFonts w:hint="eastAsia" w:asciiTheme="minorEastAsia" w:hAnsiTheme="minorEastAsia" w:eastAsiaTheme="minorEastAsia"/>
          <w:color w:val="000000"/>
          <w:szCs w:val="21"/>
        </w:rPr>
        <w:t>暂停施工后的复工</w:t>
      </w:r>
    </w:p>
    <w:p w14:paraId="0CD7A79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1968C6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承包人无故拖延和拒绝复工的，承包人承担由此增加的费用和（或）延误的工期；因发包人原因无法按时复工的，按照第</w:t>
      </w:r>
      <w:r>
        <w:rPr>
          <w:rFonts w:asciiTheme="minorEastAsia" w:hAnsiTheme="minorEastAsia" w:eastAsiaTheme="minorEastAsia"/>
          <w:color w:val="000000"/>
          <w:szCs w:val="21"/>
        </w:rPr>
        <w:t>7.5.1</w:t>
      </w:r>
      <w:r>
        <w:rPr>
          <w:rFonts w:hint="eastAsia" w:asciiTheme="minorEastAsia" w:hAnsiTheme="minorEastAsia" w:eastAsiaTheme="minorEastAsia"/>
          <w:color w:val="000000"/>
          <w:szCs w:val="21"/>
        </w:rPr>
        <w:t>项〔因发包人原因导致工期延误〕约定办理。</w:t>
      </w:r>
    </w:p>
    <w:p w14:paraId="77100C37">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7.8.6 </w:t>
      </w:r>
      <w:r>
        <w:rPr>
          <w:rFonts w:hint="eastAsia" w:asciiTheme="minorEastAsia" w:hAnsiTheme="minorEastAsia" w:eastAsiaTheme="minorEastAsia"/>
          <w:color w:val="000000"/>
          <w:szCs w:val="21"/>
        </w:rPr>
        <w:t>暂停施工持续</w:t>
      </w:r>
      <w:r>
        <w:rPr>
          <w:rFonts w:asciiTheme="minorEastAsia" w:hAnsiTheme="minorEastAsia" w:eastAsiaTheme="minorEastAsia"/>
          <w:color w:val="000000"/>
          <w:szCs w:val="21"/>
        </w:rPr>
        <w:t>56</w:t>
      </w:r>
      <w:r>
        <w:rPr>
          <w:rFonts w:hint="eastAsia" w:asciiTheme="minorEastAsia" w:hAnsiTheme="minorEastAsia" w:eastAsiaTheme="minorEastAsia"/>
          <w:color w:val="000000"/>
          <w:szCs w:val="21"/>
        </w:rPr>
        <w:t>天以上</w:t>
      </w:r>
    </w:p>
    <w:p w14:paraId="361A02CB">
      <w:pPr>
        <w:spacing w:line="360" w:lineRule="auto"/>
        <w:ind w:firstLine="468" w:firstLineChars="19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监理人发出暂停施工指示后</w:t>
      </w:r>
      <w:r>
        <w:rPr>
          <w:rFonts w:asciiTheme="minorEastAsia" w:hAnsiTheme="minorEastAsia" w:eastAsiaTheme="minorEastAsia"/>
          <w:color w:val="000000"/>
          <w:szCs w:val="21"/>
        </w:rPr>
        <w:t>56</w:t>
      </w:r>
      <w:r>
        <w:rPr>
          <w:rFonts w:hint="eastAsia" w:asciiTheme="minorEastAsia" w:hAnsiTheme="minorEastAsia" w:eastAsiaTheme="minorEastAsia"/>
          <w:color w:val="000000"/>
          <w:szCs w:val="21"/>
        </w:rPr>
        <w:t>天内未向承包人发出复工通知，除该项停工属于第</w:t>
      </w:r>
      <w:r>
        <w:rPr>
          <w:rFonts w:asciiTheme="minorEastAsia" w:hAnsiTheme="minorEastAsia" w:eastAsiaTheme="minorEastAsia"/>
          <w:color w:val="000000"/>
          <w:szCs w:val="21"/>
        </w:rPr>
        <w:t>7.8.2</w:t>
      </w:r>
      <w:r>
        <w:rPr>
          <w:rFonts w:hint="eastAsia" w:asciiTheme="minorEastAsia" w:hAnsiTheme="minorEastAsia" w:eastAsiaTheme="minorEastAsia"/>
          <w:color w:val="000000"/>
          <w:szCs w:val="21"/>
        </w:rPr>
        <w:t>项〔承包人原因引起的暂停施工〕及第</w:t>
      </w:r>
      <w:r>
        <w:rPr>
          <w:rFonts w:asciiTheme="minorEastAsia" w:hAnsiTheme="minorEastAsia" w:eastAsiaTheme="minorEastAsia"/>
          <w:color w:val="000000"/>
          <w:szCs w:val="21"/>
        </w:rPr>
        <w:t>17</w:t>
      </w:r>
      <w:r>
        <w:rPr>
          <w:rFonts w:hint="eastAsia" w:asciiTheme="minorEastAsia" w:hAnsiTheme="minorEastAsia" w:eastAsiaTheme="minorEastAsia"/>
          <w:color w:val="000000"/>
          <w:szCs w:val="21"/>
        </w:rPr>
        <w:t>条〔不可抗力〕约定的情形外，承包人可向发包人提交书面通知，要求发包人在收到书面通知后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天内准许已暂停施工的部分或全部工程继续施工。发包人逾期不予批准的，则承包人可以通知发包人，将工程受影响的部分视为按第</w:t>
      </w:r>
      <w:r>
        <w:rPr>
          <w:rFonts w:asciiTheme="minorEastAsia" w:hAnsiTheme="minorEastAsia" w:eastAsiaTheme="minorEastAsia"/>
          <w:color w:val="000000"/>
          <w:szCs w:val="21"/>
        </w:rPr>
        <w:t>10.1</w:t>
      </w:r>
      <w:r>
        <w:rPr>
          <w:rFonts w:hint="eastAsia" w:asciiTheme="minorEastAsia" w:hAnsiTheme="minorEastAsia" w:eastAsiaTheme="minorEastAsia"/>
          <w:color w:val="000000"/>
          <w:szCs w:val="21"/>
        </w:rPr>
        <w:t>款〔变更的范围〕第（</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）项的可取消工作。</w:t>
      </w:r>
    </w:p>
    <w:p w14:paraId="78ACCBF3">
      <w:pPr>
        <w:spacing w:line="360" w:lineRule="auto"/>
        <w:ind w:firstLine="468" w:firstLineChars="19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暂停施工持续</w:t>
      </w:r>
      <w:r>
        <w:rPr>
          <w:rFonts w:asciiTheme="minorEastAsia" w:hAnsiTheme="minorEastAsia" w:eastAsiaTheme="minorEastAsia"/>
          <w:color w:val="000000"/>
          <w:szCs w:val="21"/>
        </w:rPr>
        <w:t>84</w:t>
      </w:r>
      <w:r>
        <w:rPr>
          <w:rFonts w:hint="eastAsia" w:asciiTheme="minorEastAsia" w:hAnsiTheme="minorEastAsia" w:eastAsiaTheme="minorEastAsia"/>
          <w:color w:val="000000"/>
          <w:szCs w:val="21"/>
        </w:rPr>
        <w:t>天以上不复工的，且不属于第</w:t>
      </w:r>
      <w:r>
        <w:rPr>
          <w:rFonts w:asciiTheme="minorEastAsia" w:hAnsiTheme="minorEastAsia" w:eastAsiaTheme="minorEastAsia"/>
          <w:color w:val="000000"/>
          <w:szCs w:val="21"/>
        </w:rPr>
        <w:t>7.8.2</w:t>
      </w:r>
      <w:r>
        <w:rPr>
          <w:rFonts w:hint="eastAsia" w:asciiTheme="minorEastAsia" w:hAnsiTheme="minorEastAsia" w:eastAsiaTheme="minorEastAsia"/>
          <w:color w:val="000000"/>
          <w:szCs w:val="21"/>
        </w:rPr>
        <w:t>项〔承包人原因引起的暂停施工〕及第</w:t>
      </w:r>
      <w:r>
        <w:rPr>
          <w:rFonts w:asciiTheme="minorEastAsia" w:hAnsiTheme="minorEastAsia" w:eastAsiaTheme="minorEastAsia"/>
          <w:color w:val="000000"/>
          <w:szCs w:val="21"/>
        </w:rPr>
        <w:t>17</w:t>
      </w:r>
      <w:r>
        <w:rPr>
          <w:rFonts w:hint="eastAsia" w:asciiTheme="minorEastAsia" w:hAnsiTheme="minorEastAsia" w:eastAsiaTheme="minorEastAsia"/>
          <w:color w:val="000000"/>
          <w:szCs w:val="21"/>
        </w:rPr>
        <w:t>条〔不可抗力〕约定的情形，并影响到整个工程以及合同目的实现的，承包人有权提出价格调整要求，或者解除合同。解除合同的，按照第</w:t>
      </w:r>
      <w:r>
        <w:rPr>
          <w:rFonts w:asciiTheme="minorEastAsia" w:hAnsiTheme="minorEastAsia" w:eastAsiaTheme="minorEastAsia"/>
          <w:color w:val="000000"/>
          <w:szCs w:val="21"/>
        </w:rPr>
        <w:t>16.1.3</w:t>
      </w:r>
      <w:r>
        <w:rPr>
          <w:rFonts w:hint="eastAsia" w:asciiTheme="minorEastAsia" w:hAnsiTheme="minorEastAsia" w:eastAsiaTheme="minorEastAsia"/>
          <w:color w:val="000000"/>
          <w:szCs w:val="21"/>
        </w:rPr>
        <w:t>项〔因发包人违约解除合同〕执行。</w:t>
      </w:r>
    </w:p>
    <w:p w14:paraId="287A471E">
      <w:pPr>
        <w:spacing w:line="360" w:lineRule="auto"/>
        <w:ind w:left="16" w:firstLine="468" w:firstLineChars="195"/>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7.8.7 </w:t>
      </w:r>
      <w:r>
        <w:rPr>
          <w:rFonts w:hint="eastAsia" w:asciiTheme="minorEastAsia" w:hAnsiTheme="minorEastAsia" w:eastAsiaTheme="minorEastAsia"/>
          <w:color w:val="000000"/>
          <w:szCs w:val="21"/>
        </w:rPr>
        <w:t>暂停施工期间的工程照管</w:t>
      </w:r>
    </w:p>
    <w:p w14:paraId="18B5E4C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暂停施工期间，承包人应负责妥善照管工程并提供安全保障，由此增加的费用由责任方承担。</w:t>
      </w:r>
    </w:p>
    <w:p w14:paraId="6333734A">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7.8.8 </w:t>
      </w:r>
      <w:r>
        <w:rPr>
          <w:rFonts w:hint="eastAsia" w:asciiTheme="minorEastAsia" w:hAnsiTheme="minorEastAsia" w:eastAsiaTheme="minorEastAsia"/>
          <w:color w:val="000000"/>
          <w:szCs w:val="21"/>
        </w:rPr>
        <w:t>暂停施工的措施</w:t>
      </w:r>
    </w:p>
    <w:p w14:paraId="03A516B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暂停施工期间，发包人和承包人均应采取必要的措施确保工程质量及安全，防止因暂停施工扩大损失。</w:t>
      </w:r>
    </w:p>
    <w:p w14:paraId="0E3DBE54">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7.9</w:t>
      </w:r>
      <w:r>
        <w:rPr>
          <w:rFonts w:hint="eastAsia" w:asciiTheme="minorEastAsia" w:hAnsiTheme="minorEastAsia" w:eastAsiaTheme="minorEastAsia"/>
          <w:b w:val="0"/>
          <w:color w:val="000000"/>
          <w:sz w:val="21"/>
          <w:szCs w:val="21"/>
        </w:rPr>
        <w:t>提前竣工</w:t>
      </w:r>
    </w:p>
    <w:p w14:paraId="0FBA970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7.9.1 </w:t>
      </w:r>
      <w:r>
        <w:rPr>
          <w:rFonts w:hint="eastAsia" w:asciiTheme="minorEastAsia" w:hAnsiTheme="minorEastAsia" w:eastAsiaTheme="minorEastAsia"/>
          <w:color w:val="000000"/>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天内予以答复。任何情况下，发包人不得压缩合理工期。</w:t>
      </w:r>
    </w:p>
    <w:p w14:paraId="73CD39D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7.9.2 </w:t>
      </w:r>
      <w:r>
        <w:rPr>
          <w:rFonts w:hint="eastAsia" w:asciiTheme="minorEastAsia" w:hAnsiTheme="minorEastAsia" w:eastAsiaTheme="minorEastAsia"/>
          <w:color w:val="000000"/>
          <w:szCs w:val="21"/>
        </w:rPr>
        <w:t>发包人要求承包人提前竣工，或承包人提出提前竣工的建议能够给发包人带来效益的，合同当事人可以在专用合同条款中约定提前竣工的奖励。</w:t>
      </w:r>
    </w:p>
    <w:p w14:paraId="48B3DF51">
      <w:pPr>
        <w:adjustRightInd w:val="0"/>
        <w:snapToGrid w:val="0"/>
        <w:spacing w:line="360" w:lineRule="auto"/>
        <w:outlineLvl w:val="2"/>
        <w:rPr>
          <w:rFonts w:asciiTheme="minorEastAsia" w:hAnsiTheme="minorEastAsia" w:eastAsiaTheme="minorEastAsia"/>
          <w:b/>
          <w:szCs w:val="21"/>
        </w:rPr>
      </w:pPr>
      <w:bookmarkStart w:id="186" w:name="_Toc31200"/>
      <w:r>
        <w:rPr>
          <w:rFonts w:hint="eastAsia" w:asciiTheme="minorEastAsia" w:hAnsiTheme="minorEastAsia" w:eastAsiaTheme="minorEastAsia"/>
          <w:b/>
          <w:szCs w:val="21"/>
        </w:rPr>
        <w:t>8. 材料与设备</w:t>
      </w:r>
      <w:bookmarkEnd w:id="186"/>
    </w:p>
    <w:p w14:paraId="2CA735A1">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8.1</w:t>
      </w:r>
      <w:r>
        <w:rPr>
          <w:rFonts w:hint="eastAsia" w:asciiTheme="minorEastAsia" w:hAnsiTheme="minorEastAsia" w:eastAsiaTheme="minorEastAsia"/>
          <w:b w:val="0"/>
          <w:color w:val="000000"/>
          <w:sz w:val="21"/>
          <w:szCs w:val="21"/>
        </w:rPr>
        <w:t>发包人供应材料与工程设备</w:t>
      </w:r>
    </w:p>
    <w:p w14:paraId="6A6A183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发包人自行供应材料、工程设备的，应在签订合同时在专用合同条款的附件《发包人供应材料设备一览表》中明确材料、工程设备的品种、规格、型号、数量、单价、质量等级和送达地点。</w:t>
      </w:r>
    </w:p>
    <w:p w14:paraId="1E60EB1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承包人应提前</w:t>
      </w:r>
      <w:r>
        <w:rPr>
          <w:rFonts w:asciiTheme="minorEastAsia" w:hAnsiTheme="minorEastAsia" w:eastAsiaTheme="minorEastAsia"/>
          <w:color w:val="000000"/>
          <w:szCs w:val="21"/>
        </w:rPr>
        <w:t>30</w:t>
      </w:r>
      <w:r>
        <w:rPr>
          <w:rFonts w:hint="eastAsia" w:asciiTheme="minorEastAsia" w:hAnsiTheme="minorEastAsia" w:eastAsiaTheme="minorEastAsia"/>
          <w:color w:val="000000"/>
          <w:szCs w:val="21"/>
        </w:rPr>
        <w:t>天通过监理人以书面形式通知发包人供应材料与工程设备进场。承包人按照第</w:t>
      </w:r>
      <w:r>
        <w:rPr>
          <w:rFonts w:asciiTheme="minorEastAsia" w:hAnsiTheme="minorEastAsia" w:eastAsiaTheme="minorEastAsia"/>
          <w:color w:val="000000"/>
          <w:szCs w:val="21"/>
        </w:rPr>
        <w:t>7.2.2</w:t>
      </w:r>
      <w:r>
        <w:rPr>
          <w:rFonts w:hint="eastAsia" w:asciiTheme="minorEastAsia" w:hAnsiTheme="minorEastAsia" w:eastAsiaTheme="minorEastAsia"/>
          <w:color w:val="000000"/>
          <w:szCs w:val="21"/>
        </w:rPr>
        <w:t>项〔施工进度计划的修订〕约定修订施工进度计划时，需同时提交经修订后的发包人供应材料与工程设备的进场计划。</w:t>
      </w:r>
    </w:p>
    <w:p w14:paraId="6578B28A">
      <w:pPr>
        <w:pStyle w:val="6"/>
        <w:keepNext w:val="0"/>
        <w:keepLines w:val="0"/>
        <w:spacing w:before="120" w:after="120" w:line="360" w:lineRule="auto"/>
        <w:ind w:firstLine="420" w:firstLineChars="200"/>
        <w:rPr>
          <w:rFonts w:asciiTheme="minorEastAsia" w:hAnsiTheme="minorEastAsia" w:eastAsiaTheme="minorEastAsia"/>
          <w:color w:val="000000"/>
          <w:sz w:val="21"/>
          <w:szCs w:val="21"/>
        </w:rPr>
      </w:pPr>
      <w:r>
        <w:rPr>
          <w:rFonts w:asciiTheme="minorEastAsia" w:hAnsiTheme="minorEastAsia" w:eastAsiaTheme="minorEastAsia"/>
          <w:b w:val="0"/>
          <w:color w:val="000000"/>
          <w:sz w:val="21"/>
          <w:szCs w:val="21"/>
        </w:rPr>
        <w:t>8.2</w:t>
      </w:r>
      <w:r>
        <w:rPr>
          <w:rFonts w:hint="eastAsia" w:asciiTheme="minorEastAsia" w:hAnsiTheme="minorEastAsia" w:eastAsiaTheme="minorEastAsia"/>
          <w:b w:val="0"/>
          <w:color w:val="000000"/>
          <w:sz w:val="21"/>
          <w:szCs w:val="21"/>
        </w:rPr>
        <w:t>承包人采购材料与工程设备</w:t>
      </w:r>
    </w:p>
    <w:p w14:paraId="5A6E093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46AE8C1">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8.3</w:t>
      </w:r>
      <w:r>
        <w:rPr>
          <w:rFonts w:hint="eastAsia" w:asciiTheme="minorEastAsia" w:hAnsiTheme="minorEastAsia" w:eastAsiaTheme="minorEastAsia"/>
          <w:b w:val="0"/>
          <w:color w:val="000000"/>
          <w:sz w:val="21"/>
          <w:szCs w:val="21"/>
        </w:rPr>
        <w:t>材料与工程设备的接收与拒收</w:t>
      </w:r>
    </w:p>
    <w:p w14:paraId="3225C84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8.3.1 </w:t>
      </w:r>
      <w:r>
        <w:rPr>
          <w:rFonts w:hint="eastAsia" w:asciiTheme="minorEastAsia" w:hAnsiTheme="minorEastAsia" w:eastAsiaTheme="minorEastAsia"/>
          <w:color w:val="000000"/>
          <w:szCs w:val="21"/>
        </w:rPr>
        <w:t>发包人应按《发包人供应材料设备一览表》约定的内容提供材料和工程设备，并向承包人提供产品合格证明及出厂证明，对其质量负责。发包人应提前</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小时以书面形式通知承包人、监理人材料和工程设备到货时间，承包人负责材料和工程设备的清点、检验和接收。</w:t>
      </w:r>
    </w:p>
    <w:p w14:paraId="1D8C4D9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发包人提供的材料和工程设备的规格、数量或质量不符合合同约定的，或因发包人原因导致交货日期延误或交货地点变更等情况的，按照第</w:t>
      </w:r>
      <w:r>
        <w:rPr>
          <w:rFonts w:asciiTheme="minorEastAsia" w:hAnsiTheme="minorEastAsia" w:eastAsiaTheme="minorEastAsia"/>
          <w:color w:val="000000"/>
          <w:szCs w:val="21"/>
        </w:rPr>
        <w:t>16.1</w:t>
      </w:r>
      <w:r>
        <w:rPr>
          <w:rFonts w:hint="eastAsia" w:asciiTheme="minorEastAsia" w:hAnsiTheme="minorEastAsia" w:eastAsiaTheme="minorEastAsia"/>
          <w:color w:val="000000"/>
          <w:szCs w:val="21"/>
        </w:rPr>
        <w:t>款〔发包人违约〕约定办理。</w:t>
      </w:r>
    </w:p>
    <w:p w14:paraId="6D1F999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8.3.2 </w:t>
      </w:r>
      <w:r>
        <w:rPr>
          <w:rFonts w:hint="eastAsia" w:asciiTheme="minorEastAsia" w:hAnsiTheme="minorEastAsia" w:eastAsiaTheme="minorEastAsia"/>
          <w:color w:val="000000"/>
          <w:szCs w:val="21"/>
        </w:rPr>
        <w:t>承包人采购的材料和工程设备，应保证产品质量合格，承包人应在材料和工程设备到货前</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小时通知监理人检验。承包人进行永久设备、材料的制造和生产的，应符合相关质量标准，并向监理人提交材料的样本以及有关资料，并应在使用该材料或工程设备之前获得监理人同意。</w:t>
      </w:r>
    </w:p>
    <w:p w14:paraId="71797550">
      <w:pPr>
        <w:autoSpaceDE w:val="0"/>
        <w:autoSpaceDN w:val="0"/>
        <w:adjustRightInd w:val="0"/>
        <w:spacing w:line="360" w:lineRule="auto"/>
        <w:ind w:firstLine="360" w:firstLineChars="15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B44A5F2">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8.4</w:t>
      </w:r>
      <w:r>
        <w:rPr>
          <w:rFonts w:hint="eastAsia" w:asciiTheme="minorEastAsia" w:hAnsiTheme="minorEastAsia" w:eastAsiaTheme="minorEastAsia"/>
          <w:b w:val="0"/>
          <w:color w:val="000000"/>
          <w:sz w:val="21"/>
          <w:szCs w:val="21"/>
        </w:rPr>
        <w:t>材料与工程设备的保管与使用</w:t>
      </w:r>
    </w:p>
    <w:p w14:paraId="49647D4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8.4.1 </w:t>
      </w:r>
      <w:r>
        <w:rPr>
          <w:rFonts w:hint="eastAsia" w:asciiTheme="minorEastAsia" w:hAnsiTheme="minorEastAsia" w:eastAsiaTheme="minorEastAsia"/>
          <w:color w:val="000000"/>
          <w:szCs w:val="21"/>
        </w:rPr>
        <w:t>发包人供应材料与工程设备的保管与使用</w:t>
      </w:r>
    </w:p>
    <w:p w14:paraId="4E62EF1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4FA461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发包人供应的材料和工程设备使用前，由承包人负责检验，检验费用由发包人承担，不合格的不得使用。</w:t>
      </w:r>
    </w:p>
    <w:p w14:paraId="1F855AB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8.4.2 </w:t>
      </w:r>
      <w:r>
        <w:rPr>
          <w:rFonts w:hint="eastAsia" w:asciiTheme="minorEastAsia" w:hAnsiTheme="minorEastAsia" w:eastAsiaTheme="minorEastAsia"/>
          <w:color w:val="000000"/>
          <w:szCs w:val="21"/>
        </w:rPr>
        <w:t>承包人采购材料与工程设备的保管与使用</w:t>
      </w:r>
    </w:p>
    <w:p w14:paraId="0B6F9B8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25BF79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发包人或监理人发现承包人使用不符合设计或有关标准要求的材料和工程设备时，有权要求承包人进行修复、拆除或重新采购，由此增加的费用和（或）延误的工期，由承包人承担。</w:t>
      </w:r>
    </w:p>
    <w:p w14:paraId="4411E680">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8.5</w:t>
      </w:r>
      <w:r>
        <w:rPr>
          <w:rFonts w:hint="eastAsia" w:asciiTheme="minorEastAsia" w:hAnsiTheme="minorEastAsia" w:eastAsiaTheme="minorEastAsia"/>
          <w:b w:val="0"/>
          <w:color w:val="000000"/>
          <w:sz w:val="21"/>
          <w:szCs w:val="21"/>
        </w:rPr>
        <w:t>禁止使用不合格的材料和工程设备</w:t>
      </w:r>
    </w:p>
    <w:p w14:paraId="3C50C1E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8.5.1 </w:t>
      </w:r>
      <w:r>
        <w:rPr>
          <w:rFonts w:hint="eastAsia" w:asciiTheme="minorEastAsia" w:hAnsiTheme="minorEastAsia" w:eastAsiaTheme="minorEastAsia"/>
          <w:color w:val="000000"/>
          <w:szCs w:val="21"/>
        </w:rPr>
        <w:t>监理人有权拒绝承包人提供的不合格材料或工程设备，并要求承包人立即进行更换。监理人应在更换后再次进行检查和检验，由此增加的费用和（或）延误的工期由承包人承担。</w:t>
      </w:r>
    </w:p>
    <w:p w14:paraId="3A24701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8.5.2 </w:t>
      </w:r>
      <w:r>
        <w:rPr>
          <w:rFonts w:hint="eastAsia" w:asciiTheme="minorEastAsia" w:hAnsiTheme="minorEastAsia" w:eastAsiaTheme="minorEastAsia"/>
          <w:color w:val="000000"/>
          <w:szCs w:val="21"/>
        </w:rPr>
        <w:t>监理人发现承包人使用了不合格的材料和工程设备，承包人应按照监理人的指示立即改正，并禁止在工程中继续使用不合格的材料和工程设备。</w:t>
      </w:r>
    </w:p>
    <w:p w14:paraId="632663D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8.5.3 </w:t>
      </w:r>
      <w:r>
        <w:rPr>
          <w:rFonts w:hint="eastAsia" w:asciiTheme="minorEastAsia" w:hAnsiTheme="minorEastAsia" w:eastAsiaTheme="minorEastAsia"/>
          <w:color w:val="000000"/>
          <w:szCs w:val="21"/>
        </w:rPr>
        <w:t>发包人提供的材料或工程设备不符合合同要求的，承包人有权拒绝，并可要求发包人更换，由此增加的费用和（或）延误的工期由发包人承担，并支付承包人合理的利润。</w:t>
      </w:r>
    </w:p>
    <w:p w14:paraId="6B2764F4">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8.6 </w:t>
      </w:r>
      <w:r>
        <w:rPr>
          <w:rFonts w:hint="eastAsia" w:asciiTheme="minorEastAsia" w:hAnsiTheme="minorEastAsia" w:eastAsiaTheme="minorEastAsia"/>
          <w:b w:val="0"/>
          <w:color w:val="000000"/>
          <w:sz w:val="21"/>
          <w:szCs w:val="21"/>
        </w:rPr>
        <w:t>样品</w:t>
      </w:r>
    </w:p>
    <w:p w14:paraId="18115D4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8.6.1</w:t>
      </w:r>
      <w:r>
        <w:rPr>
          <w:rFonts w:asciiTheme="minorEastAsia" w:hAnsiTheme="minorEastAsia" w:eastAsiaTheme="minorEastAsia"/>
          <w:color w:val="000000"/>
          <w:szCs w:val="21"/>
        </w:rPr>
        <w:tab/>
      </w:r>
      <w:r>
        <w:rPr>
          <w:rFonts w:hint="eastAsia" w:asciiTheme="minorEastAsia" w:hAnsiTheme="minorEastAsia" w:eastAsiaTheme="minorEastAsia"/>
          <w:color w:val="000000"/>
          <w:szCs w:val="21"/>
        </w:rPr>
        <w:t>样品的报送与封存</w:t>
      </w:r>
    </w:p>
    <w:p w14:paraId="1D0F6B8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需要承包人报送样品的材料或工程设备，样品的种类、名称、规格、数量等要求均应在专用合同条款中约定。样品的报送程序如下：</w:t>
      </w:r>
    </w:p>
    <w:p w14:paraId="41114CE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）承包人应在计划采购前</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天向监理人报送样品。承包人报送的样品均应来自供应材料的实际生产地，且提供的样品的规格、数量足以表明材料或工程设备的质量、型号、颜色、表面处理、质地、误差和其他要求的特征。</w:t>
      </w:r>
    </w:p>
    <w:p w14:paraId="1056F89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）承包人每次报送样品时应随附申报单，申报单应载明报送样品的相关数据和资料，并标明每件样品对应的图纸号，预留监理人批复意见栏。监理人应在收到承包人报送的样品后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天向承包人回复经发包人签认的样品审批意见。</w:t>
      </w:r>
    </w:p>
    <w:p w14:paraId="6D701C1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）经发包人和监理人审批确认的样品应按约定的方法封样，封存的样品作为检验工程相关部分的标准之一。承包人在施工过程中不得使用与样品不符的材料或工程设备。</w:t>
      </w:r>
    </w:p>
    <w:p w14:paraId="5E38EB0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1E651F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8.6.2 </w:t>
      </w:r>
      <w:r>
        <w:rPr>
          <w:rFonts w:hint="eastAsia" w:asciiTheme="minorEastAsia" w:hAnsiTheme="minorEastAsia" w:eastAsiaTheme="minorEastAsia"/>
          <w:color w:val="000000"/>
          <w:szCs w:val="21"/>
        </w:rPr>
        <w:t>样品的保管</w:t>
      </w:r>
    </w:p>
    <w:p w14:paraId="2DBE262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经批准的样品应由监理人负责封存于现场，承包人应在现场为保存样品提供适当和固定的场所并保持适当和良好的存储环境条件。</w:t>
      </w:r>
    </w:p>
    <w:p w14:paraId="0A9737D4">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8.7</w:t>
      </w:r>
      <w:r>
        <w:rPr>
          <w:rFonts w:hint="eastAsia" w:asciiTheme="minorEastAsia" w:hAnsiTheme="minorEastAsia" w:eastAsiaTheme="minorEastAsia"/>
          <w:b w:val="0"/>
          <w:color w:val="000000"/>
          <w:sz w:val="21"/>
          <w:szCs w:val="21"/>
        </w:rPr>
        <w:t>材料与工程设备的替代</w:t>
      </w:r>
    </w:p>
    <w:p w14:paraId="0461897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8.7.1 </w:t>
      </w:r>
      <w:r>
        <w:rPr>
          <w:rFonts w:hint="eastAsia" w:asciiTheme="minorEastAsia" w:hAnsiTheme="minorEastAsia" w:eastAsiaTheme="minorEastAsia"/>
          <w:color w:val="000000"/>
          <w:szCs w:val="21"/>
        </w:rPr>
        <w:t>出现下列情况需要使用替代材料和工程设备的，承包人应按照第</w:t>
      </w:r>
      <w:r>
        <w:rPr>
          <w:rFonts w:asciiTheme="minorEastAsia" w:hAnsiTheme="minorEastAsia" w:eastAsiaTheme="minorEastAsia"/>
          <w:color w:val="000000"/>
          <w:szCs w:val="21"/>
        </w:rPr>
        <w:t>8.7.2</w:t>
      </w:r>
      <w:r>
        <w:rPr>
          <w:rFonts w:hint="eastAsia" w:asciiTheme="minorEastAsia" w:hAnsiTheme="minorEastAsia" w:eastAsiaTheme="minorEastAsia"/>
          <w:color w:val="000000"/>
          <w:szCs w:val="21"/>
        </w:rPr>
        <w:t>项约定的程序执行：</w:t>
      </w:r>
    </w:p>
    <w:p w14:paraId="312C26D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）基准日期后生效的法律规定禁止使用的；</w:t>
      </w:r>
    </w:p>
    <w:p w14:paraId="2174304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）发包人要求使用替代品的；</w:t>
      </w:r>
    </w:p>
    <w:p w14:paraId="4CC2286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）因其他原因必须使用替代品的。</w:t>
      </w:r>
    </w:p>
    <w:p w14:paraId="041718E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8.7.2 </w:t>
      </w:r>
      <w:r>
        <w:rPr>
          <w:rFonts w:hint="eastAsia" w:asciiTheme="minorEastAsia" w:hAnsiTheme="minorEastAsia" w:eastAsiaTheme="minorEastAsia"/>
          <w:color w:val="000000"/>
          <w:szCs w:val="21"/>
        </w:rPr>
        <w:t>承包人应在使用替代材料和工程设备</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天前书面通知监理人，并附下列文件：</w:t>
      </w:r>
    </w:p>
    <w:p w14:paraId="474F71C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）被替代的材料和工程设备的名称、数量、规格、型号、品牌、性能、价格及其他相关资料；</w:t>
      </w:r>
    </w:p>
    <w:p w14:paraId="22CD282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）替代品的名称、数量、规格、型号、品牌、性能、价格及其他相关资料；</w:t>
      </w:r>
    </w:p>
    <w:p w14:paraId="0794219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）替代品与被替代产品之间的差异以及使用替代品可能对工程产生的影响；</w:t>
      </w:r>
    </w:p>
    <w:p w14:paraId="0054F24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）替代品与被替代产品的价格差异；</w:t>
      </w:r>
    </w:p>
    <w:p w14:paraId="0D0DDDE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）使用替代品的理由和原因说明；</w:t>
      </w:r>
    </w:p>
    <w:p w14:paraId="7B517BC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）监理人要求的其他文件。</w:t>
      </w:r>
    </w:p>
    <w:p w14:paraId="508F662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监理人应在收到通知后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天内向承包人发出经发包人签认的书面指示；监理人逾期发出书面指示的，视为发包人和监理人同意使用替代品。</w:t>
      </w:r>
    </w:p>
    <w:p w14:paraId="67AB718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8.7.3 </w:t>
      </w:r>
      <w:r>
        <w:rPr>
          <w:rFonts w:hint="eastAsia" w:asciiTheme="minorEastAsia" w:hAnsiTheme="minorEastAsia" w:eastAsiaTheme="minorEastAsia"/>
          <w:color w:val="00000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款〔商定或确定〕确定价格。</w:t>
      </w:r>
    </w:p>
    <w:p w14:paraId="1FF80B37">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8.8</w:t>
      </w:r>
      <w:r>
        <w:rPr>
          <w:rFonts w:hint="eastAsia" w:asciiTheme="minorEastAsia" w:hAnsiTheme="minorEastAsia" w:eastAsiaTheme="minorEastAsia"/>
          <w:b w:val="0"/>
          <w:color w:val="000000"/>
          <w:sz w:val="21"/>
          <w:szCs w:val="21"/>
        </w:rPr>
        <w:t>施工设备和临时设施</w:t>
      </w:r>
    </w:p>
    <w:p w14:paraId="590ADD3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8.8.1 </w:t>
      </w:r>
      <w:r>
        <w:rPr>
          <w:rFonts w:hint="eastAsia" w:asciiTheme="minorEastAsia" w:hAnsiTheme="minorEastAsia" w:eastAsiaTheme="minorEastAsia"/>
          <w:color w:val="000000"/>
          <w:szCs w:val="21"/>
        </w:rPr>
        <w:t>承包人提供的施工设备和临时设施</w:t>
      </w:r>
    </w:p>
    <w:p w14:paraId="092C059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承包人应按合同进度计划的要求，及时配置施工设备和修建临时设施。进入施工场地的承包人设备需经监理人核查后才能投入使用。承包人更换合同约定的承包人设备的，应报监理人批准。</w:t>
      </w:r>
    </w:p>
    <w:p w14:paraId="207CD66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除专用合同条款另有约定外，承包人应自行承担修建临时设施的费用，需要临时占地的，应由发包人办理申请手续并承担相应费用。</w:t>
      </w:r>
    </w:p>
    <w:p w14:paraId="56124BF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8.8.2</w:t>
      </w:r>
      <w:r>
        <w:rPr>
          <w:rFonts w:hint="eastAsia" w:asciiTheme="minorEastAsia" w:hAnsiTheme="minorEastAsia" w:eastAsiaTheme="minorEastAsia"/>
          <w:color w:val="000000"/>
          <w:szCs w:val="21"/>
        </w:rPr>
        <w:t>发包人提供的施工设备和临时设施</w:t>
      </w:r>
    </w:p>
    <w:p w14:paraId="2F899FB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发包人提供的施工设备或临时设施在专用合同条款中约定。</w:t>
      </w:r>
    </w:p>
    <w:p w14:paraId="25B77FE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8.8.3</w:t>
      </w:r>
      <w:r>
        <w:rPr>
          <w:rFonts w:hint="eastAsia" w:asciiTheme="minorEastAsia" w:hAnsiTheme="minorEastAsia" w:eastAsiaTheme="minorEastAsia"/>
          <w:color w:val="000000"/>
          <w:szCs w:val="21"/>
        </w:rPr>
        <w:t>要求承包人增加或更换施工设备</w:t>
      </w:r>
    </w:p>
    <w:p w14:paraId="441670F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承包人使用的施工设备不能满足合同进度计划和（或）质量要求时，监理人有权要求承包人增加或更换施工设备，承包人应及时增加或更换，由此增加的费用和（或）延误的工期由承包人承担。</w:t>
      </w:r>
    </w:p>
    <w:p w14:paraId="6D5BEA92">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8.9</w:t>
      </w:r>
      <w:r>
        <w:rPr>
          <w:rFonts w:hint="eastAsia" w:asciiTheme="minorEastAsia" w:hAnsiTheme="minorEastAsia" w:eastAsiaTheme="minorEastAsia"/>
          <w:b w:val="0"/>
          <w:color w:val="000000"/>
          <w:sz w:val="21"/>
          <w:szCs w:val="21"/>
        </w:rPr>
        <w:t>材料与设备专用要求</w:t>
      </w:r>
    </w:p>
    <w:p w14:paraId="3089EC9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19969D62">
      <w:pPr>
        <w:adjustRightInd w:val="0"/>
        <w:snapToGrid w:val="0"/>
        <w:spacing w:line="360" w:lineRule="auto"/>
        <w:outlineLvl w:val="2"/>
        <w:rPr>
          <w:rFonts w:asciiTheme="minorEastAsia" w:hAnsiTheme="minorEastAsia" w:eastAsiaTheme="minorEastAsia"/>
          <w:b/>
          <w:szCs w:val="21"/>
        </w:rPr>
      </w:pPr>
      <w:bookmarkStart w:id="187" w:name="_Toc2511"/>
      <w:r>
        <w:rPr>
          <w:rFonts w:hint="eastAsia" w:asciiTheme="minorEastAsia" w:hAnsiTheme="minorEastAsia" w:eastAsiaTheme="minorEastAsia"/>
          <w:b/>
          <w:szCs w:val="21"/>
        </w:rPr>
        <w:t>9. 试验与检验</w:t>
      </w:r>
      <w:bookmarkEnd w:id="187"/>
    </w:p>
    <w:p w14:paraId="10649631">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9.1</w:t>
      </w:r>
      <w:r>
        <w:rPr>
          <w:rFonts w:hint="eastAsia" w:asciiTheme="minorEastAsia" w:hAnsiTheme="minorEastAsia" w:eastAsiaTheme="minorEastAsia"/>
          <w:b w:val="0"/>
          <w:color w:val="000000"/>
          <w:sz w:val="21"/>
          <w:szCs w:val="21"/>
        </w:rPr>
        <w:t>试验设备与试验人员</w:t>
      </w:r>
    </w:p>
    <w:p w14:paraId="3D82033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9.1.1 </w:t>
      </w:r>
      <w:r>
        <w:rPr>
          <w:rFonts w:hint="eastAsia" w:asciiTheme="minorEastAsia" w:hAnsiTheme="minorEastAsia" w:eastAsiaTheme="minorEastAsia"/>
          <w:color w:val="00000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B75E487">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9.1.2 </w:t>
      </w:r>
      <w:r>
        <w:rPr>
          <w:rFonts w:hint="eastAsia" w:asciiTheme="minorEastAsia" w:hAnsiTheme="minorEastAsia" w:eastAsiaTheme="minorEastAsia"/>
          <w:color w:val="000000"/>
          <w:szCs w:val="21"/>
        </w:rPr>
        <w:t>承包人应按专用合同条款的约定提供试验设备、取样装置、试验场所和试验条件，并向监理人提交相应进场计划表。</w:t>
      </w:r>
    </w:p>
    <w:p w14:paraId="580A837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承包人配置的试验设备要符合相应试验规程的要求并经过具有资质的检测单位检测，且在正式使用该试验设备前，需要经过监理人与承包人共同校定。</w:t>
      </w:r>
    </w:p>
    <w:p w14:paraId="26C548D0">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9.1.3 </w:t>
      </w:r>
      <w:r>
        <w:rPr>
          <w:rFonts w:hint="eastAsia" w:asciiTheme="minorEastAsia" w:hAnsiTheme="minorEastAsia" w:eastAsiaTheme="minorEastAsia"/>
          <w:color w:val="000000"/>
          <w:szCs w:val="21"/>
        </w:rPr>
        <w:t>承包人应向监理人提交试验人员的名单及其岗位、资格等证明资料，试验人员必须能够熟练进行相应的检测试验，承包人对试验人员的试验程序和试验结果的正确性负责。</w:t>
      </w:r>
    </w:p>
    <w:p w14:paraId="76EFDC6B">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9.2</w:t>
      </w:r>
      <w:r>
        <w:rPr>
          <w:rFonts w:hint="eastAsia" w:asciiTheme="minorEastAsia" w:hAnsiTheme="minorEastAsia" w:eastAsiaTheme="minorEastAsia"/>
          <w:b w:val="0"/>
          <w:color w:val="000000"/>
          <w:sz w:val="21"/>
          <w:szCs w:val="21"/>
        </w:rPr>
        <w:t>取样</w:t>
      </w:r>
    </w:p>
    <w:p w14:paraId="56E8E47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试验属于自检性质的，承包人可以单独取样。试验属于监理人抽检性质的，可由监理人取样，也可由承包人的试验人员在监理人的监督下取样。</w:t>
      </w:r>
    </w:p>
    <w:p w14:paraId="46FCD167">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9.3</w:t>
      </w:r>
      <w:r>
        <w:rPr>
          <w:rFonts w:hint="eastAsia" w:asciiTheme="minorEastAsia" w:hAnsiTheme="minorEastAsia" w:eastAsiaTheme="minorEastAsia"/>
          <w:b w:val="0"/>
          <w:color w:val="000000"/>
          <w:sz w:val="21"/>
          <w:szCs w:val="21"/>
        </w:rPr>
        <w:t>材料、工程设备和工程的试验和检验</w:t>
      </w:r>
    </w:p>
    <w:p w14:paraId="76F78FF7">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9.3.1</w:t>
      </w:r>
      <w:r>
        <w:rPr>
          <w:rFonts w:hint="eastAsia" w:asciiTheme="minorEastAsia" w:hAnsiTheme="minorEastAsia" w:eastAsiaTheme="minorEastAsia"/>
          <w:color w:val="00000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F086D7D">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9.3.2</w:t>
      </w:r>
      <w:r>
        <w:rPr>
          <w:rFonts w:hint="eastAsia" w:asciiTheme="minorEastAsia" w:hAnsiTheme="minorEastAsia" w:eastAsiaTheme="minorEastAsia"/>
          <w:color w:val="000000"/>
          <w:szCs w:val="21"/>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A374F70">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9.3.3</w:t>
      </w:r>
      <w:r>
        <w:rPr>
          <w:rFonts w:hint="eastAsia" w:asciiTheme="minorEastAsia" w:hAnsiTheme="minorEastAsia" w:eastAsiaTheme="minorEastAsia"/>
          <w:color w:val="000000"/>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B4B1B36">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9.4</w:t>
      </w:r>
      <w:r>
        <w:rPr>
          <w:rFonts w:hint="eastAsia" w:asciiTheme="minorEastAsia" w:hAnsiTheme="minorEastAsia" w:eastAsiaTheme="minorEastAsia"/>
          <w:b w:val="0"/>
          <w:color w:val="000000"/>
          <w:sz w:val="21"/>
          <w:szCs w:val="21"/>
        </w:rPr>
        <w:t>现场工艺试验</w:t>
      </w:r>
    </w:p>
    <w:p w14:paraId="3FB5B1A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承包人应按合同约定或监理人指示进行现场工艺试验。对大型的现场工艺试验，监理人认为必要时，承包人应根据监理人提出的工艺试验要求，编制工艺试验措施计划，报送监理人审查。</w:t>
      </w:r>
    </w:p>
    <w:p w14:paraId="4C65D77C">
      <w:pPr>
        <w:adjustRightInd w:val="0"/>
        <w:snapToGrid w:val="0"/>
        <w:spacing w:line="360" w:lineRule="auto"/>
        <w:outlineLvl w:val="2"/>
        <w:rPr>
          <w:rFonts w:asciiTheme="minorEastAsia" w:hAnsiTheme="minorEastAsia" w:eastAsiaTheme="minorEastAsia"/>
          <w:b/>
          <w:szCs w:val="21"/>
        </w:rPr>
      </w:pPr>
      <w:bookmarkStart w:id="188" w:name="_Toc2499"/>
      <w:r>
        <w:rPr>
          <w:rFonts w:hint="eastAsia" w:asciiTheme="minorEastAsia" w:hAnsiTheme="minorEastAsia" w:eastAsiaTheme="minorEastAsia"/>
          <w:b/>
          <w:szCs w:val="21"/>
        </w:rPr>
        <w:t>10. 变更</w:t>
      </w:r>
      <w:bookmarkEnd w:id="188"/>
    </w:p>
    <w:p w14:paraId="3AA6262C">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10.1</w:t>
      </w:r>
      <w:r>
        <w:rPr>
          <w:rFonts w:hint="eastAsia" w:asciiTheme="minorEastAsia" w:hAnsiTheme="minorEastAsia" w:eastAsiaTheme="minorEastAsia"/>
          <w:b w:val="0"/>
          <w:color w:val="000000"/>
          <w:sz w:val="21"/>
          <w:szCs w:val="21"/>
        </w:rPr>
        <w:t>变更的范围</w:t>
      </w:r>
    </w:p>
    <w:p w14:paraId="32CF3E1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除专用合同条款另有约定外，合同履行过程中发生以下情形的，应按照本条约定进行变更：</w:t>
      </w:r>
    </w:p>
    <w:p w14:paraId="3792E15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）增加或减少合同中任何工作，或追加额外的工作；</w:t>
      </w:r>
    </w:p>
    <w:p w14:paraId="2BC856F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）取消合同中任何工作，但转由他人实施的工作除外；</w:t>
      </w:r>
    </w:p>
    <w:p w14:paraId="7C8FE99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）改变合同中任何工作的质量标准或其他特性；</w:t>
      </w:r>
    </w:p>
    <w:p w14:paraId="632B11D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）改变工程的基线、标高、位置和尺寸；</w:t>
      </w:r>
    </w:p>
    <w:p w14:paraId="23C4B1F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）改变工程的时间安排或实施顺序。</w:t>
      </w:r>
    </w:p>
    <w:p w14:paraId="72ECC8E7">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10.2</w:t>
      </w:r>
      <w:r>
        <w:rPr>
          <w:rFonts w:hint="eastAsia" w:asciiTheme="minorEastAsia" w:hAnsiTheme="minorEastAsia" w:eastAsiaTheme="minorEastAsia"/>
          <w:b w:val="0"/>
          <w:color w:val="000000"/>
          <w:sz w:val="21"/>
          <w:szCs w:val="21"/>
        </w:rPr>
        <w:t>变更权</w:t>
      </w:r>
    </w:p>
    <w:p w14:paraId="4466283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584B31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涉及设计变更的，应由设计人提供变更后的图纸和说明。如变更超过原设计标准或批准的建设规模时，发包人应及时办理规划、设计变更等审批手续。</w:t>
      </w:r>
    </w:p>
    <w:p w14:paraId="23793F20">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10.3</w:t>
      </w:r>
      <w:r>
        <w:rPr>
          <w:rFonts w:hint="eastAsia" w:asciiTheme="minorEastAsia" w:hAnsiTheme="minorEastAsia" w:eastAsiaTheme="minorEastAsia"/>
          <w:b w:val="0"/>
          <w:color w:val="000000"/>
          <w:sz w:val="21"/>
          <w:szCs w:val="21"/>
        </w:rPr>
        <w:t>变更程序</w:t>
      </w:r>
    </w:p>
    <w:p w14:paraId="48A16B5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10.3.1 </w:t>
      </w:r>
      <w:r>
        <w:rPr>
          <w:rFonts w:hint="eastAsia" w:asciiTheme="minorEastAsia" w:hAnsiTheme="minorEastAsia" w:eastAsiaTheme="minorEastAsia"/>
          <w:color w:val="000000"/>
          <w:szCs w:val="21"/>
        </w:rPr>
        <w:t>发包人提出变更</w:t>
      </w:r>
    </w:p>
    <w:p w14:paraId="20AC885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发包人提出变更的，应通过监理人向承包人发出变更指示，变更指示应说明计划变更的工程范围和变更的内容。</w:t>
      </w:r>
    </w:p>
    <w:p w14:paraId="6463B96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10.3.2 </w:t>
      </w:r>
      <w:r>
        <w:rPr>
          <w:rFonts w:hint="eastAsia" w:asciiTheme="minorEastAsia" w:hAnsiTheme="minorEastAsia" w:eastAsiaTheme="minorEastAsia"/>
          <w:color w:val="000000"/>
          <w:szCs w:val="21"/>
        </w:rPr>
        <w:t>监理人提出变更建议</w:t>
      </w:r>
    </w:p>
    <w:p w14:paraId="525196C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4220AA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10.3.3 </w:t>
      </w:r>
      <w:r>
        <w:rPr>
          <w:rFonts w:hint="eastAsia" w:asciiTheme="minorEastAsia" w:hAnsiTheme="minorEastAsia" w:eastAsiaTheme="minorEastAsia"/>
          <w:color w:val="000000"/>
          <w:szCs w:val="21"/>
        </w:rPr>
        <w:t>变更执行</w:t>
      </w:r>
    </w:p>
    <w:p w14:paraId="4270A20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asciiTheme="minorEastAsia" w:hAnsiTheme="minorEastAsia" w:eastAsiaTheme="minorEastAsia"/>
          <w:color w:val="000000"/>
          <w:szCs w:val="21"/>
        </w:rPr>
        <w:t>10.4</w:t>
      </w:r>
      <w:r>
        <w:rPr>
          <w:rFonts w:hint="eastAsia" w:asciiTheme="minorEastAsia" w:hAnsiTheme="minorEastAsia" w:eastAsiaTheme="minorEastAsia"/>
          <w:color w:val="000000"/>
          <w:szCs w:val="21"/>
        </w:rPr>
        <w:t>款〔变更估价〕约定确定变更估价。</w:t>
      </w:r>
    </w:p>
    <w:p w14:paraId="6E470999">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10.4</w:t>
      </w:r>
      <w:r>
        <w:rPr>
          <w:rFonts w:hint="eastAsia" w:asciiTheme="minorEastAsia" w:hAnsiTheme="minorEastAsia" w:eastAsiaTheme="minorEastAsia"/>
          <w:b w:val="0"/>
          <w:color w:val="000000"/>
          <w:sz w:val="21"/>
          <w:szCs w:val="21"/>
        </w:rPr>
        <w:t>变更估价</w:t>
      </w:r>
    </w:p>
    <w:p w14:paraId="67D4A95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10.4.1 </w:t>
      </w:r>
      <w:r>
        <w:rPr>
          <w:rFonts w:hint="eastAsia" w:asciiTheme="minorEastAsia" w:hAnsiTheme="minorEastAsia" w:eastAsiaTheme="minorEastAsia"/>
          <w:color w:val="000000"/>
          <w:szCs w:val="21"/>
        </w:rPr>
        <w:t>变更估价原则</w:t>
      </w:r>
    </w:p>
    <w:p w14:paraId="454B537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除专用合同条款另有约定外，变更估价按照本款约定处理：</w:t>
      </w:r>
    </w:p>
    <w:p w14:paraId="761C5BD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）已标价工程量清单或预算书有相同项目的，按照相同项目单价认定；</w:t>
      </w:r>
    </w:p>
    <w:p w14:paraId="2F14670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）已标价工程量清单或预算书中无相同项目，但有类似项目的，参照类似项目的单价认定；</w:t>
      </w:r>
    </w:p>
    <w:p w14:paraId="7C49781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）变更导致实际完成的变更工程量与已标价工程量清单或预算书中列明的该项目工程量的变化幅度超过</w:t>
      </w:r>
      <w:r>
        <w:rPr>
          <w:rFonts w:asciiTheme="minorEastAsia" w:hAnsiTheme="minorEastAsia" w:eastAsiaTheme="minorEastAsia"/>
          <w:color w:val="000000"/>
          <w:szCs w:val="21"/>
        </w:rPr>
        <w:t>15%</w:t>
      </w:r>
      <w:r>
        <w:rPr>
          <w:rFonts w:hint="eastAsia" w:asciiTheme="minorEastAsia" w:hAnsiTheme="minorEastAsia" w:eastAsiaTheme="minorEastAsia"/>
          <w:color w:val="000000"/>
          <w:szCs w:val="21"/>
        </w:rPr>
        <w:t>的，或已标价工程量清单或预算书中无相同项目及类似项目单价的，按照合理的成本与利润构成的原则，由合同当事人按照第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款〔商定或确定〕确定变更工作的单价。</w:t>
      </w:r>
    </w:p>
    <w:p w14:paraId="258846C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10.4.2 </w:t>
      </w:r>
      <w:r>
        <w:rPr>
          <w:rFonts w:hint="eastAsia" w:asciiTheme="minorEastAsia" w:hAnsiTheme="minorEastAsia" w:eastAsiaTheme="minorEastAsia"/>
          <w:color w:val="000000"/>
          <w:szCs w:val="21"/>
        </w:rPr>
        <w:t>变更估价程序</w:t>
      </w:r>
    </w:p>
    <w:p w14:paraId="3B4D21A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承包人应在收到变更指示后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天内，向监理人提交变更估价申请。监理人应在收到承包人提交的变更估价申请后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天内审查完毕并报送发包人，监理人对变更估价申请有异议，通知承包人修改后重新提交。发包人应在承包人提交变更估价申请后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天内审批完毕。发包人逾期未完成审批或未提出异议的，视为认可承包人提交的变更估价申请。</w:t>
      </w:r>
    </w:p>
    <w:p w14:paraId="2363BC9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因变更引起的价格调整应计入最近一期的进度款中支付。</w:t>
      </w:r>
    </w:p>
    <w:p w14:paraId="2768D52A">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10.5</w:t>
      </w:r>
      <w:r>
        <w:rPr>
          <w:rFonts w:hint="eastAsia" w:asciiTheme="minorEastAsia" w:hAnsiTheme="minorEastAsia" w:eastAsiaTheme="minorEastAsia"/>
          <w:b w:val="0"/>
          <w:color w:val="000000"/>
          <w:sz w:val="21"/>
          <w:szCs w:val="21"/>
        </w:rPr>
        <w:t>承包人的合理化建议</w:t>
      </w:r>
    </w:p>
    <w:p w14:paraId="6F02EEA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承包人提出合理化建议的，应向监理人提交合理化建议说明，说明建议的内容和理由，以及实施该建议对合同价格和工期的影响。</w:t>
      </w:r>
    </w:p>
    <w:p w14:paraId="19AE2DE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除专用合同条款另有约定外，监理人应在收到承包人提交的合理化建议后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天内审查完毕并报送发包人，发现其中存在技术上的缺陷，应通知承包人修改。发包人应在收到监理人报送的合理化建议后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天内审批完毕。合理化建议经发包人批准的，监理人应及时发出变更指示，由此引起的合同价格调整按照第</w:t>
      </w:r>
      <w:r>
        <w:rPr>
          <w:rFonts w:asciiTheme="minorEastAsia" w:hAnsiTheme="minorEastAsia" w:eastAsiaTheme="minorEastAsia"/>
          <w:color w:val="000000"/>
          <w:szCs w:val="21"/>
        </w:rPr>
        <w:t>10.4</w:t>
      </w:r>
      <w:r>
        <w:rPr>
          <w:rFonts w:hint="eastAsia" w:asciiTheme="minorEastAsia" w:hAnsiTheme="minorEastAsia" w:eastAsiaTheme="minorEastAsia"/>
          <w:color w:val="000000"/>
          <w:szCs w:val="21"/>
        </w:rPr>
        <w:t>款〔变更估价〕约定执行。发包人不同意变更的，监理人应书面通知承包人。</w:t>
      </w:r>
    </w:p>
    <w:p w14:paraId="06BB740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合理化建议降低了合同价格或者提高了工程经济效益的，发包人可对承包人给予奖励，奖励的方法和金额在专用合同条款中约定。</w:t>
      </w:r>
    </w:p>
    <w:p w14:paraId="2C7A559F">
      <w:pPr>
        <w:pStyle w:val="6"/>
        <w:keepNext w:val="0"/>
        <w:keepLines w:val="0"/>
        <w:spacing w:before="120" w:after="120" w:line="360" w:lineRule="auto"/>
        <w:ind w:firstLine="420" w:firstLineChars="200"/>
        <w:rPr>
          <w:rFonts w:asciiTheme="minorEastAsia" w:hAnsiTheme="minorEastAsia" w:eastAsiaTheme="minorEastAsia"/>
          <w:color w:val="000000"/>
          <w:sz w:val="21"/>
          <w:szCs w:val="21"/>
        </w:rPr>
      </w:pPr>
      <w:r>
        <w:rPr>
          <w:rFonts w:asciiTheme="minorEastAsia" w:hAnsiTheme="minorEastAsia" w:eastAsiaTheme="minorEastAsia"/>
          <w:b w:val="0"/>
          <w:color w:val="000000"/>
          <w:sz w:val="21"/>
          <w:szCs w:val="21"/>
        </w:rPr>
        <w:t>10.6</w:t>
      </w:r>
      <w:r>
        <w:rPr>
          <w:rFonts w:hint="eastAsia" w:asciiTheme="minorEastAsia" w:hAnsiTheme="minorEastAsia" w:eastAsiaTheme="minorEastAsia"/>
          <w:b w:val="0"/>
          <w:color w:val="000000"/>
          <w:sz w:val="21"/>
          <w:szCs w:val="21"/>
        </w:rPr>
        <w:t>变更引起的工期调整</w:t>
      </w:r>
      <w:r>
        <w:rPr>
          <w:rFonts w:asciiTheme="minorEastAsia" w:hAnsiTheme="minorEastAsia" w:eastAsiaTheme="minorEastAsia"/>
          <w:b w:val="0"/>
          <w:color w:val="000000"/>
          <w:sz w:val="21"/>
          <w:szCs w:val="21"/>
        </w:rPr>
        <w:t xml:space="preserve">  </w:t>
      </w:r>
      <w:r>
        <w:rPr>
          <w:rFonts w:asciiTheme="minorEastAsia" w:hAnsiTheme="minorEastAsia" w:eastAsiaTheme="minorEastAsia"/>
          <w:color w:val="000000"/>
          <w:sz w:val="21"/>
          <w:szCs w:val="21"/>
        </w:rPr>
        <w:t xml:space="preserve"> </w:t>
      </w:r>
    </w:p>
    <w:p w14:paraId="165B4CC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因变更引起工期变化的，合同当事人均可要求调整合同工期，由合同当事人按照第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款〔商定或确定〕并参考工程所在地的工期定额标准确定增减工期天数。</w:t>
      </w:r>
    </w:p>
    <w:p w14:paraId="30C026AE">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10.7</w:t>
      </w:r>
      <w:r>
        <w:rPr>
          <w:rFonts w:hint="eastAsia" w:asciiTheme="minorEastAsia" w:hAnsiTheme="minorEastAsia" w:eastAsiaTheme="minorEastAsia"/>
          <w:b w:val="0"/>
          <w:color w:val="000000"/>
          <w:sz w:val="21"/>
          <w:szCs w:val="21"/>
        </w:rPr>
        <w:t>暂估价</w:t>
      </w:r>
    </w:p>
    <w:p w14:paraId="7369599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暂估价专业分包工程、服务、材料和工程设备的明细由合同当事人在专用合同条款中约定。</w:t>
      </w:r>
    </w:p>
    <w:p w14:paraId="40A0A61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10.7.1 </w:t>
      </w:r>
      <w:r>
        <w:rPr>
          <w:rFonts w:hint="eastAsia" w:asciiTheme="minorEastAsia" w:hAnsiTheme="minorEastAsia" w:eastAsiaTheme="minorEastAsia"/>
          <w:color w:val="000000"/>
          <w:szCs w:val="21"/>
        </w:rPr>
        <w:t>依法必须招标的暂估价项目</w:t>
      </w:r>
    </w:p>
    <w:p w14:paraId="0575882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对于依法必须招标的暂估价项目，采取以下第</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种方式确定。合同当事人也可以在专用合同条款中选择其他招标方式。</w:t>
      </w:r>
    </w:p>
    <w:p w14:paraId="65E604F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种方式：对于依法必须招标的暂估价项目，由承包人招标，对该暂估价项目的确认和批准按照以下约定执行：</w:t>
      </w:r>
    </w:p>
    <w:p w14:paraId="711FA6C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）承包人应当根据施工进度计划，在招标工作启动前</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天将招标方案通过监理人报送发包人审查，发包人应当在收到承包人报送的招标方案后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天内批准或提出修改意见。承包人应当按照经过发包人批准的招标方案开展招标工作；</w:t>
      </w:r>
    </w:p>
    <w:p w14:paraId="694B246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）承包人应当根据施工进度计划，提前</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天将招标文件通过监理人报送发包人审批，发包人应当在收到承包人报送的相关文件后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天内完成审批或提出修改意见；发包人有权确定招标控制价并按照法律规定参加评标；</w:t>
      </w:r>
    </w:p>
    <w:p w14:paraId="6022DEA4">
      <w:pPr>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）承包人与供应商、分包人在签订暂估价合同前，应当提前</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天将确定的中标候选供应商或中标候选分包人的资料报送发包人，发包人应在收到资料后</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天内与承包人共同确定中标人；承包人应当在签订合同后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天内，将暂估价合同副本报送发包人留存。</w:t>
      </w:r>
    </w:p>
    <w:p w14:paraId="1C51B73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种方式：对于依法必须招标的暂估价项目，由发包人和承包人共同招标确定暂估价供应商或分包人的，承包人应按照施工进度计划，在招标工作启动前</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天通知发包人，并提交暂估价招标方案和工作分工。发包人应在收到后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天内确认。确定中标人后，由发包人、承包人与中标人共同签订暂估价合同。</w:t>
      </w:r>
    </w:p>
    <w:p w14:paraId="3AED230E">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10.7.2</w:t>
      </w:r>
      <w:r>
        <w:rPr>
          <w:rFonts w:hint="eastAsia" w:asciiTheme="minorEastAsia" w:hAnsiTheme="minorEastAsia" w:eastAsiaTheme="minorEastAsia"/>
          <w:color w:val="000000"/>
          <w:szCs w:val="21"/>
        </w:rPr>
        <w:t>不属于依法必须招标的暂估价项目</w:t>
      </w:r>
    </w:p>
    <w:p w14:paraId="05DD55C7">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除专用合同条款另有约定外，对于不属于依法必须招标的暂估价项目，采取以下第</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种方式确定：</w:t>
      </w:r>
      <w:r>
        <w:rPr>
          <w:rFonts w:asciiTheme="minorEastAsia" w:hAnsiTheme="minorEastAsia" w:eastAsiaTheme="minorEastAsia"/>
          <w:color w:val="000000"/>
          <w:szCs w:val="21"/>
        </w:rPr>
        <w:t xml:space="preserve"> </w:t>
      </w:r>
    </w:p>
    <w:p w14:paraId="054FEB2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种方式：对于不属于依法必须招标的暂估价项目，按本项约定确认和批准：</w:t>
      </w:r>
    </w:p>
    <w:p w14:paraId="580721E8">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）承包人应根据施工进度计划，在签订暂估价项目的采购合同、分包合同前</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天向监理人提出书面申请。监理人应当在收到申请后</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天内报送发包人，发包人应当在收到申请后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天内给予批准或提出修改意见，发包人逾期未予批准或提出修改意见的，视为该书面申请已获得同意；</w:t>
      </w:r>
    </w:p>
    <w:p w14:paraId="6D82101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）发包人认为承包人确定的供应商、分包人无法满足工程质量或合同要求的，发包人可以要求承包人重新确定暂估价项目的供应商、分包人</w:t>
      </w:r>
      <w:r>
        <w:rPr>
          <w:rFonts w:asciiTheme="minorEastAsia" w:hAnsiTheme="minorEastAsia" w:eastAsiaTheme="minorEastAsia"/>
          <w:color w:val="000000"/>
          <w:szCs w:val="21"/>
        </w:rPr>
        <w:t>;</w:t>
      </w:r>
    </w:p>
    <w:p w14:paraId="709E848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）承包人应当在签订暂估价合同后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天内，将暂估价合同副本报送发包人留存。</w:t>
      </w:r>
    </w:p>
    <w:p w14:paraId="6430AE0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种方式：承包人按照第</w:t>
      </w:r>
      <w:r>
        <w:rPr>
          <w:rFonts w:asciiTheme="minorEastAsia" w:hAnsiTheme="minorEastAsia" w:eastAsiaTheme="minorEastAsia"/>
          <w:color w:val="000000"/>
          <w:szCs w:val="21"/>
        </w:rPr>
        <w:t>10.7.1</w:t>
      </w:r>
      <w:r>
        <w:rPr>
          <w:rFonts w:hint="eastAsia" w:asciiTheme="minorEastAsia" w:hAnsiTheme="minorEastAsia" w:eastAsiaTheme="minorEastAsia"/>
          <w:color w:val="000000"/>
          <w:szCs w:val="21"/>
        </w:rPr>
        <w:t>项〔依法必须招标的暂估价项目〕约定的第</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种方式确定暂估价项目。</w:t>
      </w:r>
    </w:p>
    <w:p w14:paraId="2DEF309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种方式：承包人直接实施的暂估价项目</w:t>
      </w:r>
    </w:p>
    <w:p w14:paraId="4E1BD20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承包人具备实施暂估价项目的资格和条件的，经发包人和承包人协商一致后，可由承包人自行实施暂估价项目，合同当事人可以在专用合同条款约定具体事项。</w:t>
      </w:r>
    </w:p>
    <w:p w14:paraId="6B1B39C3">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10.7.3 </w:t>
      </w:r>
      <w:r>
        <w:rPr>
          <w:rFonts w:hint="eastAsia" w:asciiTheme="minorEastAsia" w:hAnsiTheme="minorEastAsia" w:eastAsiaTheme="minorEastAsia"/>
          <w:color w:val="000000"/>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9D6BAB4">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10.8</w:t>
      </w:r>
      <w:r>
        <w:rPr>
          <w:rFonts w:hint="eastAsia" w:asciiTheme="minorEastAsia" w:hAnsiTheme="minorEastAsia" w:eastAsiaTheme="minorEastAsia"/>
          <w:b w:val="0"/>
          <w:color w:val="000000"/>
          <w:sz w:val="21"/>
          <w:szCs w:val="21"/>
        </w:rPr>
        <w:t>暂列金额</w:t>
      </w:r>
    </w:p>
    <w:p w14:paraId="4D7A6FF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暂列金额应按照发包人的要求使用，发包人的要求应通过监理人发出。合同当事人可以在专用合同条款中协商确定有关事项。</w:t>
      </w:r>
    </w:p>
    <w:p w14:paraId="0EC58B4A">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10.9</w:t>
      </w:r>
      <w:r>
        <w:rPr>
          <w:rFonts w:hint="eastAsia" w:asciiTheme="minorEastAsia" w:hAnsiTheme="minorEastAsia" w:eastAsiaTheme="minorEastAsia"/>
          <w:b w:val="0"/>
          <w:color w:val="000000"/>
          <w:sz w:val="21"/>
          <w:szCs w:val="21"/>
        </w:rPr>
        <w:t>计日工</w:t>
      </w:r>
      <w:r>
        <w:rPr>
          <w:rFonts w:asciiTheme="minorEastAsia" w:hAnsiTheme="minorEastAsia" w:eastAsiaTheme="minorEastAsia"/>
          <w:b w:val="0"/>
          <w:color w:val="000000"/>
          <w:sz w:val="21"/>
          <w:szCs w:val="21"/>
        </w:rPr>
        <w:t xml:space="preserve"> </w:t>
      </w:r>
    </w:p>
    <w:p w14:paraId="26925A5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款〔商定或确定〕确定计日工的单价。</w:t>
      </w:r>
    </w:p>
    <w:p w14:paraId="0294AA2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采用计日工计价的任何一项工作，承包人应在该项工作实施过程中，每天提交以下报表和有关凭证报送监理人审查：</w:t>
      </w:r>
    </w:p>
    <w:p w14:paraId="17597A51">
      <w:pPr>
        <w:spacing w:line="360" w:lineRule="auto"/>
        <w:ind w:firstLine="360" w:firstLineChars="1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）工作名称、内容和数量；</w:t>
      </w:r>
    </w:p>
    <w:p w14:paraId="2F57A7DF">
      <w:pPr>
        <w:spacing w:line="360" w:lineRule="auto"/>
        <w:ind w:firstLine="360" w:firstLineChars="1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）投入该工作的所有人员的姓名、专业、工种、级别和耗用工时；</w:t>
      </w:r>
    </w:p>
    <w:p w14:paraId="25F34BE9">
      <w:pPr>
        <w:spacing w:line="360" w:lineRule="auto"/>
        <w:ind w:firstLine="360" w:firstLineChars="1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）投入该工作的材料类别和数量；</w:t>
      </w:r>
    </w:p>
    <w:p w14:paraId="1EDFF573">
      <w:pPr>
        <w:spacing w:line="360" w:lineRule="auto"/>
        <w:ind w:firstLine="360" w:firstLineChars="1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）投入该工作的施工设备型号、台数和耗用台时；</w:t>
      </w:r>
    </w:p>
    <w:p w14:paraId="52930C28">
      <w:pPr>
        <w:spacing w:line="360" w:lineRule="auto"/>
        <w:ind w:firstLine="360" w:firstLineChars="1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）其他有关资料和凭证。</w:t>
      </w:r>
    </w:p>
    <w:p w14:paraId="48E2CD57">
      <w:pPr>
        <w:spacing w:line="360" w:lineRule="auto"/>
        <w:ind w:firstLine="360" w:firstLineChars="15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计日工由承包人汇总后，列入最近一期进度付款申请单，由监理人审查并经发包人批准后列入进度付款。</w:t>
      </w:r>
    </w:p>
    <w:p w14:paraId="58DC7F45">
      <w:pPr>
        <w:adjustRightInd w:val="0"/>
        <w:snapToGrid w:val="0"/>
        <w:rPr>
          <w:rFonts w:asciiTheme="minorEastAsia" w:hAnsiTheme="minorEastAsia" w:eastAsiaTheme="minorEastAsia"/>
          <w:szCs w:val="21"/>
        </w:rPr>
      </w:pPr>
    </w:p>
    <w:p w14:paraId="37313C6D">
      <w:pPr>
        <w:adjustRightInd w:val="0"/>
        <w:snapToGrid w:val="0"/>
        <w:rPr>
          <w:rFonts w:asciiTheme="minorEastAsia" w:hAnsiTheme="minorEastAsia" w:eastAsiaTheme="minorEastAsia"/>
          <w:szCs w:val="21"/>
        </w:rPr>
      </w:pPr>
    </w:p>
    <w:p w14:paraId="46CA5F62">
      <w:pPr>
        <w:adjustRightInd w:val="0"/>
        <w:snapToGrid w:val="0"/>
        <w:spacing w:line="360" w:lineRule="auto"/>
        <w:outlineLvl w:val="2"/>
        <w:rPr>
          <w:rFonts w:asciiTheme="minorEastAsia" w:hAnsiTheme="minorEastAsia" w:eastAsiaTheme="minorEastAsia"/>
          <w:b/>
          <w:szCs w:val="21"/>
        </w:rPr>
      </w:pPr>
      <w:bookmarkStart w:id="189" w:name="_Toc27409"/>
      <w:r>
        <w:rPr>
          <w:rFonts w:hint="eastAsia" w:asciiTheme="minorEastAsia" w:hAnsiTheme="minorEastAsia" w:eastAsiaTheme="minorEastAsia"/>
          <w:b/>
          <w:szCs w:val="21"/>
        </w:rPr>
        <w:t>11. 价格调整</w:t>
      </w:r>
      <w:bookmarkEnd w:id="189"/>
    </w:p>
    <w:p w14:paraId="4FEC7F0B">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11.1</w:t>
      </w:r>
      <w:r>
        <w:rPr>
          <w:rFonts w:hint="eastAsia" w:asciiTheme="minorEastAsia" w:hAnsiTheme="minorEastAsia" w:eastAsiaTheme="minorEastAsia"/>
          <w:b w:val="0"/>
          <w:color w:val="000000"/>
          <w:sz w:val="21"/>
          <w:szCs w:val="21"/>
        </w:rPr>
        <w:t>市场价格波动引起的调整</w:t>
      </w:r>
    </w:p>
    <w:p w14:paraId="27E72D6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除专用合同条款另有约定外，市场价格波动超过合同当事人约定的范围，合同价格应当调整。合同当事人可以在专用合同条款中约定选择以下一种方式对合同价格进行调整：</w:t>
      </w:r>
    </w:p>
    <w:p w14:paraId="3D1D73A8">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种方式：采用价格指数进行价格调整。</w:t>
      </w:r>
    </w:p>
    <w:p w14:paraId="6525BACC">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）价格调整公式</w:t>
      </w:r>
    </w:p>
    <w:p w14:paraId="2B5F1FA9">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因人工、材料和设备等价格波动影响合同价格时，根据专用合同条款中约定的数据，按以下公式计算差额并调整合同价格：</w:t>
      </w:r>
    </w:p>
    <w:p w14:paraId="7222489F">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position w:val="-30"/>
          <w:szCs w:val="21"/>
        </w:rPr>
        <w:object>
          <v:shape id="_x0000_i1025" o:spt="75" type="#_x0000_t75" style="height:43.2pt;width:360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14:paraId="30C393E2">
      <w:pPr>
        <w:tabs>
          <w:tab w:val="left" w:pos="0"/>
          <w:tab w:val="left" w:pos="360"/>
          <w:tab w:val="left" w:pos="540"/>
        </w:tabs>
        <w:spacing w:line="360" w:lineRule="auto"/>
        <w:ind w:firstLine="64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公式中：</w:t>
      </w:r>
      <w:r>
        <w:rPr>
          <w:rFonts w:asciiTheme="minorEastAsia" w:hAnsiTheme="minorEastAsia" w:eastAsiaTheme="minorEastAsia"/>
          <w:color w:val="000000"/>
          <w:szCs w:val="21"/>
        </w:rPr>
        <w:t>ΔP——</w:t>
      </w:r>
      <w:r>
        <w:rPr>
          <w:rFonts w:hint="eastAsia" w:asciiTheme="minorEastAsia" w:hAnsiTheme="minorEastAsia" w:eastAsiaTheme="minorEastAsia"/>
          <w:color w:val="000000"/>
          <w:szCs w:val="21"/>
        </w:rPr>
        <w:t>需调整的价格差额；</w:t>
      </w:r>
    </w:p>
    <w:p w14:paraId="57058573">
      <w:pPr>
        <w:tabs>
          <w:tab w:val="left" w:pos="0"/>
          <w:tab w:val="left" w:pos="360"/>
          <w:tab w:val="left" w:pos="540"/>
        </w:tabs>
        <w:spacing w:line="360" w:lineRule="auto"/>
        <w:ind w:firstLine="1440" w:firstLineChars="600"/>
        <w:rPr>
          <w:rFonts w:asciiTheme="minorEastAsia" w:hAnsiTheme="minorEastAsia" w:eastAsiaTheme="minorEastAsia"/>
          <w:color w:val="000000"/>
          <w:szCs w:val="21"/>
        </w:rPr>
      </w:pPr>
      <w:r>
        <w:rPr>
          <w:rFonts w:asciiTheme="minorEastAsia" w:hAnsiTheme="minorEastAsia" w:eastAsiaTheme="minorEastAsia"/>
          <w:color w:val="000000"/>
          <w:position w:val="-6"/>
          <w:szCs w:val="21"/>
        </w:rPr>
        <w:object>
          <v:shape id="_x0000_i1026" o:spt="75" type="#_x0000_t75" style="height:14.4pt;width:14.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05ADCCC3">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A——</w:t>
      </w:r>
      <w:r>
        <w:rPr>
          <w:rFonts w:hint="eastAsia" w:asciiTheme="minorEastAsia" w:hAnsiTheme="minorEastAsia" w:eastAsiaTheme="minorEastAsia"/>
          <w:color w:val="000000"/>
          <w:szCs w:val="21"/>
        </w:rPr>
        <w:t>定值权重（即不调部分的权重）；</w:t>
      </w:r>
    </w:p>
    <w:p w14:paraId="1E3CFE4A">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position w:val="-10"/>
          <w:szCs w:val="21"/>
        </w:rPr>
        <w:object>
          <v:shape id="_x0000_i1027" o:spt="75" type="#_x0000_t75" style="height:21.6pt;width:100.8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各可调因子的变值权重（即可调部分的权重），为各可调因子在签约合同价中所占的比例；</w:t>
      </w:r>
    </w:p>
    <w:p w14:paraId="0207301E">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position w:val="-10"/>
          <w:szCs w:val="21"/>
        </w:rPr>
        <w:object>
          <v:shape id="_x0000_i1028" o:spt="75" type="#_x0000_t75" style="height:21.6pt;width:100.8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各可调因子的现行价格指数，指约定的付款证书相关周期最后一天的前</w:t>
      </w:r>
      <w:r>
        <w:rPr>
          <w:rFonts w:asciiTheme="minorEastAsia" w:hAnsiTheme="minorEastAsia" w:eastAsiaTheme="minorEastAsia"/>
          <w:color w:val="000000"/>
          <w:szCs w:val="21"/>
        </w:rPr>
        <w:t>42</w:t>
      </w:r>
      <w:r>
        <w:rPr>
          <w:rFonts w:hint="eastAsia" w:asciiTheme="minorEastAsia" w:hAnsiTheme="minorEastAsia" w:eastAsiaTheme="minorEastAsia"/>
          <w:color w:val="000000"/>
          <w:szCs w:val="21"/>
        </w:rPr>
        <w:t>天的各可调因子的价格指数；</w:t>
      </w:r>
    </w:p>
    <w:p w14:paraId="21115644">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position w:val="-10"/>
          <w:szCs w:val="21"/>
        </w:rPr>
        <w:object>
          <v:shape id="_x0000_i1029" o:spt="75" type="#_x0000_t75" style="height:21.6pt;width:108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各可调因子的基本价格指数，指基准日期的各可调因子的价格指数。</w:t>
      </w:r>
    </w:p>
    <w:p w14:paraId="248F64B0">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98A2ECE">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）暂时确定调整差额</w:t>
      </w:r>
    </w:p>
    <w:p w14:paraId="266FF3B9">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在计算调整差额时无现行价格指数的，合同当事人同意暂用前次价格指数计算。实际价格指数有调整的，合同当事人进行相应调整。</w:t>
      </w:r>
    </w:p>
    <w:p w14:paraId="30314C69">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）权重的调整</w:t>
      </w:r>
    </w:p>
    <w:p w14:paraId="3B541C9B">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因变更导致合同约定的权重不合理时，按照第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款〔商定或确定〕执行。</w:t>
      </w:r>
    </w:p>
    <w:p w14:paraId="42194E69">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）因承包人原因工期延误后的价格调整</w:t>
      </w:r>
    </w:p>
    <w:p w14:paraId="2937DE88">
      <w:pPr>
        <w:tabs>
          <w:tab w:val="left" w:pos="0"/>
          <w:tab w:val="left" w:pos="360"/>
          <w:tab w:val="left" w:pos="540"/>
        </w:tabs>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因承包人原因未按期竣工的，对合同约定的竣工日期后继续施工的工程，在使用价格调整公式时，应采用计划竣工日期与实际竣工日期的两个价格指数中较低的一个作为现行价格指数。</w:t>
      </w:r>
    </w:p>
    <w:p w14:paraId="0C5927B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种方式：采用造价信息进行价格调整。</w:t>
      </w:r>
    </w:p>
    <w:p w14:paraId="438B81B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A97EC67">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EBAD83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）材料、工程设备价格变化的价款调整按照发包人提供的基准价格，按以下风险范围规定执行</w:t>
      </w:r>
      <w:r>
        <w:rPr>
          <w:rFonts w:asciiTheme="minorEastAsia" w:hAnsiTheme="minorEastAsia" w:eastAsiaTheme="minorEastAsia"/>
          <w:color w:val="000000"/>
          <w:szCs w:val="21"/>
        </w:rPr>
        <w:t>:</w:t>
      </w:r>
    </w:p>
    <w:p w14:paraId="5AE11210">
      <w:pPr>
        <w:spacing w:line="360" w:lineRule="auto"/>
        <w:ind w:firstLine="480" w:firstLineChars="20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①</w:t>
      </w:r>
      <w:r>
        <w:rPr>
          <w:rFonts w:hint="eastAsia" w:asciiTheme="minorEastAsia" w:hAnsiTheme="minorEastAsia" w:eastAsiaTheme="minorEastAsia"/>
          <w:color w:val="000000"/>
          <w:szCs w:val="21"/>
        </w:rPr>
        <w:t>承包人在已标价工程量清单或预算书中载明材料单价低于基准价格的：除专用合同条款另有约定外，合同履行期间材料单价涨幅以基准价格为基础超过</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时，或材料单价跌幅以在已标价工程量清单或预算书中载明材料单价为基础超过</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时，其超过部分据实调整。</w:t>
      </w:r>
    </w:p>
    <w:p w14:paraId="53CEBF52">
      <w:pPr>
        <w:spacing w:line="360" w:lineRule="auto"/>
        <w:ind w:firstLine="480" w:firstLineChars="20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②</w:t>
      </w:r>
      <w:r>
        <w:rPr>
          <w:rFonts w:hint="eastAsia" w:asciiTheme="minorEastAsia" w:hAnsiTheme="minorEastAsia" w:eastAsiaTheme="minorEastAsia"/>
          <w:color w:val="000000"/>
          <w:szCs w:val="21"/>
        </w:rPr>
        <w:t>承包人在已标价工程量清单或预算书中载明材料单价高于基准价格的：除专用合同条款另有约定外，合同履行期间材料单价跌幅以基准价格为基础超过</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时，材料单价涨幅以在已标价工程量清单或预算书中载明材料单价为基础超过</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时，其超过部分据实调整。</w:t>
      </w:r>
    </w:p>
    <w:p w14:paraId="3EB91783">
      <w:pPr>
        <w:spacing w:line="360" w:lineRule="auto"/>
        <w:ind w:firstLine="480" w:firstLineChars="20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③</w:t>
      </w:r>
      <w:r>
        <w:rPr>
          <w:rFonts w:hint="eastAsia" w:asciiTheme="minorEastAsia" w:hAnsiTheme="minorEastAsia" w:eastAsiaTheme="minorEastAsia"/>
          <w:color w:val="000000"/>
          <w:szCs w:val="21"/>
        </w:rPr>
        <w:t>承包人在已标价工程量清单或预算书中载明材料单价等于基准价格的：除专用合同条款另有约定外，合同履行期间材料单价涨跌幅以基准价格为基础超过</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时，其超过部分据实调整。</w:t>
      </w:r>
    </w:p>
    <w:p w14:paraId="74B0A210">
      <w:pPr>
        <w:spacing w:line="360" w:lineRule="auto"/>
        <w:ind w:firstLine="480" w:firstLineChars="20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④</w:t>
      </w:r>
      <w:r>
        <w:rPr>
          <w:rFonts w:hint="eastAsia" w:asciiTheme="minorEastAsia" w:hAnsiTheme="minorEastAsia" w:eastAsiaTheme="minorEastAsia"/>
          <w:color w:val="000000"/>
          <w:szCs w:val="21"/>
        </w:rPr>
        <w:t>承包人应在采购材料前将采购数量和新的材料单价报发包人核对，发包人确认用于工程时，发包人应确认采购材料的数量和单价。发包人在收到承包人报送的确认资料后</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天内不予答复的视为认可，作为调整合同价格的依据。未经发包人事先核对，承包人自行采购材料的，发包人有权不予调整合同价格。发包人同意的，可以调整合同价格。</w:t>
      </w:r>
    </w:p>
    <w:p w14:paraId="7C607E5C">
      <w:pPr>
        <w:spacing w:line="360" w:lineRule="auto"/>
        <w:ind w:firstLine="480" w:firstLineChars="200"/>
        <w:rPr>
          <w:rFonts w:asciiTheme="minorEastAsia" w:hAnsiTheme="minorEastAsia" w:eastAsiaTheme="minorEastAsia"/>
          <w:color w:val="000000"/>
          <w:szCs w:val="21"/>
        </w:rPr>
      </w:pPr>
      <w:bookmarkStart w:id="190" w:name="OLE_LINK3"/>
      <w:r>
        <w:rPr>
          <w:rFonts w:hint="eastAsia" w:asciiTheme="minorEastAsia" w:hAnsiTheme="minorEastAsia" w:eastAsiaTheme="minorEastAsia"/>
          <w:color w:val="00000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31868B9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）施工机械台班单价或施工机械使用费发生变化超过省级或行业建设主管部门或其授权的工程造价管理机构规定的范围时，按规定调整合同价格。</w:t>
      </w:r>
    </w:p>
    <w:p w14:paraId="64DD0C8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种方式：专用合同条款约定的其他方式。</w:t>
      </w:r>
    </w:p>
    <w:p w14:paraId="0F10F0A3">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11.2</w:t>
      </w:r>
      <w:r>
        <w:rPr>
          <w:rFonts w:hint="eastAsia" w:asciiTheme="minorEastAsia" w:hAnsiTheme="minorEastAsia" w:eastAsiaTheme="minorEastAsia"/>
          <w:b w:val="0"/>
          <w:color w:val="000000"/>
          <w:sz w:val="21"/>
          <w:szCs w:val="21"/>
        </w:rPr>
        <w:t>法律变化引起的调整</w:t>
      </w:r>
    </w:p>
    <w:p w14:paraId="552D4EA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基准日期后，法律变化导致承包人在合同履行过程中所需要的费用发生除第</w:t>
      </w:r>
      <w:r>
        <w:rPr>
          <w:rFonts w:asciiTheme="minorEastAsia" w:hAnsiTheme="minorEastAsia" w:eastAsiaTheme="minorEastAsia"/>
          <w:color w:val="000000"/>
          <w:szCs w:val="21"/>
        </w:rPr>
        <w:t>11.1</w:t>
      </w:r>
      <w:r>
        <w:rPr>
          <w:rFonts w:hint="eastAsia" w:asciiTheme="minorEastAsia" w:hAnsiTheme="minorEastAsia" w:eastAsiaTheme="minorEastAsia"/>
          <w:color w:val="000000"/>
          <w:szCs w:val="21"/>
        </w:rPr>
        <w:t>款〔市场价格波动引起的调整〕约定以外的增加时，由发包人承担由此增加的费用；减少时，应从合同价格中予以扣减。基准日期后，因法律变化造成工期延误时，工期应予以顺延。</w:t>
      </w:r>
    </w:p>
    <w:p w14:paraId="7A6287F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因法律变化引起的合同价格和工期调整，合同当事人无法达成一致的，由总监理工程师按第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款〔商定或确定〕的约定处理。</w:t>
      </w:r>
    </w:p>
    <w:p w14:paraId="1BDF1AA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因承包人原因造成工期延误，在工期延误期间出现法律变化的，由此增加的费用和（或）延误的工期由承包人承担。</w:t>
      </w:r>
    </w:p>
    <w:p w14:paraId="35D8BCC2">
      <w:pPr>
        <w:adjustRightInd w:val="0"/>
        <w:snapToGrid w:val="0"/>
        <w:spacing w:line="360" w:lineRule="auto"/>
        <w:outlineLvl w:val="2"/>
        <w:rPr>
          <w:rFonts w:asciiTheme="minorEastAsia" w:hAnsiTheme="minorEastAsia" w:eastAsiaTheme="minorEastAsia"/>
          <w:b/>
          <w:szCs w:val="21"/>
        </w:rPr>
      </w:pPr>
      <w:bookmarkStart w:id="191" w:name="_Toc4691"/>
      <w:r>
        <w:rPr>
          <w:rFonts w:hint="eastAsia" w:asciiTheme="minorEastAsia" w:hAnsiTheme="minorEastAsia" w:eastAsiaTheme="minorEastAsia"/>
          <w:b/>
          <w:szCs w:val="21"/>
        </w:rPr>
        <w:t>12. 合同价格、计量与支付</w:t>
      </w:r>
      <w:bookmarkEnd w:id="191"/>
    </w:p>
    <w:p w14:paraId="262CF240">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12.1 </w:t>
      </w:r>
      <w:r>
        <w:rPr>
          <w:rFonts w:hint="eastAsia" w:asciiTheme="minorEastAsia" w:hAnsiTheme="minorEastAsia" w:eastAsiaTheme="minorEastAsia"/>
          <w:b w:val="0"/>
          <w:color w:val="000000"/>
          <w:sz w:val="21"/>
          <w:szCs w:val="21"/>
        </w:rPr>
        <w:t>合同价格形式</w:t>
      </w:r>
    </w:p>
    <w:p w14:paraId="6F4FE4E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发包人和承包人应在合同协议书中选择下列一种合同价格形式：</w:t>
      </w:r>
      <w:r>
        <w:rPr>
          <w:rFonts w:asciiTheme="minorEastAsia" w:hAnsiTheme="minorEastAsia" w:eastAsiaTheme="minorEastAsia"/>
          <w:color w:val="000000"/>
          <w:szCs w:val="21"/>
        </w:rPr>
        <w:t xml:space="preserve"> </w:t>
      </w:r>
    </w:p>
    <w:p w14:paraId="6080980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单价合同</w:t>
      </w:r>
    </w:p>
    <w:p w14:paraId="5EDACFD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单价合同是指合同当事人约定以工程量清单及其综合单价进行合同价格计算、调整和确认的建设工程施工合同，</w:t>
      </w:r>
      <w:r>
        <w:rPr>
          <w:rFonts w:hint="eastAsia" w:asciiTheme="minorEastAsia" w:hAnsiTheme="minorEastAsia" w:eastAsiaTheme="minorEastAsia"/>
          <w:szCs w:val="21"/>
        </w:rPr>
        <w:t>在约定的范围内合同单价不作调整</w:t>
      </w:r>
      <w:r>
        <w:rPr>
          <w:rFonts w:hint="eastAsia" w:asciiTheme="minorEastAsia" w:hAnsiTheme="minorEastAsia" w:eastAsiaTheme="minorEastAsia"/>
          <w:color w:val="000000"/>
          <w:szCs w:val="21"/>
        </w:rPr>
        <w:t>。合同当事人应在专用合同条款中约定综合单价包含的风险范围和风险费用的计算方法</w:t>
      </w:r>
      <w:r>
        <w:rPr>
          <w:rFonts w:hint="eastAsia" w:asciiTheme="minorEastAsia" w:hAnsiTheme="minorEastAsia" w:eastAsiaTheme="minorEastAsia"/>
          <w:szCs w:val="21"/>
        </w:rPr>
        <w:t>，</w:t>
      </w:r>
      <w:r>
        <w:rPr>
          <w:rFonts w:hint="eastAsia" w:asciiTheme="minorEastAsia" w:hAnsiTheme="minorEastAsia" w:eastAsiaTheme="minorEastAsia"/>
          <w:color w:val="000000"/>
          <w:szCs w:val="21"/>
        </w:rPr>
        <w:t>并约定风险范围以外的合同价格的调整方法，其中因市场价格波动引起的调整按第</w:t>
      </w:r>
      <w:r>
        <w:rPr>
          <w:rFonts w:asciiTheme="minorEastAsia" w:hAnsiTheme="minorEastAsia" w:eastAsiaTheme="minorEastAsia"/>
          <w:color w:val="000000"/>
          <w:szCs w:val="21"/>
        </w:rPr>
        <w:t>11.1</w:t>
      </w:r>
      <w:r>
        <w:rPr>
          <w:rFonts w:hint="eastAsia" w:asciiTheme="minorEastAsia" w:hAnsiTheme="minorEastAsia" w:eastAsiaTheme="minorEastAsia"/>
          <w:color w:val="000000"/>
          <w:szCs w:val="21"/>
        </w:rPr>
        <w:t>款〔市场价格波动引起的调整〕约定执行。</w:t>
      </w:r>
    </w:p>
    <w:p w14:paraId="619265D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总价合同</w:t>
      </w:r>
    </w:p>
    <w:p w14:paraId="309FF95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总价合同是指合同当事人约定以施工图、已标价工程量清单或预算书及有关条件进行合同价格计算、调整和确认的建设工程施工合同，</w:t>
      </w:r>
      <w:r>
        <w:rPr>
          <w:rFonts w:hint="eastAsia" w:asciiTheme="minorEastAsia" w:hAnsiTheme="minorEastAsia" w:eastAsiaTheme="minorEastAsia"/>
          <w:szCs w:val="21"/>
        </w:rPr>
        <w:t>在约定的范围内合同总价不作调整</w:t>
      </w:r>
      <w:r>
        <w:rPr>
          <w:rFonts w:hint="eastAsia" w:asciiTheme="minorEastAsia" w:hAnsiTheme="minorEastAsia" w:eastAsiaTheme="minorEastAsia"/>
          <w:color w:val="000000"/>
          <w:szCs w:val="21"/>
        </w:rPr>
        <w:t>。合同当事人应在专用合同条款中约定总价包含的风险范围和风险费用的计算方法，并约定风险范围以外的合同价格的调整方法，其中因市场价格波动引起的调整按第</w:t>
      </w:r>
      <w:r>
        <w:rPr>
          <w:rFonts w:asciiTheme="minorEastAsia" w:hAnsiTheme="minorEastAsia" w:eastAsiaTheme="minorEastAsia"/>
          <w:color w:val="000000"/>
          <w:szCs w:val="21"/>
        </w:rPr>
        <w:t>11.1</w:t>
      </w:r>
      <w:r>
        <w:rPr>
          <w:rFonts w:hint="eastAsia" w:asciiTheme="minorEastAsia" w:hAnsiTheme="minorEastAsia" w:eastAsiaTheme="minorEastAsia"/>
          <w:color w:val="000000"/>
          <w:szCs w:val="21"/>
        </w:rPr>
        <w:t>款〔市场价格波动引起的调整〕、因法律变化引起的调整按第</w:t>
      </w:r>
      <w:r>
        <w:rPr>
          <w:rFonts w:asciiTheme="minorEastAsia" w:hAnsiTheme="minorEastAsia" w:eastAsiaTheme="minorEastAsia"/>
          <w:color w:val="000000"/>
          <w:szCs w:val="21"/>
        </w:rPr>
        <w:t>11.2</w:t>
      </w:r>
      <w:r>
        <w:rPr>
          <w:rFonts w:hint="eastAsia" w:asciiTheme="minorEastAsia" w:hAnsiTheme="minorEastAsia" w:eastAsiaTheme="minorEastAsia"/>
          <w:color w:val="000000"/>
          <w:szCs w:val="21"/>
        </w:rPr>
        <w:t>款〔法律变化引起的调整〕约定执行。</w:t>
      </w:r>
    </w:p>
    <w:p w14:paraId="0BFB648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其它价格形式</w:t>
      </w:r>
    </w:p>
    <w:p w14:paraId="61A481F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合同当事人可在专用合同条款中约定其他合同价格形式。</w:t>
      </w:r>
    </w:p>
    <w:p w14:paraId="10846CBE">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12.2</w:t>
      </w:r>
      <w:r>
        <w:rPr>
          <w:rFonts w:hint="eastAsia" w:asciiTheme="minorEastAsia" w:hAnsiTheme="minorEastAsia" w:eastAsiaTheme="minorEastAsia"/>
          <w:b w:val="0"/>
          <w:color w:val="000000"/>
          <w:sz w:val="21"/>
          <w:szCs w:val="21"/>
        </w:rPr>
        <w:t>预付款</w:t>
      </w:r>
    </w:p>
    <w:p w14:paraId="57CA96CA">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12.2.1</w:t>
      </w:r>
      <w:r>
        <w:rPr>
          <w:rFonts w:hint="eastAsia" w:asciiTheme="minorEastAsia" w:hAnsiTheme="minorEastAsia" w:eastAsiaTheme="minorEastAsia"/>
          <w:color w:val="000000"/>
          <w:szCs w:val="21"/>
        </w:rPr>
        <w:t>预付款的支付</w:t>
      </w:r>
    </w:p>
    <w:p w14:paraId="2F850FC7">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预付款的支付按照专用合同条款约定执行，但至迟应在开工通知载明的开工日期</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天前支付。预付款应当用于材料、工程设备、施工设备的采购及修建临时工程、组织施工队伍进场等。</w:t>
      </w:r>
    </w:p>
    <w:p w14:paraId="4F4DD81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除专用合同条款另有约定外，预付款在进度付款中同比例扣回。</w:t>
      </w:r>
      <w:bookmarkEnd w:id="190"/>
      <w:r>
        <w:rPr>
          <w:rFonts w:hint="eastAsia" w:asciiTheme="minorEastAsia" w:hAnsiTheme="minorEastAsia" w:eastAsiaTheme="minorEastAsia"/>
          <w:color w:val="000000"/>
          <w:szCs w:val="21"/>
        </w:rPr>
        <w:t>在颁发工程接收证书前，提前解除合同的，尚未扣完的预付款应与合同价款一并结算。</w:t>
      </w:r>
    </w:p>
    <w:p w14:paraId="0A2BC71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发包人逾期支付预付款超过</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天的，承包人有权向发包人发出要求预付的催告通知，发包人收到通知后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天内仍未支付的，承包人有权暂停施工，并按第</w:t>
      </w:r>
      <w:r>
        <w:rPr>
          <w:rFonts w:asciiTheme="minorEastAsia" w:hAnsiTheme="minorEastAsia" w:eastAsiaTheme="minorEastAsia"/>
          <w:color w:val="000000"/>
          <w:szCs w:val="21"/>
        </w:rPr>
        <w:t>16.1.1</w:t>
      </w:r>
      <w:r>
        <w:rPr>
          <w:rFonts w:hint="eastAsia" w:asciiTheme="minorEastAsia" w:hAnsiTheme="minorEastAsia" w:eastAsiaTheme="minorEastAsia"/>
          <w:color w:val="000000"/>
          <w:szCs w:val="21"/>
        </w:rPr>
        <w:t>项〔发包人违约的情形〕执行。</w:t>
      </w:r>
    </w:p>
    <w:p w14:paraId="04F7AE2C">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12.2.2 </w:t>
      </w:r>
      <w:r>
        <w:rPr>
          <w:rFonts w:hint="eastAsia" w:asciiTheme="minorEastAsia" w:hAnsiTheme="minorEastAsia" w:eastAsiaTheme="minorEastAsia"/>
          <w:color w:val="000000"/>
          <w:szCs w:val="21"/>
        </w:rPr>
        <w:t>预付款担保</w:t>
      </w:r>
    </w:p>
    <w:p w14:paraId="582A8C9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发包人要求承包人提供预付款担保的，承包人应在发包人支付预付款</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天前提供预付款担保，专用合同条款另有约定除外。预付款担保可采用银行保函、担保公司担保等形式，具体由合同当事人在专用合同条款中约定。在预付款完全扣回之前，承包人应保证预付款担保持续有效。</w:t>
      </w:r>
    </w:p>
    <w:p w14:paraId="7EE7B7E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发包人在工程款中逐期扣回预付款后，预付款担保额度应相应减少，但剩余的预付款担保金额不得低于未被扣回的预付款金额。</w:t>
      </w:r>
    </w:p>
    <w:p w14:paraId="0A076C58">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12.3</w:t>
      </w:r>
      <w:r>
        <w:rPr>
          <w:rFonts w:hint="eastAsia" w:asciiTheme="minorEastAsia" w:hAnsiTheme="minorEastAsia" w:eastAsiaTheme="minorEastAsia"/>
          <w:b w:val="0"/>
          <w:color w:val="000000"/>
          <w:sz w:val="21"/>
          <w:szCs w:val="21"/>
        </w:rPr>
        <w:t>计量</w:t>
      </w:r>
    </w:p>
    <w:p w14:paraId="34C0A6B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12.3.1 </w:t>
      </w:r>
      <w:r>
        <w:rPr>
          <w:rFonts w:hint="eastAsia" w:asciiTheme="minorEastAsia" w:hAnsiTheme="minorEastAsia" w:eastAsiaTheme="minorEastAsia"/>
          <w:color w:val="000000"/>
          <w:szCs w:val="21"/>
        </w:rPr>
        <w:t>计量原则</w:t>
      </w:r>
    </w:p>
    <w:p w14:paraId="2264F0A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工程量计量按照合同约定的工程量计算规则、图纸及变更指示等进行计量。工程量计算规则应以相关的国家标准、行业标准等为依据，由合同当事人在专用合同条款中约定。</w:t>
      </w:r>
    </w:p>
    <w:p w14:paraId="5EA571BC">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12.3.2 </w:t>
      </w:r>
      <w:r>
        <w:rPr>
          <w:rFonts w:hint="eastAsia" w:asciiTheme="minorEastAsia" w:hAnsiTheme="minorEastAsia" w:eastAsiaTheme="minorEastAsia"/>
          <w:color w:val="000000"/>
          <w:szCs w:val="21"/>
        </w:rPr>
        <w:t>计量周期</w:t>
      </w:r>
    </w:p>
    <w:p w14:paraId="2967B70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除专用合同条款另有约定外，工程量的计量按月进行。</w:t>
      </w:r>
    </w:p>
    <w:p w14:paraId="6D37369A">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12.3.3 </w:t>
      </w:r>
      <w:r>
        <w:rPr>
          <w:rFonts w:hint="eastAsia" w:asciiTheme="minorEastAsia" w:hAnsiTheme="minorEastAsia" w:eastAsiaTheme="minorEastAsia"/>
          <w:color w:val="000000"/>
          <w:szCs w:val="21"/>
        </w:rPr>
        <w:t>单价合同的计量</w:t>
      </w:r>
    </w:p>
    <w:p w14:paraId="66A2707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除专用合同条款另有约定外，单价合同的计量按照本项约定执行：</w:t>
      </w:r>
    </w:p>
    <w:p w14:paraId="7D39CD2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）承包人应于每月</w:t>
      </w:r>
      <w:r>
        <w:rPr>
          <w:rFonts w:asciiTheme="minorEastAsia" w:hAnsiTheme="minorEastAsia" w:eastAsiaTheme="minorEastAsia"/>
          <w:color w:val="000000"/>
          <w:szCs w:val="21"/>
        </w:rPr>
        <w:t>25</w:t>
      </w:r>
      <w:r>
        <w:rPr>
          <w:rFonts w:hint="eastAsia" w:asciiTheme="minorEastAsia" w:hAnsiTheme="minorEastAsia" w:eastAsiaTheme="minorEastAsia"/>
          <w:color w:val="000000"/>
          <w:szCs w:val="21"/>
        </w:rPr>
        <w:t>日向监理人报送上月</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日至当月</w:t>
      </w:r>
      <w:r>
        <w:rPr>
          <w:rFonts w:asciiTheme="minorEastAsia" w:hAnsiTheme="minorEastAsia" w:eastAsiaTheme="minorEastAsia"/>
          <w:color w:val="000000"/>
          <w:szCs w:val="21"/>
        </w:rPr>
        <w:t>19</w:t>
      </w:r>
      <w:r>
        <w:rPr>
          <w:rFonts w:hint="eastAsia" w:asciiTheme="minorEastAsia" w:hAnsiTheme="minorEastAsia" w:eastAsiaTheme="minorEastAsia"/>
          <w:color w:val="000000"/>
          <w:szCs w:val="21"/>
        </w:rPr>
        <w:t>日已完成的工程量报告，并附具进度付款申请单、已完成工程量报表和有关资料。</w:t>
      </w:r>
    </w:p>
    <w:p w14:paraId="1D1AC81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）监理人应在收到承包人提交的工程量报告后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E91C50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）监理人未在收到承包人提交的工程量报表后的</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天内完成审核的，承包人报送的工程量报告中的工程量视为承包人实际完成的工程量，据此计算工程价款。</w:t>
      </w:r>
    </w:p>
    <w:p w14:paraId="20AA9228">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12.3.4 </w:t>
      </w:r>
      <w:r>
        <w:rPr>
          <w:rFonts w:hint="eastAsia" w:asciiTheme="minorEastAsia" w:hAnsiTheme="minorEastAsia" w:eastAsiaTheme="minorEastAsia"/>
          <w:color w:val="000000"/>
          <w:szCs w:val="21"/>
        </w:rPr>
        <w:t>总价合同的计量</w:t>
      </w:r>
    </w:p>
    <w:p w14:paraId="5390F0C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除专用合同条款另有约定外，按月计量支付的总价合同，按照本项约定执行：</w:t>
      </w:r>
    </w:p>
    <w:p w14:paraId="770D2D0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）承包人应于每月</w:t>
      </w:r>
      <w:r>
        <w:rPr>
          <w:rFonts w:asciiTheme="minorEastAsia" w:hAnsiTheme="minorEastAsia" w:eastAsiaTheme="minorEastAsia"/>
          <w:color w:val="000000"/>
          <w:szCs w:val="21"/>
        </w:rPr>
        <w:t>25</w:t>
      </w:r>
      <w:r>
        <w:rPr>
          <w:rFonts w:hint="eastAsia" w:asciiTheme="minorEastAsia" w:hAnsiTheme="minorEastAsia" w:eastAsiaTheme="minorEastAsia"/>
          <w:color w:val="000000"/>
          <w:szCs w:val="21"/>
        </w:rPr>
        <w:t>日向监理人报送上月</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日至当月</w:t>
      </w:r>
      <w:r>
        <w:rPr>
          <w:rFonts w:asciiTheme="minorEastAsia" w:hAnsiTheme="minorEastAsia" w:eastAsiaTheme="minorEastAsia"/>
          <w:color w:val="000000"/>
          <w:szCs w:val="21"/>
        </w:rPr>
        <w:t>19</w:t>
      </w:r>
      <w:r>
        <w:rPr>
          <w:rFonts w:hint="eastAsia" w:asciiTheme="minorEastAsia" w:hAnsiTheme="minorEastAsia" w:eastAsiaTheme="minorEastAsia"/>
          <w:color w:val="000000"/>
          <w:szCs w:val="21"/>
        </w:rPr>
        <w:t>日已完成的工程量报告，并附具进度付款申请单、已完成工程量报表和有关资料。</w:t>
      </w:r>
    </w:p>
    <w:p w14:paraId="05CC85A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）监理人应在收到承包人提交的工程量报告后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F166E2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）监理人未在收到承包人提交的工程量报表后的</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天内完成复核的，承包人提交的工程量报告中的工程量视为承包人实际完成的工程量。</w:t>
      </w:r>
    </w:p>
    <w:p w14:paraId="7E7D92C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12.3.5 </w:t>
      </w:r>
      <w:r>
        <w:rPr>
          <w:rFonts w:hint="eastAsia" w:asciiTheme="minorEastAsia" w:hAnsiTheme="minorEastAsia" w:eastAsiaTheme="minorEastAsia"/>
          <w:color w:val="000000"/>
          <w:szCs w:val="21"/>
        </w:rPr>
        <w:t>总价合同采用支付分解表计量支付的，可以按照第</w:t>
      </w:r>
      <w:r>
        <w:rPr>
          <w:rFonts w:asciiTheme="minorEastAsia" w:hAnsiTheme="minorEastAsia" w:eastAsiaTheme="minorEastAsia"/>
          <w:color w:val="000000"/>
          <w:szCs w:val="21"/>
        </w:rPr>
        <w:t>12.3.4</w:t>
      </w:r>
      <w:r>
        <w:rPr>
          <w:rFonts w:hint="eastAsia" w:asciiTheme="minorEastAsia" w:hAnsiTheme="minorEastAsia" w:eastAsiaTheme="minorEastAsia"/>
          <w:color w:val="000000"/>
          <w:szCs w:val="21"/>
        </w:rPr>
        <w:t>项〔总价合同的计量〕约定进行计量，但合同价款按照支付分解表进行支付。</w:t>
      </w:r>
    </w:p>
    <w:p w14:paraId="4796EA8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12.3.6 </w:t>
      </w:r>
      <w:r>
        <w:rPr>
          <w:rFonts w:hint="eastAsia" w:asciiTheme="minorEastAsia" w:hAnsiTheme="minorEastAsia" w:eastAsiaTheme="minorEastAsia"/>
          <w:color w:val="000000"/>
          <w:szCs w:val="21"/>
        </w:rPr>
        <w:t>其他价格形式合同的计量</w:t>
      </w:r>
    </w:p>
    <w:p w14:paraId="7B4A4D6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合同当事人可在专用合同条款中约定其他价格形式合同的计量方式和程序。</w:t>
      </w:r>
    </w:p>
    <w:p w14:paraId="4D2DCEE0">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12.4</w:t>
      </w:r>
      <w:r>
        <w:rPr>
          <w:rFonts w:hint="eastAsia" w:asciiTheme="minorEastAsia" w:hAnsiTheme="minorEastAsia" w:eastAsiaTheme="minorEastAsia"/>
          <w:b w:val="0"/>
          <w:color w:val="000000"/>
          <w:sz w:val="21"/>
          <w:szCs w:val="21"/>
        </w:rPr>
        <w:t>工程进度款支付</w:t>
      </w:r>
    </w:p>
    <w:p w14:paraId="03AA734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12.4.1 </w:t>
      </w:r>
      <w:r>
        <w:rPr>
          <w:rFonts w:hint="eastAsia" w:asciiTheme="minorEastAsia" w:hAnsiTheme="minorEastAsia" w:eastAsiaTheme="minorEastAsia"/>
          <w:color w:val="000000"/>
          <w:szCs w:val="21"/>
        </w:rPr>
        <w:t>付款周期</w:t>
      </w:r>
    </w:p>
    <w:p w14:paraId="10EAC69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除专用合同条款另有约定外，付款周期应按照第</w:t>
      </w:r>
      <w:r>
        <w:rPr>
          <w:rFonts w:asciiTheme="minorEastAsia" w:hAnsiTheme="minorEastAsia" w:eastAsiaTheme="minorEastAsia"/>
          <w:color w:val="000000"/>
          <w:szCs w:val="21"/>
        </w:rPr>
        <w:t>12.3.2</w:t>
      </w:r>
      <w:r>
        <w:rPr>
          <w:rFonts w:hint="eastAsia" w:asciiTheme="minorEastAsia" w:hAnsiTheme="minorEastAsia" w:eastAsiaTheme="minorEastAsia"/>
          <w:color w:val="000000"/>
          <w:szCs w:val="21"/>
        </w:rPr>
        <w:t>项〔计量周期〕的约定与计量周期保持一致。</w:t>
      </w:r>
    </w:p>
    <w:p w14:paraId="4EF65D4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12.4.2 </w:t>
      </w:r>
      <w:r>
        <w:rPr>
          <w:rFonts w:hint="eastAsia" w:asciiTheme="minorEastAsia" w:hAnsiTheme="minorEastAsia" w:eastAsiaTheme="minorEastAsia"/>
          <w:color w:val="000000"/>
          <w:szCs w:val="21"/>
        </w:rPr>
        <w:t>进度付款申请单的编制</w:t>
      </w:r>
    </w:p>
    <w:p w14:paraId="4566709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除专用合同条款另有约定外，进度付款申请单应包括下列内容：</w:t>
      </w:r>
    </w:p>
    <w:p w14:paraId="4F17430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）截至本次付款周期已完成工作对应的金额；</w:t>
      </w:r>
    </w:p>
    <w:p w14:paraId="34BA69D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）根据第</w:t>
      </w: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条〔变更〕应增加和扣减的变更金额；</w:t>
      </w:r>
    </w:p>
    <w:p w14:paraId="3CE2762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）根据第</w:t>
      </w:r>
      <w:r>
        <w:rPr>
          <w:rFonts w:asciiTheme="minorEastAsia" w:hAnsiTheme="minorEastAsia" w:eastAsiaTheme="minorEastAsia"/>
          <w:color w:val="000000"/>
          <w:szCs w:val="21"/>
        </w:rPr>
        <w:t>12.2</w:t>
      </w:r>
      <w:r>
        <w:rPr>
          <w:rFonts w:hint="eastAsia" w:asciiTheme="minorEastAsia" w:hAnsiTheme="minorEastAsia" w:eastAsiaTheme="minorEastAsia"/>
          <w:color w:val="000000"/>
          <w:szCs w:val="21"/>
        </w:rPr>
        <w:t>款〔预付款〕约定应支付的预付款和扣减的返还预付款；</w:t>
      </w:r>
    </w:p>
    <w:p w14:paraId="0BA484A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）根据第</w:t>
      </w:r>
      <w:r>
        <w:rPr>
          <w:rFonts w:asciiTheme="minorEastAsia" w:hAnsiTheme="minorEastAsia" w:eastAsiaTheme="minorEastAsia"/>
          <w:color w:val="000000"/>
          <w:szCs w:val="21"/>
        </w:rPr>
        <w:t>15.3</w:t>
      </w:r>
      <w:r>
        <w:rPr>
          <w:rFonts w:hint="eastAsia" w:asciiTheme="minorEastAsia" w:hAnsiTheme="minorEastAsia" w:eastAsiaTheme="minorEastAsia"/>
          <w:color w:val="000000"/>
          <w:szCs w:val="21"/>
        </w:rPr>
        <w:t>款〔质量保证金〕约定应扣减的质量保证金；</w:t>
      </w:r>
    </w:p>
    <w:p w14:paraId="3D38032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）根据第</w:t>
      </w:r>
      <w:r>
        <w:rPr>
          <w:rFonts w:asciiTheme="minorEastAsia" w:hAnsiTheme="minorEastAsia" w:eastAsiaTheme="minorEastAsia"/>
          <w:color w:val="000000"/>
          <w:szCs w:val="21"/>
        </w:rPr>
        <w:t>19</w:t>
      </w:r>
      <w:r>
        <w:rPr>
          <w:rFonts w:hint="eastAsia" w:asciiTheme="minorEastAsia" w:hAnsiTheme="minorEastAsia" w:eastAsiaTheme="minorEastAsia"/>
          <w:color w:val="000000"/>
          <w:szCs w:val="21"/>
        </w:rPr>
        <w:t>条〔索赔〕应增加和扣减的索赔金额；</w:t>
      </w:r>
    </w:p>
    <w:p w14:paraId="7E252E3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）对已签发的进度款支付证书中出现错误的修正，应在本次进度付款中支付或扣除的金额；</w:t>
      </w:r>
    </w:p>
    <w:p w14:paraId="7533551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）根据合同约定应增加和扣减的其他金额。</w:t>
      </w:r>
    </w:p>
    <w:p w14:paraId="14DAB7F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12.4.3 </w:t>
      </w:r>
      <w:r>
        <w:rPr>
          <w:rFonts w:hint="eastAsia" w:asciiTheme="minorEastAsia" w:hAnsiTheme="minorEastAsia" w:eastAsiaTheme="minorEastAsia"/>
          <w:color w:val="000000"/>
          <w:szCs w:val="21"/>
        </w:rPr>
        <w:t>进度付款申请单的提交</w:t>
      </w:r>
    </w:p>
    <w:p w14:paraId="79DF9D3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）单价合同进度付款申请单的提交</w:t>
      </w:r>
    </w:p>
    <w:p w14:paraId="2877C6B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单价合同的进度付款申请单，按照第</w:t>
      </w:r>
      <w:r>
        <w:rPr>
          <w:rFonts w:asciiTheme="minorEastAsia" w:hAnsiTheme="minorEastAsia" w:eastAsiaTheme="minorEastAsia"/>
          <w:color w:val="000000"/>
          <w:szCs w:val="21"/>
        </w:rPr>
        <w:t>12.3.3</w:t>
      </w:r>
      <w:r>
        <w:rPr>
          <w:rFonts w:hint="eastAsia" w:asciiTheme="minorEastAsia" w:hAnsiTheme="minorEastAsia" w:eastAsiaTheme="minorEastAsia"/>
          <w:color w:val="000000"/>
          <w:szCs w:val="21"/>
        </w:rPr>
        <w:t>项〔单价合同的计量〕约定的时间按月向监理人提交，并附上已完成工程量报表和有关资料。单价合同中的总价项目按月进行支付分解，并汇总列入当期进度付款申请单。</w:t>
      </w:r>
    </w:p>
    <w:p w14:paraId="4EE43C9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）总价合同进度付款申请单的提交</w:t>
      </w:r>
    </w:p>
    <w:p w14:paraId="153E2A7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总价合同按月计量支付的，承包人按照第</w:t>
      </w:r>
      <w:r>
        <w:rPr>
          <w:rFonts w:asciiTheme="minorEastAsia" w:hAnsiTheme="minorEastAsia" w:eastAsiaTheme="minorEastAsia"/>
          <w:color w:val="000000"/>
          <w:szCs w:val="21"/>
        </w:rPr>
        <w:t>12.3.4</w:t>
      </w:r>
      <w:r>
        <w:rPr>
          <w:rFonts w:hint="eastAsia" w:asciiTheme="minorEastAsia" w:hAnsiTheme="minorEastAsia" w:eastAsiaTheme="minorEastAsia"/>
          <w:color w:val="000000"/>
          <w:szCs w:val="21"/>
        </w:rPr>
        <w:t>项〔总价合同的计量〕约定的时间按月向监理人提交进度付款申请单，并附上已完成工程量报表和有关资料。</w:t>
      </w:r>
    </w:p>
    <w:p w14:paraId="7BFC9AB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总价合同按支付分解表支付的，承包人应按照第</w:t>
      </w:r>
      <w:r>
        <w:rPr>
          <w:rFonts w:asciiTheme="minorEastAsia" w:hAnsiTheme="minorEastAsia" w:eastAsiaTheme="minorEastAsia"/>
          <w:color w:val="000000"/>
          <w:szCs w:val="21"/>
        </w:rPr>
        <w:t>12.4.6</w:t>
      </w:r>
      <w:r>
        <w:rPr>
          <w:rFonts w:hint="eastAsia" w:asciiTheme="minorEastAsia" w:hAnsiTheme="minorEastAsia" w:eastAsiaTheme="minorEastAsia"/>
          <w:color w:val="000000"/>
          <w:szCs w:val="21"/>
        </w:rPr>
        <w:t>项〔支付分解表〕及第</w:t>
      </w:r>
      <w:r>
        <w:rPr>
          <w:rFonts w:asciiTheme="minorEastAsia" w:hAnsiTheme="minorEastAsia" w:eastAsiaTheme="minorEastAsia"/>
          <w:color w:val="000000"/>
          <w:szCs w:val="21"/>
        </w:rPr>
        <w:t>12.4.2</w:t>
      </w:r>
      <w:r>
        <w:rPr>
          <w:rFonts w:hint="eastAsia" w:asciiTheme="minorEastAsia" w:hAnsiTheme="minorEastAsia" w:eastAsiaTheme="minorEastAsia"/>
          <w:color w:val="000000"/>
          <w:szCs w:val="21"/>
        </w:rPr>
        <w:t>项〔进度付款申请单的编制〕的约定向监理人提交进度付款申请单。</w:t>
      </w:r>
    </w:p>
    <w:p w14:paraId="50008F7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）其他价格形式合同的进度付款申请单的提交</w:t>
      </w:r>
    </w:p>
    <w:p w14:paraId="22F4EE7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合同当事人可在专用合同条款中约定其他价格形式合同的进度付款申请单的编制和提交程序。</w:t>
      </w:r>
    </w:p>
    <w:p w14:paraId="136C944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12.4.4 </w:t>
      </w:r>
      <w:r>
        <w:rPr>
          <w:rFonts w:hint="eastAsia" w:asciiTheme="minorEastAsia" w:hAnsiTheme="minorEastAsia" w:eastAsiaTheme="minorEastAsia"/>
          <w:color w:val="000000"/>
          <w:szCs w:val="21"/>
        </w:rPr>
        <w:t>进度款审核和支付</w:t>
      </w:r>
    </w:p>
    <w:p w14:paraId="4730BBB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）除专用合同条款另有约定外，监理人应在收到承包人进度付款申请单以及相关资料后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天内完成审查并报送发包人，发包人应在收到后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天内完成审批并签发进度款支付证书。发包人逾期未完成审批且未提出异议的，视为已签发进度款支付证书。</w:t>
      </w:r>
    </w:p>
    <w:p w14:paraId="3BA12D7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天内完成审查并报送发包人，发包人应在收到监理人报送的进度付款申请单及相关资料后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天内，向承包人签发无异议部分的临时进度款支付证书。存在争议的部分，按照第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条〔争议解决〕的约定处理。</w:t>
      </w:r>
    </w:p>
    <w:p w14:paraId="38E6F8B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）除专用合同条款另有约定外，发包人应在进度款支付证书或临时进度款支付证书签发后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天内完成支付，发包人逾期支付进度款的，应按照中国人民银行发布的同期同类贷款基准利率支付违约金。</w:t>
      </w:r>
    </w:p>
    <w:p w14:paraId="2DC9AF2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）发包人签发进度款支付证书或临时进度款支付证书，不表明发包人已同意、批准或接受了承包人完成的相应部分的工作。</w:t>
      </w:r>
    </w:p>
    <w:p w14:paraId="1C0556B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12.4.5 </w:t>
      </w:r>
      <w:r>
        <w:rPr>
          <w:rFonts w:hint="eastAsia" w:asciiTheme="minorEastAsia" w:hAnsiTheme="minorEastAsia" w:eastAsiaTheme="minorEastAsia"/>
          <w:color w:val="000000"/>
          <w:szCs w:val="21"/>
        </w:rPr>
        <w:t>进度付款的修正</w:t>
      </w:r>
    </w:p>
    <w:p w14:paraId="1C1E724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在对已签发的进度款支付证书进行阶段汇总和复核中发现错误、遗漏或重复的，发包人和承包人均有权提出修正申请。经发包人和承包人同意的修正，应在下期进度付款中支付或扣除。</w:t>
      </w:r>
    </w:p>
    <w:p w14:paraId="3024A27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12.4.6 </w:t>
      </w:r>
      <w:r>
        <w:rPr>
          <w:rFonts w:hint="eastAsia" w:asciiTheme="minorEastAsia" w:hAnsiTheme="minorEastAsia" w:eastAsiaTheme="minorEastAsia"/>
          <w:color w:val="000000"/>
          <w:szCs w:val="21"/>
        </w:rPr>
        <w:t>支付分解表</w:t>
      </w:r>
    </w:p>
    <w:p w14:paraId="4C7498D0">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支付分解表的编制要求</w:t>
      </w:r>
    </w:p>
    <w:p w14:paraId="2C7586B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）支付分解表中所列的每期付款金额，应为第</w:t>
      </w:r>
      <w:r>
        <w:rPr>
          <w:rFonts w:asciiTheme="minorEastAsia" w:hAnsiTheme="minorEastAsia" w:eastAsiaTheme="minorEastAsia"/>
          <w:color w:val="000000"/>
          <w:szCs w:val="21"/>
        </w:rPr>
        <w:t>12.4.2</w:t>
      </w:r>
      <w:r>
        <w:rPr>
          <w:rFonts w:hint="eastAsia" w:asciiTheme="minorEastAsia" w:hAnsiTheme="minorEastAsia" w:eastAsiaTheme="minorEastAsia"/>
          <w:color w:val="000000"/>
          <w:szCs w:val="21"/>
        </w:rPr>
        <w:t>项〔进度付款申请单的编制〕第（</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）目的估算金额；</w:t>
      </w:r>
    </w:p>
    <w:p w14:paraId="74B32F9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）实际进度与施工进度计划不一致的，合同当事人可按照第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款〔商定或确定〕修改支付分解表；</w:t>
      </w:r>
    </w:p>
    <w:p w14:paraId="44E8A28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）不采用支付分解表的，承包人应向发包人和监理人提交按季度编制的支付估算分解表，用于支付参考。</w:t>
      </w:r>
    </w:p>
    <w:p w14:paraId="72AC85D7">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总价合同支付分解表的编制与审批</w:t>
      </w:r>
    </w:p>
    <w:p w14:paraId="4AE8A108">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）除专用合同条款另有约定外，承包人应根据第</w:t>
      </w:r>
      <w:r>
        <w:rPr>
          <w:rFonts w:asciiTheme="minorEastAsia" w:hAnsiTheme="minorEastAsia" w:eastAsiaTheme="minorEastAsia"/>
          <w:color w:val="000000"/>
          <w:szCs w:val="21"/>
        </w:rPr>
        <w:t>7.2</w:t>
      </w:r>
      <w:r>
        <w:rPr>
          <w:rFonts w:hint="eastAsia" w:asciiTheme="minorEastAsia" w:hAnsiTheme="minorEastAsia" w:eastAsiaTheme="minorEastAsia"/>
          <w:color w:val="000000"/>
          <w:szCs w:val="21"/>
        </w:rPr>
        <w:t>款〔施工进度计划〕约定的施工进度计划、签约合同价和工程量等因素对总价合同按月进行分解，编制支付分解表。承包人应当在收到监理人和发包人批准的施工进度计划后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天内，将支付分解表及编制支付分解表的支持性资料报送监理人。</w:t>
      </w:r>
    </w:p>
    <w:p w14:paraId="0FB67CA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）监理人应在收到支付分解表后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天内完成审核并报送发包人。发包人应在收到经监理人审核的支付分解表后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天内完成审批，经发包人批准的支付分解表为有约束力的支付分解表。</w:t>
      </w:r>
    </w:p>
    <w:p w14:paraId="08E77EF7">
      <w:pPr>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）发包人逾期未完成支付分解表审批的，也未及时要求承包人进行修正和提供补充资料的，则承包人提交的支付分解表视为已经获得发包人批准。</w:t>
      </w:r>
    </w:p>
    <w:p w14:paraId="4648374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单价合同的总价项目支付分解表的编制与审批</w:t>
      </w:r>
    </w:p>
    <w:p w14:paraId="0036CD6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13946F9">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12.5</w:t>
      </w:r>
      <w:r>
        <w:rPr>
          <w:rFonts w:hint="eastAsia" w:asciiTheme="minorEastAsia" w:hAnsiTheme="minorEastAsia" w:eastAsiaTheme="minorEastAsia"/>
          <w:b w:val="0"/>
          <w:color w:val="000000"/>
          <w:sz w:val="21"/>
          <w:szCs w:val="21"/>
        </w:rPr>
        <w:t>支付账户</w:t>
      </w:r>
    </w:p>
    <w:p w14:paraId="44959DF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发包人应将合同价款支付至合同协议书中约定的承包人账户。</w:t>
      </w:r>
    </w:p>
    <w:p w14:paraId="39D6CF7A">
      <w:pPr>
        <w:adjustRightInd w:val="0"/>
        <w:snapToGrid w:val="0"/>
        <w:spacing w:line="360" w:lineRule="auto"/>
        <w:outlineLvl w:val="2"/>
        <w:rPr>
          <w:rFonts w:asciiTheme="minorEastAsia" w:hAnsiTheme="minorEastAsia" w:eastAsiaTheme="minorEastAsia"/>
          <w:b/>
          <w:szCs w:val="21"/>
        </w:rPr>
      </w:pPr>
      <w:bookmarkStart w:id="192" w:name="_Toc12024"/>
      <w:r>
        <w:rPr>
          <w:rFonts w:hint="eastAsia" w:asciiTheme="minorEastAsia" w:hAnsiTheme="minorEastAsia" w:eastAsiaTheme="minorEastAsia"/>
          <w:b/>
          <w:szCs w:val="21"/>
        </w:rPr>
        <w:t>13. 验收和工程试车</w:t>
      </w:r>
      <w:bookmarkEnd w:id="192"/>
    </w:p>
    <w:p w14:paraId="1D036FDA">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13.1</w:t>
      </w:r>
      <w:r>
        <w:rPr>
          <w:rFonts w:hint="eastAsia" w:asciiTheme="minorEastAsia" w:hAnsiTheme="minorEastAsia" w:eastAsiaTheme="minorEastAsia"/>
          <w:b w:val="0"/>
          <w:color w:val="000000"/>
          <w:sz w:val="21"/>
          <w:szCs w:val="21"/>
        </w:rPr>
        <w:t>分部分项工程验收</w:t>
      </w:r>
    </w:p>
    <w:p w14:paraId="09C28D7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13.1.1 </w:t>
      </w:r>
      <w:r>
        <w:rPr>
          <w:rFonts w:hint="eastAsia" w:asciiTheme="minorEastAsia" w:hAnsiTheme="minorEastAsia" w:eastAsiaTheme="minorEastAsia"/>
          <w:color w:val="000000"/>
          <w:szCs w:val="21"/>
        </w:rPr>
        <w:t>分部分项工程质量应符合国家有关工程施工验收规范、标准及合同约定，承包人应按照施工组织设计的要求完成分部分项工程施工。</w:t>
      </w:r>
    </w:p>
    <w:p w14:paraId="053A3FEB">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13.1.2 </w:t>
      </w:r>
      <w:r>
        <w:rPr>
          <w:rFonts w:hint="eastAsia" w:asciiTheme="minorEastAsia" w:hAnsiTheme="minorEastAsia" w:eastAsiaTheme="minorEastAsia"/>
          <w:color w:val="000000"/>
          <w:szCs w:val="21"/>
        </w:rPr>
        <w:t>除专用合同条款另有约定外，分部分项工程经承包人自检合格并具备验收条件的，承包人应提前</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小时通知监理人进行验收。监理人不能按时进行验收的，应在验收前</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小时向承包人提交书面延期要求，但延期不能超过</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小时。监理人未按时进行验收，也未提出延期要求的，承包人有权自行验收，监理人应认可验收结果。分部分项工程未经验收的，不得进入下一道工序施工。</w:t>
      </w:r>
    </w:p>
    <w:p w14:paraId="7964DC7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分部分项工程的验收资料应当作为竣工资料的组成部分。</w:t>
      </w:r>
    </w:p>
    <w:p w14:paraId="154AB943">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13.2</w:t>
      </w:r>
      <w:r>
        <w:rPr>
          <w:rFonts w:hint="eastAsia" w:asciiTheme="minorEastAsia" w:hAnsiTheme="minorEastAsia" w:eastAsiaTheme="minorEastAsia"/>
          <w:b w:val="0"/>
          <w:color w:val="000000"/>
          <w:sz w:val="21"/>
          <w:szCs w:val="21"/>
        </w:rPr>
        <w:t>竣工验收</w:t>
      </w:r>
    </w:p>
    <w:p w14:paraId="5833F4A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13.2.1</w:t>
      </w:r>
      <w:r>
        <w:rPr>
          <w:rFonts w:hint="eastAsia" w:asciiTheme="minorEastAsia" w:hAnsiTheme="minorEastAsia" w:eastAsiaTheme="minorEastAsia"/>
          <w:color w:val="000000"/>
          <w:szCs w:val="21"/>
        </w:rPr>
        <w:t>竣工验收条件</w:t>
      </w:r>
    </w:p>
    <w:p w14:paraId="6E7C51D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工程具备以下条件的，承包人可以申请竣工验收：</w:t>
      </w:r>
    </w:p>
    <w:p w14:paraId="5D96650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）除发包人同意的甩项工作和缺陷修补工作外，合同范围内的全部工程以及有关工作，包括合同要求的试验、试运行以及检验均已完成，并符合合同要求；</w:t>
      </w:r>
    </w:p>
    <w:p w14:paraId="50581BC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）已按合同约定编制了甩项工作和缺陷修补工作清单以及相应的施工计划；</w:t>
      </w:r>
    </w:p>
    <w:p w14:paraId="19F608C7">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）已按合同约定的内容和份数备齐竣工资料。</w:t>
      </w:r>
    </w:p>
    <w:p w14:paraId="677DDA40">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13.2.2</w:t>
      </w:r>
      <w:r>
        <w:rPr>
          <w:rFonts w:hint="eastAsia" w:asciiTheme="minorEastAsia" w:hAnsiTheme="minorEastAsia" w:eastAsiaTheme="minorEastAsia"/>
          <w:color w:val="000000"/>
          <w:szCs w:val="21"/>
        </w:rPr>
        <w:t>竣工验收程序</w:t>
      </w:r>
    </w:p>
    <w:p w14:paraId="7EB511E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除专用合同条款另有约定外，承包人申请竣工验收的，应当按照以下程序进行：</w:t>
      </w:r>
    </w:p>
    <w:p w14:paraId="43C59D6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）承包人向监理人报送竣工验收申请报告，监理人应在收到竣工验收申请报告后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3F008CF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）监理人审查后认为已具备竣工验收条件的，应将竣工验收申请报告提交发包人，发包人应在收到经监理人审核的竣工验收申请报告后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天内审批完毕并组织监理人、承包人、设计人等相关单位完成竣工验收。</w:t>
      </w:r>
    </w:p>
    <w:p w14:paraId="118FDF7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）竣工验收合格的，发包人应在验收合格后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天内向承包人签发工程接收证书。发包人无正当理由逾期不颁发工程接收证书的，自验收合格后第</w:t>
      </w:r>
      <w:r>
        <w:rPr>
          <w:rFonts w:asciiTheme="minorEastAsia" w:hAnsiTheme="minorEastAsia" w:eastAsiaTheme="minorEastAsia"/>
          <w:color w:val="000000"/>
          <w:szCs w:val="21"/>
        </w:rPr>
        <w:t>15</w:t>
      </w:r>
      <w:r>
        <w:rPr>
          <w:rFonts w:hint="eastAsia" w:asciiTheme="minorEastAsia" w:hAnsiTheme="minorEastAsia" w:eastAsiaTheme="minorEastAsia"/>
          <w:color w:val="000000"/>
          <w:szCs w:val="21"/>
        </w:rPr>
        <w:t>天起视为已颁发工程接收证书。</w:t>
      </w:r>
    </w:p>
    <w:p w14:paraId="1BC1D79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72632D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）工程未经验收或验收不合格，发包人擅自使用的，应在转移占有工程后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天内向承包人颁发工程接收证书；发包人无正当理由逾期不颁发工程接收证书的，自转移占有后第</w:t>
      </w:r>
      <w:r>
        <w:rPr>
          <w:rFonts w:asciiTheme="minorEastAsia" w:hAnsiTheme="minorEastAsia" w:eastAsiaTheme="minorEastAsia"/>
          <w:color w:val="000000"/>
          <w:szCs w:val="21"/>
        </w:rPr>
        <w:t>15</w:t>
      </w:r>
      <w:r>
        <w:rPr>
          <w:rFonts w:hint="eastAsia" w:asciiTheme="minorEastAsia" w:hAnsiTheme="minorEastAsia" w:eastAsiaTheme="minorEastAsia"/>
          <w:color w:val="000000"/>
          <w:szCs w:val="21"/>
        </w:rPr>
        <w:t>天起视为已颁发工程接收证书。</w:t>
      </w:r>
    </w:p>
    <w:p w14:paraId="6E51AFB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除专用合同条款另有约定外，发包人不按照本项约定组织竣工验收、颁发工程接收证书的，每逾期一天，应以签约合同价为基数，按照中国人民银行发布的同期同类贷款基准利率支付违约金。</w:t>
      </w:r>
    </w:p>
    <w:p w14:paraId="463A8998">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13.2.3</w:t>
      </w:r>
      <w:r>
        <w:rPr>
          <w:rFonts w:hint="eastAsia" w:asciiTheme="minorEastAsia" w:hAnsiTheme="minorEastAsia" w:eastAsiaTheme="minorEastAsia"/>
          <w:color w:val="000000"/>
          <w:szCs w:val="21"/>
        </w:rPr>
        <w:t>竣工日期</w:t>
      </w:r>
    </w:p>
    <w:p w14:paraId="52F9092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工程经竣工验收合格的，以承包人提交竣工验收申请报告之日为实际竣工日期，并在工程接收证书中载明；因发包人原因，未在监理人收到承包人提交的竣工验收申请报告</w:t>
      </w:r>
      <w:r>
        <w:rPr>
          <w:rFonts w:asciiTheme="minorEastAsia" w:hAnsiTheme="minorEastAsia" w:eastAsiaTheme="minorEastAsia"/>
          <w:color w:val="000000"/>
          <w:szCs w:val="21"/>
        </w:rPr>
        <w:t>42</w:t>
      </w:r>
      <w:r>
        <w:rPr>
          <w:rFonts w:hint="eastAsia" w:asciiTheme="minorEastAsia" w:hAnsiTheme="minorEastAsia" w:eastAsiaTheme="minorEastAsia"/>
          <w:color w:val="000000"/>
          <w:szCs w:val="21"/>
        </w:rPr>
        <w:t>天内完成竣工验收，或完成竣工验收不予签发工程接收证书的，以提交竣工验收申请报告的日期为实际竣工日期；工程未经竣工验收，发包人擅自使用的，以转移占有工程之日为实际竣工日期。</w:t>
      </w:r>
    </w:p>
    <w:p w14:paraId="7FDD7CE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13.2.4 </w:t>
      </w:r>
      <w:r>
        <w:rPr>
          <w:rFonts w:hint="eastAsia" w:asciiTheme="minorEastAsia" w:hAnsiTheme="minorEastAsia" w:eastAsiaTheme="minorEastAsia"/>
          <w:color w:val="000000"/>
          <w:szCs w:val="21"/>
        </w:rPr>
        <w:t>拒绝接收全部或部分工程</w:t>
      </w:r>
    </w:p>
    <w:p w14:paraId="0E6BB54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DC8D4F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13.2.5 </w:t>
      </w:r>
      <w:r>
        <w:rPr>
          <w:rFonts w:hint="eastAsia" w:asciiTheme="minorEastAsia" w:hAnsiTheme="minorEastAsia" w:eastAsiaTheme="minorEastAsia"/>
          <w:color w:val="000000"/>
          <w:szCs w:val="21"/>
        </w:rPr>
        <w:t>移交、接收全部与部分工程</w:t>
      </w:r>
    </w:p>
    <w:p w14:paraId="41A343D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除专用合同条款另有约定外，合同当事人应当在颁发工程接收证书后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天内完成工程的移交。</w:t>
      </w:r>
    </w:p>
    <w:p w14:paraId="705BF51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937AC4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承包人无正当理由不移交工程的，承包人应承担工程照管、成品保护、保管等与工程有关的各项费用，合同当事人可以在专用合同条款中另行约定承包人无正当理由不移交工程的违约责任。</w:t>
      </w:r>
    </w:p>
    <w:p w14:paraId="42F867D6">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13.3</w:t>
      </w:r>
      <w:r>
        <w:rPr>
          <w:rFonts w:hint="eastAsia" w:asciiTheme="minorEastAsia" w:hAnsiTheme="minorEastAsia" w:eastAsiaTheme="minorEastAsia"/>
          <w:b w:val="0"/>
          <w:color w:val="000000"/>
          <w:sz w:val="21"/>
          <w:szCs w:val="21"/>
        </w:rPr>
        <w:t>工程试车</w:t>
      </w:r>
    </w:p>
    <w:p w14:paraId="4B28C5FF">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13.3.1</w:t>
      </w:r>
      <w:r>
        <w:rPr>
          <w:rFonts w:hint="eastAsia" w:asciiTheme="minorEastAsia" w:hAnsiTheme="minorEastAsia" w:eastAsiaTheme="minorEastAsia"/>
          <w:color w:val="000000"/>
          <w:szCs w:val="21"/>
        </w:rPr>
        <w:t>试车程序</w:t>
      </w:r>
    </w:p>
    <w:p w14:paraId="57AF377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工程需要试车的，除专用合同条款另有约定外，试车内容应与承包人承包范围相一致，试车费用由承包人承担。工程试车应按如下程序进行：</w:t>
      </w:r>
    </w:p>
    <w:p w14:paraId="1D785EC7">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）具备单机无负荷试车条件，承包人组织试车，并在试车前</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小时后视为监理人已经认可试车记录，承包人可继续施工或办理竣工验收手续。</w:t>
      </w:r>
    </w:p>
    <w:p w14:paraId="3E1B03B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监理人不能按时参加试车，应在试车前</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小时以书面形式向承包人提出延期要求，但延期不能超过</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小时，由此导致工期延误的，工期应予以顺延。监理人未能在前述期限内提出延期要求，又不参加试车的，视为认可试车记录。</w:t>
      </w:r>
    </w:p>
    <w:p w14:paraId="26C2AC4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）具备无负荷联动试车条件，发包人组织试车，并在试车前</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以书面形式通知承包人。通知中应载明试车内容、时间、地点和对承包人的要求，承包人按要求做好准备工作。试车合格，合同当事人在试车记录上签字。承包人无正当理由不参加试车的，视为认可试车记录。</w:t>
      </w:r>
    </w:p>
    <w:p w14:paraId="72D730DA">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13.3.2 </w:t>
      </w:r>
      <w:r>
        <w:rPr>
          <w:rFonts w:hint="eastAsia" w:asciiTheme="minorEastAsia" w:hAnsiTheme="minorEastAsia" w:eastAsiaTheme="minorEastAsia"/>
          <w:color w:val="000000"/>
          <w:szCs w:val="21"/>
        </w:rPr>
        <w:t>试车中的责任</w:t>
      </w:r>
    </w:p>
    <w:p w14:paraId="343B0A8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5916AF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7C974A5">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13.3.3 </w:t>
      </w:r>
      <w:r>
        <w:rPr>
          <w:rFonts w:hint="eastAsia" w:asciiTheme="minorEastAsia" w:hAnsiTheme="minorEastAsia" w:eastAsiaTheme="minorEastAsia"/>
          <w:color w:val="000000"/>
          <w:szCs w:val="21"/>
        </w:rPr>
        <w:t>投料试车</w:t>
      </w:r>
    </w:p>
    <w:p w14:paraId="7BA3AB5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如需进行投料试车的，发包人应在工程竣工验收后组织投料试车。发包人要求在工程竣工验收前进行或需要承包人配合时，应征得承包人同意，并在专用合同条款中约定有关事项。</w:t>
      </w:r>
    </w:p>
    <w:p w14:paraId="136EA08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FB6D9F8">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13.4</w:t>
      </w:r>
      <w:r>
        <w:rPr>
          <w:rFonts w:hint="eastAsia" w:asciiTheme="minorEastAsia" w:hAnsiTheme="minorEastAsia" w:eastAsiaTheme="minorEastAsia"/>
          <w:b w:val="0"/>
          <w:color w:val="000000"/>
          <w:sz w:val="21"/>
          <w:szCs w:val="21"/>
        </w:rPr>
        <w:t>提前交付单位工程的验收</w:t>
      </w:r>
    </w:p>
    <w:p w14:paraId="5ECF1BC7">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13.4.1 </w:t>
      </w:r>
      <w:r>
        <w:rPr>
          <w:rFonts w:hint="eastAsia" w:asciiTheme="minorEastAsia" w:hAnsiTheme="minorEastAsia" w:eastAsiaTheme="minorEastAsia"/>
          <w:color w:val="000000"/>
          <w:szCs w:val="21"/>
        </w:rPr>
        <w:t>发包人需要在工程竣工前使用单位工程的，或承包人提出提前交付已经竣工的单位工程且经发包人同意的，可进行单位工程验收，验收的程序按照第</w:t>
      </w:r>
      <w:r>
        <w:rPr>
          <w:rFonts w:asciiTheme="minorEastAsia" w:hAnsiTheme="minorEastAsia" w:eastAsiaTheme="minorEastAsia"/>
          <w:color w:val="000000"/>
          <w:szCs w:val="21"/>
        </w:rPr>
        <w:t>13.2</w:t>
      </w:r>
      <w:r>
        <w:rPr>
          <w:rFonts w:hint="eastAsia" w:asciiTheme="minorEastAsia" w:hAnsiTheme="minorEastAsia" w:eastAsiaTheme="minorEastAsia"/>
          <w:color w:val="000000"/>
          <w:szCs w:val="21"/>
        </w:rPr>
        <w:t>款〔竣工验收〕的约定进行。</w:t>
      </w:r>
    </w:p>
    <w:p w14:paraId="396B299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0F244A0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13.4.2 </w:t>
      </w:r>
      <w:r>
        <w:rPr>
          <w:rFonts w:hint="eastAsia" w:asciiTheme="minorEastAsia" w:hAnsiTheme="minorEastAsia" w:eastAsiaTheme="minorEastAsia"/>
          <w:color w:val="000000"/>
          <w:szCs w:val="21"/>
        </w:rPr>
        <w:t>发包人要求在工程竣工前交付单位工程，由此导致承包人费用增加和（或）工期延误的，由发包人承担由此增加的费用和（或）延误的工期，并支付承包人合理的利润。</w:t>
      </w:r>
    </w:p>
    <w:p w14:paraId="2AB027C2">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13.5 </w:t>
      </w:r>
      <w:r>
        <w:rPr>
          <w:rFonts w:hint="eastAsia" w:asciiTheme="minorEastAsia" w:hAnsiTheme="minorEastAsia" w:eastAsiaTheme="minorEastAsia"/>
          <w:b w:val="0"/>
          <w:color w:val="000000"/>
          <w:sz w:val="21"/>
          <w:szCs w:val="21"/>
        </w:rPr>
        <w:t>施工期运行</w:t>
      </w:r>
    </w:p>
    <w:p w14:paraId="6DEF44BE">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13.5.1 </w:t>
      </w:r>
      <w:r>
        <w:rPr>
          <w:rFonts w:hint="eastAsia" w:asciiTheme="minorEastAsia" w:hAnsiTheme="minorEastAsia" w:eastAsiaTheme="minorEastAsia"/>
          <w:color w:val="000000"/>
          <w:szCs w:val="21"/>
        </w:rPr>
        <w:t>施工期运行是指合同工程尚未全部竣工，其中某项或某几项单位工程或工程设备安装已竣工，根据专用合同条款约定，需要投入施工期运行的，经发包人按第</w:t>
      </w:r>
      <w:r>
        <w:rPr>
          <w:rFonts w:asciiTheme="minorEastAsia" w:hAnsiTheme="minorEastAsia" w:eastAsiaTheme="minorEastAsia"/>
          <w:color w:val="000000"/>
          <w:szCs w:val="21"/>
        </w:rPr>
        <w:t>13.4</w:t>
      </w:r>
      <w:r>
        <w:rPr>
          <w:rFonts w:hint="eastAsia" w:asciiTheme="minorEastAsia" w:hAnsiTheme="minorEastAsia" w:eastAsiaTheme="minorEastAsia"/>
          <w:color w:val="000000"/>
          <w:szCs w:val="21"/>
        </w:rPr>
        <w:t>款〔提前交付单位工程的验收〕的约定验收合格，证明能确保安全后，才能在施工期投入运行。</w:t>
      </w:r>
    </w:p>
    <w:p w14:paraId="4C3AEFE1">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13.5.2 </w:t>
      </w:r>
      <w:r>
        <w:rPr>
          <w:rFonts w:hint="eastAsia" w:asciiTheme="minorEastAsia" w:hAnsiTheme="minorEastAsia" w:eastAsiaTheme="minorEastAsia"/>
          <w:color w:val="000000"/>
          <w:szCs w:val="21"/>
        </w:rPr>
        <w:t>在施工期运行中发现工程或工程设备损坏或存在缺陷的，由承包人按第</w:t>
      </w:r>
      <w:r>
        <w:rPr>
          <w:rFonts w:asciiTheme="minorEastAsia" w:hAnsiTheme="minorEastAsia" w:eastAsiaTheme="minorEastAsia"/>
          <w:color w:val="000000"/>
          <w:szCs w:val="21"/>
        </w:rPr>
        <w:t>15.2</w:t>
      </w:r>
      <w:r>
        <w:rPr>
          <w:rFonts w:hint="eastAsia" w:asciiTheme="minorEastAsia" w:hAnsiTheme="minorEastAsia" w:eastAsiaTheme="minorEastAsia"/>
          <w:color w:val="000000"/>
          <w:szCs w:val="21"/>
        </w:rPr>
        <w:t>款〔缺陷责任期〕约定进行修复。</w:t>
      </w:r>
    </w:p>
    <w:p w14:paraId="68BEDC24">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13.6 </w:t>
      </w:r>
      <w:r>
        <w:rPr>
          <w:rFonts w:hint="eastAsia" w:asciiTheme="minorEastAsia" w:hAnsiTheme="minorEastAsia" w:eastAsiaTheme="minorEastAsia"/>
          <w:b w:val="0"/>
          <w:color w:val="000000"/>
          <w:sz w:val="21"/>
          <w:szCs w:val="21"/>
        </w:rPr>
        <w:t>竣工退场</w:t>
      </w:r>
    </w:p>
    <w:p w14:paraId="0239736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13.6.1 </w:t>
      </w:r>
      <w:r>
        <w:rPr>
          <w:rFonts w:hint="eastAsia" w:asciiTheme="minorEastAsia" w:hAnsiTheme="minorEastAsia" w:eastAsiaTheme="minorEastAsia"/>
          <w:color w:val="000000"/>
          <w:szCs w:val="21"/>
        </w:rPr>
        <w:t>竣工退场</w:t>
      </w:r>
    </w:p>
    <w:p w14:paraId="005EDE8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颁发工程接收证书后，承包人应按以下要求对施工现场进行清理：</w:t>
      </w:r>
    </w:p>
    <w:p w14:paraId="39E4BED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）施工现场内残留的垃圾已全部清除出场；</w:t>
      </w:r>
    </w:p>
    <w:p w14:paraId="21B4021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）临时工程已拆除，场地已进行清理、平整或复原；</w:t>
      </w:r>
    </w:p>
    <w:p w14:paraId="0E703A1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）按合同约定应撤离的人员、承包人施工设备和剩余的材料，包括废弃的施工设备和材料，已按计划撤离施工现场；</w:t>
      </w:r>
    </w:p>
    <w:p w14:paraId="0FED65B8">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）施工现场周边及其附近道路、河道的施工堆积物，已全部清理；</w:t>
      </w:r>
    </w:p>
    <w:p w14:paraId="194D56E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）施工现场其他场地清理工作已全部完成。</w:t>
      </w:r>
    </w:p>
    <w:p w14:paraId="134545B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37DEF5A">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13.6.2 </w:t>
      </w:r>
      <w:r>
        <w:rPr>
          <w:rFonts w:hint="eastAsia" w:asciiTheme="minorEastAsia" w:hAnsiTheme="minorEastAsia" w:eastAsiaTheme="minorEastAsia"/>
          <w:color w:val="000000"/>
          <w:szCs w:val="21"/>
        </w:rPr>
        <w:t>地表还原</w:t>
      </w:r>
    </w:p>
    <w:p w14:paraId="2650CDD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591DE6F0">
      <w:pPr>
        <w:adjustRightInd w:val="0"/>
        <w:snapToGrid w:val="0"/>
        <w:spacing w:line="360" w:lineRule="auto"/>
        <w:outlineLvl w:val="2"/>
        <w:rPr>
          <w:rFonts w:asciiTheme="minorEastAsia" w:hAnsiTheme="minorEastAsia" w:eastAsiaTheme="minorEastAsia"/>
          <w:b/>
          <w:szCs w:val="21"/>
        </w:rPr>
      </w:pPr>
      <w:bookmarkStart w:id="193" w:name="_Toc1528"/>
      <w:r>
        <w:rPr>
          <w:rFonts w:hint="eastAsia" w:asciiTheme="minorEastAsia" w:hAnsiTheme="minorEastAsia" w:eastAsiaTheme="minorEastAsia"/>
          <w:b/>
          <w:szCs w:val="21"/>
        </w:rPr>
        <w:t>14. 竣工结算</w:t>
      </w:r>
      <w:bookmarkEnd w:id="193"/>
    </w:p>
    <w:p w14:paraId="1DF8CB42">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14.1 </w:t>
      </w:r>
      <w:r>
        <w:rPr>
          <w:rFonts w:hint="eastAsia" w:asciiTheme="minorEastAsia" w:hAnsiTheme="minorEastAsia" w:eastAsiaTheme="minorEastAsia"/>
          <w:b w:val="0"/>
          <w:color w:val="000000"/>
          <w:sz w:val="21"/>
          <w:szCs w:val="21"/>
        </w:rPr>
        <w:t>竣工结算申请</w:t>
      </w:r>
    </w:p>
    <w:p w14:paraId="7BC9909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除专用合同条款另有约定外，承包人应在工程竣工验收合格后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天内向发包人和监理人提交竣工结算申请单，并提交完整的结算资料，有关竣工结算申请单的资料清单和份数等要求由合同当事人在专用合同条款中约定。</w:t>
      </w:r>
    </w:p>
    <w:p w14:paraId="122957A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除专用合同条款另有约定外，竣工结算申请单应包括以下内容：</w:t>
      </w:r>
    </w:p>
    <w:p w14:paraId="79C692B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）竣工结算合同价格；</w:t>
      </w:r>
    </w:p>
    <w:p w14:paraId="10272BA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）发包人已支付承包人的款项；</w:t>
      </w:r>
    </w:p>
    <w:p w14:paraId="51B1E24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）应扣留的质量保证金。已缴纳履约保证金的或提供其他工程质量担保方式的除外；</w:t>
      </w:r>
      <w:r>
        <w:rPr>
          <w:rFonts w:asciiTheme="minorEastAsia" w:hAnsiTheme="minorEastAsia" w:eastAsiaTheme="minorEastAsia"/>
          <w:color w:val="000000"/>
          <w:szCs w:val="21"/>
        </w:rPr>
        <w:t xml:space="preserve"> </w:t>
      </w:r>
    </w:p>
    <w:p w14:paraId="78DD81B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）发包人应支付承包人的合同价款。</w:t>
      </w:r>
    </w:p>
    <w:p w14:paraId="048DF1F1">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14.2 </w:t>
      </w:r>
      <w:r>
        <w:rPr>
          <w:rFonts w:hint="eastAsia" w:asciiTheme="minorEastAsia" w:hAnsiTheme="minorEastAsia" w:eastAsiaTheme="minorEastAsia"/>
          <w:b w:val="0"/>
          <w:color w:val="000000"/>
          <w:sz w:val="21"/>
          <w:szCs w:val="21"/>
        </w:rPr>
        <w:t>竣工结算审核</w:t>
      </w:r>
    </w:p>
    <w:p w14:paraId="1E76B59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）除专用合同条款另有约定外，监理人应在收到竣工结算申请单后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天内完成核查并报送发包人。发包人应在收到监理人提交的经审核的竣工结算申请单后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天内完成审批，并由监理人向承包人签发经发包人签认的竣工付款证书。监理人或发包人对竣工结算申请单有异议的，有权要求承包人进行修正和提供补充资料，承包人应提交修正后的竣工结算申请单。</w:t>
      </w:r>
    </w:p>
    <w:p w14:paraId="691A345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发包人在收到承包人提交竣工结算申请书后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天内未完成审批且未提出异议的，视为发包人认可承包人提交的竣工结算申请单，并自发包人收到承包人提交的竣工结算申请单后第</w:t>
      </w:r>
      <w:r>
        <w:rPr>
          <w:rFonts w:asciiTheme="minorEastAsia" w:hAnsiTheme="minorEastAsia" w:eastAsiaTheme="minorEastAsia"/>
          <w:color w:val="000000"/>
          <w:szCs w:val="21"/>
        </w:rPr>
        <w:t>29</w:t>
      </w:r>
      <w:r>
        <w:rPr>
          <w:rFonts w:hint="eastAsia" w:asciiTheme="minorEastAsia" w:hAnsiTheme="minorEastAsia" w:eastAsiaTheme="minorEastAsia"/>
          <w:color w:val="000000"/>
          <w:szCs w:val="21"/>
        </w:rPr>
        <w:t>天起视为已签发竣工付款证书。</w:t>
      </w:r>
    </w:p>
    <w:p w14:paraId="02492C7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）除专用合同条款另有约定外，发包人应在签发竣工付款证书后的</w:t>
      </w:r>
      <w:r>
        <w:rPr>
          <w:rFonts w:asciiTheme="minorEastAsia" w:hAnsiTheme="minorEastAsia" w:eastAsiaTheme="minorEastAsia"/>
          <w:color w:val="000000"/>
          <w:szCs w:val="21"/>
        </w:rPr>
        <w:t xml:space="preserve">14 </w:t>
      </w:r>
      <w:r>
        <w:rPr>
          <w:rFonts w:hint="eastAsia" w:asciiTheme="minorEastAsia" w:hAnsiTheme="minorEastAsia" w:eastAsiaTheme="minorEastAsia"/>
          <w:color w:val="000000"/>
          <w:szCs w:val="21"/>
        </w:rPr>
        <w:t>天内，完成对承包人的竣工付款。发包人逾期支付的，按照中国人民银行发布的同期同类贷款基准利率支付违约金；逾期支付超过</w:t>
      </w:r>
      <w:r>
        <w:rPr>
          <w:rFonts w:asciiTheme="minorEastAsia" w:hAnsiTheme="minorEastAsia" w:eastAsiaTheme="minorEastAsia"/>
          <w:color w:val="000000"/>
          <w:szCs w:val="21"/>
        </w:rPr>
        <w:t>56</w:t>
      </w:r>
      <w:r>
        <w:rPr>
          <w:rFonts w:hint="eastAsia" w:asciiTheme="minorEastAsia" w:hAnsiTheme="minorEastAsia" w:eastAsiaTheme="minorEastAsia"/>
          <w:color w:val="000000"/>
          <w:szCs w:val="21"/>
        </w:rPr>
        <w:t>天的，按照中国人民银行发布的同期同类贷款基准利率的两倍支付违约金。</w:t>
      </w:r>
    </w:p>
    <w:p w14:paraId="1B725A5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）承包人对发包人签认的竣工付款证书有异议的，对于有异议部分应在收到发包人签认的竣工付款证书后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天内提出异议，并由合同当事人按照专用合同条款约定的方式和程序进行复核，或按照第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条〔争议解决〕约定处理。对于无异议部分，发包人应签发临时竣工付款证书，并按本款第（</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）项完成付款。承包人逾期未提出异议的，视为认可发包人的审批结果。</w:t>
      </w:r>
    </w:p>
    <w:p w14:paraId="7007D82B">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14.3 </w:t>
      </w:r>
      <w:r>
        <w:rPr>
          <w:rFonts w:hint="eastAsia" w:asciiTheme="minorEastAsia" w:hAnsiTheme="minorEastAsia" w:eastAsiaTheme="minorEastAsia"/>
          <w:b w:val="0"/>
          <w:color w:val="000000"/>
          <w:sz w:val="21"/>
          <w:szCs w:val="21"/>
        </w:rPr>
        <w:t>甩项竣工协议</w:t>
      </w:r>
    </w:p>
    <w:p w14:paraId="46C0FDA7">
      <w:pPr>
        <w:autoSpaceDE w:val="0"/>
        <w:autoSpaceDN w:val="0"/>
        <w:adjustRightInd w:val="0"/>
        <w:spacing w:line="360" w:lineRule="auto"/>
        <w:ind w:firstLine="470" w:firstLineChars="196"/>
        <w:rPr>
          <w:rFonts w:asciiTheme="minorEastAsia" w:hAnsiTheme="minorEastAsia" w:eastAsiaTheme="minorEastAsia"/>
          <w:color w:val="000000"/>
          <w:szCs w:val="21"/>
        </w:rPr>
      </w:pPr>
      <w:r>
        <w:rPr>
          <w:rFonts w:hint="eastAsia" w:asciiTheme="minorEastAsia" w:hAnsiTheme="minorEastAsia" w:eastAsiaTheme="minorEastAsia"/>
          <w:szCs w:val="21"/>
        </w:rPr>
        <w:t>发包人要求甩项竣工的，合同当事人应签订甩项竣工协议。在甩项竣工协议中应明确，合同当事人按照第</w:t>
      </w:r>
      <w:r>
        <w:rPr>
          <w:rFonts w:asciiTheme="minorEastAsia" w:hAnsiTheme="minorEastAsia" w:eastAsiaTheme="minorEastAsia"/>
          <w:szCs w:val="21"/>
        </w:rPr>
        <w:t>14.1</w:t>
      </w:r>
      <w:r>
        <w:rPr>
          <w:rFonts w:hint="eastAsia" w:asciiTheme="minorEastAsia" w:hAnsiTheme="minorEastAsia" w:eastAsiaTheme="minorEastAsia"/>
          <w:szCs w:val="21"/>
        </w:rPr>
        <w:t>款〔竣工结算申请〕及</w:t>
      </w:r>
      <w:r>
        <w:rPr>
          <w:rFonts w:asciiTheme="minorEastAsia" w:hAnsiTheme="minorEastAsia" w:eastAsiaTheme="minorEastAsia"/>
          <w:szCs w:val="21"/>
        </w:rPr>
        <w:t>14.2</w:t>
      </w:r>
      <w:r>
        <w:rPr>
          <w:rFonts w:hint="eastAsia" w:asciiTheme="minorEastAsia" w:hAnsiTheme="minorEastAsia" w:eastAsiaTheme="minorEastAsia"/>
          <w:szCs w:val="21"/>
        </w:rPr>
        <w:t>款〔竣工结算审核〕的约定，对已完合格工程进行结算，并支付相应合同价款。</w:t>
      </w:r>
    </w:p>
    <w:p w14:paraId="207BFB4A">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14.4 </w:t>
      </w:r>
      <w:r>
        <w:rPr>
          <w:rFonts w:hint="eastAsia" w:asciiTheme="minorEastAsia" w:hAnsiTheme="minorEastAsia" w:eastAsiaTheme="minorEastAsia"/>
          <w:b w:val="0"/>
          <w:color w:val="000000"/>
          <w:sz w:val="21"/>
          <w:szCs w:val="21"/>
        </w:rPr>
        <w:t>最终结清</w:t>
      </w:r>
    </w:p>
    <w:p w14:paraId="26CAC12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14.4.1 </w:t>
      </w:r>
      <w:r>
        <w:rPr>
          <w:rFonts w:hint="eastAsia" w:asciiTheme="minorEastAsia" w:hAnsiTheme="minorEastAsia" w:eastAsiaTheme="minorEastAsia"/>
          <w:color w:val="000000"/>
          <w:szCs w:val="21"/>
        </w:rPr>
        <w:t>最终结清申请单</w:t>
      </w:r>
    </w:p>
    <w:p w14:paraId="372356E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）除专用合同条款另有约定外，承包人应在缺陷责任期终止证书颁发后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天内，按专用合同条款约定的份数向发包人提交最终结清申请单，并提供相关证明材料。</w:t>
      </w:r>
    </w:p>
    <w:p w14:paraId="32084E4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除专用合同条款另有约定外，最终结清申请单应列明质量保证金、应扣除的质量保证金、缺陷责任期内发生的增减费用。</w:t>
      </w:r>
    </w:p>
    <w:p w14:paraId="6035D0E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）发包人对最终结清申请单内容有异议的，有权要求承包人进行修正和提供补充资料，承包人应向发包人提交修正后的最终结清申请单。</w:t>
      </w:r>
    </w:p>
    <w:p w14:paraId="04E126F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14.4.2 </w:t>
      </w:r>
      <w:r>
        <w:rPr>
          <w:rFonts w:hint="eastAsia" w:asciiTheme="minorEastAsia" w:hAnsiTheme="minorEastAsia" w:eastAsiaTheme="minorEastAsia"/>
          <w:color w:val="000000"/>
          <w:szCs w:val="21"/>
        </w:rPr>
        <w:t>最终结清证书和支付</w:t>
      </w:r>
    </w:p>
    <w:p w14:paraId="2D3FD8A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）除专用合同条款另有约定外，发包人应在收到承包人提交的最终结清申请单后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asciiTheme="minorEastAsia" w:hAnsiTheme="minorEastAsia" w:eastAsiaTheme="minorEastAsia"/>
          <w:color w:val="000000"/>
          <w:szCs w:val="21"/>
        </w:rPr>
        <w:t>15</w:t>
      </w:r>
      <w:r>
        <w:rPr>
          <w:rFonts w:hint="eastAsia" w:asciiTheme="minorEastAsia" w:hAnsiTheme="minorEastAsia" w:eastAsiaTheme="minorEastAsia"/>
          <w:color w:val="000000"/>
          <w:szCs w:val="21"/>
        </w:rPr>
        <w:t>天起视为已颁发最终结清证书。</w:t>
      </w:r>
    </w:p>
    <w:p w14:paraId="58F6DC2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）除专用合同条款另有约定外，发包人应在颁发最终结清证书后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天内完成支付。发包人逾期支付的，按照中国人民银行发布的同期同类贷款基准利率支付违约金；逾期支付超过</w:t>
      </w:r>
      <w:r>
        <w:rPr>
          <w:rFonts w:asciiTheme="minorEastAsia" w:hAnsiTheme="minorEastAsia" w:eastAsiaTheme="minorEastAsia"/>
          <w:color w:val="000000"/>
          <w:szCs w:val="21"/>
        </w:rPr>
        <w:t>56</w:t>
      </w:r>
      <w:r>
        <w:rPr>
          <w:rFonts w:hint="eastAsia" w:asciiTheme="minorEastAsia" w:hAnsiTheme="minorEastAsia" w:eastAsiaTheme="minorEastAsia"/>
          <w:color w:val="000000"/>
          <w:szCs w:val="21"/>
        </w:rPr>
        <w:t>天的，按照中国人民银行发布的同期同类贷款基准利率的两倍支付违约金。</w:t>
      </w:r>
    </w:p>
    <w:p w14:paraId="1EF9D68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）承包人对发包人颁发的最终结清证书有异议的，按第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条〔争议解决〕的约定办理。</w:t>
      </w:r>
    </w:p>
    <w:p w14:paraId="2A7358F2">
      <w:pPr>
        <w:adjustRightInd w:val="0"/>
        <w:snapToGrid w:val="0"/>
        <w:spacing w:line="360" w:lineRule="auto"/>
        <w:outlineLvl w:val="2"/>
        <w:rPr>
          <w:rFonts w:asciiTheme="minorEastAsia" w:hAnsiTheme="minorEastAsia" w:eastAsiaTheme="minorEastAsia"/>
          <w:b/>
          <w:szCs w:val="21"/>
        </w:rPr>
      </w:pPr>
      <w:bookmarkStart w:id="194" w:name="_Toc3486"/>
      <w:r>
        <w:rPr>
          <w:rFonts w:hint="eastAsia" w:asciiTheme="minorEastAsia" w:hAnsiTheme="minorEastAsia" w:eastAsiaTheme="minorEastAsia"/>
          <w:b/>
          <w:szCs w:val="21"/>
        </w:rPr>
        <w:t>15. 缺陷责任与保修</w:t>
      </w:r>
      <w:bookmarkEnd w:id="194"/>
    </w:p>
    <w:p w14:paraId="26FF07C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15.1 </w:t>
      </w:r>
      <w:r>
        <w:rPr>
          <w:rFonts w:hint="eastAsia" w:asciiTheme="minorEastAsia" w:hAnsiTheme="minorEastAsia" w:eastAsiaTheme="minorEastAsia"/>
          <w:b w:val="0"/>
          <w:color w:val="000000"/>
          <w:sz w:val="21"/>
          <w:szCs w:val="21"/>
        </w:rPr>
        <w:t>工程保修的原则</w:t>
      </w:r>
    </w:p>
    <w:p w14:paraId="37DC6A0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在工程移交发包人后，因承包人原因产生的质量缺陷，承包人应承担质量缺陷责任和保修义务。缺陷责任期届满，承包人仍应按合同约定的工程各部位保修年限承担保修义务。</w:t>
      </w:r>
    </w:p>
    <w:p w14:paraId="3877AE2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15.2 </w:t>
      </w:r>
      <w:r>
        <w:rPr>
          <w:rFonts w:hint="eastAsia" w:asciiTheme="minorEastAsia" w:hAnsiTheme="minorEastAsia" w:eastAsiaTheme="minorEastAsia"/>
          <w:b w:val="0"/>
          <w:color w:val="000000"/>
          <w:sz w:val="21"/>
          <w:szCs w:val="21"/>
        </w:rPr>
        <w:t>缺陷责任期</w:t>
      </w:r>
    </w:p>
    <w:p w14:paraId="5576965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15.2.1 </w:t>
      </w:r>
      <w:r>
        <w:rPr>
          <w:rFonts w:hint="eastAsia" w:asciiTheme="minorEastAsia" w:hAnsiTheme="minorEastAsia" w:eastAsiaTheme="minorEastAsia"/>
          <w:color w:val="000000"/>
          <w:szCs w:val="21"/>
        </w:rPr>
        <w:t>缺陷责任期从工程通过竣工验收之日起计算，合同当事人应在专用合同条款约定缺陷责任期的具体期限，但该期限最长不超过</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个月。</w:t>
      </w:r>
    </w:p>
    <w:p w14:paraId="14B18CB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Pr>
          <w:rFonts w:asciiTheme="minorEastAsia" w:hAnsiTheme="minorEastAsia" w:eastAsiaTheme="minorEastAsia"/>
          <w:color w:val="000000"/>
          <w:szCs w:val="21"/>
        </w:rPr>
        <w:t>90</w:t>
      </w:r>
      <w:r>
        <w:rPr>
          <w:rFonts w:hint="eastAsia" w:asciiTheme="minorEastAsia" w:hAnsiTheme="minorEastAsia" w:eastAsiaTheme="minorEastAsia"/>
          <w:color w:val="000000"/>
          <w:szCs w:val="21"/>
        </w:rPr>
        <w:t>天后，工程自动进入缺陷责任期；发包人未经竣工验收擅自使用工程的，缺陷责任期自工程转移占有之日起开始计算。</w:t>
      </w:r>
    </w:p>
    <w:p w14:paraId="5E30667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15.2.2</w:t>
      </w:r>
      <w:r>
        <w:rPr>
          <w:rFonts w:hint="eastAsia" w:asciiTheme="minorEastAsia" w:hAnsiTheme="minorEastAsia" w:eastAsiaTheme="minorEastAsia"/>
          <w:color w:val="000000"/>
          <w:szCs w:val="21"/>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Theme="minorEastAsia" w:hAnsiTheme="minorEastAsia" w:eastAsiaTheme="minorEastAsia"/>
          <w:bCs/>
          <w:color w:val="000000"/>
          <w:szCs w:val="21"/>
        </w:rPr>
        <w:t>包人延长缺陷责任期，</w:t>
      </w:r>
      <w:r>
        <w:rPr>
          <w:rFonts w:hint="eastAsia" w:asciiTheme="minorEastAsia" w:hAnsiTheme="minorEastAsia" w:eastAsiaTheme="minorEastAsia"/>
          <w:color w:val="000000"/>
          <w:szCs w:val="21"/>
        </w:rPr>
        <w:t>并应在原缺陷责任期届满前发出延长通知。</w:t>
      </w:r>
      <w:r>
        <w:rPr>
          <w:rFonts w:hint="eastAsia" w:asciiTheme="minorEastAsia" w:hAnsiTheme="minorEastAsia" w:eastAsiaTheme="minorEastAsia"/>
          <w:bCs/>
          <w:color w:val="000000"/>
          <w:szCs w:val="21"/>
        </w:rPr>
        <w:t>但缺陷责任期（含延长部分）最长</w:t>
      </w:r>
      <w:r>
        <w:rPr>
          <w:rFonts w:hint="eastAsia" w:asciiTheme="minorEastAsia" w:hAnsiTheme="minorEastAsia" w:eastAsiaTheme="minorEastAsia"/>
          <w:color w:val="000000"/>
          <w:szCs w:val="21"/>
        </w:rPr>
        <w:t>不能超过</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个月。</w:t>
      </w:r>
    </w:p>
    <w:p w14:paraId="3846A1B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由他人原因造成的缺陷，发包人负责组织维修，承包人不承担费用，且发包人不得从保证金中扣除费用。</w:t>
      </w:r>
    </w:p>
    <w:p w14:paraId="16489E9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15.2.3 </w:t>
      </w:r>
      <w:r>
        <w:rPr>
          <w:rFonts w:hint="eastAsia" w:asciiTheme="minorEastAsia" w:hAnsiTheme="minorEastAsia" w:eastAsiaTheme="minorEastAsia"/>
          <w:color w:val="000000"/>
          <w:szCs w:val="21"/>
        </w:rPr>
        <w:t>任何一项缺陷或损坏修复后，经检查证明其影响了工程或工程设备的使用性能，承包人应重新进行合同约定的试验和试运行，试验和试运行的全部费用应由责任方承担。</w:t>
      </w:r>
    </w:p>
    <w:p w14:paraId="00C6930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15.2.4 </w:t>
      </w:r>
      <w:r>
        <w:rPr>
          <w:rFonts w:hint="eastAsia" w:asciiTheme="minorEastAsia" w:hAnsiTheme="minorEastAsia" w:eastAsiaTheme="minorEastAsia"/>
          <w:color w:val="000000"/>
          <w:szCs w:val="21"/>
        </w:rPr>
        <w:t>除专用合同条款另有约定外，承包人应于缺陷责任期届满后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天内向发包人发出缺陷责任期届满通知，发包人应在收到缺陷责任期满通知后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天内核实承包人是否履行缺陷修复义务，承包人未能履行缺陷修复义务的，发包人有权扣除相应金额的维修费用。发包人应在收到缺陷责任期届满通知后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天内，向承包人颁发缺陷责任期终止证书。</w:t>
      </w:r>
    </w:p>
    <w:p w14:paraId="01546472">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15.3 </w:t>
      </w:r>
      <w:r>
        <w:rPr>
          <w:rFonts w:hint="eastAsia" w:asciiTheme="minorEastAsia" w:hAnsiTheme="minorEastAsia" w:eastAsiaTheme="minorEastAsia"/>
          <w:b w:val="0"/>
          <w:color w:val="000000"/>
          <w:sz w:val="21"/>
          <w:szCs w:val="21"/>
        </w:rPr>
        <w:t>质量保证金</w:t>
      </w:r>
    </w:p>
    <w:p w14:paraId="3DA72CF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经合同当事人协商一致扣留质量保证金的，应在专用合同条款中予以明确。</w:t>
      </w:r>
    </w:p>
    <w:p w14:paraId="575CF89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在工程项目竣工前，承包人已经提供履约担保的，发包人不得同时预留工程质量保证金。</w:t>
      </w:r>
    </w:p>
    <w:p w14:paraId="58DF65E5">
      <w:pPr>
        <w:autoSpaceDE w:val="0"/>
        <w:autoSpaceDN w:val="0"/>
        <w:adjustRightInd w:val="0"/>
        <w:spacing w:line="360" w:lineRule="auto"/>
        <w:ind w:firstLine="480" w:firstLineChars="200"/>
        <w:rPr>
          <w:rFonts w:asciiTheme="minorEastAsia" w:hAnsiTheme="minorEastAsia" w:eastAsiaTheme="minorEastAsia"/>
          <w:color w:val="000000"/>
          <w:szCs w:val="21"/>
        </w:rPr>
      </w:pPr>
    </w:p>
    <w:p w14:paraId="5E0B279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15.3.1 </w:t>
      </w:r>
      <w:r>
        <w:rPr>
          <w:rFonts w:hint="eastAsia" w:asciiTheme="minorEastAsia" w:hAnsiTheme="minorEastAsia" w:eastAsiaTheme="minorEastAsia"/>
          <w:color w:val="000000"/>
          <w:szCs w:val="21"/>
        </w:rPr>
        <w:t>承包人提供质量保证金的方式</w:t>
      </w:r>
    </w:p>
    <w:p w14:paraId="5BFE591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承包人提供质量保证金有以下三种方式：</w:t>
      </w:r>
    </w:p>
    <w:p w14:paraId="1025253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）质量保证金保函；</w:t>
      </w:r>
      <w:r>
        <w:rPr>
          <w:rFonts w:asciiTheme="minorEastAsia" w:hAnsiTheme="minorEastAsia" w:eastAsiaTheme="minorEastAsia"/>
          <w:color w:val="000000"/>
          <w:szCs w:val="21"/>
        </w:rPr>
        <w:t xml:space="preserve"> </w:t>
      </w:r>
    </w:p>
    <w:p w14:paraId="14B64B6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）相应比例的工程款；</w:t>
      </w:r>
    </w:p>
    <w:p w14:paraId="5B81C9B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）双方约定的其他方式。</w:t>
      </w:r>
    </w:p>
    <w:p w14:paraId="75A1823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除专用合同条款另有约定外，质量保证金原则上采用上述第（</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）种方式。</w:t>
      </w:r>
    </w:p>
    <w:p w14:paraId="11FF756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15.3.2 </w:t>
      </w:r>
      <w:r>
        <w:rPr>
          <w:rFonts w:hint="eastAsia" w:asciiTheme="minorEastAsia" w:hAnsiTheme="minorEastAsia" w:eastAsiaTheme="minorEastAsia"/>
          <w:color w:val="000000"/>
          <w:szCs w:val="21"/>
        </w:rPr>
        <w:t>质量保证金的扣留</w:t>
      </w:r>
    </w:p>
    <w:p w14:paraId="4BA0FC1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质量保证金的扣留有以下三种方式：</w:t>
      </w:r>
    </w:p>
    <w:p w14:paraId="3178F21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）在支付工程进度款时逐次扣留，在此情形下，质量保证金的计算基数不包括预付款的支付、扣回以及价格调整的金额；</w:t>
      </w:r>
    </w:p>
    <w:p w14:paraId="11FCAB4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）工程竣工结算时一次性扣留质量保证金；</w:t>
      </w:r>
    </w:p>
    <w:p w14:paraId="16D9145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）双方约定的其他扣留方式。</w:t>
      </w:r>
    </w:p>
    <w:p w14:paraId="3D169A8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除专用合同条款另有约定外，质量保证金的扣留原则上采用上述第（</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）种方式。</w:t>
      </w:r>
    </w:p>
    <w:p w14:paraId="4698FD4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发包人累计扣留的质量保证金不得超过工程价款结算总额的</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。如承包人在发包人签发竣工付款证书后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天内提交质量保证金保函，发包人应同时退还扣留的作为质量保证金的工程价款；保函金额不得超过工程价款结算总额的</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w:t>
      </w:r>
    </w:p>
    <w:p w14:paraId="2C67C45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发包人在退还质量保证金的同时按照中国人民银行发布的同期同类贷款基准利率支付利息。</w:t>
      </w:r>
    </w:p>
    <w:p w14:paraId="10A3C3B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15.3.3 </w:t>
      </w:r>
      <w:r>
        <w:rPr>
          <w:rFonts w:hint="eastAsia" w:asciiTheme="minorEastAsia" w:hAnsiTheme="minorEastAsia" w:eastAsiaTheme="minorEastAsia"/>
          <w:color w:val="000000"/>
          <w:szCs w:val="21"/>
        </w:rPr>
        <w:t>质量保证金的退还</w:t>
      </w:r>
    </w:p>
    <w:p w14:paraId="288F8DF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缺陷责任期内，承包人认真履行合同约定的责任，到期后，承包人可向发包人申请返还保证金。</w:t>
      </w:r>
    </w:p>
    <w:p w14:paraId="0AADB18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发包人在接到承包人返还保证金申请后，应于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天内会同承包人按照合同约定的内容进行核实。如无异议，发包人应当按照约定将保证金返还给承包人。对返还期限没有约定或者约定不明确的，发包人应当在核实后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天内将保证金返还承包人，逾期未返还的，依法承担违约责任。发包人在接到承包人返还保证金申请后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天内不予答复，经催告后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天内仍不予答复，视同认可承包人的返还保证金申请。</w:t>
      </w:r>
    </w:p>
    <w:p w14:paraId="3122B33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发包人和承包人对保证金预留、返还以及工程维修质量、费用有争议的，按本合同第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条约定的争议和纠纷解决程序处理。</w:t>
      </w:r>
    </w:p>
    <w:p w14:paraId="6CA66B57">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15.4 </w:t>
      </w:r>
      <w:r>
        <w:rPr>
          <w:rFonts w:hint="eastAsia" w:asciiTheme="minorEastAsia" w:hAnsiTheme="minorEastAsia" w:eastAsiaTheme="minorEastAsia"/>
          <w:b w:val="0"/>
          <w:color w:val="000000"/>
          <w:sz w:val="21"/>
          <w:szCs w:val="21"/>
        </w:rPr>
        <w:t>保修</w:t>
      </w:r>
    </w:p>
    <w:p w14:paraId="3DB278A0">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15.4.1</w:t>
      </w:r>
      <w:r>
        <w:rPr>
          <w:rFonts w:hint="eastAsia" w:asciiTheme="minorEastAsia" w:hAnsiTheme="minorEastAsia" w:eastAsiaTheme="minorEastAsia"/>
          <w:color w:val="000000"/>
          <w:szCs w:val="21"/>
        </w:rPr>
        <w:t>保修责任</w:t>
      </w:r>
    </w:p>
    <w:p w14:paraId="40D0EEE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065B42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发包人未经竣工验收擅自使用工程的，保修期自转移占有之日起算。</w:t>
      </w:r>
    </w:p>
    <w:p w14:paraId="7CB0AC1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15.4.2 </w:t>
      </w:r>
      <w:r>
        <w:rPr>
          <w:rFonts w:hint="eastAsia" w:asciiTheme="minorEastAsia" w:hAnsiTheme="minorEastAsia" w:eastAsiaTheme="minorEastAsia"/>
          <w:color w:val="000000"/>
          <w:szCs w:val="21"/>
        </w:rPr>
        <w:t>修复费用</w:t>
      </w:r>
    </w:p>
    <w:p w14:paraId="1DCBCF9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保修期内，修复的费用按照以下约定处理：</w:t>
      </w:r>
    </w:p>
    <w:p w14:paraId="5C2AA3C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）保修期内，因承包人原因造成工程的缺陷、损坏，承包人应负责修复，并承担修复的费用以及因工程的缺陷、损坏造成的人身伤害和财产损失；</w:t>
      </w:r>
    </w:p>
    <w:p w14:paraId="0EC873F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）保修期内，因发包人使用不当造成工程的缺陷、损坏，可以委托承包人修复，但发包人应承担修复的费用，并支付承包人合理利润；</w:t>
      </w:r>
    </w:p>
    <w:p w14:paraId="7066E51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）因其他原因造成工程的缺陷、损坏，可以委托承包人修复，发包人应承担修复的费用，并支付承包人合理的利润，因工程的缺陷、损坏造成的人身伤害和财产损失由责任方承担。</w:t>
      </w:r>
    </w:p>
    <w:p w14:paraId="6EA0FD0A">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15.4.3 </w:t>
      </w:r>
      <w:r>
        <w:rPr>
          <w:rFonts w:hint="eastAsia" w:asciiTheme="minorEastAsia" w:hAnsiTheme="minorEastAsia" w:eastAsiaTheme="minorEastAsia"/>
          <w:color w:val="000000"/>
          <w:szCs w:val="21"/>
        </w:rPr>
        <w:t>修复通知</w:t>
      </w:r>
    </w:p>
    <w:p w14:paraId="23FCF8A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在保修期内，发包人在使用过程中，发现已接收的工程存在缺陷或损坏的，应书面通知承包人予以修复，但情况紧急必须立即修复缺陷或损坏的，发包人可以口头通知承包人并在口头通知后</w:t>
      </w:r>
      <w:r>
        <w:rPr>
          <w:rFonts w:asciiTheme="minorEastAsia" w:hAnsiTheme="minorEastAsia" w:eastAsiaTheme="minorEastAsia"/>
          <w:color w:val="000000"/>
          <w:szCs w:val="21"/>
        </w:rPr>
        <w:t>48</w:t>
      </w:r>
      <w:r>
        <w:rPr>
          <w:rFonts w:hint="eastAsia" w:asciiTheme="minorEastAsia" w:hAnsiTheme="minorEastAsia" w:eastAsiaTheme="minorEastAsia"/>
          <w:color w:val="000000"/>
          <w:szCs w:val="21"/>
        </w:rPr>
        <w:t>小时内书面确认，承包人应在专用合同条款约定的合理期限内到达工程现场并修复缺陷或损坏。</w:t>
      </w:r>
    </w:p>
    <w:p w14:paraId="52D42A8B">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15.4.4 </w:t>
      </w:r>
      <w:r>
        <w:rPr>
          <w:rFonts w:hint="eastAsia" w:asciiTheme="minorEastAsia" w:hAnsiTheme="minorEastAsia" w:eastAsiaTheme="minorEastAsia"/>
          <w:color w:val="000000"/>
          <w:szCs w:val="21"/>
        </w:rPr>
        <w:t>未能修复</w:t>
      </w:r>
    </w:p>
    <w:p w14:paraId="709D70F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428546E">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15.4.5 </w:t>
      </w:r>
      <w:r>
        <w:rPr>
          <w:rFonts w:hint="eastAsia" w:asciiTheme="minorEastAsia" w:hAnsiTheme="minorEastAsia" w:eastAsiaTheme="minorEastAsia"/>
          <w:color w:val="000000"/>
          <w:szCs w:val="21"/>
        </w:rPr>
        <w:t>承包人出入权</w:t>
      </w:r>
    </w:p>
    <w:p w14:paraId="1A884DC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在保修期内，为了修复缺陷或损坏，承包人有权出入工程现场，除情况紧急必须立即修复缺陷或损坏外，承包人应提前</w:t>
      </w:r>
      <w:r>
        <w:rPr>
          <w:rFonts w:asciiTheme="minorEastAsia" w:hAnsiTheme="minorEastAsia" w:eastAsiaTheme="minorEastAsia"/>
          <w:color w:val="000000"/>
          <w:szCs w:val="21"/>
        </w:rPr>
        <w:t>24</w:t>
      </w:r>
      <w:r>
        <w:rPr>
          <w:rFonts w:hint="eastAsia" w:asciiTheme="minorEastAsia" w:hAnsiTheme="minorEastAsia" w:eastAsiaTheme="minorEastAsia"/>
          <w:color w:val="000000"/>
          <w:szCs w:val="21"/>
        </w:rPr>
        <w:t>小时通知发包人进场修复的时间。承包人进入工程现场前应获得发包人同意，且不应影响发包人正常的生产经营，并应遵守发包人有关保安和保密等规定。</w:t>
      </w:r>
    </w:p>
    <w:p w14:paraId="1BE5DD1F">
      <w:pPr>
        <w:adjustRightInd w:val="0"/>
        <w:snapToGrid w:val="0"/>
        <w:spacing w:line="360" w:lineRule="auto"/>
        <w:outlineLvl w:val="2"/>
        <w:rPr>
          <w:rFonts w:asciiTheme="minorEastAsia" w:hAnsiTheme="minorEastAsia" w:eastAsiaTheme="minorEastAsia"/>
          <w:b/>
          <w:szCs w:val="21"/>
        </w:rPr>
      </w:pPr>
      <w:bookmarkStart w:id="195" w:name="_Toc22122"/>
      <w:r>
        <w:rPr>
          <w:rFonts w:hint="eastAsia" w:asciiTheme="minorEastAsia" w:hAnsiTheme="minorEastAsia" w:eastAsiaTheme="minorEastAsia"/>
          <w:b/>
          <w:szCs w:val="21"/>
        </w:rPr>
        <w:t>16. 违约</w:t>
      </w:r>
      <w:bookmarkEnd w:id="195"/>
    </w:p>
    <w:p w14:paraId="2C42CAD3">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16.1 </w:t>
      </w:r>
      <w:r>
        <w:rPr>
          <w:rFonts w:hint="eastAsia" w:asciiTheme="minorEastAsia" w:hAnsiTheme="minorEastAsia" w:eastAsiaTheme="minorEastAsia"/>
          <w:b w:val="0"/>
          <w:color w:val="000000"/>
          <w:sz w:val="21"/>
          <w:szCs w:val="21"/>
        </w:rPr>
        <w:t>发包人违约</w:t>
      </w:r>
    </w:p>
    <w:p w14:paraId="2AE58A6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16.1.1 </w:t>
      </w:r>
      <w:r>
        <w:rPr>
          <w:rFonts w:hint="eastAsia" w:asciiTheme="minorEastAsia" w:hAnsiTheme="minorEastAsia" w:eastAsiaTheme="minorEastAsia"/>
          <w:color w:val="000000"/>
          <w:szCs w:val="21"/>
        </w:rPr>
        <w:t>发包人违约的情形</w:t>
      </w:r>
    </w:p>
    <w:p w14:paraId="1C4EA48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在合同履行过程中发生的下列情形，属于发包人违约：</w:t>
      </w:r>
    </w:p>
    <w:p w14:paraId="1350B78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）因发包人原因未能在计划开工日期前</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天内下达开工通知的；</w:t>
      </w:r>
    </w:p>
    <w:p w14:paraId="7A771CB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）因发包人原因未能按合同约定支付合同价款的；</w:t>
      </w:r>
    </w:p>
    <w:p w14:paraId="226D983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）发包人违反第</w:t>
      </w:r>
      <w:r>
        <w:rPr>
          <w:rFonts w:asciiTheme="minorEastAsia" w:hAnsiTheme="minorEastAsia" w:eastAsiaTheme="minorEastAsia"/>
          <w:color w:val="000000"/>
          <w:szCs w:val="21"/>
        </w:rPr>
        <w:t>10.1</w:t>
      </w:r>
      <w:r>
        <w:rPr>
          <w:rFonts w:hint="eastAsia" w:asciiTheme="minorEastAsia" w:hAnsiTheme="minorEastAsia" w:eastAsiaTheme="minorEastAsia"/>
          <w:color w:val="000000"/>
          <w:szCs w:val="21"/>
        </w:rPr>
        <w:t>款〔变更的范围〕第（</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）项约定，自行实施被取消的工作或转由他人实施的；</w:t>
      </w:r>
    </w:p>
    <w:p w14:paraId="290D647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）发包人提供的材料、工程设备的规格、数量或质量不符合合同约定，或因发包人原因导致交货日期延误或交货地点变更等情况的；</w:t>
      </w:r>
    </w:p>
    <w:p w14:paraId="08447A2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）因发包人违反合同约定造成暂停施工的；</w:t>
      </w:r>
    </w:p>
    <w:p w14:paraId="3343DEE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）发包人无正当理由没有在约定期限内发出复工指示，导致承包人无法复工的；</w:t>
      </w:r>
    </w:p>
    <w:p w14:paraId="77B751B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）发包人明确表示或者以其行为表明不履行合同主要义务的；</w:t>
      </w:r>
    </w:p>
    <w:p w14:paraId="3DC15AE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）发包人未能按照合同约定履行其他义务的。</w:t>
      </w:r>
    </w:p>
    <w:p w14:paraId="0F10ED3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发包人发生除本项第（</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）目以外的违约情况时，承包人可向发包人发出通知，要求发包人采取有效措施纠正违约行为。发包人收到承包人通知后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天内仍不纠正违约行为的，承包人有权暂停相应部位工程施工，并通知监理人。</w:t>
      </w:r>
    </w:p>
    <w:p w14:paraId="6EC5D0B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16.1.2 </w:t>
      </w:r>
      <w:r>
        <w:rPr>
          <w:rFonts w:hint="eastAsia" w:asciiTheme="minorEastAsia" w:hAnsiTheme="minorEastAsia" w:eastAsiaTheme="minorEastAsia"/>
          <w:color w:val="000000"/>
          <w:szCs w:val="21"/>
        </w:rPr>
        <w:t>发包人违约的责任</w:t>
      </w:r>
    </w:p>
    <w:p w14:paraId="551A151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发包人应承担因其违约给承包人增加的费用和（或）延误的工期，并支付承包人合理的利润。此外，合同当事人可在专用合同条款中另行约定发包人违约责任的承担方式和计算方法。</w:t>
      </w:r>
    </w:p>
    <w:p w14:paraId="2A20B28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16.1.3 </w:t>
      </w:r>
      <w:r>
        <w:rPr>
          <w:rFonts w:hint="eastAsia" w:asciiTheme="minorEastAsia" w:hAnsiTheme="minorEastAsia" w:eastAsiaTheme="minorEastAsia"/>
          <w:color w:val="000000"/>
          <w:szCs w:val="21"/>
        </w:rPr>
        <w:t>因发包人违约解除合同</w:t>
      </w:r>
    </w:p>
    <w:p w14:paraId="585FC8B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除专用合同条款另有约定外，承包人按第</w:t>
      </w:r>
      <w:r>
        <w:rPr>
          <w:rFonts w:asciiTheme="minorEastAsia" w:hAnsiTheme="minorEastAsia" w:eastAsiaTheme="minorEastAsia"/>
          <w:color w:val="000000"/>
          <w:szCs w:val="21"/>
        </w:rPr>
        <w:t>16.1.1</w:t>
      </w:r>
      <w:r>
        <w:rPr>
          <w:rFonts w:hint="eastAsia" w:asciiTheme="minorEastAsia" w:hAnsiTheme="minorEastAsia" w:eastAsiaTheme="minorEastAsia"/>
          <w:color w:val="000000"/>
          <w:szCs w:val="21"/>
        </w:rPr>
        <w:t>项〔发包人违约的情形〕约定暂停施工满</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天后，发包人仍不纠正其违约行为并致使合同目的不能实现的，或出现第</w:t>
      </w:r>
      <w:r>
        <w:rPr>
          <w:rFonts w:asciiTheme="minorEastAsia" w:hAnsiTheme="minorEastAsia" w:eastAsiaTheme="minorEastAsia"/>
          <w:color w:val="000000"/>
          <w:szCs w:val="21"/>
        </w:rPr>
        <w:t>16.1.1</w:t>
      </w:r>
      <w:r>
        <w:rPr>
          <w:rFonts w:hint="eastAsia" w:asciiTheme="minorEastAsia" w:hAnsiTheme="minorEastAsia" w:eastAsiaTheme="minorEastAsia"/>
          <w:color w:val="000000"/>
          <w:szCs w:val="21"/>
        </w:rPr>
        <w:t>项〔发包人违约的情形〕第（</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）目约定的违约情况，承包人有权解除合同，发包人应承担由此增加的费用，并支付承包人合理的利润。</w:t>
      </w:r>
    </w:p>
    <w:p w14:paraId="128C720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16.1.4 </w:t>
      </w:r>
      <w:r>
        <w:rPr>
          <w:rFonts w:hint="eastAsia" w:asciiTheme="minorEastAsia" w:hAnsiTheme="minorEastAsia" w:eastAsiaTheme="minorEastAsia"/>
          <w:color w:val="000000"/>
          <w:szCs w:val="21"/>
        </w:rPr>
        <w:t>因发包人违约解除合同后的付款</w:t>
      </w:r>
    </w:p>
    <w:p w14:paraId="2A077E2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承包人按照本款约定解除合同的，发包人应在解除合同后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天内支付下列款项，并解除履约担保：</w:t>
      </w:r>
    </w:p>
    <w:p w14:paraId="30811B9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）合同解除前所完成工作的价款；</w:t>
      </w:r>
    </w:p>
    <w:p w14:paraId="0021393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）承包人为工程施工订购并已付款的材料、工程设备和其他物品的价款；</w:t>
      </w:r>
    </w:p>
    <w:p w14:paraId="64930C64">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）承包人撤离施工现场以及遣散承包人人员的款项；</w:t>
      </w:r>
    </w:p>
    <w:p w14:paraId="274A8E4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）按照合同约定在合同解除前应支付的违约金；</w:t>
      </w:r>
    </w:p>
    <w:p w14:paraId="77EC05A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）按照合同约定应当支付给承包人的其他款项；</w:t>
      </w:r>
    </w:p>
    <w:p w14:paraId="1E2641E8">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）按照合同约定应退还的质量保证金；</w:t>
      </w:r>
    </w:p>
    <w:p w14:paraId="586D476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）因解除合同给承包人造成的损失。</w:t>
      </w:r>
    </w:p>
    <w:p w14:paraId="331DB43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合同当事人未能就解除合同后的结清达成一致的，按照第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条〔争议解决〕的约定处理。</w:t>
      </w:r>
    </w:p>
    <w:p w14:paraId="32828EB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承包人应妥善做好已完工程和与工程有关的已购材料、工程设备的保护和移交工作，并将施工设备和人员撤出施工现场，发包人应为承包人撤出提供必要条件。</w:t>
      </w:r>
    </w:p>
    <w:p w14:paraId="3A667714">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16.2 </w:t>
      </w:r>
      <w:r>
        <w:rPr>
          <w:rFonts w:hint="eastAsia" w:asciiTheme="minorEastAsia" w:hAnsiTheme="minorEastAsia" w:eastAsiaTheme="minorEastAsia"/>
          <w:b w:val="0"/>
          <w:color w:val="000000"/>
          <w:sz w:val="21"/>
          <w:szCs w:val="21"/>
        </w:rPr>
        <w:t>承包人违约</w:t>
      </w:r>
    </w:p>
    <w:p w14:paraId="50A27D4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16.2.1 </w:t>
      </w:r>
      <w:r>
        <w:rPr>
          <w:rFonts w:hint="eastAsia" w:asciiTheme="minorEastAsia" w:hAnsiTheme="minorEastAsia" w:eastAsiaTheme="minorEastAsia"/>
          <w:color w:val="000000"/>
          <w:szCs w:val="21"/>
        </w:rPr>
        <w:t>承包人违约的情形</w:t>
      </w:r>
    </w:p>
    <w:p w14:paraId="1ED3EB9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在合同履行过程中发生的下列情形，属于承包人违约：</w:t>
      </w:r>
    </w:p>
    <w:p w14:paraId="7EDF95A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）承包人违反合同约定进行转包或违法分包的；</w:t>
      </w:r>
    </w:p>
    <w:p w14:paraId="11A650D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）承包人违反合同约定采购和使用不合格的材料和工程设备的；</w:t>
      </w:r>
    </w:p>
    <w:p w14:paraId="305967A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）因承包人原因导致工程质量不符合合同要求的；</w:t>
      </w:r>
      <w:r>
        <w:rPr>
          <w:rFonts w:asciiTheme="minorEastAsia" w:hAnsiTheme="minorEastAsia" w:eastAsiaTheme="minorEastAsia"/>
          <w:color w:val="000000"/>
          <w:szCs w:val="21"/>
        </w:rPr>
        <w:t xml:space="preserve"> </w:t>
      </w:r>
    </w:p>
    <w:p w14:paraId="768F8EB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）承包人违反第</w:t>
      </w:r>
      <w:r>
        <w:rPr>
          <w:rFonts w:asciiTheme="minorEastAsia" w:hAnsiTheme="minorEastAsia" w:eastAsiaTheme="minorEastAsia"/>
          <w:color w:val="000000"/>
          <w:szCs w:val="21"/>
        </w:rPr>
        <w:t>8.9</w:t>
      </w:r>
      <w:r>
        <w:rPr>
          <w:rFonts w:hint="eastAsia" w:asciiTheme="minorEastAsia" w:hAnsiTheme="minorEastAsia" w:eastAsiaTheme="minorEastAsia"/>
          <w:color w:val="000000"/>
          <w:szCs w:val="21"/>
        </w:rPr>
        <w:t>款〔材料与设备专用要求〕的约定，未经批准，私自将已按照合同约定进入施工现场的材料或设备撤离施工现场的；</w:t>
      </w:r>
    </w:p>
    <w:p w14:paraId="62DC911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）承包人未能按施工进度计划及时完成合同约定的工作，造成工期延误的；</w:t>
      </w:r>
    </w:p>
    <w:p w14:paraId="43C375B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）承包人在缺陷责任期及保修期内，未能在合理期限对工程缺陷进行修复，或拒绝按发包人要求进行修复的；</w:t>
      </w:r>
    </w:p>
    <w:p w14:paraId="6C48D20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）承包人明确表示或者以其行为表明不履行合同主要义务的；</w:t>
      </w:r>
    </w:p>
    <w:p w14:paraId="62656F7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）承包人未能按照合同约定履行其他义务的。</w:t>
      </w:r>
    </w:p>
    <w:p w14:paraId="399F98B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承包人发生除本项第（</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）目约定以外的其他违约情况时，监理人可向承包人发出整改通知，要求其在指定的期限内改正。</w:t>
      </w:r>
    </w:p>
    <w:p w14:paraId="62272E0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16.2.2 </w:t>
      </w:r>
      <w:r>
        <w:rPr>
          <w:rFonts w:hint="eastAsia" w:asciiTheme="minorEastAsia" w:hAnsiTheme="minorEastAsia" w:eastAsiaTheme="minorEastAsia"/>
          <w:color w:val="000000"/>
          <w:szCs w:val="21"/>
        </w:rPr>
        <w:t>承包人违约的责任</w:t>
      </w:r>
    </w:p>
    <w:p w14:paraId="60E0D58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承包人应承担因其违约行为而增加的费用和（或）延误的工期。此外，合同当事人可在专用合同条款中另行约定承包人违约责任的承担方式和计算方法。</w:t>
      </w:r>
    </w:p>
    <w:p w14:paraId="7E5B957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16.2.3 </w:t>
      </w:r>
      <w:r>
        <w:rPr>
          <w:rFonts w:hint="eastAsia" w:asciiTheme="minorEastAsia" w:hAnsiTheme="minorEastAsia" w:eastAsiaTheme="minorEastAsia"/>
          <w:color w:val="000000"/>
          <w:szCs w:val="21"/>
        </w:rPr>
        <w:t>因承包人违约解除合同</w:t>
      </w:r>
    </w:p>
    <w:p w14:paraId="5E542B0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除专用合同条款另有约定外，出现第</w:t>
      </w:r>
      <w:r>
        <w:rPr>
          <w:rFonts w:asciiTheme="minorEastAsia" w:hAnsiTheme="minorEastAsia" w:eastAsiaTheme="minorEastAsia"/>
          <w:color w:val="000000"/>
          <w:szCs w:val="21"/>
        </w:rPr>
        <w:t>16.2.1</w:t>
      </w:r>
      <w:r>
        <w:rPr>
          <w:rFonts w:hint="eastAsia" w:asciiTheme="minorEastAsia" w:hAnsiTheme="minorEastAsia" w:eastAsiaTheme="minorEastAsia"/>
          <w:color w:val="000000"/>
          <w:szCs w:val="21"/>
        </w:rPr>
        <w:t>项〔承包人违约的情形〕第（</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22EBB13">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16.2.4</w:t>
      </w:r>
      <w:r>
        <w:rPr>
          <w:rFonts w:hint="eastAsia" w:asciiTheme="minorEastAsia" w:hAnsiTheme="minorEastAsia" w:eastAsiaTheme="minorEastAsia"/>
          <w:color w:val="000000"/>
          <w:szCs w:val="21"/>
        </w:rPr>
        <w:t>因承包人违约解除合同后的处理</w:t>
      </w:r>
    </w:p>
    <w:p w14:paraId="3E039937">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因承包人原因导致合同解除的，则合同当事人应在合同解除后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天内完成估价、付款和清算，并按以下约定执行：</w:t>
      </w:r>
    </w:p>
    <w:p w14:paraId="14927CC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）合同解除后，按第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款〔商定或确定〕商定或确定承包人实际完成工作对应的合同价款，以及承包人已提供的材料、工程设备、施工设备和临时工程等的价值；</w:t>
      </w:r>
    </w:p>
    <w:p w14:paraId="7E0C9EC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）合同解除后，承包人应支付的违约金；</w:t>
      </w:r>
    </w:p>
    <w:p w14:paraId="197D128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）合同解除后，因解除合同给发包人造成的损失；</w:t>
      </w:r>
    </w:p>
    <w:p w14:paraId="7764A88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）合同解除后，承包人应按照发包人要求和监理人的指示完成现场的清理和撤离；</w:t>
      </w:r>
    </w:p>
    <w:p w14:paraId="2053FC6E">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）发包人和承包人应在合同解除后进行清算，出具最终结清付款证书，结清全部款项。</w:t>
      </w:r>
    </w:p>
    <w:p w14:paraId="534BFD4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因承包人违约解除合同的，发包人有权暂停对承包人的付款，查清各项付款和已扣款项。发包人和承包人未能就合同解除后的清算和款项支付达成一致的，按照第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条〔争议解决〕的约定处理。</w:t>
      </w:r>
    </w:p>
    <w:p w14:paraId="20B31309">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16.2.5</w:t>
      </w:r>
      <w:r>
        <w:rPr>
          <w:rFonts w:hint="eastAsia" w:asciiTheme="minorEastAsia" w:hAnsiTheme="minorEastAsia" w:eastAsiaTheme="minorEastAsia"/>
          <w:color w:val="000000"/>
          <w:szCs w:val="21"/>
        </w:rPr>
        <w:t>采购合同权益转让</w:t>
      </w:r>
    </w:p>
    <w:p w14:paraId="196F8DB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因承包人违约解除合同的，发包人有权要求承包人将其为实施合同而签订的材料和设备的采购合同的权益转让给发包人，承包人应在收到解除合同通知后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天内，协助发包人与采购合同的供应商达成相关的转让协议。</w:t>
      </w:r>
    </w:p>
    <w:p w14:paraId="5EF72E8E">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16.3 </w:t>
      </w:r>
      <w:r>
        <w:rPr>
          <w:rFonts w:hint="eastAsia" w:asciiTheme="minorEastAsia" w:hAnsiTheme="minorEastAsia" w:eastAsiaTheme="minorEastAsia"/>
          <w:b w:val="0"/>
          <w:color w:val="000000"/>
          <w:sz w:val="21"/>
          <w:szCs w:val="21"/>
        </w:rPr>
        <w:t>第三人造成的违约</w:t>
      </w:r>
    </w:p>
    <w:p w14:paraId="3CDE5ED7">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在履行合同过程中，一方当事人因第三人的原因造成违约的，应当向对方当事人承担违约责任。一方当事人和第三人之间的纠纷，依照法律规定或者按照约定解决。</w:t>
      </w:r>
    </w:p>
    <w:p w14:paraId="432464E0">
      <w:pPr>
        <w:adjustRightInd w:val="0"/>
        <w:snapToGrid w:val="0"/>
        <w:spacing w:line="360" w:lineRule="auto"/>
        <w:outlineLvl w:val="2"/>
        <w:rPr>
          <w:rFonts w:asciiTheme="minorEastAsia" w:hAnsiTheme="minorEastAsia" w:eastAsiaTheme="minorEastAsia"/>
          <w:b/>
          <w:szCs w:val="21"/>
        </w:rPr>
      </w:pPr>
      <w:bookmarkStart w:id="196" w:name="_Toc3003"/>
      <w:r>
        <w:rPr>
          <w:rFonts w:hint="eastAsia" w:asciiTheme="minorEastAsia" w:hAnsiTheme="minorEastAsia" w:eastAsiaTheme="minorEastAsia"/>
          <w:b/>
          <w:szCs w:val="21"/>
        </w:rPr>
        <w:t>17. 不可抗力</w:t>
      </w:r>
      <w:bookmarkEnd w:id="196"/>
      <w:r>
        <w:rPr>
          <w:rFonts w:hint="eastAsia" w:asciiTheme="minorEastAsia" w:hAnsiTheme="minorEastAsia" w:eastAsiaTheme="minorEastAsia"/>
          <w:b/>
          <w:szCs w:val="21"/>
        </w:rPr>
        <w:t xml:space="preserve"> </w:t>
      </w:r>
    </w:p>
    <w:p w14:paraId="34C8DED6">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17.1 </w:t>
      </w:r>
      <w:r>
        <w:rPr>
          <w:rFonts w:hint="eastAsia" w:asciiTheme="minorEastAsia" w:hAnsiTheme="minorEastAsia" w:eastAsiaTheme="minorEastAsia"/>
          <w:b w:val="0"/>
          <w:color w:val="000000"/>
          <w:sz w:val="21"/>
          <w:szCs w:val="21"/>
        </w:rPr>
        <w:t>不可抗力的确认</w:t>
      </w:r>
    </w:p>
    <w:p w14:paraId="6044646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304ACCC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不可抗力发生后，发包人和承包人应收集证明不可抗力发生及不可抗力造成损失的证据，并及时认真统计所造成的损失。合同当事人对是否属于不可抗力或其损失的意见不一致的，由监理人按第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款〔商定或确定〕的约定处理。发生争议时，按第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条〔争议解决〕的约定处理。</w:t>
      </w:r>
    </w:p>
    <w:p w14:paraId="4728D323">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17.2 </w:t>
      </w:r>
      <w:r>
        <w:rPr>
          <w:rFonts w:hint="eastAsia" w:asciiTheme="minorEastAsia" w:hAnsiTheme="minorEastAsia" w:eastAsiaTheme="minorEastAsia"/>
          <w:b w:val="0"/>
          <w:color w:val="000000"/>
          <w:sz w:val="21"/>
          <w:szCs w:val="21"/>
        </w:rPr>
        <w:t>不可抗力的通知</w:t>
      </w:r>
    </w:p>
    <w:p w14:paraId="2CFCC19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合同一方当事人遇到不可抗力事件，使其履行合同义务受到阻碍时，应立即通知合同另一方当事人和监理人，书面说明不可抗力和受阻碍的详细情况，并提供必要的证明。</w:t>
      </w:r>
    </w:p>
    <w:p w14:paraId="4DCD27B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不可抗力持续发生的，合同一方当事人应及时向合同另一方当事人和监理人提交中间报告，说明不可抗力和履行合同受阻的情况，并于不可抗力事件结束后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天内提交最终报告及有关资料。</w:t>
      </w:r>
    </w:p>
    <w:p w14:paraId="74508F93">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17.3 </w:t>
      </w:r>
      <w:r>
        <w:rPr>
          <w:rFonts w:hint="eastAsia" w:asciiTheme="minorEastAsia" w:hAnsiTheme="minorEastAsia" w:eastAsiaTheme="minorEastAsia"/>
          <w:b w:val="0"/>
          <w:color w:val="000000"/>
          <w:sz w:val="21"/>
          <w:szCs w:val="21"/>
        </w:rPr>
        <w:t>不可抗力后果的承担</w:t>
      </w:r>
    </w:p>
    <w:p w14:paraId="512A0048">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17.3.1 </w:t>
      </w:r>
      <w:r>
        <w:rPr>
          <w:rFonts w:hint="eastAsia" w:asciiTheme="minorEastAsia" w:hAnsiTheme="minorEastAsia" w:eastAsiaTheme="minorEastAsia"/>
          <w:color w:val="000000"/>
          <w:szCs w:val="21"/>
        </w:rPr>
        <w:t>不可抗力引起的后果及造成的损失由合同当事人按照法律规定及合同约定各自承担。不可抗力发生前已完成的工程应当按照合同约定进行计量支付。</w:t>
      </w:r>
    </w:p>
    <w:p w14:paraId="38CEF25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17.3.2 </w:t>
      </w:r>
      <w:r>
        <w:rPr>
          <w:rFonts w:hint="eastAsia" w:asciiTheme="minorEastAsia" w:hAnsiTheme="minorEastAsia" w:eastAsiaTheme="minorEastAsia"/>
          <w:color w:val="000000"/>
          <w:szCs w:val="21"/>
        </w:rPr>
        <w:t>不可抗力导致的人员伤亡、财产损失、费用增加和（或）工期延误等后果，由合同当事人按以下原则承担：</w:t>
      </w:r>
    </w:p>
    <w:p w14:paraId="41D4C9B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）永久工程、已运至施工现场的材料和工程设备的损坏，以及因工程损坏造成的第三人人员伤亡和财产损失由发包人承担；</w:t>
      </w:r>
    </w:p>
    <w:p w14:paraId="2638AB1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）承包人施工设备的损坏由承包人承担；</w:t>
      </w:r>
    </w:p>
    <w:p w14:paraId="199C9FA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）发包人和承包人承担各自人员伤亡和财产的损失；</w:t>
      </w:r>
    </w:p>
    <w:p w14:paraId="31591C9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14:paraId="6CEFA04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）因不可抗力引起或将引起工期延误，发包人要求赶工的，由此增加的赶工费用由发包人承担；</w:t>
      </w:r>
    </w:p>
    <w:p w14:paraId="7E6A65E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）承包人在停工期间按照发包人要求照管、清理和修复工程的费用由发包人承担。</w:t>
      </w:r>
    </w:p>
    <w:p w14:paraId="18AE542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不可抗力发生后，合同当事人均应采取措施尽量避免和减少损失的扩大，任何一方当事人没有采取有效措施导致损失扩大的，应对扩大的损失承担责任。</w:t>
      </w:r>
    </w:p>
    <w:p w14:paraId="1E8CFCE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因合同一方迟延履行合同义务，在迟延履行期间遭遇不可抗力的，不免除其违约责任。</w:t>
      </w:r>
    </w:p>
    <w:p w14:paraId="28D53516">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17.4 </w:t>
      </w:r>
      <w:r>
        <w:rPr>
          <w:rFonts w:hint="eastAsia" w:asciiTheme="minorEastAsia" w:hAnsiTheme="minorEastAsia" w:eastAsiaTheme="minorEastAsia"/>
          <w:b w:val="0"/>
          <w:color w:val="000000"/>
          <w:sz w:val="21"/>
          <w:szCs w:val="21"/>
        </w:rPr>
        <w:t>因不可抗力解除合同</w:t>
      </w:r>
    </w:p>
    <w:p w14:paraId="6304B5D7">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因不可抗力导致合同无法履行连续超过</w:t>
      </w:r>
      <w:r>
        <w:rPr>
          <w:rFonts w:asciiTheme="minorEastAsia" w:hAnsiTheme="minorEastAsia" w:eastAsiaTheme="minorEastAsia"/>
          <w:color w:val="000000"/>
          <w:szCs w:val="21"/>
        </w:rPr>
        <w:t>84</w:t>
      </w:r>
      <w:r>
        <w:rPr>
          <w:rFonts w:hint="eastAsia" w:asciiTheme="minorEastAsia" w:hAnsiTheme="minorEastAsia" w:eastAsiaTheme="minorEastAsia"/>
          <w:color w:val="000000"/>
          <w:szCs w:val="21"/>
        </w:rPr>
        <w:t>天或累计超过</w:t>
      </w:r>
      <w:r>
        <w:rPr>
          <w:rFonts w:asciiTheme="minorEastAsia" w:hAnsiTheme="minorEastAsia" w:eastAsiaTheme="minorEastAsia"/>
          <w:color w:val="000000"/>
          <w:szCs w:val="21"/>
        </w:rPr>
        <w:t>140</w:t>
      </w:r>
      <w:r>
        <w:rPr>
          <w:rFonts w:hint="eastAsia" w:asciiTheme="minorEastAsia" w:hAnsiTheme="minorEastAsia" w:eastAsiaTheme="minorEastAsia"/>
          <w:color w:val="000000"/>
          <w:szCs w:val="21"/>
        </w:rPr>
        <w:t>天的，发包人和承包人均有权解除合同。合同解除后，由双方当事人按照第</w:t>
      </w:r>
      <w:r>
        <w:rPr>
          <w:rFonts w:asciiTheme="minorEastAsia" w:hAnsiTheme="minorEastAsia" w:eastAsiaTheme="minorEastAsia"/>
          <w:color w:val="000000"/>
          <w:szCs w:val="21"/>
        </w:rPr>
        <w:t>4.4</w:t>
      </w:r>
      <w:r>
        <w:rPr>
          <w:rFonts w:hint="eastAsia" w:asciiTheme="minorEastAsia" w:hAnsiTheme="minorEastAsia" w:eastAsiaTheme="minorEastAsia"/>
          <w:color w:val="000000"/>
          <w:szCs w:val="21"/>
        </w:rPr>
        <w:t>款〔商定或确定〕商定或确定发包人应支付的款项，该款项包括：</w:t>
      </w:r>
    </w:p>
    <w:p w14:paraId="23E9EFB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）合同解除前承包人已完成工作的价款；</w:t>
      </w:r>
    </w:p>
    <w:p w14:paraId="5342BFA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）承包人为工程订购的并已交付给承包人，或承包人有责任接受交付的材料、工程设备和其他物品的价款；</w:t>
      </w:r>
    </w:p>
    <w:p w14:paraId="3F9DDA99">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）发包人要求承包人退货或解除订货合同而产生的费用，或因不能退货或解除合同而产生的损失；</w:t>
      </w:r>
    </w:p>
    <w:p w14:paraId="38E27E75">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）承包人撤离施工现场以及遣散承包人人员的费用；</w:t>
      </w:r>
    </w:p>
    <w:p w14:paraId="488D449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）按照合同约定在合同解除前应支付给承包人的其他款项；</w:t>
      </w:r>
    </w:p>
    <w:p w14:paraId="319037CF">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）扣减承包人按照合同约定应向发包人支付的款项；</w:t>
      </w:r>
    </w:p>
    <w:p w14:paraId="370462E6">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）双方商定或确定的其他款项。</w:t>
      </w:r>
    </w:p>
    <w:p w14:paraId="15EBBBA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除专用合同条款另有约定外，合同解除后，发包人应在商定或确定上述款项后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天内完成上述款项的支付。</w:t>
      </w:r>
    </w:p>
    <w:p w14:paraId="38044F44">
      <w:pPr>
        <w:adjustRightInd w:val="0"/>
        <w:snapToGrid w:val="0"/>
        <w:spacing w:line="360" w:lineRule="auto"/>
        <w:outlineLvl w:val="2"/>
        <w:rPr>
          <w:rFonts w:asciiTheme="minorEastAsia" w:hAnsiTheme="minorEastAsia" w:eastAsiaTheme="minorEastAsia"/>
          <w:b/>
          <w:szCs w:val="21"/>
        </w:rPr>
      </w:pPr>
      <w:bookmarkStart w:id="197" w:name="_Toc28639"/>
      <w:r>
        <w:rPr>
          <w:rFonts w:hint="eastAsia" w:asciiTheme="minorEastAsia" w:hAnsiTheme="minorEastAsia" w:eastAsiaTheme="minorEastAsia"/>
          <w:b/>
          <w:szCs w:val="21"/>
        </w:rPr>
        <w:t>18. 保险</w:t>
      </w:r>
      <w:bookmarkEnd w:id="197"/>
    </w:p>
    <w:p w14:paraId="368D8EE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18.1 </w:t>
      </w:r>
      <w:r>
        <w:rPr>
          <w:rFonts w:hint="eastAsia" w:asciiTheme="minorEastAsia" w:hAnsiTheme="minorEastAsia" w:eastAsiaTheme="minorEastAsia"/>
          <w:b w:val="0"/>
          <w:color w:val="000000"/>
          <w:sz w:val="21"/>
          <w:szCs w:val="21"/>
        </w:rPr>
        <w:t>工程保险</w:t>
      </w:r>
    </w:p>
    <w:p w14:paraId="75650356">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除专用合同条款另有约定外，发包人应投保</w:t>
      </w:r>
      <w:r>
        <w:rPr>
          <w:rFonts w:hint="eastAsia" w:asciiTheme="minorEastAsia" w:hAnsiTheme="minorEastAsia" w:eastAsiaTheme="minorEastAsia"/>
          <w:color w:val="000000"/>
          <w:szCs w:val="21"/>
          <w:lang w:eastAsia="zh-CN"/>
        </w:rPr>
        <w:t>水利水电工程</w:t>
      </w:r>
      <w:r>
        <w:rPr>
          <w:rFonts w:hint="eastAsia" w:asciiTheme="minorEastAsia" w:hAnsiTheme="minorEastAsia" w:eastAsiaTheme="minorEastAsia"/>
          <w:color w:val="000000"/>
          <w:szCs w:val="21"/>
        </w:rPr>
        <w:t>一切险或安装工程一切险；发包人委托承包人投保的，因投保产生的保险费和其他相关费用由发包人承担。</w:t>
      </w:r>
    </w:p>
    <w:p w14:paraId="059305F9">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18.2 </w:t>
      </w:r>
      <w:r>
        <w:rPr>
          <w:rFonts w:hint="eastAsia" w:asciiTheme="minorEastAsia" w:hAnsiTheme="minorEastAsia" w:eastAsiaTheme="minorEastAsia"/>
          <w:b w:val="0"/>
          <w:color w:val="000000"/>
          <w:sz w:val="21"/>
          <w:szCs w:val="21"/>
        </w:rPr>
        <w:t>工伤保险</w:t>
      </w:r>
    </w:p>
    <w:p w14:paraId="5BB83B2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18.2.1 </w:t>
      </w:r>
      <w:r>
        <w:rPr>
          <w:rFonts w:hint="eastAsia" w:asciiTheme="minorEastAsia" w:hAnsiTheme="minorEastAsia" w:eastAsiaTheme="minorEastAsia"/>
          <w:color w:val="000000"/>
          <w:szCs w:val="21"/>
        </w:rPr>
        <w:t>发包人应依照法律规定参加工伤保险，并为在施工现场的全部员工办理工伤保险，缴纳工伤保险费，并要求监理人及由发包人为履行合同聘请的第三方依法参加工伤保险。</w:t>
      </w:r>
    </w:p>
    <w:p w14:paraId="50F3ADF3">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18.2.2 </w:t>
      </w:r>
      <w:r>
        <w:rPr>
          <w:rFonts w:hint="eastAsia" w:asciiTheme="minorEastAsia" w:hAnsiTheme="minorEastAsia" w:eastAsiaTheme="minorEastAsia"/>
          <w:color w:val="000000"/>
          <w:szCs w:val="21"/>
        </w:rPr>
        <w:t>承包人应依照法律规定参加工伤保险，并为其履行合同的全部员工办理工伤保险，缴纳工伤保险费，并要求分包人及由承包人为履行合同聘请的第三方依法参加工伤保险。</w:t>
      </w:r>
    </w:p>
    <w:p w14:paraId="164D8411">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18.3</w:t>
      </w:r>
      <w:r>
        <w:rPr>
          <w:rFonts w:hint="eastAsia" w:asciiTheme="minorEastAsia" w:hAnsiTheme="minorEastAsia" w:eastAsiaTheme="minorEastAsia"/>
          <w:b w:val="0"/>
          <w:color w:val="000000"/>
          <w:sz w:val="21"/>
          <w:szCs w:val="21"/>
        </w:rPr>
        <w:t>其他保险</w:t>
      </w:r>
    </w:p>
    <w:p w14:paraId="3296AC4C">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发包人和承包人可以为其施工现场的全部人员办理意外伤害保险并支付保险费，包括其员工及为履行合同聘请的第三方的人员，具体事项由合同当事人在专用合同条款约定。</w:t>
      </w:r>
    </w:p>
    <w:p w14:paraId="08A79A83">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除专用合同条款另有约定外，承包人应为其施工设备等办理财产保险。</w:t>
      </w:r>
    </w:p>
    <w:p w14:paraId="467E0CEA">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18.4</w:t>
      </w:r>
      <w:r>
        <w:rPr>
          <w:rFonts w:hint="eastAsia" w:asciiTheme="minorEastAsia" w:hAnsiTheme="minorEastAsia" w:eastAsiaTheme="minorEastAsia"/>
          <w:b w:val="0"/>
          <w:color w:val="000000"/>
          <w:sz w:val="21"/>
          <w:szCs w:val="21"/>
        </w:rPr>
        <w:t>持续保险</w:t>
      </w:r>
    </w:p>
    <w:p w14:paraId="5C954A2B">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合同当事人应与保险人保持联系，使保险人能够随时了解工程实施中的变动，并确保按保险合同条款要求持续保险。</w:t>
      </w:r>
    </w:p>
    <w:p w14:paraId="29A0517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18.5 </w:t>
      </w:r>
      <w:r>
        <w:rPr>
          <w:rFonts w:hint="eastAsia" w:asciiTheme="minorEastAsia" w:hAnsiTheme="minorEastAsia" w:eastAsiaTheme="minorEastAsia"/>
          <w:b w:val="0"/>
          <w:color w:val="000000"/>
          <w:sz w:val="21"/>
          <w:szCs w:val="21"/>
        </w:rPr>
        <w:t>保险凭证</w:t>
      </w:r>
    </w:p>
    <w:p w14:paraId="73B59F4A">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合同当事人应及时向另一方当事人提交其已投保的各项保险的凭证和保险单复印件。</w:t>
      </w:r>
    </w:p>
    <w:p w14:paraId="7BA0BD3F">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18.6 </w:t>
      </w:r>
      <w:r>
        <w:rPr>
          <w:rFonts w:hint="eastAsia" w:asciiTheme="minorEastAsia" w:hAnsiTheme="minorEastAsia" w:eastAsiaTheme="minorEastAsia"/>
          <w:b w:val="0"/>
          <w:color w:val="000000"/>
          <w:sz w:val="21"/>
          <w:szCs w:val="21"/>
        </w:rPr>
        <w:t>未按约定投保的补救</w:t>
      </w:r>
    </w:p>
    <w:p w14:paraId="6F0C4CA6">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18.6.1</w:t>
      </w:r>
      <w:r>
        <w:rPr>
          <w:rFonts w:hint="eastAsia" w:asciiTheme="minorEastAsia" w:hAnsiTheme="minorEastAsia" w:eastAsiaTheme="minorEastAsia"/>
          <w:color w:val="000000"/>
          <w:szCs w:val="21"/>
        </w:rPr>
        <w:t>发包人未按合同约定办理保险，或未能使保险持续有效的，则承包人可代为办理，所需费用由发包人承担。发包人未按合同约定办理保险，导致未能得到足额赔偿的，由发包人负责补足。</w:t>
      </w:r>
    </w:p>
    <w:p w14:paraId="208B626A">
      <w:pPr>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18.6.2</w:t>
      </w:r>
      <w:r>
        <w:rPr>
          <w:rFonts w:hint="eastAsia" w:asciiTheme="minorEastAsia" w:hAnsiTheme="minorEastAsia" w:eastAsiaTheme="minorEastAsia"/>
          <w:color w:val="000000"/>
          <w:szCs w:val="21"/>
        </w:rPr>
        <w:t>承包人未按合同约定办理保险，或未能使保险持续有效的，则发包人可代为办理，所需费用由承包人承担。承包人未按合同约定办理保险，导致未能得到足额赔偿的，由承包人负责补足。</w:t>
      </w:r>
    </w:p>
    <w:p w14:paraId="5C76F2FA">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18.7 </w:t>
      </w:r>
      <w:r>
        <w:rPr>
          <w:rFonts w:hint="eastAsia" w:asciiTheme="minorEastAsia" w:hAnsiTheme="minorEastAsia" w:eastAsiaTheme="minorEastAsia"/>
          <w:b w:val="0"/>
          <w:color w:val="000000"/>
          <w:sz w:val="21"/>
          <w:szCs w:val="21"/>
        </w:rPr>
        <w:t>通知义务</w:t>
      </w:r>
    </w:p>
    <w:p w14:paraId="2B9A9380">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7863B56D">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保险事故发生时，投保人应按照保险合同规定的条件和期限及时向保险人报告。发包人和承包人应当在知道保险事故发生后及时通知对方。</w:t>
      </w:r>
    </w:p>
    <w:p w14:paraId="50DF36A7">
      <w:pPr>
        <w:adjustRightInd w:val="0"/>
        <w:snapToGrid w:val="0"/>
        <w:spacing w:line="360" w:lineRule="auto"/>
        <w:outlineLvl w:val="2"/>
        <w:rPr>
          <w:rFonts w:asciiTheme="minorEastAsia" w:hAnsiTheme="minorEastAsia" w:eastAsiaTheme="minorEastAsia"/>
          <w:b/>
          <w:szCs w:val="21"/>
        </w:rPr>
      </w:pPr>
      <w:bookmarkStart w:id="198" w:name="_Toc23966"/>
      <w:r>
        <w:rPr>
          <w:rFonts w:hint="eastAsia" w:asciiTheme="minorEastAsia" w:hAnsiTheme="minorEastAsia" w:eastAsiaTheme="minorEastAsia"/>
          <w:b/>
          <w:szCs w:val="21"/>
        </w:rPr>
        <w:t>19. 索赔</w:t>
      </w:r>
      <w:bookmarkEnd w:id="198"/>
    </w:p>
    <w:p w14:paraId="1F478576">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19.1</w:t>
      </w:r>
      <w:r>
        <w:rPr>
          <w:rFonts w:hint="eastAsia" w:asciiTheme="minorEastAsia" w:hAnsiTheme="minorEastAsia" w:eastAsiaTheme="minorEastAsia"/>
          <w:b w:val="0"/>
          <w:color w:val="000000"/>
          <w:sz w:val="21"/>
          <w:szCs w:val="21"/>
        </w:rPr>
        <w:t>承包人的索赔</w:t>
      </w:r>
    </w:p>
    <w:p w14:paraId="3AB74A4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根据合同约定，承包人认为有权得到追加付款和（或）延长工期的，应按以下程序向发包人提出索赔：</w:t>
      </w:r>
    </w:p>
    <w:p w14:paraId="40A8BDB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）承包人应在知道或应当知道索赔事件发生后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天内，向监理人递交索赔意向通知书，并说明发生索赔事件的事由；承包人未在前述</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天内发出索赔意向通知书的，丧失要求追加付款和（或）延长工期的权利；</w:t>
      </w:r>
    </w:p>
    <w:p w14:paraId="7DF03125">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）承包人应在发出索赔意向通知书后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天内，向监理人正式递交索赔报告；索赔报告应详细说明索赔理由以及要求追加的付款金额和（或）延长的工期，并附必要的记录和证明材料；</w:t>
      </w:r>
    </w:p>
    <w:p w14:paraId="4D6BFCE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）索赔事件具有持续影响的，承包人应按合理时间间隔继续递交延续索赔通知，说明持续影响的实际情况和记录，列出累计的追加付款金额和（或）工期延长天数；</w:t>
      </w:r>
    </w:p>
    <w:p w14:paraId="4706DF6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）在索赔事件影响结束后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天内，承包人应向监理人递交最终索赔报告，说明最终要求索赔的追加付款金额和（或）延长的工期，并附必要的记录和证明材料。</w:t>
      </w:r>
    </w:p>
    <w:p w14:paraId="61C243B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19.2 </w:t>
      </w:r>
      <w:r>
        <w:rPr>
          <w:rFonts w:hint="eastAsia" w:asciiTheme="minorEastAsia" w:hAnsiTheme="minorEastAsia" w:eastAsiaTheme="minorEastAsia"/>
          <w:b w:val="0"/>
          <w:color w:val="000000"/>
          <w:sz w:val="21"/>
          <w:szCs w:val="21"/>
        </w:rPr>
        <w:t>对承包人索赔的处理</w:t>
      </w:r>
    </w:p>
    <w:p w14:paraId="413F313B">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对承包人索赔的处理如下：</w:t>
      </w:r>
    </w:p>
    <w:p w14:paraId="086B17B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）监理人应在收到索赔报告后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天内完成审查并报送发包人。监理人对索赔报告存在异议的，有权要求承包人提交全部原始记录副本；</w:t>
      </w:r>
    </w:p>
    <w:p w14:paraId="4561215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）发包人应在监理人收到索赔报告或有关索赔的进一步证明材料后的</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天内，由监理人向承包人出具经发包人签认的索赔处理结果。发包人逾期答复的，则视为认可承包人的索赔要求；</w:t>
      </w:r>
    </w:p>
    <w:p w14:paraId="449EF90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）承包人接受索赔处理结果的，索赔款项在当期进度款中进行支付；承包人不接受索赔处理结果的，按照第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条〔争议解决〕约定处理。</w:t>
      </w:r>
    </w:p>
    <w:p w14:paraId="639D31FA">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19.3</w:t>
      </w:r>
      <w:r>
        <w:rPr>
          <w:rFonts w:hint="eastAsia" w:asciiTheme="minorEastAsia" w:hAnsiTheme="minorEastAsia" w:eastAsiaTheme="minorEastAsia"/>
          <w:b w:val="0"/>
          <w:color w:val="000000"/>
          <w:sz w:val="21"/>
          <w:szCs w:val="21"/>
        </w:rPr>
        <w:t>发包人的索赔</w:t>
      </w:r>
    </w:p>
    <w:p w14:paraId="2F07784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根据合同约定，发包人认为有权得到赔付金额和（或）延长缺陷责任期的，监理人应向承包人发出通知并附有详细的证明。</w:t>
      </w:r>
    </w:p>
    <w:p w14:paraId="05EA300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发包人应在知道或应当知道索赔事件发生后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天内通过监理人向承包人提出索赔意向通知书，发包人未在前述</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天内发出索赔意向通知书的，丧失要求赔付金额和（或）延长缺陷责任期的权利。发包人应在发出索赔意向通知书后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天内，通过监理人向承包人正式递交索赔报告。</w:t>
      </w:r>
    </w:p>
    <w:p w14:paraId="61215533">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19.4 </w:t>
      </w:r>
      <w:r>
        <w:rPr>
          <w:rFonts w:hint="eastAsia" w:asciiTheme="minorEastAsia" w:hAnsiTheme="minorEastAsia" w:eastAsiaTheme="minorEastAsia"/>
          <w:b w:val="0"/>
          <w:color w:val="000000"/>
          <w:sz w:val="21"/>
          <w:szCs w:val="21"/>
        </w:rPr>
        <w:t>对发包人索赔的处理</w:t>
      </w:r>
    </w:p>
    <w:p w14:paraId="1820B19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对发包人索赔的处理如下：</w:t>
      </w:r>
    </w:p>
    <w:p w14:paraId="3B89A4B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）承包人收到发包人提交的索赔报告后，应及时审查索赔报告的内容、查验发包人证明材料；</w:t>
      </w:r>
    </w:p>
    <w:p w14:paraId="428255C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）承包人应在收到索赔报告或有关索赔的进一步证明材料后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天内，将索赔处理结果答复发包人。如果承包人未在上述期限内作出答复的，则视为对发包人索赔要求的认可；</w:t>
      </w:r>
    </w:p>
    <w:p w14:paraId="3B2B9BA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）承包人接受索赔处理结果的，发包人可从应支付给承包人的合同价款中扣除赔付的金额或延长缺陷责任期；发包人不接受索赔处理结果的，按第</w:t>
      </w:r>
      <w:r>
        <w:rPr>
          <w:rFonts w:asciiTheme="minorEastAsia" w:hAnsiTheme="minorEastAsia" w:eastAsiaTheme="minorEastAsia"/>
          <w:color w:val="000000"/>
          <w:szCs w:val="21"/>
        </w:rPr>
        <w:t>20</w:t>
      </w:r>
      <w:r>
        <w:rPr>
          <w:rFonts w:hint="eastAsia" w:asciiTheme="minorEastAsia" w:hAnsiTheme="minorEastAsia" w:eastAsiaTheme="minorEastAsia"/>
          <w:color w:val="000000"/>
          <w:szCs w:val="21"/>
        </w:rPr>
        <w:t>条〔争议解决〕约定处理。</w:t>
      </w:r>
    </w:p>
    <w:p w14:paraId="50FE639D">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 xml:space="preserve">19.5 </w:t>
      </w:r>
      <w:r>
        <w:rPr>
          <w:rFonts w:hint="eastAsia" w:asciiTheme="minorEastAsia" w:hAnsiTheme="minorEastAsia" w:eastAsiaTheme="minorEastAsia"/>
          <w:b w:val="0"/>
          <w:color w:val="000000"/>
          <w:sz w:val="21"/>
          <w:szCs w:val="21"/>
        </w:rPr>
        <w:t>提出索赔的期限</w:t>
      </w:r>
    </w:p>
    <w:p w14:paraId="33AAFE52">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）承包人按第</w:t>
      </w:r>
      <w:r>
        <w:rPr>
          <w:rFonts w:asciiTheme="minorEastAsia" w:hAnsiTheme="minorEastAsia" w:eastAsiaTheme="minorEastAsia"/>
          <w:color w:val="000000"/>
          <w:szCs w:val="21"/>
        </w:rPr>
        <w:t>14.2</w:t>
      </w:r>
      <w:r>
        <w:rPr>
          <w:rFonts w:hint="eastAsia" w:asciiTheme="minorEastAsia" w:hAnsiTheme="minorEastAsia" w:eastAsiaTheme="minorEastAsia"/>
          <w:color w:val="000000"/>
          <w:szCs w:val="21"/>
        </w:rPr>
        <w:t>款〔竣工结算审核〕约定接收竣工付款证书后，应被视为已无权再提出在工程接收证书颁发前所发生的任何索赔。</w:t>
      </w:r>
    </w:p>
    <w:p w14:paraId="21428E71">
      <w:pPr>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）承包人按第</w:t>
      </w:r>
      <w:r>
        <w:rPr>
          <w:rFonts w:asciiTheme="minorEastAsia" w:hAnsiTheme="minorEastAsia" w:eastAsiaTheme="minorEastAsia"/>
          <w:color w:val="000000"/>
          <w:szCs w:val="21"/>
        </w:rPr>
        <w:t>14.4</w:t>
      </w:r>
      <w:r>
        <w:rPr>
          <w:rFonts w:hint="eastAsia" w:asciiTheme="minorEastAsia" w:hAnsiTheme="minorEastAsia" w:eastAsiaTheme="minorEastAsia"/>
          <w:color w:val="000000"/>
          <w:szCs w:val="21"/>
        </w:rPr>
        <w:t>款〔最终结清〕提交的最终结清申请单中，只限于提出工程接收证书颁发后发生的索赔。提出索赔的期限自接受最终结清证书时终止。</w:t>
      </w:r>
    </w:p>
    <w:p w14:paraId="6D4B52B2">
      <w:pPr>
        <w:adjustRightInd w:val="0"/>
        <w:snapToGrid w:val="0"/>
        <w:spacing w:line="360" w:lineRule="auto"/>
        <w:outlineLvl w:val="2"/>
        <w:rPr>
          <w:rFonts w:asciiTheme="minorEastAsia" w:hAnsiTheme="minorEastAsia" w:eastAsiaTheme="minorEastAsia"/>
          <w:b/>
          <w:szCs w:val="21"/>
        </w:rPr>
      </w:pPr>
      <w:bookmarkStart w:id="199" w:name="_Toc4749"/>
      <w:r>
        <w:rPr>
          <w:rFonts w:hint="eastAsia" w:asciiTheme="minorEastAsia" w:hAnsiTheme="minorEastAsia" w:eastAsiaTheme="minorEastAsia"/>
          <w:b/>
          <w:szCs w:val="21"/>
        </w:rPr>
        <w:t>20. 争议解决</w:t>
      </w:r>
      <w:bookmarkEnd w:id="199"/>
    </w:p>
    <w:p w14:paraId="0A5242D5">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20.1</w:t>
      </w:r>
      <w:r>
        <w:rPr>
          <w:rFonts w:hint="eastAsia" w:asciiTheme="minorEastAsia" w:hAnsiTheme="minorEastAsia" w:eastAsiaTheme="minorEastAsia"/>
          <w:b w:val="0"/>
          <w:color w:val="000000"/>
          <w:sz w:val="21"/>
          <w:szCs w:val="21"/>
        </w:rPr>
        <w:t>和解</w:t>
      </w:r>
    </w:p>
    <w:p w14:paraId="4AEFA01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合同当事人可以就争议自行和解，自行和解达成协议的经双方签字并盖章后作为合同补充文件，双方均应遵照执行。</w:t>
      </w:r>
    </w:p>
    <w:p w14:paraId="78A70839">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20.2</w:t>
      </w:r>
      <w:r>
        <w:rPr>
          <w:rFonts w:hint="eastAsia" w:asciiTheme="minorEastAsia" w:hAnsiTheme="minorEastAsia" w:eastAsiaTheme="minorEastAsia"/>
          <w:b w:val="0"/>
          <w:color w:val="000000"/>
          <w:sz w:val="21"/>
          <w:szCs w:val="21"/>
        </w:rPr>
        <w:t>调解</w:t>
      </w:r>
    </w:p>
    <w:p w14:paraId="3E4F6B54">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合同当事人可以就争议请求建设行政主管部门、行业协会或其他第三方进行调解，调解达成协议的，经双方签字并盖章后作为合同补充文件，双方均应遵照执行。</w:t>
      </w:r>
    </w:p>
    <w:p w14:paraId="57CB7321">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20.3</w:t>
      </w:r>
      <w:r>
        <w:rPr>
          <w:rFonts w:hint="eastAsia" w:asciiTheme="minorEastAsia" w:hAnsiTheme="minorEastAsia" w:eastAsiaTheme="minorEastAsia"/>
          <w:b w:val="0"/>
          <w:color w:val="000000"/>
          <w:sz w:val="21"/>
          <w:szCs w:val="21"/>
        </w:rPr>
        <w:t>争议评审</w:t>
      </w:r>
    </w:p>
    <w:p w14:paraId="2D471AD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合同当事人在专用合同条款中约定采取争议评审方式解决争议以及评审规则，并按下列约定执行：</w:t>
      </w:r>
      <w:r>
        <w:rPr>
          <w:rFonts w:asciiTheme="minorEastAsia" w:hAnsiTheme="minorEastAsia" w:eastAsiaTheme="minorEastAsia"/>
          <w:color w:val="000000"/>
          <w:szCs w:val="21"/>
        </w:rPr>
        <w:t xml:space="preserve"> </w:t>
      </w:r>
    </w:p>
    <w:p w14:paraId="0790AC5D">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20.3.1 </w:t>
      </w:r>
      <w:r>
        <w:rPr>
          <w:rFonts w:hint="eastAsia" w:asciiTheme="minorEastAsia" w:hAnsiTheme="minorEastAsia" w:eastAsiaTheme="minorEastAsia"/>
          <w:color w:val="000000"/>
          <w:szCs w:val="21"/>
        </w:rPr>
        <w:t>争议评审小组的确定</w:t>
      </w:r>
    </w:p>
    <w:p w14:paraId="6FE97272">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合同当事人可以共同选择一名或三名争议评审员，组成争议评审小组。除专用合同条款另有约定外，合同当事人应当自合同签订后</w:t>
      </w:r>
      <w:r>
        <w:rPr>
          <w:rFonts w:asciiTheme="minorEastAsia" w:hAnsiTheme="minorEastAsia" w:eastAsiaTheme="minorEastAsia"/>
          <w:color w:val="000000"/>
          <w:szCs w:val="21"/>
        </w:rPr>
        <w:t>28</w:t>
      </w:r>
      <w:r>
        <w:rPr>
          <w:rFonts w:hint="eastAsia" w:asciiTheme="minorEastAsia" w:hAnsiTheme="minorEastAsia" w:eastAsiaTheme="minorEastAsia"/>
          <w:color w:val="000000"/>
          <w:szCs w:val="21"/>
        </w:rPr>
        <w:t>天内，或者争议发生后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天内，选定争议评审员。</w:t>
      </w:r>
    </w:p>
    <w:p w14:paraId="15FD9621">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Theme="minorEastAsia" w:hAnsiTheme="minorEastAsia" w:eastAsiaTheme="minorEastAsia"/>
          <w:color w:val="000000"/>
          <w:szCs w:val="21"/>
        </w:rPr>
        <w:t xml:space="preserve"> </w:t>
      </w:r>
    </w:p>
    <w:p w14:paraId="58F87DC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除专用合同条款另有约定外，评审员报酬由发包人和承包人各承担一半。</w:t>
      </w:r>
    </w:p>
    <w:p w14:paraId="67877E6A">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20.3.2 </w:t>
      </w:r>
      <w:r>
        <w:rPr>
          <w:rFonts w:hint="eastAsia" w:asciiTheme="minorEastAsia" w:hAnsiTheme="minorEastAsia" w:eastAsiaTheme="minorEastAsia"/>
          <w:color w:val="000000"/>
          <w:szCs w:val="21"/>
        </w:rPr>
        <w:t>争议评审小组的决定</w:t>
      </w:r>
    </w:p>
    <w:p w14:paraId="2219EA8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天内作出书面决定，并说明理由。合同当事人可以在专用合同条款中对本项事项另行约定。</w:t>
      </w:r>
    </w:p>
    <w:p w14:paraId="0D364F79">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20.3.3 </w:t>
      </w:r>
      <w:r>
        <w:rPr>
          <w:rFonts w:hint="eastAsia" w:asciiTheme="minorEastAsia" w:hAnsiTheme="minorEastAsia" w:eastAsiaTheme="minorEastAsia"/>
          <w:color w:val="000000"/>
          <w:szCs w:val="21"/>
        </w:rPr>
        <w:t>争议评审小组决定的效力</w:t>
      </w:r>
    </w:p>
    <w:p w14:paraId="7D1F86A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争议评审小组作出的书面决定经合同当事人签字确认后，对双方具有约束力，双方应遵照执行。</w:t>
      </w:r>
    </w:p>
    <w:p w14:paraId="378EF6BF">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任何一方当事人不接受争议评审小组决定或不履行争议评审小组决定的，双方可选择采用其他争议解决方式。</w:t>
      </w:r>
    </w:p>
    <w:p w14:paraId="45F2B449">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20.4</w:t>
      </w:r>
      <w:r>
        <w:rPr>
          <w:rFonts w:hint="eastAsia" w:asciiTheme="minorEastAsia" w:hAnsiTheme="minorEastAsia" w:eastAsiaTheme="minorEastAsia"/>
          <w:b w:val="0"/>
          <w:color w:val="000000"/>
          <w:sz w:val="21"/>
          <w:szCs w:val="21"/>
        </w:rPr>
        <w:t>仲裁或诉讼</w:t>
      </w:r>
    </w:p>
    <w:p w14:paraId="563159C0">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因合同及合同有关事项产生的争议，合同当事人可以在专用合同条款中约定以下一种方式解决争议：</w:t>
      </w:r>
    </w:p>
    <w:p w14:paraId="4D96F5CE">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）向约定的仲裁委员会申请仲裁；</w:t>
      </w:r>
    </w:p>
    <w:p w14:paraId="66347927">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）向有管辖权的人民法院起诉。</w:t>
      </w:r>
    </w:p>
    <w:p w14:paraId="2D08A616">
      <w:pPr>
        <w:pStyle w:val="6"/>
        <w:keepNext w:val="0"/>
        <w:keepLines w:val="0"/>
        <w:spacing w:before="120" w:after="120" w:line="360" w:lineRule="auto"/>
        <w:ind w:firstLine="420" w:firstLineChars="200"/>
        <w:rPr>
          <w:rFonts w:asciiTheme="minorEastAsia" w:hAnsiTheme="minorEastAsia" w:eastAsiaTheme="minorEastAsia"/>
          <w:b w:val="0"/>
          <w:color w:val="000000"/>
          <w:sz w:val="21"/>
          <w:szCs w:val="21"/>
        </w:rPr>
      </w:pPr>
      <w:r>
        <w:rPr>
          <w:rFonts w:asciiTheme="minorEastAsia" w:hAnsiTheme="minorEastAsia" w:eastAsiaTheme="minorEastAsia"/>
          <w:b w:val="0"/>
          <w:color w:val="000000"/>
          <w:sz w:val="21"/>
          <w:szCs w:val="21"/>
        </w:rPr>
        <w:t>20.5</w:t>
      </w:r>
      <w:r>
        <w:rPr>
          <w:rFonts w:hint="eastAsia" w:asciiTheme="minorEastAsia" w:hAnsiTheme="minorEastAsia" w:eastAsiaTheme="minorEastAsia"/>
          <w:b w:val="0"/>
          <w:color w:val="000000"/>
          <w:sz w:val="21"/>
          <w:szCs w:val="21"/>
        </w:rPr>
        <w:t>争议解决条款效力</w:t>
      </w:r>
    </w:p>
    <w:p w14:paraId="5968EA6C">
      <w:pPr>
        <w:autoSpaceDE w:val="0"/>
        <w:autoSpaceDN w:val="0"/>
        <w:adjustRightInd w:val="0"/>
        <w:spacing w:line="360" w:lineRule="auto"/>
        <w:ind w:firstLine="48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合同有关争议解决的条款独立存在，合同的变更、解除、终止、无效或者被撤销均不影响其效力。</w:t>
      </w:r>
      <w:r>
        <w:rPr>
          <w:rFonts w:asciiTheme="minorEastAsia" w:hAnsiTheme="minorEastAsia" w:eastAsiaTheme="minorEastAsia"/>
          <w:color w:val="000000"/>
          <w:szCs w:val="21"/>
        </w:rPr>
        <w:t xml:space="preserve"> </w:t>
      </w:r>
    </w:p>
    <w:p w14:paraId="7AD96341">
      <w:pPr>
        <w:rPr>
          <w:rFonts w:asciiTheme="minorEastAsia" w:hAnsiTheme="minorEastAsia" w:eastAsiaTheme="minorEastAsia"/>
          <w:color w:val="000000"/>
          <w:szCs w:val="21"/>
        </w:rPr>
      </w:pPr>
      <w:r>
        <w:rPr>
          <w:rFonts w:asciiTheme="minorEastAsia" w:hAnsiTheme="minorEastAsia" w:eastAsiaTheme="minorEastAsia"/>
          <w:color w:val="000000"/>
          <w:szCs w:val="21"/>
        </w:rPr>
        <w:br w:type="page"/>
      </w:r>
    </w:p>
    <w:p w14:paraId="3BE908F2">
      <w:pPr>
        <w:adjustRightInd w:val="0"/>
        <w:snapToGrid w:val="0"/>
        <w:spacing w:line="360" w:lineRule="auto"/>
        <w:outlineLvl w:val="1"/>
        <w:rPr>
          <w:rFonts w:ascii="黑体" w:eastAsia="黑体"/>
          <w:szCs w:val="21"/>
        </w:rPr>
      </w:pPr>
      <w:bookmarkStart w:id="200" w:name="_Toc21289"/>
      <w:r>
        <w:rPr>
          <w:rFonts w:hint="eastAsia" w:ascii="黑体" w:eastAsia="黑体"/>
          <w:szCs w:val="21"/>
        </w:rPr>
        <w:t>第三部分</w:t>
      </w:r>
      <w:r>
        <w:rPr>
          <w:rFonts w:ascii="黑体" w:eastAsia="黑体"/>
          <w:szCs w:val="21"/>
        </w:rPr>
        <w:t xml:space="preserve"> </w:t>
      </w:r>
      <w:r>
        <w:rPr>
          <w:rFonts w:hint="eastAsia" w:ascii="黑体" w:eastAsia="黑体"/>
          <w:szCs w:val="21"/>
        </w:rPr>
        <w:t>专用合同条款</w:t>
      </w:r>
      <w:bookmarkEnd w:id="200"/>
    </w:p>
    <w:p w14:paraId="3FA26B0B">
      <w:r>
        <w:rPr>
          <w:rFonts w:hint="eastAsia"/>
        </w:rPr>
        <w:t>专用合同条款导入要求：</w:t>
      </w:r>
    </w:p>
    <w:p w14:paraId="358E4F94">
      <w:r>
        <w:rPr>
          <w:rFonts w:hint="eastAsia"/>
        </w:rPr>
        <w:t>履约担保：</w:t>
      </w:r>
      <w:r>
        <w:rPr>
          <w:u w:val="single"/>
        </w:rPr>
        <w:fldChar w:fldCharType="begin"/>
      </w:r>
      <w:r>
        <w:rPr>
          <w:u w:val="single"/>
        </w:rPr>
        <w:instrText xml:space="preserve"> </w:instrText>
      </w:r>
      <w:r>
        <w:rPr>
          <w:rFonts w:hint="eastAsia"/>
          <w:u w:val="single"/>
        </w:rPr>
        <w:instrText xml:space="preserve">AUTOTEXT  input528 \* MERGEFORMAT</w:instrText>
      </w:r>
      <w:r>
        <w:rPr>
          <w:u w:val="single"/>
        </w:rPr>
        <w:instrText xml:space="preserve"> </w:instrText>
      </w:r>
      <w:r>
        <w:rPr>
          <w:u w:val="single"/>
        </w:rPr>
        <w:fldChar w:fldCharType="separate"/>
      </w:r>
      <w:r>
        <w:rPr>
          <w:rFonts w:hint="eastAsia"/>
          <w:u w:val="single"/>
        </w:rPr>
        <w:t xml:space="preserve">     </w:t>
      </w:r>
      <w:r>
        <w:rPr>
          <w:u w:val="single"/>
        </w:rPr>
        <w:fldChar w:fldCharType="end"/>
      </w:r>
      <w:r>
        <w:rPr>
          <w:rFonts w:hint="eastAsia"/>
        </w:rPr>
        <w:t>（应说明履约担保的提交金额、提交形式以及退还方式）</w:t>
      </w:r>
      <w:r>
        <w:t xml:space="preserve">  </w:t>
      </w:r>
    </w:p>
    <w:p w14:paraId="2F681F8B">
      <w:r>
        <w:rPr>
          <w:rFonts w:hint="eastAsia"/>
        </w:rPr>
        <w:t>工期：</w:t>
      </w:r>
      <w:r>
        <w:rPr>
          <w:u w:val="single"/>
        </w:rPr>
        <w:fldChar w:fldCharType="begin"/>
      </w:r>
      <w:r>
        <w:rPr>
          <w:u w:val="single"/>
        </w:rPr>
        <w:instrText xml:space="preserve"> </w:instrText>
      </w:r>
      <w:r>
        <w:rPr>
          <w:rFonts w:hint="eastAsia"/>
          <w:u w:val="single"/>
        </w:rPr>
        <w:instrText xml:space="preserve">AUTOTEXT  input529 \* MERGEFORMAT</w:instrText>
      </w:r>
      <w:r>
        <w:rPr>
          <w:u w:val="single"/>
        </w:rPr>
        <w:instrText xml:space="preserve"> </w:instrText>
      </w:r>
      <w:r>
        <w:rPr>
          <w:u w:val="single"/>
        </w:rPr>
        <w:fldChar w:fldCharType="separate"/>
      </w:r>
      <w:r>
        <w:rPr>
          <w:rFonts w:hint="eastAsia"/>
          <w:u w:val="single"/>
        </w:rPr>
        <w:t xml:space="preserve">     </w:t>
      </w:r>
      <w:r>
        <w:rPr>
          <w:u w:val="single"/>
        </w:rPr>
        <w:fldChar w:fldCharType="end"/>
      </w:r>
    </w:p>
    <w:p w14:paraId="1D6A0E09">
      <w:r>
        <w:rPr>
          <w:rFonts w:hint="eastAsia"/>
        </w:rPr>
        <w:t>预付款：预付款支付比例：合同金额（扣除暂列金额）的</w:t>
      </w:r>
      <w:r>
        <w:t>(10%-30%)</w:t>
      </w:r>
      <w:r>
        <w:rPr>
          <w:u w:val="single"/>
        </w:rPr>
        <w:fldChar w:fldCharType="begin"/>
      </w:r>
      <w:r>
        <w:rPr>
          <w:u w:val="single"/>
        </w:rPr>
        <w:instrText xml:space="preserve"> AUTOTEXT  input530 \* MERGEFORMAT </w:instrText>
      </w:r>
      <w:r>
        <w:rPr>
          <w:u w:val="single"/>
        </w:rPr>
        <w:fldChar w:fldCharType="separate"/>
      </w:r>
      <w:r>
        <w:rPr>
          <w:u w:val="single"/>
        </w:rPr>
        <w:t xml:space="preserve">     </w:t>
      </w:r>
      <w:r>
        <w:rPr>
          <w:u w:val="single"/>
        </w:rPr>
        <w:fldChar w:fldCharType="end"/>
      </w:r>
      <w:r>
        <w:t>%</w:t>
      </w:r>
      <w:r>
        <w:rPr>
          <w:rFonts w:hint="eastAsia"/>
        </w:rPr>
        <w:t>。</w:t>
      </w:r>
    </w:p>
    <w:p w14:paraId="7D038D39">
      <w:r>
        <w:rPr>
          <w:rFonts w:hint="eastAsia"/>
        </w:rPr>
        <w:t>工程进度款支付：</w:t>
      </w:r>
      <w:r>
        <w:rPr>
          <w:u w:val="single"/>
        </w:rPr>
        <w:fldChar w:fldCharType="begin"/>
      </w:r>
      <w:r>
        <w:rPr>
          <w:u w:val="single"/>
        </w:rPr>
        <w:instrText xml:space="preserve"> </w:instrText>
      </w:r>
      <w:r>
        <w:rPr>
          <w:rFonts w:hint="eastAsia"/>
          <w:u w:val="single"/>
        </w:rPr>
        <w:instrText xml:space="preserve">AUTOTEXT  input531 \* MERGEFORMAT</w:instrText>
      </w:r>
      <w:r>
        <w:rPr>
          <w:u w:val="single"/>
        </w:rPr>
        <w:instrText xml:space="preserve"> </w:instrText>
      </w:r>
      <w:r>
        <w:rPr>
          <w:u w:val="single"/>
        </w:rPr>
        <w:fldChar w:fldCharType="separate"/>
      </w:r>
      <w:r>
        <w:rPr>
          <w:rFonts w:hint="eastAsia"/>
          <w:u w:val="single"/>
        </w:rPr>
        <w:t xml:space="preserve">     </w:t>
      </w:r>
      <w:r>
        <w:rPr>
          <w:u w:val="single"/>
        </w:rPr>
        <w:fldChar w:fldCharType="end"/>
      </w:r>
    </w:p>
    <w:p w14:paraId="1356264F">
      <w:r>
        <w:rPr>
          <w:rFonts w:hint="eastAsia"/>
        </w:rPr>
        <w:t>质量保证金：</w:t>
      </w:r>
      <w:r>
        <w:rPr>
          <w:u w:val="single"/>
        </w:rPr>
        <w:fldChar w:fldCharType="begin"/>
      </w:r>
      <w:r>
        <w:rPr>
          <w:u w:val="single"/>
        </w:rPr>
        <w:instrText xml:space="preserve"> </w:instrText>
      </w:r>
      <w:r>
        <w:rPr>
          <w:rFonts w:hint="eastAsia"/>
          <w:u w:val="single"/>
        </w:rPr>
        <w:instrText xml:space="preserve">AUTOTEXT  input532 \* MERGEFORMAT</w:instrText>
      </w:r>
      <w:r>
        <w:rPr>
          <w:u w:val="single"/>
        </w:rPr>
        <w:instrText xml:space="preserve"> </w:instrText>
      </w:r>
      <w:r>
        <w:rPr>
          <w:u w:val="single"/>
        </w:rPr>
        <w:fldChar w:fldCharType="separate"/>
      </w:r>
      <w:r>
        <w:rPr>
          <w:rFonts w:hint="eastAsia"/>
          <w:u w:val="single"/>
        </w:rPr>
        <w:t xml:space="preserve">     </w:t>
      </w:r>
      <w:r>
        <w:rPr>
          <w:u w:val="single"/>
        </w:rPr>
        <w:fldChar w:fldCharType="end"/>
      </w:r>
      <w:r>
        <w:rPr>
          <w:rFonts w:hint="eastAsia"/>
        </w:rPr>
        <w:t>（应说明质量保证金的金额或比例以及退还方式）</w:t>
      </w:r>
    </w:p>
    <w:p w14:paraId="4AF508CF">
      <w:r>
        <w:t>备注</w:t>
      </w:r>
      <w:r>
        <w:rPr>
          <w:rFonts w:hint="eastAsia"/>
        </w:rPr>
        <w:t>：</w:t>
      </w:r>
      <w:r>
        <w:t>招标人或招标代理导入的</w:t>
      </w:r>
      <w:r>
        <w:rPr>
          <w:rFonts w:hint="eastAsia"/>
        </w:rPr>
        <w:t>《专用合同条款》须与上列填写内容保持一致，若不一致以上列填写内容为准。</w:t>
      </w:r>
    </w:p>
    <w:p w14:paraId="11FBF908">
      <w:r>
        <w:fldChar w:fldCharType="begin"/>
      </w:r>
      <w:r>
        <w:instrText xml:space="preserve"> </w:instrText>
      </w:r>
      <w:r>
        <w:rPr>
          <w:rFonts w:hint="eastAsia"/>
        </w:rPr>
        <w:instrText xml:space="preserve">AUTOTEXT  专用合同条款 \* MERGEFORMAT</w:instrText>
      </w:r>
      <w:r>
        <w:instrText xml:space="preserve"> </w:instrText>
      </w:r>
      <w:r>
        <w:fldChar w:fldCharType="separate"/>
      </w:r>
      <w:r>
        <w:rPr>
          <w:rFonts w:hint="eastAsia"/>
        </w:rPr>
        <w:t xml:space="preserve">       </w:t>
      </w:r>
      <w:r>
        <w:fldChar w:fldCharType="end"/>
      </w:r>
    </w:p>
    <w:p w14:paraId="288BA68D">
      <w:r>
        <w:br w:type="page"/>
      </w:r>
    </w:p>
    <w:p w14:paraId="7CC90A45">
      <w:pPr>
        <w:spacing w:line="360" w:lineRule="auto"/>
        <w:rPr>
          <w:rFonts w:eastAsia="黑体"/>
          <w:b/>
          <w:color w:val="000000"/>
          <w:szCs w:val="21"/>
        </w:rPr>
      </w:pPr>
      <w:bookmarkStart w:id="201" w:name="_Toc351203652"/>
      <w:r>
        <w:rPr>
          <w:rFonts w:hint="eastAsia" w:eastAsia="黑体"/>
          <w:b/>
          <w:color w:val="000000"/>
          <w:szCs w:val="21"/>
        </w:rPr>
        <w:t>附件</w:t>
      </w:r>
      <w:bookmarkEnd w:id="201"/>
    </w:p>
    <w:p w14:paraId="4CC4E8B9">
      <w:pPr>
        <w:spacing w:line="360" w:lineRule="auto"/>
        <w:rPr>
          <w:rFonts w:eastAsia="仿宋_GB2312"/>
          <w:color w:val="000000"/>
          <w:szCs w:val="21"/>
        </w:rPr>
      </w:pPr>
      <w:r>
        <w:rPr>
          <w:rFonts w:hint="eastAsia" w:eastAsia="仿宋_GB2312"/>
          <w:color w:val="000000"/>
          <w:szCs w:val="21"/>
        </w:rPr>
        <w:t>协议书附件：</w:t>
      </w:r>
    </w:p>
    <w:p w14:paraId="14EE7598">
      <w:pPr>
        <w:spacing w:line="360" w:lineRule="auto"/>
        <w:rPr>
          <w:rFonts w:eastAsia="仿宋_GB2312"/>
          <w:color w:val="000000"/>
          <w:szCs w:val="21"/>
        </w:rPr>
      </w:pPr>
      <w:r>
        <w:rPr>
          <w:rFonts w:hint="eastAsia" w:eastAsia="仿宋_GB2312"/>
          <w:color w:val="000000"/>
          <w:szCs w:val="21"/>
        </w:rPr>
        <w:t>附件</w:t>
      </w:r>
      <w:r>
        <w:rPr>
          <w:rFonts w:eastAsia="仿宋_GB2312"/>
          <w:color w:val="000000"/>
          <w:szCs w:val="21"/>
        </w:rPr>
        <w:t>1</w:t>
      </w:r>
      <w:r>
        <w:rPr>
          <w:rFonts w:hint="eastAsia" w:eastAsia="仿宋_GB2312"/>
          <w:color w:val="000000"/>
          <w:szCs w:val="21"/>
        </w:rPr>
        <w:t>：承包人承揽工程项目一览表</w:t>
      </w:r>
    </w:p>
    <w:p w14:paraId="44621DB0">
      <w:pPr>
        <w:rPr>
          <w:rFonts w:eastAsia="仿宋_GB2312"/>
          <w:color w:val="000000"/>
          <w:szCs w:val="21"/>
        </w:rPr>
      </w:pPr>
      <w:r>
        <w:rPr>
          <w:rFonts w:eastAsia="仿宋_GB2312"/>
          <w:color w:val="000000"/>
          <w:szCs w:val="21"/>
        </w:rPr>
        <w:br w:type="page"/>
      </w:r>
    </w:p>
    <w:p w14:paraId="236DFE66">
      <w:pPr>
        <w:spacing w:before="156" w:beforeLines="50" w:after="156" w:afterLines="50" w:line="440" w:lineRule="exact"/>
        <w:rPr>
          <w:rFonts w:ascii="仿宋_GB2312" w:eastAsia="仿宋_GB2312"/>
          <w:color w:val="000000"/>
          <w:szCs w:val="21"/>
        </w:rPr>
      </w:pPr>
      <w:r>
        <w:rPr>
          <w:rFonts w:hint="eastAsia" w:ascii="仿宋_GB2312" w:eastAsia="仿宋_GB2312"/>
          <w:color w:val="000000"/>
          <w:szCs w:val="21"/>
        </w:rPr>
        <w:t>附件1：</w:t>
      </w:r>
    </w:p>
    <w:tbl>
      <w:tblPr>
        <w:tblStyle w:val="51"/>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694"/>
        <w:gridCol w:w="1088"/>
        <w:gridCol w:w="1059"/>
        <w:gridCol w:w="1050"/>
        <w:gridCol w:w="1022"/>
        <w:gridCol w:w="1116"/>
        <w:gridCol w:w="1031"/>
        <w:gridCol w:w="759"/>
        <w:gridCol w:w="647"/>
      </w:tblGrid>
      <w:tr w14:paraId="04F66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33" w:type="dxa"/>
            <w:tcBorders>
              <w:top w:val="single" w:color="auto" w:sz="12" w:space="0"/>
              <w:bottom w:val="double" w:color="auto" w:sz="6" w:space="0"/>
            </w:tcBorders>
            <w:vAlign w:val="center"/>
          </w:tcPr>
          <w:p w14:paraId="221E6E1D">
            <w:pPr>
              <w:pStyle w:val="21"/>
              <w:keepNext/>
              <w:spacing w:line="440" w:lineRule="exact"/>
              <w:ind w:left="63" w:right="63"/>
              <w:rPr>
                <w:rFonts w:eastAsia="仿宋_GB2312"/>
                <w:color w:val="000000"/>
                <w:szCs w:val="21"/>
              </w:rPr>
            </w:pPr>
            <w:r>
              <w:rPr>
                <w:rFonts w:hint="eastAsia" w:eastAsia="仿宋_GB2312"/>
                <w:color w:val="000000"/>
                <w:szCs w:val="21"/>
              </w:rPr>
              <w:t>单位工程名称</w:t>
            </w:r>
          </w:p>
        </w:tc>
        <w:tc>
          <w:tcPr>
            <w:tcW w:w="694" w:type="dxa"/>
            <w:tcBorders>
              <w:top w:val="single" w:color="auto" w:sz="12" w:space="0"/>
              <w:bottom w:val="double" w:color="auto" w:sz="6" w:space="0"/>
            </w:tcBorders>
            <w:vAlign w:val="center"/>
          </w:tcPr>
          <w:p w14:paraId="5A6D7F30">
            <w:pPr>
              <w:pStyle w:val="21"/>
              <w:keepNext/>
              <w:spacing w:line="440" w:lineRule="exact"/>
              <w:ind w:left="63" w:right="63"/>
              <w:rPr>
                <w:rFonts w:eastAsia="仿宋_GB2312"/>
                <w:color w:val="000000"/>
                <w:szCs w:val="21"/>
              </w:rPr>
            </w:pPr>
            <w:r>
              <w:rPr>
                <w:rFonts w:hint="eastAsia" w:eastAsia="仿宋_GB2312"/>
                <w:color w:val="000000"/>
                <w:szCs w:val="21"/>
              </w:rPr>
              <w:t>建设规模</w:t>
            </w:r>
          </w:p>
        </w:tc>
        <w:tc>
          <w:tcPr>
            <w:tcW w:w="1088" w:type="dxa"/>
            <w:tcBorders>
              <w:top w:val="single" w:color="auto" w:sz="12" w:space="0"/>
              <w:bottom w:val="double" w:color="auto" w:sz="6" w:space="0"/>
            </w:tcBorders>
            <w:vAlign w:val="center"/>
          </w:tcPr>
          <w:p w14:paraId="689F751A">
            <w:pPr>
              <w:pStyle w:val="21"/>
              <w:keepNext/>
              <w:spacing w:line="440" w:lineRule="exact"/>
              <w:ind w:left="63" w:right="63"/>
              <w:rPr>
                <w:rFonts w:eastAsia="仿宋_GB2312"/>
                <w:color w:val="000000"/>
                <w:szCs w:val="21"/>
              </w:rPr>
            </w:pPr>
            <w:r>
              <w:rPr>
                <w:rFonts w:hint="eastAsia" w:eastAsia="仿宋_GB2312"/>
                <w:color w:val="000000"/>
                <w:szCs w:val="21"/>
              </w:rPr>
              <w:t>建筑面积</w:t>
            </w:r>
            <w:r>
              <w:rPr>
                <w:rFonts w:eastAsia="仿宋_GB2312"/>
                <w:color w:val="000000"/>
                <w:szCs w:val="21"/>
              </w:rPr>
              <w:t>(</w:t>
            </w:r>
            <w:r>
              <w:rPr>
                <w:rFonts w:hint="eastAsia" w:eastAsia="仿宋_GB2312"/>
                <w:color w:val="000000"/>
                <w:szCs w:val="21"/>
              </w:rPr>
              <w:t>平方米</w:t>
            </w:r>
            <w:r>
              <w:rPr>
                <w:rFonts w:eastAsia="仿宋_GB2312"/>
                <w:color w:val="000000"/>
                <w:szCs w:val="21"/>
              </w:rPr>
              <w:t>)</w:t>
            </w:r>
          </w:p>
        </w:tc>
        <w:tc>
          <w:tcPr>
            <w:tcW w:w="1059" w:type="dxa"/>
            <w:tcBorders>
              <w:top w:val="single" w:color="auto" w:sz="12" w:space="0"/>
              <w:bottom w:val="double" w:color="auto" w:sz="6" w:space="0"/>
            </w:tcBorders>
            <w:vAlign w:val="center"/>
          </w:tcPr>
          <w:p w14:paraId="6C4DAF03">
            <w:pPr>
              <w:pStyle w:val="21"/>
              <w:keepNext/>
              <w:spacing w:line="440" w:lineRule="exact"/>
              <w:ind w:left="63" w:right="63"/>
              <w:rPr>
                <w:rFonts w:eastAsia="仿宋_GB2312"/>
                <w:color w:val="000000"/>
                <w:szCs w:val="21"/>
              </w:rPr>
            </w:pPr>
            <w:r>
              <w:rPr>
                <w:rFonts w:hint="eastAsia" w:eastAsia="仿宋_GB2312"/>
                <w:color w:val="000000"/>
                <w:szCs w:val="21"/>
              </w:rPr>
              <w:t>结构形式</w:t>
            </w:r>
          </w:p>
        </w:tc>
        <w:tc>
          <w:tcPr>
            <w:tcW w:w="1050" w:type="dxa"/>
            <w:tcBorders>
              <w:top w:val="single" w:color="auto" w:sz="12" w:space="0"/>
              <w:bottom w:val="double" w:color="auto" w:sz="6" w:space="0"/>
            </w:tcBorders>
            <w:vAlign w:val="center"/>
          </w:tcPr>
          <w:p w14:paraId="603DE925">
            <w:pPr>
              <w:pStyle w:val="21"/>
              <w:keepNext/>
              <w:spacing w:line="440" w:lineRule="exact"/>
              <w:ind w:left="63" w:right="63"/>
              <w:rPr>
                <w:rFonts w:eastAsia="仿宋_GB2312"/>
                <w:color w:val="000000"/>
                <w:szCs w:val="21"/>
              </w:rPr>
            </w:pPr>
            <w:r>
              <w:rPr>
                <w:rFonts w:hint="eastAsia" w:eastAsia="仿宋_GB2312"/>
                <w:color w:val="000000"/>
                <w:szCs w:val="21"/>
              </w:rPr>
              <w:t>层数</w:t>
            </w:r>
          </w:p>
        </w:tc>
        <w:tc>
          <w:tcPr>
            <w:tcW w:w="1022" w:type="dxa"/>
            <w:tcBorders>
              <w:top w:val="single" w:color="auto" w:sz="12" w:space="0"/>
              <w:bottom w:val="double" w:color="auto" w:sz="6" w:space="0"/>
            </w:tcBorders>
            <w:vAlign w:val="center"/>
          </w:tcPr>
          <w:p w14:paraId="02C2DE0C">
            <w:pPr>
              <w:pStyle w:val="21"/>
              <w:keepNext/>
              <w:spacing w:line="440" w:lineRule="exact"/>
              <w:ind w:left="63" w:right="63"/>
              <w:rPr>
                <w:rFonts w:eastAsia="仿宋_GB2312"/>
                <w:color w:val="000000"/>
                <w:szCs w:val="21"/>
              </w:rPr>
            </w:pPr>
            <w:r>
              <w:rPr>
                <w:rFonts w:hint="eastAsia" w:eastAsia="仿宋_GB2312"/>
                <w:color w:val="000000"/>
                <w:szCs w:val="21"/>
              </w:rPr>
              <w:t>生产能力</w:t>
            </w:r>
          </w:p>
        </w:tc>
        <w:tc>
          <w:tcPr>
            <w:tcW w:w="1116" w:type="dxa"/>
            <w:tcBorders>
              <w:top w:val="single" w:color="auto" w:sz="12" w:space="0"/>
              <w:bottom w:val="double" w:color="auto" w:sz="6" w:space="0"/>
            </w:tcBorders>
            <w:vAlign w:val="center"/>
          </w:tcPr>
          <w:p w14:paraId="2B3E269A">
            <w:pPr>
              <w:pStyle w:val="21"/>
              <w:keepNext/>
              <w:spacing w:line="440" w:lineRule="exact"/>
              <w:ind w:left="63" w:right="63"/>
              <w:rPr>
                <w:rFonts w:eastAsia="仿宋_GB2312"/>
                <w:color w:val="000000"/>
                <w:szCs w:val="21"/>
              </w:rPr>
            </w:pPr>
            <w:r>
              <w:rPr>
                <w:rFonts w:hint="eastAsia" w:eastAsia="仿宋_GB2312"/>
                <w:color w:val="000000"/>
                <w:szCs w:val="21"/>
              </w:rPr>
              <w:t>设备安装内容</w:t>
            </w:r>
          </w:p>
        </w:tc>
        <w:tc>
          <w:tcPr>
            <w:tcW w:w="1031" w:type="dxa"/>
            <w:tcBorders>
              <w:top w:val="single" w:color="auto" w:sz="12" w:space="0"/>
              <w:bottom w:val="double" w:color="auto" w:sz="6" w:space="0"/>
            </w:tcBorders>
            <w:vAlign w:val="center"/>
          </w:tcPr>
          <w:p w14:paraId="47F6E7BA">
            <w:pPr>
              <w:pStyle w:val="21"/>
              <w:keepNext/>
              <w:spacing w:line="440" w:lineRule="exact"/>
              <w:ind w:left="63" w:right="63"/>
              <w:rPr>
                <w:rFonts w:eastAsia="仿宋_GB2312"/>
                <w:color w:val="000000"/>
                <w:szCs w:val="21"/>
              </w:rPr>
            </w:pPr>
            <w:r>
              <w:rPr>
                <w:rFonts w:hint="eastAsia" w:eastAsia="仿宋_GB2312"/>
                <w:color w:val="000000"/>
                <w:szCs w:val="21"/>
              </w:rPr>
              <w:t>合同价格（元）</w:t>
            </w:r>
          </w:p>
        </w:tc>
        <w:tc>
          <w:tcPr>
            <w:tcW w:w="759" w:type="dxa"/>
            <w:tcBorders>
              <w:top w:val="single" w:color="auto" w:sz="12" w:space="0"/>
              <w:bottom w:val="double" w:color="auto" w:sz="6" w:space="0"/>
            </w:tcBorders>
            <w:vAlign w:val="center"/>
          </w:tcPr>
          <w:p w14:paraId="6799ECD5">
            <w:pPr>
              <w:pStyle w:val="21"/>
              <w:keepNext/>
              <w:spacing w:line="440" w:lineRule="exact"/>
              <w:ind w:left="63" w:right="63"/>
              <w:rPr>
                <w:rFonts w:eastAsia="仿宋_GB2312"/>
                <w:color w:val="000000"/>
                <w:szCs w:val="21"/>
              </w:rPr>
            </w:pPr>
            <w:r>
              <w:rPr>
                <w:rFonts w:hint="eastAsia" w:eastAsia="仿宋_GB2312"/>
                <w:color w:val="000000"/>
                <w:szCs w:val="21"/>
              </w:rPr>
              <w:t>开工日期</w:t>
            </w:r>
          </w:p>
        </w:tc>
        <w:tc>
          <w:tcPr>
            <w:tcW w:w="647" w:type="dxa"/>
            <w:tcBorders>
              <w:top w:val="single" w:color="auto" w:sz="12" w:space="0"/>
              <w:bottom w:val="double" w:color="auto" w:sz="6" w:space="0"/>
            </w:tcBorders>
            <w:vAlign w:val="center"/>
          </w:tcPr>
          <w:p w14:paraId="4BE64486">
            <w:pPr>
              <w:pStyle w:val="21"/>
              <w:keepNext/>
              <w:spacing w:line="440" w:lineRule="exact"/>
              <w:ind w:left="63" w:right="63"/>
              <w:rPr>
                <w:rFonts w:eastAsia="仿宋_GB2312"/>
                <w:color w:val="000000"/>
                <w:szCs w:val="21"/>
              </w:rPr>
            </w:pPr>
            <w:r>
              <w:rPr>
                <w:rFonts w:hint="eastAsia" w:eastAsia="仿宋_GB2312"/>
                <w:color w:val="000000"/>
                <w:szCs w:val="21"/>
              </w:rPr>
              <w:t>竣工日期</w:t>
            </w:r>
          </w:p>
        </w:tc>
      </w:tr>
      <w:tr w14:paraId="0D98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tcBorders>
              <w:top w:val="double" w:color="auto" w:sz="6" w:space="0"/>
              <w:bottom w:val="single" w:color="auto" w:sz="6" w:space="0"/>
            </w:tcBorders>
            <w:vAlign w:val="center"/>
          </w:tcPr>
          <w:p w14:paraId="2CDE65CD">
            <w:pPr>
              <w:pStyle w:val="21"/>
              <w:keepNext/>
              <w:spacing w:line="440" w:lineRule="exact"/>
              <w:ind w:left="63" w:right="63"/>
              <w:rPr>
                <w:rFonts w:eastAsia="仿宋_GB2312"/>
                <w:color w:val="000000"/>
                <w:szCs w:val="21"/>
              </w:rPr>
            </w:pPr>
          </w:p>
        </w:tc>
        <w:tc>
          <w:tcPr>
            <w:tcW w:w="694" w:type="dxa"/>
            <w:tcBorders>
              <w:top w:val="double" w:color="auto" w:sz="6" w:space="0"/>
              <w:bottom w:val="single" w:color="auto" w:sz="6" w:space="0"/>
            </w:tcBorders>
            <w:vAlign w:val="center"/>
          </w:tcPr>
          <w:p w14:paraId="35632B69">
            <w:pPr>
              <w:pStyle w:val="21"/>
              <w:keepNext/>
              <w:spacing w:line="440" w:lineRule="exact"/>
              <w:ind w:left="63" w:right="63"/>
              <w:rPr>
                <w:rFonts w:eastAsia="仿宋_GB2312"/>
                <w:color w:val="000000"/>
                <w:szCs w:val="21"/>
              </w:rPr>
            </w:pPr>
          </w:p>
        </w:tc>
        <w:tc>
          <w:tcPr>
            <w:tcW w:w="1088" w:type="dxa"/>
            <w:tcBorders>
              <w:top w:val="double" w:color="auto" w:sz="6" w:space="0"/>
              <w:bottom w:val="single" w:color="auto" w:sz="6" w:space="0"/>
            </w:tcBorders>
            <w:vAlign w:val="center"/>
          </w:tcPr>
          <w:p w14:paraId="586AD3AC">
            <w:pPr>
              <w:pStyle w:val="21"/>
              <w:keepNext/>
              <w:spacing w:line="440" w:lineRule="exact"/>
              <w:ind w:left="63" w:right="63"/>
              <w:rPr>
                <w:rFonts w:eastAsia="仿宋_GB2312"/>
                <w:color w:val="000000"/>
                <w:szCs w:val="21"/>
              </w:rPr>
            </w:pPr>
          </w:p>
        </w:tc>
        <w:tc>
          <w:tcPr>
            <w:tcW w:w="1059" w:type="dxa"/>
            <w:tcBorders>
              <w:top w:val="double" w:color="auto" w:sz="6" w:space="0"/>
              <w:bottom w:val="single" w:color="auto" w:sz="6" w:space="0"/>
            </w:tcBorders>
            <w:vAlign w:val="center"/>
          </w:tcPr>
          <w:p w14:paraId="3985544E">
            <w:pPr>
              <w:pStyle w:val="21"/>
              <w:keepNext/>
              <w:spacing w:line="440" w:lineRule="exact"/>
              <w:ind w:left="63" w:right="63"/>
              <w:rPr>
                <w:rFonts w:eastAsia="仿宋_GB2312"/>
                <w:color w:val="000000"/>
                <w:szCs w:val="21"/>
              </w:rPr>
            </w:pPr>
          </w:p>
        </w:tc>
        <w:tc>
          <w:tcPr>
            <w:tcW w:w="1050" w:type="dxa"/>
            <w:tcBorders>
              <w:top w:val="double" w:color="auto" w:sz="6" w:space="0"/>
              <w:bottom w:val="single" w:color="auto" w:sz="6" w:space="0"/>
            </w:tcBorders>
            <w:vAlign w:val="center"/>
          </w:tcPr>
          <w:p w14:paraId="24C02B6A">
            <w:pPr>
              <w:pStyle w:val="21"/>
              <w:keepNext/>
              <w:spacing w:line="440" w:lineRule="exact"/>
              <w:ind w:left="63" w:right="63"/>
              <w:rPr>
                <w:rFonts w:eastAsia="仿宋_GB2312"/>
                <w:color w:val="000000"/>
                <w:szCs w:val="21"/>
              </w:rPr>
            </w:pPr>
          </w:p>
        </w:tc>
        <w:tc>
          <w:tcPr>
            <w:tcW w:w="1022" w:type="dxa"/>
            <w:tcBorders>
              <w:top w:val="double" w:color="auto" w:sz="6" w:space="0"/>
              <w:bottom w:val="single" w:color="auto" w:sz="6" w:space="0"/>
            </w:tcBorders>
            <w:vAlign w:val="center"/>
          </w:tcPr>
          <w:p w14:paraId="41962ADD">
            <w:pPr>
              <w:pStyle w:val="21"/>
              <w:keepNext/>
              <w:spacing w:line="440" w:lineRule="exact"/>
              <w:ind w:left="63" w:right="63"/>
              <w:rPr>
                <w:rFonts w:eastAsia="仿宋_GB2312"/>
                <w:color w:val="000000"/>
                <w:szCs w:val="21"/>
              </w:rPr>
            </w:pPr>
          </w:p>
        </w:tc>
        <w:tc>
          <w:tcPr>
            <w:tcW w:w="1116" w:type="dxa"/>
            <w:tcBorders>
              <w:top w:val="double" w:color="auto" w:sz="6" w:space="0"/>
              <w:bottom w:val="single" w:color="auto" w:sz="6" w:space="0"/>
            </w:tcBorders>
            <w:vAlign w:val="center"/>
          </w:tcPr>
          <w:p w14:paraId="497084F2">
            <w:pPr>
              <w:pStyle w:val="21"/>
              <w:keepNext/>
              <w:spacing w:line="440" w:lineRule="exact"/>
              <w:ind w:left="63" w:right="63"/>
              <w:rPr>
                <w:rFonts w:eastAsia="仿宋_GB2312"/>
                <w:color w:val="000000"/>
                <w:szCs w:val="21"/>
              </w:rPr>
            </w:pPr>
          </w:p>
        </w:tc>
        <w:tc>
          <w:tcPr>
            <w:tcW w:w="1031" w:type="dxa"/>
            <w:tcBorders>
              <w:top w:val="double" w:color="auto" w:sz="6" w:space="0"/>
              <w:bottom w:val="single" w:color="auto" w:sz="6" w:space="0"/>
            </w:tcBorders>
            <w:vAlign w:val="center"/>
          </w:tcPr>
          <w:p w14:paraId="573D4188">
            <w:pPr>
              <w:pStyle w:val="21"/>
              <w:keepNext/>
              <w:spacing w:line="440" w:lineRule="exact"/>
              <w:ind w:left="63" w:right="63"/>
              <w:rPr>
                <w:rFonts w:eastAsia="仿宋_GB2312"/>
                <w:color w:val="000000"/>
                <w:szCs w:val="21"/>
              </w:rPr>
            </w:pPr>
          </w:p>
        </w:tc>
        <w:tc>
          <w:tcPr>
            <w:tcW w:w="759" w:type="dxa"/>
            <w:tcBorders>
              <w:top w:val="double" w:color="auto" w:sz="6" w:space="0"/>
              <w:bottom w:val="single" w:color="auto" w:sz="6" w:space="0"/>
            </w:tcBorders>
            <w:vAlign w:val="center"/>
          </w:tcPr>
          <w:p w14:paraId="2C4C73B1">
            <w:pPr>
              <w:pStyle w:val="21"/>
              <w:keepNext/>
              <w:spacing w:line="440" w:lineRule="exact"/>
              <w:ind w:left="63" w:right="63"/>
              <w:rPr>
                <w:rFonts w:eastAsia="仿宋_GB2312"/>
                <w:color w:val="000000"/>
                <w:szCs w:val="21"/>
              </w:rPr>
            </w:pPr>
          </w:p>
        </w:tc>
        <w:tc>
          <w:tcPr>
            <w:tcW w:w="647" w:type="dxa"/>
            <w:tcBorders>
              <w:top w:val="double" w:color="auto" w:sz="6" w:space="0"/>
              <w:bottom w:val="single" w:color="auto" w:sz="6" w:space="0"/>
            </w:tcBorders>
            <w:vAlign w:val="center"/>
          </w:tcPr>
          <w:p w14:paraId="415408B7">
            <w:pPr>
              <w:pStyle w:val="21"/>
              <w:keepNext/>
              <w:spacing w:line="440" w:lineRule="exact"/>
              <w:ind w:left="63" w:right="63"/>
              <w:rPr>
                <w:rFonts w:eastAsia="仿宋_GB2312"/>
                <w:color w:val="000000"/>
                <w:szCs w:val="21"/>
              </w:rPr>
            </w:pPr>
          </w:p>
        </w:tc>
      </w:tr>
      <w:tr w14:paraId="03F2D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tcBorders>
              <w:top w:val="nil"/>
            </w:tcBorders>
            <w:vAlign w:val="center"/>
          </w:tcPr>
          <w:p w14:paraId="67E06F85">
            <w:pPr>
              <w:pStyle w:val="21"/>
              <w:keepNext/>
              <w:spacing w:line="440" w:lineRule="exact"/>
              <w:ind w:left="63" w:right="63"/>
              <w:rPr>
                <w:rFonts w:eastAsia="仿宋_GB2312"/>
                <w:color w:val="000000"/>
                <w:szCs w:val="21"/>
              </w:rPr>
            </w:pPr>
          </w:p>
        </w:tc>
        <w:tc>
          <w:tcPr>
            <w:tcW w:w="694" w:type="dxa"/>
            <w:tcBorders>
              <w:top w:val="nil"/>
            </w:tcBorders>
            <w:vAlign w:val="center"/>
          </w:tcPr>
          <w:p w14:paraId="58B58FE7">
            <w:pPr>
              <w:pStyle w:val="21"/>
              <w:keepNext/>
              <w:spacing w:line="440" w:lineRule="exact"/>
              <w:ind w:left="63" w:right="63"/>
              <w:rPr>
                <w:rFonts w:eastAsia="仿宋_GB2312"/>
                <w:color w:val="000000"/>
                <w:szCs w:val="21"/>
              </w:rPr>
            </w:pPr>
          </w:p>
        </w:tc>
        <w:tc>
          <w:tcPr>
            <w:tcW w:w="1088" w:type="dxa"/>
            <w:tcBorders>
              <w:top w:val="nil"/>
            </w:tcBorders>
            <w:vAlign w:val="center"/>
          </w:tcPr>
          <w:p w14:paraId="41F6FA97">
            <w:pPr>
              <w:pStyle w:val="21"/>
              <w:keepNext/>
              <w:spacing w:line="440" w:lineRule="exact"/>
              <w:ind w:left="63" w:right="63"/>
              <w:rPr>
                <w:rFonts w:eastAsia="仿宋_GB2312"/>
                <w:color w:val="000000"/>
                <w:szCs w:val="21"/>
              </w:rPr>
            </w:pPr>
          </w:p>
        </w:tc>
        <w:tc>
          <w:tcPr>
            <w:tcW w:w="1059" w:type="dxa"/>
            <w:tcBorders>
              <w:top w:val="nil"/>
            </w:tcBorders>
            <w:vAlign w:val="center"/>
          </w:tcPr>
          <w:p w14:paraId="47A8C174">
            <w:pPr>
              <w:pStyle w:val="21"/>
              <w:keepNext/>
              <w:spacing w:line="440" w:lineRule="exact"/>
              <w:ind w:left="63" w:right="63"/>
              <w:rPr>
                <w:rFonts w:eastAsia="仿宋_GB2312"/>
                <w:color w:val="000000"/>
                <w:szCs w:val="21"/>
              </w:rPr>
            </w:pPr>
          </w:p>
        </w:tc>
        <w:tc>
          <w:tcPr>
            <w:tcW w:w="1050" w:type="dxa"/>
            <w:tcBorders>
              <w:top w:val="nil"/>
            </w:tcBorders>
            <w:vAlign w:val="center"/>
          </w:tcPr>
          <w:p w14:paraId="28486703">
            <w:pPr>
              <w:pStyle w:val="21"/>
              <w:keepNext/>
              <w:spacing w:line="440" w:lineRule="exact"/>
              <w:ind w:left="63" w:right="63"/>
              <w:rPr>
                <w:rFonts w:eastAsia="仿宋_GB2312"/>
                <w:color w:val="000000"/>
                <w:szCs w:val="21"/>
              </w:rPr>
            </w:pPr>
          </w:p>
        </w:tc>
        <w:tc>
          <w:tcPr>
            <w:tcW w:w="1022" w:type="dxa"/>
            <w:tcBorders>
              <w:top w:val="nil"/>
            </w:tcBorders>
            <w:vAlign w:val="center"/>
          </w:tcPr>
          <w:p w14:paraId="460A60FE">
            <w:pPr>
              <w:pStyle w:val="21"/>
              <w:keepNext/>
              <w:spacing w:line="440" w:lineRule="exact"/>
              <w:ind w:left="63" w:right="63"/>
              <w:rPr>
                <w:rFonts w:eastAsia="仿宋_GB2312"/>
                <w:color w:val="000000"/>
                <w:szCs w:val="21"/>
              </w:rPr>
            </w:pPr>
          </w:p>
        </w:tc>
        <w:tc>
          <w:tcPr>
            <w:tcW w:w="1116" w:type="dxa"/>
            <w:tcBorders>
              <w:top w:val="nil"/>
            </w:tcBorders>
            <w:vAlign w:val="center"/>
          </w:tcPr>
          <w:p w14:paraId="26189EEE">
            <w:pPr>
              <w:pStyle w:val="21"/>
              <w:keepNext/>
              <w:spacing w:line="440" w:lineRule="exact"/>
              <w:ind w:left="63" w:right="63"/>
              <w:rPr>
                <w:rFonts w:eastAsia="仿宋_GB2312"/>
                <w:color w:val="000000"/>
                <w:szCs w:val="21"/>
              </w:rPr>
            </w:pPr>
          </w:p>
        </w:tc>
        <w:tc>
          <w:tcPr>
            <w:tcW w:w="1031" w:type="dxa"/>
            <w:tcBorders>
              <w:top w:val="nil"/>
            </w:tcBorders>
            <w:vAlign w:val="center"/>
          </w:tcPr>
          <w:p w14:paraId="0A24EC43">
            <w:pPr>
              <w:pStyle w:val="21"/>
              <w:keepNext/>
              <w:spacing w:line="440" w:lineRule="exact"/>
              <w:ind w:left="63" w:right="63"/>
              <w:rPr>
                <w:rFonts w:eastAsia="仿宋_GB2312"/>
                <w:color w:val="000000"/>
                <w:szCs w:val="21"/>
              </w:rPr>
            </w:pPr>
          </w:p>
        </w:tc>
        <w:tc>
          <w:tcPr>
            <w:tcW w:w="759" w:type="dxa"/>
            <w:tcBorders>
              <w:top w:val="nil"/>
            </w:tcBorders>
            <w:vAlign w:val="center"/>
          </w:tcPr>
          <w:p w14:paraId="06C560EF">
            <w:pPr>
              <w:pStyle w:val="21"/>
              <w:keepNext/>
              <w:spacing w:line="440" w:lineRule="exact"/>
              <w:ind w:left="63" w:right="63"/>
              <w:rPr>
                <w:rFonts w:eastAsia="仿宋_GB2312"/>
                <w:color w:val="000000"/>
                <w:szCs w:val="21"/>
              </w:rPr>
            </w:pPr>
          </w:p>
        </w:tc>
        <w:tc>
          <w:tcPr>
            <w:tcW w:w="647" w:type="dxa"/>
            <w:tcBorders>
              <w:top w:val="nil"/>
            </w:tcBorders>
            <w:vAlign w:val="center"/>
          </w:tcPr>
          <w:p w14:paraId="06A23D8E">
            <w:pPr>
              <w:pStyle w:val="21"/>
              <w:keepNext/>
              <w:spacing w:line="440" w:lineRule="exact"/>
              <w:ind w:left="63" w:right="63"/>
              <w:rPr>
                <w:rFonts w:eastAsia="仿宋_GB2312"/>
                <w:color w:val="000000"/>
                <w:szCs w:val="21"/>
              </w:rPr>
            </w:pPr>
          </w:p>
        </w:tc>
      </w:tr>
      <w:tr w14:paraId="26923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tcBorders>
              <w:top w:val="nil"/>
            </w:tcBorders>
            <w:vAlign w:val="center"/>
          </w:tcPr>
          <w:p w14:paraId="2347E622">
            <w:pPr>
              <w:pStyle w:val="21"/>
              <w:keepNext/>
              <w:spacing w:line="440" w:lineRule="exact"/>
              <w:ind w:left="63" w:right="63"/>
              <w:rPr>
                <w:rFonts w:eastAsia="仿宋_GB2312"/>
                <w:color w:val="000000"/>
                <w:szCs w:val="21"/>
              </w:rPr>
            </w:pPr>
          </w:p>
        </w:tc>
        <w:tc>
          <w:tcPr>
            <w:tcW w:w="694" w:type="dxa"/>
            <w:tcBorders>
              <w:top w:val="nil"/>
            </w:tcBorders>
            <w:vAlign w:val="center"/>
          </w:tcPr>
          <w:p w14:paraId="4F80C082">
            <w:pPr>
              <w:pStyle w:val="21"/>
              <w:keepNext/>
              <w:spacing w:line="440" w:lineRule="exact"/>
              <w:ind w:left="63" w:right="63"/>
              <w:rPr>
                <w:rFonts w:eastAsia="仿宋_GB2312"/>
                <w:color w:val="000000"/>
                <w:szCs w:val="21"/>
              </w:rPr>
            </w:pPr>
          </w:p>
        </w:tc>
        <w:tc>
          <w:tcPr>
            <w:tcW w:w="1088" w:type="dxa"/>
            <w:tcBorders>
              <w:top w:val="nil"/>
            </w:tcBorders>
            <w:vAlign w:val="center"/>
          </w:tcPr>
          <w:p w14:paraId="7CCA65EB">
            <w:pPr>
              <w:pStyle w:val="21"/>
              <w:keepNext/>
              <w:spacing w:line="440" w:lineRule="exact"/>
              <w:ind w:left="63" w:right="63"/>
              <w:rPr>
                <w:rFonts w:eastAsia="仿宋_GB2312"/>
                <w:color w:val="000000"/>
                <w:szCs w:val="21"/>
              </w:rPr>
            </w:pPr>
          </w:p>
        </w:tc>
        <w:tc>
          <w:tcPr>
            <w:tcW w:w="1059" w:type="dxa"/>
            <w:tcBorders>
              <w:top w:val="nil"/>
            </w:tcBorders>
            <w:vAlign w:val="center"/>
          </w:tcPr>
          <w:p w14:paraId="5C545080">
            <w:pPr>
              <w:pStyle w:val="21"/>
              <w:keepNext/>
              <w:spacing w:line="440" w:lineRule="exact"/>
              <w:ind w:left="63" w:right="63"/>
              <w:rPr>
                <w:rFonts w:eastAsia="仿宋_GB2312"/>
                <w:color w:val="000000"/>
                <w:szCs w:val="21"/>
              </w:rPr>
            </w:pPr>
          </w:p>
        </w:tc>
        <w:tc>
          <w:tcPr>
            <w:tcW w:w="1050" w:type="dxa"/>
            <w:tcBorders>
              <w:top w:val="nil"/>
            </w:tcBorders>
            <w:vAlign w:val="center"/>
          </w:tcPr>
          <w:p w14:paraId="388E77E4">
            <w:pPr>
              <w:pStyle w:val="21"/>
              <w:keepNext/>
              <w:spacing w:line="440" w:lineRule="exact"/>
              <w:ind w:left="63" w:right="63"/>
              <w:rPr>
                <w:rFonts w:eastAsia="仿宋_GB2312"/>
                <w:color w:val="000000"/>
                <w:szCs w:val="21"/>
              </w:rPr>
            </w:pPr>
          </w:p>
        </w:tc>
        <w:tc>
          <w:tcPr>
            <w:tcW w:w="1022" w:type="dxa"/>
            <w:tcBorders>
              <w:top w:val="nil"/>
            </w:tcBorders>
            <w:vAlign w:val="center"/>
          </w:tcPr>
          <w:p w14:paraId="7DCCEC7B">
            <w:pPr>
              <w:pStyle w:val="21"/>
              <w:keepNext/>
              <w:spacing w:line="440" w:lineRule="exact"/>
              <w:ind w:left="63" w:right="63"/>
              <w:rPr>
                <w:rFonts w:eastAsia="仿宋_GB2312"/>
                <w:color w:val="000000"/>
                <w:szCs w:val="21"/>
              </w:rPr>
            </w:pPr>
          </w:p>
        </w:tc>
        <w:tc>
          <w:tcPr>
            <w:tcW w:w="1116" w:type="dxa"/>
            <w:tcBorders>
              <w:top w:val="nil"/>
            </w:tcBorders>
            <w:vAlign w:val="center"/>
          </w:tcPr>
          <w:p w14:paraId="55F4C2E8">
            <w:pPr>
              <w:pStyle w:val="21"/>
              <w:keepNext/>
              <w:spacing w:line="440" w:lineRule="exact"/>
              <w:ind w:left="63" w:right="63"/>
              <w:rPr>
                <w:rFonts w:eastAsia="仿宋_GB2312"/>
                <w:color w:val="000000"/>
                <w:szCs w:val="21"/>
              </w:rPr>
            </w:pPr>
          </w:p>
        </w:tc>
        <w:tc>
          <w:tcPr>
            <w:tcW w:w="1031" w:type="dxa"/>
            <w:tcBorders>
              <w:top w:val="nil"/>
            </w:tcBorders>
            <w:vAlign w:val="center"/>
          </w:tcPr>
          <w:p w14:paraId="6F04E24B">
            <w:pPr>
              <w:pStyle w:val="21"/>
              <w:keepNext/>
              <w:spacing w:line="440" w:lineRule="exact"/>
              <w:ind w:left="63" w:right="63"/>
              <w:rPr>
                <w:rFonts w:eastAsia="仿宋_GB2312"/>
                <w:color w:val="000000"/>
                <w:szCs w:val="21"/>
              </w:rPr>
            </w:pPr>
          </w:p>
        </w:tc>
        <w:tc>
          <w:tcPr>
            <w:tcW w:w="759" w:type="dxa"/>
            <w:tcBorders>
              <w:top w:val="nil"/>
            </w:tcBorders>
            <w:vAlign w:val="center"/>
          </w:tcPr>
          <w:p w14:paraId="560AE34D">
            <w:pPr>
              <w:pStyle w:val="21"/>
              <w:keepNext/>
              <w:spacing w:line="440" w:lineRule="exact"/>
              <w:ind w:left="63" w:right="63"/>
              <w:rPr>
                <w:rFonts w:eastAsia="仿宋_GB2312"/>
                <w:color w:val="000000"/>
                <w:szCs w:val="21"/>
              </w:rPr>
            </w:pPr>
          </w:p>
        </w:tc>
        <w:tc>
          <w:tcPr>
            <w:tcW w:w="647" w:type="dxa"/>
            <w:tcBorders>
              <w:top w:val="nil"/>
            </w:tcBorders>
            <w:vAlign w:val="center"/>
          </w:tcPr>
          <w:p w14:paraId="3889A885">
            <w:pPr>
              <w:pStyle w:val="21"/>
              <w:keepNext/>
              <w:spacing w:line="440" w:lineRule="exact"/>
              <w:ind w:left="63" w:right="63"/>
              <w:rPr>
                <w:rFonts w:eastAsia="仿宋_GB2312"/>
                <w:color w:val="000000"/>
                <w:szCs w:val="21"/>
              </w:rPr>
            </w:pPr>
          </w:p>
        </w:tc>
      </w:tr>
      <w:tr w14:paraId="4274D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vAlign w:val="center"/>
          </w:tcPr>
          <w:p w14:paraId="59A7137D">
            <w:pPr>
              <w:pStyle w:val="21"/>
              <w:keepNext/>
              <w:spacing w:line="440" w:lineRule="exact"/>
              <w:ind w:left="63" w:right="63"/>
              <w:rPr>
                <w:rFonts w:eastAsia="仿宋_GB2312"/>
                <w:color w:val="000000"/>
                <w:szCs w:val="21"/>
              </w:rPr>
            </w:pPr>
          </w:p>
        </w:tc>
        <w:tc>
          <w:tcPr>
            <w:tcW w:w="694" w:type="dxa"/>
            <w:vAlign w:val="center"/>
          </w:tcPr>
          <w:p w14:paraId="5BEA1B43">
            <w:pPr>
              <w:pStyle w:val="21"/>
              <w:keepNext/>
              <w:spacing w:line="440" w:lineRule="exact"/>
              <w:ind w:left="63" w:right="63"/>
              <w:rPr>
                <w:rFonts w:eastAsia="仿宋_GB2312"/>
                <w:color w:val="000000"/>
                <w:szCs w:val="21"/>
              </w:rPr>
            </w:pPr>
          </w:p>
        </w:tc>
        <w:tc>
          <w:tcPr>
            <w:tcW w:w="1088" w:type="dxa"/>
            <w:vAlign w:val="center"/>
          </w:tcPr>
          <w:p w14:paraId="1428071C">
            <w:pPr>
              <w:pStyle w:val="21"/>
              <w:keepNext/>
              <w:spacing w:line="440" w:lineRule="exact"/>
              <w:ind w:left="63" w:right="63"/>
              <w:rPr>
                <w:rFonts w:eastAsia="仿宋_GB2312"/>
                <w:color w:val="000000"/>
                <w:szCs w:val="21"/>
              </w:rPr>
            </w:pPr>
          </w:p>
        </w:tc>
        <w:tc>
          <w:tcPr>
            <w:tcW w:w="1059" w:type="dxa"/>
            <w:vAlign w:val="center"/>
          </w:tcPr>
          <w:p w14:paraId="0B6BE2C7">
            <w:pPr>
              <w:pStyle w:val="21"/>
              <w:keepNext/>
              <w:spacing w:line="440" w:lineRule="exact"/>
              <w:ind w:left="63" w:right="63"/>
              <w:rPr>
                <w:rFonts w:eastAsia="仿宋_GB2312"/>
                <w:color w:val="000000"/>
                <w:szCs w:val="21"/>
              </w:rPr>
            </w:pPr>
          </w:p>
        </w:tc>
        <w:tc>
          <w:tcPr>
            <w:tcW w:w="1050" w:type="dxa"/>
            <w:vAlign w:val="center"/>
          </w:tcPr>
          <w:p w14:paraId="6FBCCABB">
            <w:pPr>
              <w:pStyle w:val="21"/>
              <w:keepNext/>
              <w:spacing w:line="440" w:lineRule="exact"/>
              <w:ind w:left="63" w:right="63"/>
              <w:rPr>
                <w:rFonts w:eastAsia="仿宋_GB2312"/>
                <w:color w:val="000000"/>
                <w:szCs w:val="21"/>
              </w:rPr>
            </w:pPr>
          </w:p>
        </w:tc>
        <w:tc>
          <w:tcPr>
            <w:tcW w:w="1022" w:type="dxa"/>
            <w:vAlign w:val="center"/>
          </w:tcPr>
          <w:p w14:paraId="2691DB54">
            <w:pPr>
              <w:pStyle w:val="21"/>
              <w:keepNext/>
              <w:spacing w:line="440" w:lineRule="exact"/>
              <w:ind w:left="63" w:right="63"/>
              <w:rPr>
                <w:rFonts w:eastAsia="仿宋_GB2312"/>
                <w:color w:val="000000"/>
                <w:szCs w:val="21"/>
              </w:rPr>
            </w:pPr>
          </w:p>
        </w:tc>
        <w:tc>
          <w:tcPr>
            <w:tcW w:w="1116" w:type="dxa"/>
            <w:vAlign w:val="center"/>
          </w:tcPr>
          <w:p w14:paraId="102639BF">
            <w:pPr>
              <w:pStyle w:val="21"/>
              <w:keepNext/>
              <w:spacing w:line="440" w:lineRule="exact"/>
              <w:ind w:left="63" w:right="63"/>
              <w:rPr>
                <w:rFonts w:eastAsia="仿宋_GB2312"/>
                <w:color w:val="000000"/>
                <w:szCs w:val="21"/>
              </w:rPr>
            </w:pPr>
          </w:p>
        </w:tc>
        <w:tc>
          <w:tcPr>
            <w:tcW w:w="1031" w:type="dxa"/>
            <w:vAlign w:val="center"/>
          </w:tcPr>
          <w:p w14:paraId="3C842B27">
            <w:pPr>
              <w:pStyle w:val="21"/>
              <w:keepNext/>
              <w:spacing w:line="440" w:lineRule="exact"/>
              <w:ind w:left="63" w:right="63"/>
              <w:rPr>
                <w:rFonts w:eastAsia="仿宋_GB2312"/>
                <w:color w:val="000000"/>
                <w:szCs w:val="21"/>
              </w:rPr>
            </w:pPr>
          </w:p>
        </w:tc>
        <w:tc>
          <w:tcPr>
            <w:tcW w:w="759" w:type="dxa"/>
            <w:vAlign w:val="center"/>
          </w:tcPr>
          <w:p w14:paraId="36FBD287">
            <w:pPr>
              <w:pStyle w:val="21"/>
              <w:keepNext/>
              <w:spacing w:line="440" w:lineRule="exact"/>
              <w:ind w:left="63" w:right="63"/>
              <w:rPr>
                <w:rFonts w:eastAsia="仿宋_GB2312"/>
                <w:color w:val="000000"/>
                <w:szCs w:val="21"/>
              </w:rPr>
            </w:pPr>
          </w:p>
        </w:tc>
        <w:tc>
          <w:tcPr>
            <w:tcW w:w="647" w:type="dxa"/>
            <w:vAlign w:val="center"/>
          </w:tcPr>
          <w:p w14:paraId="74585AE3">
            <w:pPr>
              <w:pStyle w:val="21"/>
              <w:keepNext/>
              <w:spacing w:line="440" w:lineRule="exact"/>
              <w:ind w:left="63" w:right="63"/>
              <w:rPr>
                <w:rFonts w:eastAsia="仿宋_GB2312"/>
                <w:color w:val="000000"/>
                <w:szCs w:val="21"/>
              </w:rPr>
            </w:pPr>
          </w:p>
        </w:tc>
      </w:tr>
      <w:tr w14:paraId="097D1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tcBorders>
              <w:top w:val="nil"/>
            </w:tcBorders>
            <w:vAlign w:val="center"/>
          </w:tcPr>
          <w:p w14:paraId="0E3146D0">
            <w:pPr>
              <w:pStyle w:val="21"/>
              <w:keepNext/>
              <w:spacing w:line="440" w:lineRule="exact"/>
              <w:ind w:left="63" w:right="63"/>
              <w:rPr>
                <w:rFonts w:eastAsia="仿宋_GB2312"/>
                <w:color w:val="000000"/>
                <w:szCs w:val="21"/>
              </w:rPr>
            </w:pPr>
          </w:p>
        </w:tc>
        <w:tc>
          <w:tcPr>
            <w:tcW w:w="694" w:type="dxa"/>
            <w:tcBorders>
              <w:top w:val="nil"/>
            </w:tcBorders>
            <w:vAlign w:val="center"/>
          </w:tcPr>
          <w:p w14:paraId="6538EF53">
            <w:pPr>
              <w:pStyle w:val="21"/>
              <w:keepNext/>
              <w:spacing w:line="440" w:lineRule="exact"/>
              <w:ind w:left="63" w:right="63"/>
              <w:rPr>
                <w:rFonts w:eastAsia="仿宋_GB2312"/>
                <w:color w:val="000000"/>
                <w:szCs w:val="21"/>
              </w:rPr>
            </w:pPr>
          </w:p>
        </w:tc>
        <w:tc>
          <w:tcPr>
            <w:tcW w:w="1088" w:type="dxa"/>
            <w:tcBorders>
              <w:top w:val="nil"/>
            </w:tcBorders>
            <w:vAlign w:val="center"/>
          </w:tcPr>
          <w:p w14:paraId="3216399B">
            <w:pPr>
              <w:pStyle w:val="21"/>
              <w:keepNext/>
              <w:spacing w:line="440" w:lineRule="exact"/>
              <w:ind w:left="63" w:right="63"/>
              <w:rPr>
                <w:rFonts w:eastAsia="仿宋_GB2312"/>
                <w:color w:val="000000"/>
                <w:szCs w:val="21"/>
              </w:rPr>
            </w:pPr>
          </w:p>
        </w:tc>
        <w:tc>
          <w:tcPr>
            <w:tcW w:w="1059" w:type="dxa"/>
            <w:tcBorders>
              <w:top w:val="nil"/>
            </w:tcBorders>
            <w:vAlign w:val="center"/>
          </w:tcPr>
          <w:p w14:paraId="1B5BFAD5">
            <w:pPr>
              <w:pStyle w:val="21"/>
              <w:keepNext/>
              <w:spacing w:line="440" w:lineRule="exact"/>
              <w:ind w:left="63" w:right="63"/>
              <w:rPr>
                <w:rFonts w:eastAsia="仿宋_GB2312"/>
                <w:color w:val="000000"/>
                <w:szCs w:val="21"/>
              </w:rPr>
            </w:pPr>
          </w:p>
        </w:tc>
        <w:tc>
          <w:tcPr>
            <w:tcW w:w="1050" w:type="dxa"/>
            <w:tcBorders>
              <w:top w:val="nil"/>
            </w:tcBorders>
            <w:vAlign w:val="center"/>
          </w:tcPr>
          <w:p w14:paraId="458A8897">
            <w:pPr>
              <w:pStyle w:val="21"/>
              <w:keepNext/>
              <w:spacing w:line="440" w:lineRule="exact"/>
              <w:ind w:left="63" w:right="63"/>
              <w:rPr>
                <w:rFonts w:eastAsia="仿宋_GB2312"/>
                <w:color w:val="000000"/>
                <w:szCs w:val="21"/>
              </w:rPr>
            </w:pPr>
          </w:p>
        </w:tc>
        <w:tc>
          <w:tcPr>
            <w:tcW w:w="1022" w:type="dxa"/>
            <w:tcBorders>
              <w:top w:val="nil"/>
            </w:tcBorders>
            <w:vAlign w:val="center"/>
          </w:tcPr>
          <w:p w14:paraId="70A0B2BD">
            <w:pPr>
              <w:pStyle w:val="21"/>
              <w:keepNext/>
              <w:spacing w:line="440" w:lineRule="exact"/>
              <w:ind w:left="63" w:right="63"/>
              <w:rPr>
                <w:rFonts w:eastAsia="仿宋_GB2312"/>
                <w:color w:val="000000"/>
                <w:szCs w:val="21"/>
              </w:rPr>
            </w:pPr>
          </w:p>
        </w:tc>
        <w:tc>
          <w:tcPr>
            <w:tcW w:w="1116" w:type="dxa"/>
            <w:tcBorders>
              <w:top w:val="nil"/>
            </w:tcBorders>
            <w:vAlign w:val="center"/>
          </w:tcPr>
          <w:p w14:paraId="1B82A720">
            <w:pPr>
              <w:pStyle w:val="21"/>
              <w:keepNext/>
              <w:spacing w:line="440" w:lineRule="exact"/>
              <w:ind w:left="63" w:right="63"/>
              <w:rPr>
                <w:rFonts w:eastAsia="仿宋_GB2312"/>
                <w:color w:val="000000"/>
                <w:szCs w:val="21"/>
              </w:rPr>
            </w:pPr>
          </w:p>
        </w:tc>
        <w:tc>
          <w:tcPr>
            <w:tcW w:w="1031" w:type="dxa"/>
            <w:tcBorders>
              <w:top w:val="nil"/>
            </w:tcBorders>
            <w:vAlign w:val="center"/>
          </w:tcPr>
          <w:p w14:paraId="2D2D2310">
            <w:pPr>
              <w:pStyle w:val="21"/>
              <w:keepNext/>
              <w:spacing w:line="440" w:lineRule="exact"/>
              <w:ind w:left="63" w:right="63"/>
              <w:rPr>
                <w:rFonts w:eastAsia="仿宋_GB2312"/>
                <w:color w:val="000000"/>
                <w:szCs w:val="21"/>
              </w:rPr>
            </w:pPr>
          </w:p>
        </w:tc>
        <w:tc>
          <w:tcPr>
            <w:tcW w:w="759" w:type="dxa"/>
            <w:tcBorders>
              <w:top w:val="nil"/>
            </w:tcBorders>
            <w:vAlign w:val="center"/>
          </w:tcPr>
          <w:p w14:paraId="07C1D827">
            <w:pPr>
              <w:pStyle w:val="21"/>
              <w:keepNext/>
              <w:spacing w:line="440" w:lineRule="exact"/>
              <w:ind w:left="63" w:right="63"/>
              <w:rPr>
                <w:rFonts w:eastAsia="仿宋_GB2312"/>
                <w:color w:val="000000"/>
                <w:szCs w:val="21"/>
              </w:rPr>
            </w:pPr>
          </w:p>
        </w:tc>
        <w:tc>
          <w:tcPr>
            <w:tcW w:w="647" w:type="dxa"/>
            <w:tcBorders>
              <w:top w:val="nil"/>
            </w:tcBorders>
            <w:vAlign w:val="center"/>
          </w:tcPr>
          <w:p w14:paraId="76477A50">
            <w:pPr>
              <w:pStyle w:val="21"/>
              <w:keepNext/>
              <w:spacing w:line="440" w:lineRule="exact"/>
              <w:ind w:left="63" w:right="63"/>
              <w:rPr>
                <w:rFonts w:eastAsia="仿宋_GB2312"/>
                <w:color w:val="000000"/>
                <w:szCs w:val="21"/>
              </w:rPr>
            </w:pPr>
          </w:p>
        </w:tc>
      </w:tr>
      <w:tr w14:paraId="306D5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vAlign w:val="center"/>
          </w:tcPr>
          <w:p w14:paraId="53708004">
            <w:pPr>
              <w:pStyle w:val="21"/>
              <w:keepNext/>
              <w:spacing w:line="440" w:lineRule="exact"/>
              <w:ind w:left="63" w:right="63"/>
              <w:rPr>
                <w:rFonts w:eastAsia="仿宋_GB2312"/>
                <w:color w:val="000000"/>
                <w:szCs w:val="21"/>
              </w:rPr>
            </w:pPr>
          </w:p>
        </w:tc>
        <w:tc>
          <w:tcPr>
            <w:tcW w:w="694" w:type="dxa"/>
            <w:vAlign w:val="center"/>
          </w:tcPr>
          <w:p w14:paraId="2E7856FA">
            <w:pPr>
              <w:pStyle w:val="21"/>
              <w:keepNext/>
              <w:spacing w:line="440" w:lineRule="exact"/>
              <w:ind w:left="63" w:right="63"/>
              <w:rPr>
                <w:rFonts w:eastAsia="仿宋_GB2312"/>
                <w:color w:val="000000"/>
                <w:szCs w:val="21"/>
              </w:rPr>
            </w:pPr>
          </w:p>
        </w:tc>
        <w:tc>
          <w:tcPr>
            <w:tcW w:w="1088" w:type="dxa"/>
            <w:vAlign w:val="center"/>
          </w:tcPr>
          <w:p w14:paraId="4716532C">
            <w:pPr>
              <w:pStyle w:val="21"/>
              <w:keepNext/>
              <w:spacing w:line="440" w:lineRule="exact"/>
              <w:ind w:left="63" w:right="63"/>
              <w:rPr>
                <w:rFonts w:eastAsia="仿宋_GB2312"/>
                <w:color w:val="000000"/>
                <w:szCs w:val="21"/>
              </w:rPr>
            </w:pPr>
          </w:p>
        </w:tc>
        <w:tc>
          <w:tcPr>
            <w:tcW w:w="1059" w:type="dxa"/>
            <w:vAlign w:val="center"/>
          </w:tcPr>
          <w:p w14:paraId="35010974">
            <w:pPr>
              <w:pStyle w:val="21"/>
              <w:keepNext/>
              <w:spacing w:line="440" w:lineRule="exact"/>
              <w:ind w:left="63" w:right="63"/>
              <w:rPr>
                <w:rFonts w:eastAsia="仿宋_GB2312"/>
                <w:color w:val="000000"/>
                <w:szCs w:val="21"/>
              </w:rPr>
            </w:pPr>
          </w:p>
        </w:tc>
        <w:tc>
          <w:tcPr>
            <w:tcW w:w="1050" w:type="dxa"/>
            <w:vAlign w:val="center"/>
          </w:tcPr>
          <w:p w14:paraId="3985FF8E">
            <w:pPr>
              <w:pStyle w:val="21"/>
              <w:keepNext/>
              <w:spacing w:line="440" w:lineRule="exact"/>
              <w:ind w:left="63" w:right="63"/>
              <w:rPr>
                <w:rFonts w:eastAsia="仿宋_GB2312"/>
                <w:color w:val="000000"/>
                <w:szCs w:val="21"/>
              </w:rPr>
            </w:pPr>
          </w:p>
        </w:tc>
        <w:tc>
          <w:tcPr>
            <w:tcW w:w="1022" w:type="dxa"/>
            <w:vAlign w:val="center"/>
          </w:tcPr>
          <w:p w14:paraId="45FF9C51">
            <w:pPr>
              <w:pStyle w:val="21"/>
              <w:keepNext/>
              <w:spacing w:line="440" w:lineRule="exact"/>
              <w:ind w:left="63" w:right="63"/>
              <w:rPr>
                <w:rFonts w:eastAsia="仿宋_GB2312"/>
                <w:color w:val="000000"/>
                <w:szCs w:val="21"/>
              </w:rPr>
            </w:pPr>
          </w:p>
        </w:tc>
        <w:tc>
          <w:tcPr>
            <w:tcW w:w="1116" w:type="dxa"/>
            <w:vAlign w:val="center"/>
          </w:tcPr>
          <w:p w14:paraId="13941D08">
            <w:pPr>
              <w:pStyle w:val="21"/>
              <w:keepNext/>
              <w:spacing w:line="440" w:lineRule="exact"/>
              <w:ind w:left="63" w:right="63"/>
              <w:rPr>
                <w:rFonts w:eastAsia="仿宋_GB2312"/>
                <w:color w:val="000000"/>
                <w:szCs w:val="21"/>
              </w:rPr>
            </w:pPr>
          </w:p>
        </w:tc>
        <w:tc>
          <w:tcPr>
            <w:tcW w:w="1031" w:type="dxa"/>
            <w:vAlign w:val="center"/>
          </w:tcPr>
          <w:p w14:paraId="3CD63EC4">
            <w:pPr>
              <w:pStyle w:val="21"/>
              <w:keepNext/>
              <w:spacing w:line="440" w:lineRule="exact"/>
              <w:ind w:left="63" w:right="63"/>
              <w:rPr>
                <w:rFonts w:eastAsia="仿宋_GB2312"/>
                <w:color w:val="000000"/>
                <w:szCs w:val="21"/>
              </w:rPr>
            </w:pPr>
          </w:p>
        </w:tc>
        <w:tc>
          <w:tcPr>
            <w:tcW w:w="759" w:type="dxa"/>
            <w:vAlign w:val="center"/>
          </w:tcPr>
          <w:p w14:paraId="567FDF3A">
            <w:pPr>
              <w:pStyle w:val="21"/>
              <w:keepNext/>
              <w:spacing w:line="440" w:lineRule="exact"/>
              <w:ind w:left="63" w:right="63"/>
              <w:rPr>
                <w:rFonts w:eastAsia="仿宋_GB2312"/>
                <w:color w:val="000000"/>
                <w:szCs w:val="21"/>
              </w:rPr>
            </w:pPr>
          </w:p>
        </w:tc>
        <w:tc>
          <w:tcPr>
            <w:tcW w:w="647" w:type="dxa"/>
            <w:vAlign w:val="center"/>
          </w:tcPr>
          <w:p w14:paraId="3FD91486">
            <w:pPr>
              <w:pStyle w:val="21"/>
              <w:keepNext/>
              <w:spacing w:line="440" w:lineRule="exact"/>
              <w:ind w:left="63" w:right="63"/>
              <w:rPr>
                <w:rFonts w:eastAsia="仿宋_GB2312"/>
                <w:color w:val="000000"/>
                <w:szCs w:val="21"/>
              </w:rPr>
            </w:pPr>
          </w:p>
        </w:tc>
      </w:tr>
      <w:tr w14:paraId="35E7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tcBorders>
              <w:top w:val="nil"/>
            </w:tcBorders>
            <w:vAlign w:val="center"/>
          </w:tcPr>
          <w:p w14:paraId="110C0124">
            <w:pPr>
              <w:pStyle w:val="21"/>
              <w:keepNext/>
              <w:spacing w:line="440" w:lineRule="exact"/>
              <w:ind w:left="63" w:right="63"/>
              <w:rPr>
                <w:rFonts w:eastAsia="仿宋_GB2312"/>
                <w:color w:val="000000"/>
                <w:szCs w:val="21"/>
              </w:rPr>
            </w:pPr>
          </w:p>
        </w:tc>
        <w:tc>
          <w:tcPr>
            <w:tcW w:w="694" w:type="dxa"/>
            <w:tcBorders>
              <w:top w:val="nil"/>
            </w:tcBorders>
            <w:vAlign w:val="center"/>
          </w:tcPr>
          <w:p w14:paraId="472629ED">
            <w:pPr>
              <w:pStyle w:val="21"/>
              <w:keepNext/>
              <w:spacing w:line="440" w:lineRule="exact"/>
              <w:ind w:left="63" w:right="63"/>
              <w:rPr>
                <w:rFonts w:eastAsia="仿宋_GB2312"/>
                <w:color w:val="000000"/>
                <w:szCs w:val="21"/>
              </w:rPr>
            </w:pPr>
          </w:p>
        </w:tc>
        <w:tc>
          <w:tcPr>
            <w:tcW w:w="1088" w:type="dxa"/>
            <w:tcBorders>
              <w:top w:val="nil"/>
            </w:tcBorders>
            <w:vAlign w:val="center"/>
          </w:tcPr>
          <w:p w14:paraId="01A1D116">
            <w:pPr>
              <w:pStyle w:val="21"/>
              <w:keepNext/>
              <w:spacing w:line="440" w:lineRule="exact"/>
              <w:ind w:left="63" w:right="63"/>
              <w:rPr>
                <w:rFonts w:eastAsia="仿宋_GB2312"/>
                <w:color w:val="000000"/>
                <w:szCs w:val="21"/>
              </w:rPr>
            </w:pPr>
          </w:p>
        </w:tc>
        <w:tc>
          <w:tcPr>
            <w:tcW w:w="1059" w:type="dxa"/>
            <w:tcBorders>
              <w:top w:val="nil"/>
            </w:tcBorders>
            <w:vAlign w:val="center"/>
          </w:tcPr>
          <w:p w14:paraId="09259405">
            <w:pPr>
              <w:pStyle w:val="21"/>
              <w:keepNext/>
              <w:spacing w:line="440" w:lineRule="exact"/>
              <w:ind w:left="63" w:right="63"/>
              <w:rPr>
                <w:rFonts w:eastAsia="仿宋_GB2312"/>
                <w:color w:val="000000"/>
                <w:szCs w:val="21"/>
              </w:rPr>
            </w:pPr>
          </w:p>
        </w:tc>
        <w:tc>
          <w:tcPr>
            <w:tcW w:w="1050" w:type="dxa"/>
            <w:tcBorders>
              <w:top w:val="nil"/>
            </w:tcBorders>
            <w:vAlign w:val="center"/>
          </w:tcPr>
          <w:p w14:paraId="6BD65100">
            <w:pPr>
              <w:pStyle w:val="21"/>
              <w:keepNext/>
              <w:spacing w:line="440" w:lineRule="exact"/>
              <w:ind w:left="63" w:right="63"/>
              <w:rPr>
                <w:rFonts w:eastAsia="仿宋_GB2312"/>
                <w:color w:val="000000"/>
                <w:szCs w:val="21"/>
              </w:rPr>
            </w:pPr>
          </w:p>
        </w:tc>
        <w:tc>
          <w:tcPr>
            <w:tcW w:w="1022" w:type="dxa"/>
            <w:tcBorders>
              <w:top w:val="nil"/>
            </w:tcBorders>
            <w:vAlign w:val="center"/>
          </w:tcPr>
          <w:p w14:paraId="06C2FC94">
            <w:pPr>
              <w:pStyle w:val="21"/>
              <w:keepNext/>
              <w:spacing w:line="440" w:lineRule="exact"/>
              <w:ind w:left="63" w:right="63"/>
              <w:rPr>
                <w:rFonts w:eastAsia="仿宋_GB2312"/>
                <w:color w:val="000000"/>
                <w:szCs w:val="21"/>
              </w:rPr>
            </w:pPr>
          </w:p>
        </w:tc>
        <w:tc>
          <w:tcPr>
            <w:tcW w:w="1116" w:type="dxa"/>
            <w:tcBorders>
              <w:top w:val="nil"/>
            </w:tcBorders>
            <w:vAlign w:val="center"/>
          </w:tcPr>
          <w:p w14:paraId="5784B242">
            <w:pPr>
              <w:pStyle w:val="21"/>
              <w:keepNext/>
              <w:spacing w:line="440" w:lineRule="exact"/>
              <w:ind w:left="63" w:right="63"/>
              <w:rPr>
                <w:rFonts w:eastAsia="仿宋_GB2312"/>
                <w:color w:val="000000"/>
                <w:szCs w:val="21"/>
              </w:rPr>
            </w:pPr>
          </w:p>
        </w:tc>
        <w:tc>
          <w:tcPr>
            <w:tcW w:w="1031" w:type="dxa"/>
            <w:tcBorders>
              <w:top w:val="nil"/>
            </w:tcBorders>
            <w:vAlign w:val="center"/>
          </w:tcPr>
          <w:p w14:paraId="58F0DE39">
            <w:pPr>
              <w:pStyle w:val="21"/>
              <w:keepNext/>
              <w:spacing w:line="440" w:lineRule="exact"/>
              <w:ind w:left="63" w:right="63"/>
              <w:rPr>
                <w:rFonts w:eastAsia="仿宋_GB2312"/>
                <w:color w:val="000000"/>
                <w:szCs w:val="21"/>
              </w:rPr>
            </w:pPr>
          </w:p>
        </w:tc>
        <w:tc>
          <w:tcPr>
            <w:tcW w:w="759" w:type="dxa"/>
            <w:tcBorders>
              <w:top w:val="nil"/>
            </w:tcBorders>
            <w:vAlign w:val="center"/>
          </w:tcPr>
          <w:p w14:paraId="0B9DC787">
            <w:pPr>
              <w:pStyle w:val="21"/>
              <w:keepNext/>
              <w:spacing w:line="440" w:lineRule="exact"/>
              <w:ind w:left="63" w:right="63"/>
              <w:rPr>
                <w:rFonts w:eastAsia="仿宋_GB2312"/>
                <w:color w:val="000000"/>
                <w:szCs w:val="21"/>
              </w:rPr>
            </w:pPr>
          </w:p>
        </w:tc>
        <w:tc>
          <w:tcPr>
            <w:tcW w:w="647" w:type="dxa"/>
            <w:tcBorders>
              <w:top w:val="nil"/>
            </w:tcBorders>
            <w:vAlign w:val="center"/>
          </w:tcPr>
          <w:p w14:paraId="3C5AEA12">
            <w:pPr>
              <w:pStyle w:val="21"/>
              <w:keepNext/>
              <w:spacing w:line="440" w:lineRule="exact"/>
              <w:ind w:left="63" w:right="63"/>
              <w:rPr>
                <w:rFonts w:eastAsia="仿宋_GB2312"/>
                <w:color w:val="000000"/>
                <w:szCs w:val="21"/>
              </w:rPr>
            </w:pPr>
          </w:p>
        </w:tc>
      </w:tr>
      <w:tr w14:paraId="7C51B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tcBorders>
              <w:top w:val="nil"/>
            </w:tcBorders>
            <w:vAlign w:val="center"/>
          </w:tcPr>
          <w:p w14:paraId="78144EFF">
            <w:pPr>
              <w:pStyle w:val="21"/>
              <w:keepNext/>
              <w:spacing w:line="440" w:lineRule="exact"/>
              <w:ind w:left="63" w:right="63"/>
              <w:rPr>
                <w:rFonts w:eastAsia="仿宋_GB2312"/>
                <w:color w:val="000000"/>
                <w:szCs w:val="21"/>
              </w:rPr>
            </w:pPr>
          </w:p>
        </w:tc>
        <w:tc>
          <w:tcPr>
            <w:tcW w:w="694" w:type="dxa"/>
            <w:tcBorders>
              <w:top w:val="nil"/>
            </w:tcBorders>
            <w:vAlign w:val="center"/>
          </w:tcPr>
          <w:p w14:paraId="6A19132B">
            <w:pPr>
              <w:pStyle w:val="21"/>
              <w:keepNext/>
              <w:spacing w:line="440" w:lineRule="exact"/>
              <w:ind w:left="63" w:right="63"/>
              <w:rPr>
                <w:rFonts w:eastAsia="仿宋_GB2312"/>
                <w:color w:val="000000"/>
                <w:szCs w:val="21"/>
              </w:rPr>
            </w:pPr>
          </w:p>
        </w:tc>
        <w:tc>
          <w:tcPr>
            <w:tcW w:w="1088" w:type="dxa"/>
            <w:tcBorders>
              <w:top w:val="nil"/>
            </w:tcBorders>
            <w:vAlign w:val="center"/>
          </w:tcPr>
          <w:p w14:paraId="0FD83D76">
            <w:pPr>
              <w:pStyle w:val="21"/>
              <w:keepNext/>
              <w:spacing w:line="440" w:lineRule="exact"/>
              <w:ind w:left="63" w:right="63"/>
              <w:rPr>
                <w:rFonts w:eastAsia="仿宋_GB2312"/>
                <w:color w:val="000000"/>
                <w:szCs w:val="21"/>
              </w:rPr>
            </w:pPr>
          </w:p>
        </w:tc>
        <w:tc>
          <w:tcPr>
            <w:tcW w:w="1059" w:type="dxa"/>
            <w:tcBorders>
              <w:top w:val="nil"/>
            </w:tcBorders>
            <w:vAlign w:val="center"/>
          </w:tcPr>
          <w:p w14:paraId="775A095F">
            <w:pPr>
              <w:pStyle w:val="21"/>
              <w:keepNext/>
              <w:spacing w:line="440" w:lineRule="exact"/>
              <w:ind w:left="63" w:right="63"/>
              <w:rPr>
                <w:rFonts w:eastAsia="仿宋_GB2312"/>
                <w:color w:val="000000"/>
                <w:szCs w:val="21"/>
              </w:rPr>
            </w:pPr>
          </w:p>
        </w:tc>
        <w:tc>
          <w:tcPr>
            <w:tcW w:w="1050" w:type="dxa"/>
            <w:tcBorders>
              <w:top w:val="nil"/>
            </w:tcBorders>
            <w:vAlign w:val="center"/>
          </w:tcPr>
          <w:p w14:paraId="7AA336FD">
            <w:pPr>
              <w:pStyle w:val="21"/>
              <w:keepNext/>
              <w:spacing w:line="440" w:lineRule="exact"/>
              <w:ind w:left="63" w:right="63"/>
              <w:rPr>
                <w:rFonts w:eastAsia="仿宋_GB2312"/>
                <w:color w:val="000000"/>
                <w:szCs w:val="21"/>
              </w:rPr>
            </w:pPr>
          </w:p>
        </w:tc>
        <w:tc>
          <w:tcPr>
            <w:tcW w:w="1022" w:type="dxa"/>
            <w:tcBorders>
              <w:top w:val="nil"/>
            </w:tcBorders>
            <w:vAlign w:val="center"/>
          </w:tcPr>
          <w:p w14:paraId="51DFC027">
            <w:pPr>
              <w:pStyle w:val="21"/>
              <w:keepNext/>
              <w:spacing w:line="440" w:lineRule="exact"/>
              <w:ind w:left="63" w:right="63"/>
              <w:rPr>
                <w:rFonts w:eastAsia="仿宋_GB2312"/>
                <w:color w:val="000000"/>
                <w:szCs w:val="21"/>
              </w:rPr>
            </w:pPr>
          </w:p>
        </w:tc>
        <w:tc>
          <w:tcPr>
            <w:tcW w:w="1116" w:type="dxa"/>
            <w:tcBorders>
              <w:top w:val="nil"/>
            </w:tcBorders>
            <w:vAlign w:val="center"/>
          </w:tcPr>
          <w:p w14:paraId="488FB3ED">
            <w:pPr>
              <w:pStyle w:val="21"/>
              <w:keepNext/>
              <w:spacing w:line="440" w:lineRule="exact"/>
              <w:ind w:left="63" w:right="63"/>
              <w:rPr>
                <w:rFonts w:eastAsia="仿宋_GB2312"/>
                <w:color w:val="000000"/>
                <w:szCs w:val="21"/>
              </w:rPr>
            </w:pPr>
          </w:p>
        </w:tc>
        <w:tc>
          <w:tcPr>
            <w:tcW w:w="1031" w:type="dxa"/>
            <w:tcBorders>
              <w:top w:val="nil"/>
            </w:tcBorders>
            <w:vAlign w:val="center"/>
          </w:tcPr>
          <w:p w14:paraId="22A604C4">
            <w:pPr>
              <w:pStyle w:val="21"/>
              <w:keepNext/>
              <w:spacing w:line="440" w:lineRule="exact"/>
              <w:ind w:left="63" w:right="63"/>
              <w:rPr>
                <w:rFonts w:eastAsia="仿宋_GB2312"/>
                <w:color w:val="000000"/>
                <w:szCs w:val="21"/>
              </w:rPr>
            </w:pPr>
          </w:p>
        </w:tc>
        <w:tc>
          <w:tcPr>
            <w:tcW w:w="759" w:type="dxa"/>
            <w:tcBorders>
              <w:top w:val="nil"/>
            </w:tcBorders>
            <w:vAlign w:val="center"/>
          </w:tcPr>
          <w:p w14:paraId="3CFB3CD6">
            <w:pPr>
              <w:pStyle w:val="21"/>
              <w:keepNext/>
              <w:spacing w:line="440" w:lineRule="exact"/>
              <w:ind w:left="63" w:right="63"/>
              <w:rPr>
                <w:rFonts w:eastAsia="仿宋_GB2312"/>
                <w:color w:val="000000"/>
                <w:szCs w:val="21"/>
              </w:rPr>
            </w:pPr>
          </w:p>
        </w:tc>
        <w:tc>
          <w:tcPr>
            <w:tcW w:w="647" w:type="dxa"/>
            <w:tcBorders>
              <w:top w:val="nil"/>
            </w:tcBorders>
            <w:vAlign w:val="center"/>
          </w:tcPr>
          <w:p w14:paraId="571CF075">
            <w:pPr>
              <w:pStyle w:val="21"/>
              <w:keepNext/>
              <w:spacing w:line="440" w:lineRule="exact"/>
              <w:ind w:left="63" w:right="63"/>
              <w:rPr>
                <w:rFonts w:eastAsia="仿宋_GB2312"/>
                <w:color w:val="000000"/>
                <w:szCs w:val="21"/>
              </w:rPr>
            </w:pPr>
          </w:p>
        </w:tc>
      </w:tr>
      <w:tr w14:paraId="10A54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vAlign w:val="center"/>
          </w:tcPr>
          <w:p w14:paraId="38E35625">
            <w:pPr>
              <w:pStyle w:val="21"/>
              <w:keepNext/>
              <w:spacing w:line="440" w:lineRule="exact"/>
              <w:ind w:left="63" w:right="63"/>
              <w:rPr>
                <w:rFonts w:eastAsia="仿宋_GB2312"/>
                <w:color w:val="000000"/>
                <w:szCs w:val="21"/>
              </w:rPr>
            </w:pPr>
          </w:p>
        </w:tc>
        <w:tc>
          <w:tcPr>
            <w:tcW w:w="694" w:type="dxa"/>
            <w:vAlign w:val="center"/>
          </w:tcPr>
          <w:p w14:paraId="2AB82D8A">
            <w:pPr>
              <w:pStyle w:val="21"/>
              <w:keepNext/>
              <w:spacing w:line="440" w:lineRule="exact"/>
              <w:ind w:left="63" w:right="63"/>
              <w:rPr>
                <w:rFonts w:eastAsia="仿宋_GB2312"/>
                <w:color w:val="000000"/>
                <w:szCs w:val="21"/>
              </w:rPr>
            </w:pPr>
          </w:p>
        </w:tc>
        <w:tc>
          <w:tcPr>
            <w:tcW w:w="1088" w:type="dxa"/>
            <w:vAlign w:val="center"/>
          </w:tcPr>
          <w:p w14:paraId="490552F8">
            <w:pPr>
              <w:pStyle w:val="21"/>
              <w:keepNext/>
              <w:spacing w:line="440" w:lineRule="exact"/>
              <w:ind w:left="63" w:right="63"/>
              <w:rPr>
                <w:rFonts w:eastAsia="仿宋_GB2312"/>
                <w:color w:val="000000"/>
                <w:szCs w:val="21"/>
              </w:rPr>
            </w:pPr>
          </w:p>
        </w:tc>
        <w:tc>
          <w:tcPr>
            <w:tcW w:w="1059" w:type="dxa"/>
            <w:vAlign w:val="center"/>
          </w:tcPr>
          <w:p w14:paraId="71576E3E">
            <w:pPr>
              <w:pStyle w:val="21"/>
              <w:keepNext/>
              <w:spacing w:line="440" w:lineRule="exact"/>
              <w:ind w:left="63" w:right="63"/>
              <w:rPr>
                <w:rFonts w:eastAsia="仿宋_GB2312"/>
                <w:color w:val="000000"/>
                <w:szCs w:val="21"/>
              </w:rPr>
            </w:pPr>
          </w:p>
        </w:tc>
        <w:tc>
          <w:tcPr>
            <w:tcW w:w="1050" w:type="dxa"/>
            <w:vAlign w:val="center"/>
          </w:tcPr>
          <w:p w14:paraId="7ED7CF42">
            <w:pPr>
              <w:pStyle w:val="21"/>
              <w:keepNext/>
              <w:spacing w:line="440" w:lineRule="exact"/>
              <w:ind w:left="63" w:right="63"/>
              <w:rPr>
                <w:rFonts w:eastAsia="仿宋_GB2312"/>
                <w:color w:val="000000"/>
                <w:szCs w:val="21"/>
              </w:rPr>
            </w:pPr>
          </w:p>
        </w:tc>
        <w:tc>
          <w:tcPr>
            <w:tcW w:w="1022" w:type="dxa"/>
            <w:vAlign w:val="center"/>
          </w:tcPr>
          <w:p w14:paraId="128812E4">
            <w:pPr>
              <w:pStyle w:val="21"/>
              <w:keepNext/>
              <w:spacing w:line="440" w:lineRule="exact"/>
              <w:ind w:left="63" w:right="63"/>
              <w:rPr>
                <w:rFonts w:eastAsia="仿宋_GB2312"/>
                <w:color w:val="000000"/>
                <w:szCs w:val="21"/>
              </w:rPr>
            </w:pPr>
          </w:p>
        </w:tc>
        <w:tc>
          <w:tcPr>
            <w:tcW w:w="1116" w:type="dxa"/>
            <w:vAlign w:val="center"/>
          </w:tcPr>
          <w:p w14:paraId="6ACFFD27">
            <w:pPr>
              <w:pStyle w:val="21"/>
              <w:keepNext/>
              <w:spacing w:line="440" w:lineRule="exact"/>
              <w:ind w:left="63" w:right="63"/>
              <w:rPr>
                <w:rFonts w:eastAsia="仿宋_GB2312"/>
                <w:color w:val="000000"/>
                <w:szCs w:val="21"/>
              </w:rPr>
            </w:pPr>
          </w:p>
        </w:tc>
        <w:tc>
          <w:tcPr>
            <w:tcW w:w="1031" w:type="dxa"/>
            <w:vAlign w:val="center"/>
          </w:tcPr>
          <w:p w14:paraId="2D72CD18">
            <w:pPr>
              <w:pStyle w:val="21"/>
              <w:keepNext/>
              <w:spacing w:line="440" w:lineRule="exact"/>
              <w:ind w:left="63" w:right="63"/>
              <w:rPr>
                <w:rFonts w:eastAsia="仿宋_GB2312"/>
                <w:color w:val="000000"/>
                <w:szCs w:val="21"/>
              </w:rPr>
            </w:pPr>
          </w:p>
        </w:tc>
        <w:tc>
          <w:tcPr>
            <w:tcW w:w="759" w:type="dxa"/>
            <w:vAlign w:val="center"/>
          </w:tcPr>
          <w:p w14:paraId="0D582386">
            <w:pPr>
              <w:pStyle w:val="21"/>
              <w:keepNext/>
              <w:spacing w:line="440" w:lineRule="exact"/>
              <w:ind w:left="63" w:right="63"/>
              <w:rPr>
                <w:rFonts w:eastAsia="仿宋_GB2312"/>
                <w:color w:val="000000"/>
                <w:szCs w:val="21"/>
              </w:rPr>
            </w:pPr>
          </w:p>
        </w:tc>
        <w:tc>
          <w:tcPr>
            <w:tcW w:w="647" w:type="dxa"/>
            <w:vAlign w:val="center"/>
          </w:tcPr>
          <w:p w14:paraId="282BECEC">
            <w:pPr>
              <w:pStyle w:val="21"/>
              <w:keepNext/>
              <w:spacing w:line="440" w:lineRule="exact"/>
              <w:ind w:left="63" w:right="63"/>
              <w:rPr>
                <w:rFonts w:eastAsia="仿宋_GB2312"/>
                <w:color w:val="000000"/>
                <w:szCs w:val="21"/>
              </w:rPr>
            </w:pPr>
          </w:p>
        </w:tc>
      </w:tr>
      <w:tr w14:paraId="32EF8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tcBorders>
              <w:top w:val="nil"/>
            </w:tcBorders>
            <w:vAlign w:val="center"/>
          </w:tcPr>
          <w:p w14:paraId="4CD366A8">
            <w:pPr>
              <w:pStyle w:val="21"/>
              <w:keepNext/>
              <w:spacing w:line="440" w:lineRule="exact"/>
              <w:ind w:left="63" w:right="63"/>
              <w:rPr>
                <w:rFonts w:eastAsia="仿宋_GB2312"/>
                <w:color w:val="000000"/>
                <w:szCs w:val="21"/>
              </w:rPr>
            </w:pPr>
          </w:p>
        </w:tc>
        <w:tc>
          <w:tcPr>
            <w:tcW w:w="694" w:type="dxa"/>
            <w:tcBorders>
              <w:top w:val="nil"/>
            </w:tcBorders>
            <w:vAlign w:val="center"/>
          </w:tcPr>
          <w:p w14:paraId="61CE9195">
            <w:pPr>
              <w:pStyle w:val="21"/>
              <w:keepNext/>
              <w:spacing w:line="440" w:lineRule="exact"/>
              <w:ind w:left="63" w:right="63"/>
              <w:rPr>
                <w:rFonts w:eastAsia="仿宋_GB2312"/>
                <w:color w:val="000000"/>
                <w:szCs w:val="21"/>
              </w:rPr>
            </w:pPr>
          </w:p>
        </w:tc>
        <w:tc>
          <w:tcPr>
            <w:tcW w:w="1088" w:type="dxa"/>
            <w:tcBorders>
              <w:top w:val="nil"/>
            </w:tcBorders>
            <w:vAlign w:val="center"/>
          </w:tcPr>
          <w:p w14:paraId="79BBEB43">
            <w:pPr>
              <w:pStyle w:val="21"/>
              <w:keepNext/>
              <w:spacing w:line="440" w:lineRule="exact"/>
              <w:ind w:left="63" w:right="63"/>
              <w:rPr>
                <w:rFonts w:eastAsia="仿宋_GB2312"/>
                <w:color w:val="000000"/>
                <w:szCs w:val="21"/>
              </w:rPr>
            </w:pPr>
          </w:p>
        </w:tc>
        <w:tc>
          <w:tcPr>
            <w:tcW w:w="1059" w:type="dxa"/>
            <w:tcBorders>
              <w:top w:val="nil"/>
            </w:tcBorders>
            <w:vAlign w:val="center"/>
          </w:tcPr>
          <w:p w14:paraId="0B4F857C">
            <w:pPr>
              <w:pStyle w:val="21"/>
              <w:keepNext/>
              <w:spacing w:line="440" w:lineRule="exact"/>
              <w:ind w:left="63" w:right="63"/>
              <w:rPr>
                <w:rFonts w:eastAsia="仿宋_GB2312"/>
                <w:color w:val="000000"/>
                <w:szCs w:val="21"/>
              </w:rPr>
            </w:pPr>
          </w:p>
        </w:tc>
        <w:tc>
          <w:tcPr>
            <w:tcW w:w="1050" w:type="dxa"/>
            <w:tcBorders>
              <w:top w:val="nil"/>
            </w:tcBorders>
            <w:vAlign w:val="center"/>
          </w:tcPr>
          <w:p w14:paraId="360B8646">
            <w:pPr>
              <w:pStyle w:val="21"/>
              <w:keepNext/>
              <w:spacing w:line="440" w:lineRule="exact"/>
              <w:ind w:left="63" w:right="63"/>
              <w:rPr>
                <w:rFonts w:eastAsia="仿宋_GB2312"/>
                <w:color w:val="000000"/>
                <w:szCs w:val="21"/>
              </w:rPr>
            </w:pPr>
          </w:p>
        </w:tc>
        <w:tc>
          <w:tcPr>
            <w:tcW w:w="1022" w:type="dxa"/>
            <w:tcBorders>
              <w:top w:val="nil"/>
            </w:tcBorders>
            <w:vAlign w:val="center"/>
          </w:tcPr>
          <w:p w14:paraId="4E5A059E">
            <w:pPr>
              <w:pStyle w:val="21"/>
              <w:keepNext/>
              <w:spacing w:line="440" w:lineRule="exact"/>
              <w:ind w:left="63" w:right="63"/>
              <w:rPr>
                <w:rFonts w:eastAsia="仿宋_GB2312"/>
                <w:color w:val="000000"/>
                <w:szCs w:val="21"/>
              </w:rPr>
            </w:pPr>
          </w:p>
        </w:tc>
        <w:tc>
          <w:tcPr>
            <w:tcW w:w="1116" w:type="dxa"/>
            <w:tcBorders>
              <w:top w:val="nil"/>
            </w:tcBorders>
            <w:vAlign w:val="center"/>
          </w:tcPr>
          <w:p w14:paraId="366AA41C">
            <w:pPr>
              <w:pStyle w:val="21"/>
              <w:keepNext/>
              <w:spacing w:line="440" w:lineRule="exact"/>
              <w:ind w:left="63" w:right="63"/>
              <w:rPr>
                <w:rFonts w:eastAsia="仿宋_GB2312"/>
                <w:color w:val="000000"/>
                <w:szCs w:val="21"/>
              </w:rPr>
            </w:pPr>
          </w:p>
        </w:tc>
        <w:tc>
          <w:tcPr>
            <w:tcW w:w="1031" w:type="dxa"/>
            <w:tcBorders>
              <w:top w:val="nil"/>
            </w:tcBorders>
            <w:vAlign w:val="center"/>
          </w:tcPr>
          <w:p w14:paraId="09E363A5">
            <w:pPr>
              <w:pStyle w:val="21"/>
              <w:keepNext/>
              <w:spacing w:line="440" w:lineRule="exact"/>
              <w:ind w:left="63" w:right="63"/>
              <w:rPr>
                <w:rFonts w:eastAsia="仿宋_GB2312"/>
                <w:color w:val="000000"/>
                <w:szCs w:val="21"/>
              </w:rPr>
            </w:pPr>
          </w:p>
        </w:tc>
        <w:tc>
          <w:tcPr>
            <w:tcW w:w="759" w:type="dxa"/>
            <w:tcBorders>
              <w:top w:val="nil"/>
            </w:tcBorders>
            <w:vAlign w:val="center"/>
          </w:tcPr>
          <w:p w14:paraId="4AC3EC22">
            <w:pPr>
              <w:pStyle w:val="21"/>
              <w:keepNext/>
              <w:spacing w:line="440" w:lineRule="exact"/>
              <w:ind w:left="63" w:right="63"/>
              <w:rPr>
                <w:rFonts w:eastAsia="仿宋_GB2312"/>
                <w:color w:val="000000"/>
                <w:szCs w:val="21"/>
              </w:rPr>
            </w:pPr>
          </w:p>
        </w:tc>
        <w:tc>
          <w:tcPr>
            <w:tcW w:w="647" w:type="dxa"/>
            <w:tcBorders>
              <w:top w:val="nil"/>
            </w:tcBorders>
            <w:vAlign w:val="center"/>
          </w:tcPr>
          <w:p w14:paraId="227551AE">
            <w:pPr>
              <w:pStyle w:val="21"/>
              <w:keepNext/>
              <w:spacing w:line="440" w:lineRule="exact"/>
              <w:ind w:left="63" w:right="63"/>
              <w:rPr>
                <w:rFonts w:eastAsia="仿宋_GB2312"/>
                <w:color w:val="000000"/>
                <w:szCs w:val="21"/>
              </w:rPr>
            </w:pPr>
          </w:p>
        </w:tc>
      </w:tr>
      <w:tr w14:paraId="2AD0A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3" w:type="dxa"/>
            <w:vAlign w:val="center"/>
          </w:tcPr>
          <w:p w14:paraId="43D2173C">
            <w:pPr>
              <w:pStyle w:val="21"/>
              <w:keepNext/>
              <w:spacing w:line="440" w:lineRule="exact"/>
              <w:ind w:left="63" w:right="63"/>
              <w:rPr>
                <w:rFonts w:eastAsia="仿宋_GB2312"/>
                <w:color w:val="000000"/>
                <w:szCs w:val="21"/>
              </w:rPr>
            </w:pPr>
          </w:p>
        </w:tc>
        <w:tc>
          <w:tcPr>
            <w:tcW w:w="694" w:type="dxa"/>
            <w:vAlign w:val="center"/>
          </w:tcPr>
          <w:p w14:paraId="50C397C4">
            <w:pPr>
              <w:pStyle w:val="21"/>
              <w:keepNext/>
              <w:spacing w:line="440" w:lineRule="exact"/>
              <w:ind w:left="63" w:right="63"/>
              <w:rPr>
                <w:rFonts w:eastAsia="仿宋_GB2312"/>
                <w:color w:val="000000"/>
                <w:szCs w:val="21"/>
              </w:rPr>
            </w:pPr>
          </w:p>
        </w:tc>
        <w:tc>
          <w:tcPr>
            <w:tcW w:w="1088" w:type="dxa"/>
            <w:vAlign w:val="center"/>
          </w:tcPr>
          <w:p w14:paraId="78068391">
            <w:pPr>
              <w:pStyle w:val="21"/>
              <w:keepNext/>
              <w:spacing w:line="440" w:lineRule="exact"/>
              <w:ind w:left="63" w:right="63"/>
              <w:rPr>
                <w:rFonts w:eastAsia="仿宋_GB2312"/>
                <w:color w:val="000000"/>
                <w:szCs w:val="21"/>
              </w:rPr>
            </w:pPr>
          </w:p>
        </w:tc>
        <w:tc>
          <w:tcPr>
            <w:tcW w:w="1059" w:type="dxa"/>
            <w:vAlign w:val="center"/>
          </w:tcPr>
          <w:p w14:paraId="5F863E8C">
            <w:pPr>
              <w:pStyle w:val="21"/>
              <w:keepNext/>
              <w:spacing w:line="440" w:lineRule="exact"/>
              <w:ind w:left="63" w:right="63"/>
              <w:rPr>
                <w:rFonts w:eastAsia="仿宋_GB2312"/>
                <w:color w:val="000000"/>
                <w:szCs w:val="21"/>
              </w:rPr>
            </w:pPr>
          </w:p>
        </w:tc>
        <w:tc>
          <w:tcPr>
            <w:tcW w:w="1050" w:type="dxa"/>
            <w:vAlign w:val="center"/>
          </w:tcPr>
          <w:p w14:paraId="4FB82562">
            <w:pPr>
              <w:pStyle w:val="21"/>
              <w:keepNext/>
              <w:spacing w:line="440" w:lineRule="exact"/>
              <w:ind w:left="63" w:right="63"/>
              <w:rPr>
                <w:rFonts w:eastAsia="仿宋_GB2312"/>
                <w:color w:val="000000"/>
                <w:szCs w:val="21"/>
              </w:rPr>
            </w:pPr>
          </w:p>
        </w:tc>
        <w:tc>
          <w:tcPr>
            <w:tcW w:w="1022" w:type="dxa"/>
            <w:vAlign w:val="center"/>
          </w:tcPr>
          <w:p w14:paraId="3ED342AF">
            <w:pPr>
              <w:pStyle w:val="21"/>
              <w:keepNext/>
              <w:spacing w:line="440" w:lineRule="exact"/>
              <w:ind w:left="63" w:right="63"/>
              <w:rPr>
                <w:rFonts w:eastAsia="仿宋_GB2312"/>
                <w:color w:val="000000"/>
                <w:szCs w:val="21"/>
              </w:rPr>
            </w:pPr>
          </w:p>
        </w:tc>
        <w:tc>
          <w:tcPr>
            <w:tcW w:w="1116" w:type="dxa"/>
            <w:vAlign w:val="center"/>
          </w:tcPr>
          <w:p w14:paraId="2C58C6B8">
            <w:pPr>
              <w:pStyle w:val="21"/>
              <w:keepNext/>
              <w:spacing w:line="440" w:lineRule="exact"/>
              <w:ind w:left="63" w:right="63"/>
              <w:rPr>
                <w:rFonts w:eastAsia="仿宋_GB2312"/>
                <w:color w:val="000000"/>
                <w:szCs w:val="21"/>
              </w:rPr>
            </w:pPr>
          </w:p>
        </w:tc>
        <w:tc>
          <w:tcPr>
            <w:tcW w:w="1031" w:type="dxa"/>
            <w:vAlign w:val="center"/>
          </w:tcPr>
          <w:p w14:paraId="79943DA8">
            <w:pPr>
              <w:pStyle w:val="21"/>
              <w:keepNext/>
              <w:spacing w:line="440" w:lineRule="exact"/>
              <w:ind w:left="63" w:right="63"/>
              <w:rPr>
                <w:rFonts w:eastAsia="仿宋_GB2312"/>
                <w:color w:val="000000"/>
                <w:szCs w:val="21"/>
              </w:rPr>
            </w:pPr>
          </w:p>
        </w:tc>
        <w:tc>
          <w:tcPr>
            <w:tcW w:w="759" w:type="dxa"/>
            <w:vAlign w:val="center"/>
          </w:tcPr>
          <w:p w14:paraId="3D3AD3A9">
            <w:pPr>
              <w:pStyle w:val="21"/>
              <w:keepNext/>
              <w:spacing w:line="440" w:lineRule="exact"/>
              <w:ind w:left="63" w:right="63"/>
              <w:rPr>
                <w:rFonts w:eastAsia="仿宋_GB2312"/>
                <w:color w:val="000000"/>
                <w:szCs w:val="21"/>
              </w:rPr>
            </w:pPr>
          </w:p>
        </w:tc>
        <w:tc>
          <w:tcPr>
            <w:tcW w:w="647" w:type="dxa"/>
            <w:vAlign w:val="center"/>
          </w:tcPr>
          <w:p w14:paraId="4C4F63F0">
            <w:pPr>
              <w:pStyle w:val="21"/>
              <w:keepNext/>
              <w:spacing w:line="440" w:lineRule="exact"/>
              <w:ind w:left="63" w:right="63"/>
              <w:rPr>
                <w:rFonts w:eastAsia="仿宋_GB2312"/>
                <w:color w:val="000000"/>
                <w:szCs w:val="21"/>
              </w:rPr>
            </w:pPr>
          </w:p>
        </w:tc>
      </w:tr>
    </w:tbl>
    <w:p w14:paraId="50E678C5">
      <w:pPr>
        <w:spacing w:line="360" w:lineRule="auto"/>
        <w:rPr>
          <w:rFonts w:eastAsia="仿宋_GB2312"/>
          <w:color w:val="000000"/>
          <w:szCs w:val="21"/>
        </w:rPr>
      </w:pPr>
    </w:p>
    <w:p w14:paraId="0E70D522">
      <w:pPr>
        <w:rPr>
          <w:rFonts w:eastAsia="仿宋_GB2312"/>
          <w:color w:val="000000"/>
          <w:szCs w:val="21"/>
        </w:rPr>
      </w:pPr>
    </w:p>
    <w:sectPr>
      <w:headerReference r:id="rId3" w:type="default"/>
      <w:footerReference r:id="rId4" w:type="default"/>
      <w:pgSz w:w="11906" w:h="16838"/>
      <w:pgMar w:top="1440" w:right="1134"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F Song">
    <w:altName w:val="宋体"/>
    <w:panose1 w:val="00000000000000000000"/>
    <w:charset w:val="86"/>
    <w:family w:val="auto"/>
    <w:pitch w:val="default"/>
    <w:sig w:usb0="00000000" w:usb1="00000000" w:usb2="00000010" w:usb3="00000000" w:csb0="00040000" w:csb1="00000000"/>
  </w:font>
  <w:font w:name="Heiti SC Light">
    <w:altName w:val="Noto Sans SC"/>
    <w:panose1 w:val="00000000000000000000"/>
    <w:charset w:val="80"/>
    <w:family w:val="auto"/>
    <w:pitch w:val="default"/>
    <w:sig w:usb0="00000000" w:usb1="00000000" w:usb2="00000000" w:usb3="00000000" w:csb0="203E0000" w:csb1="00000000"/>
  </w:font>
  <w:font w:name="Noto Sans SC">
    <w:panose1 w:val="020B0200000000000000"/>
    <w:charset w:val="86"/>
    <w:family w:val="auto"/>
    <w:pitch w:val="default"/>
    <w:sig w:usb0="2000008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Kai">
    <w:altName w:val="宋体"/>
    <w:panose1 w:val="00000000000000000000"/>
    <w:charset w:val="86"/>
    <w:family w:val="auto"/>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Dotum">
    <w:altName w:val="Malgun Gothic"/>
    <w:panose1 w:val="020B0600000101010101"/>
    <w:charset w:val="81"/>
    <w:family w:val="swiss"/>
    <w:pitch w:val="default"/>
    <w:sig w:usb0="00000000" w:usb1="00000000" w:usb2="00000030" w:usb3="00000000" w:csb0="4008009F" w:csb1="DFD70000"/>
  </w:font>
  <w:font w:name="Impact">
    <w:panose1 w:val="020B0806030902050204"/>
    <w:charset w:val="00"/>
    <w:family w:val="swiss"/>
    <w:pitch w:val="default"/>
    <w:sig w:usb0="00000287" w:usb1="00000000" w:usb2="00000000" w:usb3="00000000" w:csb0="2000009F" w:csb1="DFD70000"/>
  </w:font>
  <w:font w:name="Franklin Gothic Heavy">
    <w:altName w:val="Yu Gothic UI Semibold"/>
    <w:panose1 w:val="020B0903020102020204"/>
    <w:charset w:val="00"/>
    <w:family w:val="swiss"/>
    <w:pitch w:val="default"/>
    <w:sig w:usb0="00000000" w:usb1="00000000" w:usb2="00000000" w:usb3="00000000" w:csb0="2000009F" w:csb1="DFD70000"/>
  </w:font>
  <w:font w:name="Yu Gothic UI Semibold">
    <w:panose1 w:val="020B07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00" w:usb3="00000000" w:csb0="00040001" w:csb1="00000000"/>
  </w:font>
  <w:font w:name="Frutiger 45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alatino">
    <w:altName w:val="Palatino Linotype"/>
    <w:panose1 w:val="00000000000000000000"/>
    <w:charset w:val="00"/>
    <w:family w:val="roma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BatangChe">
    <w:altName w:val="Malgun Gothic"/>
    <w:panose1 w:val="02030609000101010101"/>
    <w:charset w:val="81"/>
    <w:family w:val="modern"/>
    <w:pitch w:val="default"/>
    <w:sig w:usb0="00000000" w:usb1="00000000" w:usb2="00000030" w:usb3="00000000" w:csb0="4008009F" w:csb1="DFD70000"/>
  </w:font>
  <w:font w:name="B Frutiger Bold">
    <w:altName w:val="Arial"/>
    <w:panose1 w:val="00000000000000000000"/>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93" w:csb1="00000000"/>
  </w:font>
  <w:font w:name="CG Times">
    <w:altName w:val="Times New Roman"/>
    <w:panose1 w:val="00000000000000000000"/>
    <w:charset w:val="00"/>
    <w:family w:val="roman"/>
    <w:pitch w:val="default"/>
    <w:sig w:usb0="00000000" w:usb1="00000000" w:usb2="00000000" w:usb3="00000000" w:csb0="00000093" w:csb1="00000000"/>
  </w:font>
  <w:font w:name="仿宋体">
    <w:altName w:val="宋体"/>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4F9C2767">
    <w:panose1 w:val="020B0503020204020204"/>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 w:name="KSOFBA29B2C9">
    <w:panose1 w:val="020B0503020000020004"/>
    <w:charset w:val="81"/>
    <w:family w:val="auto"/>
    <w:pitch w:val="default"/>
    <w:sig w:usb0="00000001" w:usb1="00000000" w:usb2="0000000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4061">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2AA4A">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A2AA4A">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2BAC">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pPr>
        <w:ind w:left="0" w:firstLine="0"/>
      </w:pPr>
      <w:rPr>
        <w:rFonts w:cs="Times New Roman"/>
      </w:rPr>
    </w:lvl>
  </w:abstractNum>
  <w:abstractNum w:abstractNumId="1">
    <w:nsid w:val="01FE1FBC"/>
    <w:multiLevelType w:val="multilevel"/>
    <w:tmpl w:val="01FE1FBC"/>
    <w:lvl w:ilvl="0" w:tentative="0">
      <w:start w:val="1"/>
      <w:numFmt w:val="upperLetter"/>
      <w:pStyle w:val="546"/>
      <w:lvlText w:val="(%1)"/>
      <w:lvlJc w:val="left"/>
      <w:pPr>
        <w:tabs>
          <w:tab w:val="left" w:pos="720"/>
        </w:tabs>
        <w:ind w:left="720" w:hanging="720"/>
      </w:pPr>
    </w:lvl>
    <w:lvl w:ilvl="1" w:tentative="0">
      <w:start w:val="1"/>
      <w:numFmt w:val="upperLetter"/>
      <w:pStyle w:val="547"/>
      <w:lvlText w:val="(%2)"/>
      <w:lvlJc w:val="left"/>
      <w:pPr>
        <w:tabs>
          <w:tab w:val="left" w:pos="1440"/>
        </w:tabs>
        <w:ind w:left="1440" w:hanging="720"/>
      </w:pPr>
    </w:lvl>
    <w:lvl w:ilvl="2" w:tentative="0">
      <w:start w:val="1"/>
      <w:numFmt w:val="upperLetter"/>
      <w:pStyle w:val="548"/>
      <w:lvlText w:val="(%3)"/>
      <w:lvlJc w:val="left"/>
      <w:pPr>
        <w:tabs>
          <w:tab w:val="left" w:pos="2160"/>
        </w:tabs>
        <w:ind w:left="2160" w:hanging="720"/>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0AC4E2D0"/>
    <w:multiLevelType w:val="singleLevel"/>
    <w:tmpl w:val="0AC4E2D0"/>
    <w:lvl w:ilvl="0" w:tentative="0">
      <w:start w:val="12"/>
      <w:numFmt w:val="decimal"/>
      <w:suff w:val="nothing"/>
      <w:lvlText w:val="%1、"/>
      <w:lvlJc w:val="left"/>
    </w:lvl>
  </w:abstractNum>
  <w:abstractNum w:abstractNumId="3">
    <w:nsid w:val="13536295"/>
    <w:multiLevelType w:val="singleLevel"/>
    <w:tmpl w:val="13536295"/>
    <w:lvl w:ilvl="0" w:tentative="0">
      <w:start w:val="33"/>
      <w:numFmt w:val="decimal"/>
      <w:suff w:val="nothing"/>
      <w:lvlText w:val="%1、"/>
      <w:lvlJc w:val="left"/>
    </w:lvl>
  </w:abstractNum>
  <w:abstractNum w:abstractNumId="4">
    <w:nsid w:val="237E4D61"/>
    <w:multiLevelType w:val="multilevel"/>
    <w:tmpl w:val="237E4D61"/>
    <w:lvl w:ilvl="0" w:tentative="0">
      <w:start w:val="1"/>
      <w:numFmt w:val="japaneseCounting"/>
      <w:lvlText w:val="第%1章"/>
      <w:lvlJc w:val="left"/>
      <w:pPr>
        <w:ind w:left="9351" w:hanging="420"/>
      </w:pPr>
      <w:rPr>
        <w:rFonts w:hint="eastAsia" w:ascii="黑体" w:eastAsia="黑体"/>
        <w:b w:val="0"/>
        <w:sz w:val="36"/>
        <w:lang w:val="en-US"/>
      </w:rPr>
    </w:lvl>
    <w:lvl w:ilvl="1" w:tentative="0">
      <w:start w:val="1"/>
      <w:numFmt w:val="chineseCountingThousand"/>
      <w:pStyle w:val="378"/>
      <w:lvlText w:val="%2、"/>
      <w:lvlJc w:val="left"/>
      <w:pPr>
        <w:tabs>
          <w:tab w:val="left" w:pos="851"/>
        </w:tabs>
        <w:ind w:left="0" w:firstLine="0"/>
      </w:pPr>
      <w:rPr>
        <w:b w:val="0"/>
        <w:bCs w:val="0"/>
        <w:i w:val="0"/>
        <w:iCs w:val="0"/>
        <w:caps w:val="0"/>
        <w:smallCaps w:val="0"/>
        <w:strike w:val="0"/>
        <w:dstrike w:val="0"/>
        <w:vanish w:val="0"/>
        <w:color w:val="000000"/>
        <w:spacing w:val="0"/>
        <w:kern w:val="0"/>
        <w:position w:val="0"/>
        <w:u w:val="none"/>
        <w:vertAlign w:val="baseline"/>
      </w:rPr>
    </w:lvl>
    <w:lvl w:ilvl="2" w:tentative="0">
      <w:start w:val="1"/>
      <w:numFmt w:val="decimal"/>
      <w:isLgl/>
      <w:lvlText w:val="%1.%2.%3"/>
      <w:lvlJc w:val="left"/>
      <w:pPr>
        <w:tabs>
          <w:tab w:val="left" w:pos="851"/>
        </w:tabs>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380"/>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5">
    <w:nsid w:val="305B4994"/>
    <w:multiLevelType w:val="multilevel"/>
    <w:tmpl w:val="305B4994"/>
    <w:lvl w:ilvl="0" w:tentative="0">
      <w:start w:val="1"/>
      <w:numFmt w:val="decimal"/>
      <w:pStyle w:val="550"/>
      <w:lvlText w:val="第%1章"/>
      <w:lvlJc w:val="left"/>
      <w:pPr>
        <w:tabs>
          <w:tab w:val="left" w:pos="1134"/>
        </w:tabs>
        <w:ind w:left="425" w:hanging="425"/>
      </w:pPr>
      <w:rPr>
        <w:rFonts w:hint="eastAsia"/>
      </w:rPr>
    </w:lvl>
    <w:lvl w:ilvl="1" w:tentative="0">
      <w:start w:val="1"/>
      <w:numFmt w:val="decimal"/>
      <w:pStyle w:val="551"/>
      <w:lvlText w:val="%1.%2"/>
      <w:lvlJc w:val="left"/>
      <w:pPr>
        <w:tabs>
          <w:tab w:val="left" w:pos="567"/>
        </w:tabs>
        <w:ind w:left="567" w:hanging="567"/>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552"/>
      <w:lvlText w:val="%1.%2.%3"/>
      <w:lvlJc w:val="left"/>
      <w:pPr>
        <w:tabs>
          <w:tab w:val="left" w:pos="1418"/>
        </w:tabs>
        <w:ind w:left="1418" w:hanging="851"/>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lowerLetter"/>
      <w:pStyle w:val="554"/>
      <w:lvlText w:val="(%4)"/>
      <w:lvlJc w:val="left"/>
      <w:pPr>
        <w:tabs>
          <w:tab w:val="left" w:pos="1814"/>
        </w:tabs>
        <w:ind w:left="1814" w:hanging="396"/>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11C66B4"/>
    <w:multiLevelType w:val="singleLevel"/>
    <w:tmpl w:val="311C66B4"/>
    <w:lvl w:ilvl="0" w:tentative="0">
      <w:start w:val="28"/>
      <w:numFmt w:val="decimal"/>
      <w:suff w:val="nothing"/>
      <w:lvlText w:val="%1、"/>
      <w:lvlJc w:val="left"/>
    </w:lvl>
  </w:abstractNum>
  <w:abstractNum w:abstractNumId="7">
    <w:nsid w:val="343A5581"/>
    <w:multiLevelType w:val="multilevel"/>
    <w:tmpl w:val="343A5581"/>
    <w:lvl w:ilvl="0" w:tentative="0">
      <w:start w:val="1"/>
      <w:numFmt w:val="decimal"/>
      <w:pStyle w:val="278"/>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2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5328122C"/>
    <w:multiLevelType w:val="singleLevel"/>
    <w:tmpl w:val="5328122C"/>
    <w:lvl w:ilvl="0" w:tentative="0">
      <w:start w:val="2"/>
      <w:numFmt w:val="decimal"/>
      <w:suff w:val="nothing"/>
      <w:lvlText w:val="%1、"/>
      <w:lvlJc w:val="left"/>
      <w:pPr>
        <w:ind w:left="500" w:firstLine="0"/>
      </w:pPr>
    </w:lvl>
  </w:abstractNum>
  <w:abstractNum w:abstractNumId="10">
    <w:nsid w:val="54AC610C"/>
    <w:multiLevelType w:val="singleLevel"/>
    <w:tmpl w:val="54AC610C"/>
    <w:lvl w:ilvl="0" w:tentative="0">
      <w:start w:val="23"/>
      <w:numFmt w:val="decimal"/>
      <w:suff w:val="nothing"/>
      <w:lvlText w:val="%1、"/>
      <w:lvlJc w:val="left"/>
    </w:lvl>
  </w:abstractNum>
  <w:abstractNum w:abstractNumId="11">
    <w:nsid w:val="594E86B6"/>
    <w:multiLevelType w:val="singleLevel"/>
    <w:tmpl w:val="594E86B6"/>
    <w:lvl w:ilvl="0" w:tentative="0">
      <w:start w:val="2"/>
      <w:numFmt w:val="decimal"/>
      <w:lvlText w:val="%1."/>
      <w:lvlJc w:val="left"/>
      <w:pPr>
        <w:tabs>
          <w:tab w:val="left" w:pos="312"/>
        </w:tabs>
      </w:pPr>
    </w:lvl>
  </w:abstractNum>
  <w:num w:numId="1">
    <w:abstractNumId w:val="8"/>
  </w:num>
  <w:num w:numId="2">
    <w:abstractNumId w:val="7"/>
  </w:num>
  <w:num w:numId="3">
    <w:abstractNumId w:val="4"/>
  </w:num>
  <w:num w:numId="4">
    <w:abstractNumId w:val="1"/>
  </w:num>
  <w:num w:numId="5">
    <w:abstractNumId w:val="5"/>
  </w:num>
  <w:num w:numId="6">
    <w:abstractNumId w:val="2"/>
  </w:num>
  <w:num w:numId="7">
    <w:abstractNumId w:val="10"/>
  </w:num>
  <w:num w:numId="8">
    <w:abstractNumId w:val="6"/>
  </w:num>
  <w:num w:numId="9">
    <w:abstractNumId w:val="3"/>
  </w:num>
  <w:num w:numId="10">
    <w:abstractNumId w:val="9"/>
  </w:num>
  <w:num w:numId="11">
    <w:abstractNumId w:val="11"/>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hideSpellingErrors/>
  <w:hideGrammaticalErrors/>
  <w:documentProtection w:edit="readOnly"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0Y2VhZDIzNzk4OWQxOWNmN2JiNmNhYWMzMGE4OGYifQ=="/>
  </w:docVars>
  <w:rsids>
    <w:rsidRoot w:val="00C9019B"/>
    <w:rsid w:val="00000762"/>
    <w:rsid w:val="00001A81"/>
    <w:rsid w:val="00001CE7"/>
    <w:rsid w:val="00001EDE"/>
    <w:rsid w:val="0000230D"/>
    <w:rsid w:val="00002556"/>
    <w:rsid w:val="000033EC"/>
    <w:rsid w:val="000038BC"/>
    <w:rsid w:val="0000495E"/>
    <w:rsid w:val="0000682F"/>
    <w:rsid w:val="00006C88"/>
    <w:rsid w:val="000078A2"/>
    <w:rsid w:val="00011434"/>
    <w:rsid w:val="00011936"/>
    <w:rsid w:val="0001226B"/>
    <w:rsid w:val="0001257D"/>
    <w:rsid w:val="00012B1C"/>
    <w:rsid w:val="00013A4B"/>
    <w:rsid w:val="00013D4D"/>
    <w:rsid w:val="000153E5"/>
    <w:rsid w:val="00015865"/>
    <w:rsid w:val="00016AD2"/>
    <w:rsid w:val="00016E1B"/>
    <w:rsid w:val="00017B64"/>
    <w:rsid w:val="00017DB1"/>
    <w:rsid w:val="00017E5D"/>
    <w:rsid w:val="00020293"/>
    <w:rsid w:val="000211C9"/>
    <w:rsid w:val="00022299"/>
    <w:rsid w:val="00022735"/>
    <w:rsid w:val="000228C6"/>
    <w:rsid w:val="00023586"/>
    <w:rsid w:val="00023DBF"/>
    <w:rsid w:val="00024252"/>
    <w:rsid w:val="0002494C"/>
    <w:rsid w:val="000251B6"/>
    <w:rsid w:val="00025CC5"/>
    <w:rsid w:val="00025F10"/>
    <w:rsid w:val="00026E95"/>
    <w:rsid w:val="0002767E"/>
    <w:rsid w:val="00027C18"/>
    <w:rsid w:val="00030296"/>
    <w:rsid w:val="00030824"/>
    <w:rsid w:val="00030F0E"/>
    <w:rsid w:val="00031582"/>
    <w:rsid w:val="00031C6B"/>
    <w:rsid w:val="00032157"/>
    <w:rsid w:val="00033326"/>
    <w:rsid w:val="00033E7E"/>
    <w:rsid w:val="00034483"/>
    <w:rsid w:val="0003472F"/>
    <w:rsid w:val="000352EC"/>
    <w:rsid w:val="000358CD"/>
    <w:rsid w:val="00036CA6"/>
    <w:rsid w:val="000374FB"/>
    <w:rsid w:val="0003776C"/>
    <w:rsid w:val="00037BDF"/>
    <w:rsid w:val="000402AF"/>
    <w:rsid w:val="00040B46"/>
    <w:rsid w:val="00040EDF"/>
    <w:rsid w:val="000413F2"/>
    <w:rsid w:val="00041628"/>
    <w:rsid w:val="0004209E"/>
    <w:rsid w:val="000423CF"/>
    <w:rsid w:val="00042E31"/>
    <w:rsid w:val="00043059"/>
    <w:rsid w:val="00043569"/>
    <w:rsid w:val="00043771"/>
    <w:rsid w:val="000437DB"/>
    <w:rsid w:val="00044979"/>
    <w:rsid w:val="00044C78"/>
    <w:rsid w:val="00044D22"/>
    <w:rsid w:val="00047E8D"/>
    <w:rsid w:val="0005068A"/>
    <w:rsid w:val="00051246"/>
    <w:rsid w:val="0005240E"/>
    <w:rsid w:val="000528A2"/>
    <w:rsid w:val="00052B9F"/>
    <w:rsid w:val="0005317D"/>
    <w:rsid w:val="00054D89"/>
    <w:rsid w:val="0005503E"/>
    <w:rsid w:val="00055278"/>
    <w:rsid w:val="0005571C"/>
    <w:rsid w:val="0005585F"/>
    <w:rsid w:val="000562BA"/>
    <w:rsid w:val="000562DA"/>
    <w:rsid w:val="00056509"/>
    <w:rsid w:val="00056574"/>
    <w:rsid w:val="0005665D"/>
    <w:rsid w:val="00056AA2"/>
    <w:rsid w:val="00056B4C"/>
    <w:rsid w:val="00057112"/>
    <w:rsid w:val="0006014F"/>
    <w:rsid w:val="000604A3"/>
    <w:rsid w:val="000606FD"/>
    <w:rsid w:val="00061ACB"/>
    <w:rsid w:val="00061E2A"/>
    <w:rsid w:val="00063012"/>
    <w:rsid w:val="00066067"/>
    <w:rsid w:val="000660A0"/>
    <w:rsid w:val="00066A64"/>
    <w:rsid w:val="00066CA8"/>
    <w:rsid w:val="00066D2D"/>
    <w:rsid w:val="00066ECD"/>
    <w:rsid w:val="00066FD8"/>
    <w:rsid w:val="00067DDB"/>
    <w:rsid w:val="00070627"/>
    <w:rsid w:val="000718BD"/>
    <w:rsid w:val="00072B1D"/>
    <w:rsid w:val="00072E85"/>
    <w:rsid w:val="00073743"/>
    <w:rsid w:val="00073976"/>
    <w:rsid w:val="00073F72"/>
    <w:rsid w:val="00075BB8"/>
    <w:rsid w:val="000772D9"/>
    <w:rsid w:val="00077504"/>
    <w:rsid w:val="00077B91"/>
    <w:rsid w:val="00080143"/>
    <w:rsid w:val="00080EE4"/>
    <w:rsid w:val="00080F8D"/>
    <w:rsid w:val="00081466"/>
    <w:rsid w:val="00083150"/>
    <w:rsid w:val="00083286"/>
    <w:rsid w:val="00085931"/>
    <w:rsid w:val="00087302"/>
    <w:rsid w:val="00087882"/>
    <w:rsid w:val="00091261"/>
    <w:rsid w:val="00092ADB"/>
    <w:rsid w:val="000935CB"/>
    <w:rsid w:val="00093F13"/>
    <w:rsid w:val="00095066"/>
    <w:rsid w:val="0009598B"/>
    <w:rsid w:val="00095E08"/>
    <w:rsid w:val="0009633E"/>
    <w:rsid w:val="000970AC"/>
    <w:rsid w:val="000974D7"/>
    <w:rsid w:val="000974F7"/>
    <w:rsid w:val="00097D72"/>
    <w:rsid w:val="000A02A5"/>
    <w:rsid w:val="000A09B2"/>
    <w:rsid w:val="000A0BC9"/>
    <w:rsid w:val="000A0F1F"/>
    <w:rsid w:val="000A1390"/>
    <w:rsid w:val="000A34DE"/>
    <w:rsid w:val="000A435A"/>
    <w:rsid w:val="000A472B"/>
    <w:rsid w:val="000A542F"/>
    <w:rsid w:val="000A55DE"/>
    <w:rsid w:val="000A5682"/>
    <w:rsid w:val="000A7773"/>
    <w:rsid w:val="000B0483"/>
    <w:rsid w:val="000B1C12"/>
    <w:rsid w:val="000B2B88"/>
    <w:rsid w:val="000B2C24"/>
    <w:rsid w:val="000B3FD7"/>
    <w:rsid w:val="000B445D"/>
    <w:rsid w:val="000B484D"/>
    <w:rsid w:val="000B4F91"/>
    <w:rsid w:val="000B5027"/>
    <w:rsid w:val="000B6D91"/>
    <w:rsid w:val="000B7EE8"/>
    <w:rsid w:val="000C004B"/>
    <w:rsid w:val="000C0A2E"/>
    <w:rsid w:val="000C14DC"/>
    <w:rsid w:val="000C1CF9"/>
    <w:rsid w:val="000C26AA"/>
    <w:rsid w:val="000C3425"/>
    <w:rsid w:val="000C3D61"/>
    <w:rsid w:val="000C47D0"/>
    <w:rsid w:val="000C5532"/>
    <w:rsid w:val="000C5A9F"/>
    <w:rsid w:val="000C5B9D"/>
    <w:rsid w:val="000C6C6C"/>
    <w:rsid w:val="000C70ED"/>
    <w:rsid w:val="000C7263"/>
    <w:rsid w:val="000C76FE"/>
    <w:rsid w:val="000D0F92"/>
    <w:rsid w:val="000D1583"/>
    <w:rsid w:val="000D3EEA"/>
    <w:rsid w:val="000D40AE"/>
    <w:rsid w:val="000D4F2F"/>
    <w:rsid w:val="000D51D7"/>
    <w:rsid w:val="000D5B69"/>
    <w:rsid w:val="000D6525"/>
    <w:rsid w:val="000D65B5"/>
    <w:rsid w:val="000E0B84"/>
    <w:rsid w:val="000E12BA"/>
    <w:rsid w:val="000E155A"/>
    <w:rsid w:val="000E15A2"/>
    <w:rsid w:val="000E17E9"/>
    <w:rsid w:val="000E2206"/>
    <w:rsid w:val="000E27A3"/>
    <w:rsid w:val="000E2D57"/>
    <w:rsid w:val="000E3D56"/>
    <w:rsid w:val="000E4491"/>
    <w:rsid w:val="000E45FA"/>
    <w:rsid w:val="000E46BB"/>
    <w:rsid w:val="000E49C4"/>
    <w:rsid w:val="000E5655"/>
    <w:rsid w:val="000E594E"/>
    <w:rsid w:val="000E5B39"/>
    <w:rsid w:val="000E5CA4"/>
    <w:rsid w:val="000E5FD2"/>
    <w:rsid w:val="000E7D86"/>
    <w:rsid w:val="000F127D"/>
    <w:rsid w:val="000F1A24"/>
    <w:rsid w:val="000F1CD7"/>
    <w:rsid w:val="000F1EC1"/>
    <w:rsid w:val="000F3724"/>
    <w:rsid w:val="000F47C0"/>
    <w:rsid w:val="000F48E0"/>
    <w:rsid w:val="000F4990"/>
    <w:rsid w:val="000F4A11"/>
    <w:rsid w:val="000F5BB4"/>
    <w:rsid w:val="000F5DEE"/>
    <w:rsid w:val="000F6C58"/>
    <w:rsid w:val="000F75E8"/>
    <w:rsid w:val="000F7D67"/>
    <w:rsid w:val="00101462"/>
    <w:rsid w:val="0010177F"/>
    <w:rsid w:val="001018F1"/>
    <w:rsid w:val="00101A5D"/>
    <w:rsid w:val="00102021"/>
    <w:rsid w:val="00103EB3"/>
    <w:rsid w:val="0010678F"/>
    <w:rsid w:val="00107A87"/>
    <w:rsid w:val="00107BFD"/>
    <w:rsid w:val="00111690"/>
    <w:rsid w:val="00111CCD"/>
    <w:rsid w:val="00111F79"/>
    <w:rsid w:val="00111FBC"/>
    <w:rsid w:val="001121A2"/>
    <w:rsid w:val="00113324"/>
    <w:rsid w:val="00113452"/>
    <w:rsid w:val="00113621"/>
    <w:rsid w:val="00113925"/>
    <w:rsid w:val="00114040"/>
    <w:rsid w:val="001146D6"/>
    <w:rsid w:val="001154EA"/>
    <w:rsid w:val="00115633"/>
    <w:rsid w:val="00115946"/>
    <w:rsid w:val="00116978"/>
    <w:rsid w:val="0011710F"/>
    <w:rsid w:val="00117D78"/>
    <w:rsid w:val="0012131E"/>
    <w:rsid w:val="00122124"/>
    <w:rsid w:val="00122241"/>
    <w:rsid w:val="00122713"/>
    <w:rsid w:val="00122FD5"/>
    <w:rsid w:val="00123435"/>
    <w:rsid w:val="00123525"/>
    <w:rsid w:val="00123FD4"/>
    <w:rsid w:val="0012419F"/>
    <w:rsid w:val="00125D7E"/>
    <w:rsid w:val="00125FA0"/>
    <w:rsid w:val="0012657C"/>
    <w:rsid w:val="00126824"/>
    <w:rsid w:val="00126C01"/>
    <w:rsid w:val="0013015E"/>
    <w:rsid w:val="001305B4"/>
    <w:rsid w:val="00130A56"/>
    <w:rsid w:val="00131C22"/>
    <w:rsid w:val="00132835"/>
    <w:rsid w:val="00132F1F"/>
    <w:rsid w:val="00133288"/>
    <w:rsid w:val="00133888"/>
    <w:rsid w:val="0013432A"/>
    <w:rsid w:val="00135855"/>
    <w:rsid w:val="00137053"/>
    <w:rsid w:val="0013751E"/>
    <w:rsid w:val="00140FC4"/>
    <w:rsid w:val="00141106"/>
    <w:rsid w:val="0014117D"/>
    <w:rsid w:val="00143016"/>
    <w:rsid w:val="0014513A"/>
    <w:rsid w:val="001451D2"/>
    <w:rsid w:val="00145701"/>
    <w:rsid w:val="00145B5C"/>
    <w:rsid w:val="00145DE1"/>
    <w:rsid w:val="0014724D"/>
    <w:rsid w:val="00147717"/>
    <w:rsid w:val="00147D30"/>
    <w:rsid w:val="001500F2"/>
    <w:rsid w:val="00150AA9"/>
    <w:rsid w:val="00150B56"/>
    <w:rsid w:val="00150E2F"/>
    <w:rsid w:val="0015284F"/>
    <w:rsid w:val="00152C27"/>
    <w:rsid w:val="00153E35"/>
    <w:rsid w:val="00153EB5"/>
    <w:rsid w:val="001542A7"/>
    <w:rsid w:val="00154D10"/>
    <w:rsid w:val="00155C16"/>
    <w:rsid w:val="001560D6"/>
    <w:rsid w:val="00157F44"/>
    <w:rsid w:val="00161CF4"/>
    <w:rsid w:val="00161DDC"/>
    <w:rsid w:val="00163540"/>
    <w:rsid w:val="00163775"/>
    <w:rsid w:val="00163A1E"/>
    <w:rsid w:val="00164478"/>
    <w:rsid w:val="00164EAB"/>
    <w:rsid w:val="0016511A"/>
    <w:rsid w:val="00165EA0"/>
    <w:rsid w:val="00166527"/>
    <w:rsid w:val="00167080"/>
    <w:rsid w:val="00170884"/>
    <w:rsid w:val="0017168D"/>
    <w:rsid w:val="00171CE7"/>
    <w:rsid w:val="00171F5F"/>
    <w:rsid w:val="001729F2"/>
    <w:rsid w:val="001730B5"/>
    <w:rsid w:val="00173599"/>
    <w:rsid w:val="0017388C"/>
    <w:rsid w:val="00174B74"/>
    <w:rsid w:val="001751CC"/>
    <w:rsid w:val="00180AC8"/>
    <w:rsid w:val="00180EE3"/>
    <w:rsid w:val="00181876"/>
    <w:rsid w:val="00181DAE"/>
    <w:rsid w:val="00181E44"/>
    <w:rsid w:val="00183664"/>
    <w:rsid w:val="00183D88"/>
    <w:rsid w:val="0018411F"/>
    <w:rsid w:val="0018501B"/>
    <w:rsid w:val="001865DD"/>
    <w:rsid w:val="00187328"/>
    <w:rsid w:val="00187624"/>
    <w:rsid w:val="00191A5C"/>
    <w:rsid w:val="00192409"/>
    <w:rsid w:val="001928EA"/>
    <w:rsid w:val="00194B82"/>
    <w:rsid w:val="00195766"/>
    <w:rsid w:val="001958E2"/>
    <w:rsid w:val="00195A82"/>
    <w:rsid w:val="00195ED3"/>
    <w:rsid w:val="00196D73"/>
    <w:rsid w:val="001A00A0"/>
    <w:rsid w:val="001A044B"/>
    <w:rsid w:val="001A0B7E"/>
    <w:rsid w:val="001A122F"/>
    <w:rsid w:val="001A1318"/>
    <w:rsid w:val="001A1425"/>
    <w:rsid w:val="001A1A92"/>
    <w:rsid w:val="001A314A"/>
    <w:rsid w:val="001A3F1C"/>
    <w:rsid w:val="001A3F79"/>
    <w:rsid w:val="001A40C5"/>
    <w:rsid w:val="001A4240"/>
    <w:rsid w:val="001A429C"/>
    <w:rsid w:val="001A5033"/>
    <w:rsid w:val="001A5A64"/>
    <w:rsid w:val="001A5C21"/>
    <w:rsid w:val="001A5E33"/>
    <w:rsid w:val="001A63E1"/>
    <w:rsid w:val="001A63EF"/>
    <w:rsid w:val="001A6936"/>
    <w:rsid w:val="001A6C69"/>
    <w:rsid w:val="001A6CB9"/>
    <w:rsid w:val="001A750A"/>
    <w:rsid w:val="001A7561"/>
    <w:rsid w:val="001A780F"/>
    <w:rsid w:val="001B014E"/>
    <w:rsid w:val="001B2F1C"/>
    <w:rsid w:val="001B35D3"/>
    <w:rsid w:val="001B4006"/>
    <w:rsid w:val="001B47A6"/>
    <w:rsid w:val="001B5014"/>
    <w:rsid w:val="001B5372"/>
    <w:rsid w:val="001B545C"/>
    <w:rsid w:val="001B57F8"/>
    <w:rsid w:val="001B5890"/>
    <w:rsid w:val="001B6D68"/>
    <w:rsid w:val="001C062E"/>
    <w:rsid w:val="001C1470"/>
    <w:rsid w:val="001C1DBE"/>
    <w:rsid w:val="001C23F6"/>
    <w:rsid w:val="001C2B48"/>
    <w:rsid w:val="001C42C5"/>
    <w:rsid w:val="001C5369"/>
    <w:rsid w:val="001C57E9"/>
    <w:rsid w:val="001C5F7A"/>
    <w:rsid w:val="001C6225"/>
    <w:rsid w:val="001C6B4B"/>
    <w:rsid w:val="001C73B6"/>
    <w:rsid w:val="001C7F6E"/>
    <w:rsid w:val="001D0223"/>
    <w:rsid w:val="001D1AC7"/>
    <w:rsid w:val="001D24FA"/>
    <w:rsid w:val="001D2CD2"/>
    <w:rsid w:val="001D2FDB"/>
    <w:rsid w:val="001D3A93"/>
    <w:rsid w:val="001D52EF"/>
    <w:rsid w:val="001D53ED"/>
    <w:rsid w:val="001D629E"/>
    <w:rsid w:val="001D6943"/>
    <w:rsid w:val="001D6A5D"/>
    <w:rsid w:val="001D7056"/>
    <w:rsid w:val="001D7957"/>
    <w:rsid w:val="001E1788"/>
    <w:rsid w:val="001E3F8E"/>
    <w:rsid w:val="001E422B"/>
    <w:rsid w:val="001E4A46"/>
    <w:rsid w:val="001E4AEE"/>
    <w:rsid w:val="001E4EB6"/>
    <w:rsid w:val="001E5670"/>
    <w:rsid w:val="001E6531"/>
    <w:rsid w:val="001E6A0C"/>
    <w:rsid w:val="001E6DF6"/>
    <w:rsid w:val="001E7F34"/>
    <w:rsid w:val="001F049C"/>
    <w:rsid w:val="001F0B6B"/>
    <w:rsid w:val="001F0C8D"/>
    <w:rsid w:val="001F0D44"/>
    <w:rsid w:val="001F1642"/>
    <w:rsid w:val="001F186E"/>
    <w:rsid w:val="001F1DAD"/>
    <w:rsid w:val="001F2B76"/>
    <w:rsid w:val="001F3047"/>
    <w:rsid w:val="001F38E4"/>
    <w:rsid w:val="001F3A04"/>
    <w:rsid w:val="001F3A35"/>
    <w:rsid w:val="001F3B6A"/>
    <w:rsid w:val="001F494A"/>
    <w:rsid w:val="001F5E57"/>
    <w:rsid w:val="001F697E"/>
    <w:rsid w:val="001F7982"/>
    <w:rsid w:val="001F7AB6"/>
    <w:rsid w:val="0020018D"/>
    <w:rsid w:val="002013A9"/>
    <w:rsid w:val="00201F7A"/>
    <w:rsid w:val="002033FF"/>
    <w:rsid w:val="00204370"/>
    <w:rsid w:val="00204873"/>
    <w:rsid w:val="00204D87"/>
    <w:rsid w:val="00205376"/>
    <w:rsid w:val="00205ED4"/>
    <w:rsid w:val="00205F7A"/>
    <w:rsid w:val="00206DB0"/>
    <w:rsid w:val="002076F7"/>
    <w:rsid w:val="00207C74"/>
    <w:rsid w:val="00210B26"/>
    <w:rsid w:val="00211DD1"/>
    <w:rsid w:val="00212241"/>
    <w:rsid w:val="00212BDE"/>
    <w:rsid w:val="00213361"/>
    <w:rsid w:val="00213BF7"/>
    <w:rsid w:val="00214128"/>
    <w:rsid w:val="0021457A"/>
    <w:rsid w:val="002146F1"/>
    <w:rsid w:val="00214750"/>
    <w:rsid w:val="002151CD"/>
    <w:rsid w:val="002156BD"/>
    <w:rsid w:val="00215E16"/>
    <w:rsid w:val="00216330"/>
    <w:rsid w:val="00216E47"/>
    <w:rsid w:val="00216F63"/>
    <w:rsid w:val="00217271"/>
    <w:rsid w:val="002175D7"/>
    <w:rsid w:val="00217644"/>
    <w:rsid w:val="00217F08"/>
    <w:rsid w:val="002200FA"/>
    <w:rsid w:val="00220B70"/>
    <w:rsid w:val="00220C88"/>
    <w:rsid w:val="0022191E"/>
    <w:rsid w:val="00221B71"/>
    <w:rsid w:val="00221F58"/>
    <w:rsid w:val="0022477F"/>
    <w:rsid w:val="00224DEE"/>
    <w:rsid w:val="00225E83"/>
    <w:rsid w:val="00226804"/>
    <w:rsid w:val="00227094"/>
    <w:rsid w:val="00227109"/>
    <w:rsid w:val="00232329"/>
    <w:rsid w:val="00233967"/>
    <w:rsid w:val="00233DB2"/>
    <w:rsid w:val="0023529D"/>
    <w:rsid w:val="002356FC"/>
    <w:rsid w:val="00235C3F"/>
    <w:rsid w:val="00236637"/>
    <w:rsid w:val="002370DE"/>
    <w:rsid w:val="00240DFF"/>
    <w:rsid w:val="0024105A"/>
    <w:rsid w:val="002413B5"/>
    <w:rsid w:val="00241615"/>
    <w:rsid w:val="00243DEB"/>
    <w:rsid w:val="002445C2"/>
    <w:rsid w:val="00244B81"/>
    <w:rsid w:val="002453FB"/>
    <w:rsid w:val="00246C52"/>
    <w:rsid w:val="00251B4E"/>
    <w:rsid w:val="00251BCA"/>
    <w:rsid w:val="00251C38"/>
    <w:rsid w:val="00252369"/>
    <w:rsid w:val="00252936"/>
    <w:rsid w:val="002533FB"/>
    <w:rsid w:val="00253570"/>
    <w:rsid w:val="0025365F"/>
    <w:rsid w:val="002556F7"/>
    <w:rsid w:val="00256069"/>
    <w:rsid w:val="002561AB"/>
    <w:rsid w:val="00256B91"/>
    <w:rsid w:val="0026058E"/>
    <w:rsid w:val="00260649"/>
    <w:rsid w:val="00260A20"/>
    <w:rsid w:val="00261C76"/>
    <w:rsid w:val="0026230B"/>
    <w:rsid w:val="0026441F"/>
    <w:rsid w:val="00264702"/>
    <w:rsid w:val="00265815"/>
    <w:rsid w:val="00265D76"/>
    <w:rsid w:val="00266247"/>
    <w:rsid w:val="00266962"/>
    <w:rsid w:val="00266997"/>
    <w:rsid w:val="00270687"/>
    <w:rsid w:val="002708D6"/>
    <w:rsid w:val="00270FCF"/>
    <w:rsid w:val="002719C7"/>
    <w:rsid w:val="002720BC"/>
    <w:rsid w:val="0027226E"/>
    <w:rsid w:val="0027376E"/>
    <w:rsid w:val="00273D93"/>
    <w:rsid w:val="00274C27"/>
    <w:rsid w:val="00274FF8"/>
    <w:rsid w:val="00275ACE"/>
    <w:rsid w:val="0027602B"/>
    <w:rsid w:val="00276115"/>
    <w:rsid w:val="0027619B"/>
    <w:rsid w:val="0027641C"/>
    <w:rsid w:val="002772CF"/>
    <w:rsid w:val="00277AA0"/>
    <w:rsid w:val="00277F2E"/>
    <w:rsid w:val="0028037B"/>
    <w:rsid w:val="00280440"/>
    <w:rsid w:val="00280DD3"/>
    <w:rsid w:val="00280F94"/>
    <w:rsid w:val="002811DF"/>
    <w:rsid w:val="00282412"/>
    <w:rsid w:val="0028256D"/>
    <w:rsid w:val="002826FA"/>
    <w:rsid w:val="0028305D"/>
    <w:rsid w:val="00283DB3"/>
    <w:rsid w:val="00284525"/>
    <w:rsid w:val="00285333"/>
    <w:rsid w:val="00285F4E"/>
    <w:rsid w:val="00286619"/>
    <w:rsid w:val="00286B5A"/>
    <w:rsid w:val="00286B61"/>
    <w:rsid w:val="0029031C"/>
    <w:rsid w:val="00290E0B"/>
    <w:rsid w:val="00292164"/>
    <w:rsid w:val="00292F5A"/>
    <w:rsid w:val="002940EE"/>
    <w:rsid w:val="0029497B"/>
    <w:rsid w:val="00295A72"/>
    <w:rsid w:val="0029629D"/>
    <w:rsid w:val="00296877"/>
    <w:rsid w:val="002A1B81"/>
    <w:rsid w:val="002A231D"/>
    <w:rsid w:val="002A39A8"/>
    <w:rsid w:val="002A3CA1"/>
    <w:rsid w:val="002A3DF5"/>
    <w:rsid w:val="002A4CB8"/>
    <w:rsid w:val="002A508E"/>
    <w:rsid w:val="002A556A"/>
    <w:rsid w:val="002A62E8"/>
    <w:rsid w:val="002A664F"/>
    <w:rsid w:val="002A694F"/>
    <w:rsid w:val="002A7817"/>
    <w:rsid w:val="002A7EEC"/>
    <w:rsid w:val="002B1595"/>
    <w:rsid w:val="002B2468"/>
    <w:rsid w:val="002B298A"/>
    <w:rsid w:val="002B3594"/>
    <w:rsid w:val="002B3D5A"/>
    <w:rsid w:val="002B4683"/>
    <w:rsid w:val="002B489C"/>
    <w:rsid w:val="002B6CF7"/>
    <w:rsid w:val="002B75A6"/>
    <w:rsid w:val="002B7E70"/>
    <w:rsid w:val="002C0174"/>
    <w:rsid w:val="002C0631"/>
    <w:rsid w:val="002C06D9"/>
    <w:rsid w:val="002C0B7C"/>
    <w:rsid w:val="002C0FDA"/>
    <w:rsid w:val="002C134B"/>
    <w:rsid w:val="002C1560"/>
    <w:rsid w:val="002C1B0E"/>
    <w:rsid w:val="002C388C"/>
    <w:rsid w:val="002C39D3"/>
    <w:rsid w:val="002C3EFB"/>
    <w:rsid w:val="002C3F70"/>
    <w:rsid w:val="002C43FA"/>
    <w:rsid w:val="002C4C70"/>
    <w:rsid w:val="002C502E"/>
    <w:rsid w:val="002C5EF9"/>
    <w:rsid w:val="002C6346"/>
    <w:rsid w:val="002C6676"/>
    <w:rsid w:val="002D004B"/>
    <w:rsid w:val="002D03F5"/>
    <w:rsid w:val="002D0919"/>
    <w:rsid w:val="002D1ED2"/>
    <w:rsid w:val="002D35C3"/>
    <w:rsid w:val="002D38E1"/>
    <w:rsid w:val="002D5281"/>
    <w:rsid w:val="002D5452"/>
    <w:rsid w:val="002D6103"/>
    <w:rsid w:val="002D667D"/>
    <w:rsid w:val="002D7B19"/>
    <w:rsid w:val="002E194E"/>
    <w:rsid w:val="002E19CA"/>
    <w:rsid w:val="002E1A38"/>
    <w:rsid w:val="002E2042"/>
    <w:rsid w:val="002E3A9E"/>
    <w:rsid w:val="002E3E36"/>
    <w:rsid w:val="002E41B2"/>
    <w:rsid w:val="002E5056"/>
    <w:rsid w:val="002E593E"/>
    <w:rsid w:val="002E5A4B"/>
    <w:rsid w:val="002E7173"/>
    <w:rsid w:val="002E7FB4"/>
    <w:rsid w:val="002F0421"/>
    <w:rsid w:val="002F0A08"/>
    <w:rsid w:val="002F1412"/>
    <w:rsid w:val="002F1494"/>
    <w:rsid w:val="002F25DF"/>
    <w:rsid w:val="002F2721"/>
    <w:rsid w:val="002F275C"/>
    <w:rsid w:val="002F2B8A"/>
    <w:rsid w:val="002F2EF4"/>
    <w:rsid w:val="002F3197"/>
    <w:rsid w:val="002F3892"/>
    <w:rsid w:val="002F3E5E"/>
    <w:rsid w:val="002F440C"/>
    <w:rsid w:val="002F4421"/>
    <w:rsid w:val="002F4B5C"/>
    <w:rsid w:val="002F4C01"/>
    <w:rsid w:val="002F4EDA"/>
    <w:rsid w:val="002F65DC"/>
    <w:rsid w:val="002F6720"/>
    <w:rsid w:val="002F6C44"/>
    <w:rsid w:val="002F7879"/>
    <w:rsid w:val="00300089"/>
    <w:rsid w:val="00300169"/>
    <w:rsid w:val="0030018A"/>
    <w:rsid w:val="003016CE"/>
    <w:rsid w:val="00301E1A"/>
    <w:rsid w:val="00302960"/>
    <w:rsid w:val="003030BE"/>
    <w:rsid w:val="00303885"/>
    <w:rsid w:val="00303A1D"/>
    <w:rsid w:val="00303A8A"/>
    <w:rsid w:val="00303BBE"/>
    <w:rsid w:val="00303FD9"/>
    <w:rsid w:val="00304090"/>
    <w:rsid w:val="00304C6E"/>
    <w:rsid w:val="00305DAC"/>
    <w:rsid w:val="0030649C"/>
    <w:rsid w:val="0030678F"/>
    <w:rsid w:val="003074DA"/>
    <w:rsid w:val="00310847"/>
    <w:rsid w:val="00311E04"/>
    <w:rsid w:val="00311FD0"/>
    <w:rsid w:val="00312119"/>
    <w:rsid w:val="003127A9"/>
    <w:rsid w:val="00312B72"/>
    <w:rsid w:val="00312C11"/>
    <w:rsid w:val="003139DB"/>
    <w:rsid w:val="00314193"/>
    <w:rsid w:val="0031454C"/>
    <w:rsid w:val="003163CD"/>
    <w:rsid w:val="00316C4E"/>
    <w:rsid w:val="00316E0E"/>
    <w:rsid w:val="003175A8"/>
    <w:rsid w:val="003202DF"/>
    <w:rsid w:val="00320374"/>
    <w:rsid w:val="00320868"/>
    <w:rsid w:val="00321528"/>
    <w:rsid w:val="00321CE6"/>
    <w:rsid w:val="00321E5A"/>
    <w:rsid w:val="00322622"/>
    <w:rsid w:val="00323B48"/>
    <w:rsid w:val="00324640"/>
    <w:rsid w:val="00324EC6"/>
    <w:rsid w:val="00325532"/>
    <w:rsid w:val="00325997"/>
    <w:rsid w:val="003260A3"/>
    <w:rsid w:val="00327112"/>
    <w:rsid w:val="00327F85"/>
    <w:rsid w:val="00330E95"/>
    <w:rsid w:val="00330FDF"/>
    <w:rsid w:val="0033172B"/>
    <w:rsid w:val="0033375A"/>
    <w:rsid w:val="0033419E"/>
    <w:rsid w:val="00337F18"/>
    <w:rsid w:val="00340B37"/>
    <w:rsid w:val="00340C3D"/>
    <w:rsid w:val="00340D8D"/>
    <w:rsid w:val="00341592"/>
    <w:rsid w:val="00342394"/>
    <w:rsid w:val="00342B79"/>
    <w:rsid w:val="00342C47"/>
    <w:rsid w:val="0034311C"/>
    <w:rsid w:val="00343CC4"/>
    <w:rsid w:val="00343E1A"/>
    <w:rsid w:val="00343F30"/>
    <w:rsid w:val="00345D06"/>
    <w:rsid w:val="003468B0"/>
    <w:rsid w:val="003471C7"/>
    <w:rsid w:val="003479D1"/>
    <w:rsid w:val="0035131E"/>
    <w:rsid w:val="00351AC6"/>
    <w:rsid w:val="00351AD9"/>
    <w:rsid w:val="00352D48"/>
    <w:rsid w:val="00353938"/>
    <w:rsid w:val="00353BA8"/>
    <w:rsid w:val="00353C82"/>
    <w:rsid w:val="00354455"/>
    <w:rsid w:val="00354501"/>
    <w:rsid w:val="003549BB"/>
    <w:rsid w:val="00355C98"/>
    <w:rsid w:val="0035608E"/>
    <w:rsid w:val="003562D3"/>
    <w:rsid w:val="00356509"/>
    <w:rsid w:val="003568A3"/>
    <w:rsid w:val="003569F6"/>
    <w:rsid w:val="00356D32"/>
    <w:rsid w:val="003574D7"/>
    <w:rsid w:val="00357FB9"/>
    <w:rsid w:val="0036030C"/>
    <w:rsid w:val="0036082A"/>
    <w:rsid w:val="00362851"/>
    <w:rsid w:val="00364022"/>
    <w:rsid w:val="003641A3"/>
    <w:rsid w:val="003641C9"/>
    <w:rsid w:val="00364E6A"/>
    <w:rsid w:val="00365D90"/>
    <w:rsid w:val="0036726C"/>
    <w:rsid w:val="00367CF0"/>
    <w:rsid w:val="00370C43"/>
    <w:rsid w:val="00371BA9"/>
    <w:rsid w:val="00371C8D"/>
    <w:rsid w:val="00371F1E"/>
    <w:rsid w:val="003728A5"/>
    <w:rsid w:val="0037297B"/>
    <w:rsid w:val="00373FBC"/>
    <w:rsid w:val="00374EAF"/>
    <w:rsid w:val="00375320"/>
    <w:rsid w:val="003764C4"/>
    <w:rsid w:val="003765AB"/>
    <w:rsid w:val="00376F39"/>
    <w:rsid w:val="0037717E"/>
    <w:rsid w:val="0037789C"/>
    <w:rsid w:val="003779B8"/>
    <w:rsid w:val="003805C1"/>
    <w:rsid w:val="00380900"/>
    <w:rsid w:val="00380CE2"/>
    <w:rsid w:val="00381F87"/>
    <w:rsid w:val="00382342"/>
    <w:rsid w:val="00383933"/>
    <w:rsid w:val="0038589D"/>
    <w:rsid w:val="003861C7"/>
    <w:rsid w:val="00391DA2"/>
    <w:rsid w:val="00392915"/>
    <w:rsid w:val="00392967"/>
    <w:rsid w:val="00393134"/>
    <w:rsid w:val="00393BB6"/>
    <w:rsid w:val="00393E42"/>
    <w:rsid w:val="00396407"/>
    <w:rsid w:val="003968BD"/>
    <w:rsid w:val="0039705F"/>
    <w:rsid w:val="003A21A4"/>
    <w:rsid w:val="003A2B4C"/>
    <w:rsid w:val="003A2B83"/>
    <w:rsid w:val="003A3B6B"/>
    <w:rsid w:val="003A40D1"/>
    <w:rsid w:val="003A423E"/>
    <w:rsid w:val="003A4848"/>
    <w:rsid w:val="003A69A0"/>
    <w:rsid w:val="003A723E"/>
    <w:rsid w:val="003A7FB5"/>
    <w:rsid w:val="003B065F"/>
    <w:rsid w:val="003B0F6E"/>
    <w:rsid w:val="003B22D1"/>
    <w:rsid w:val="003B3276"/>
    <w:rsid w:val="003B3933"/>
    <w:rsid w:val="003B3E6E"/>
    <w:rsid w:val="003B43F9"/>
    <w:rsid w:val="003B4C75"/>
    <w:rsid w:val="003B5C1F"/>
    <w:rsid w:val="003B5CFA"/>
    <w:rsid w:val="003B5F1A"/>
    <w:rsid w:val="003B6019"/>
    <w:rsid w:val="003B6549"/>
    <w:rsid w:val="003B6688"/>
    <w:rsid w:val="003B6E6D"/>
    <w:rsid w:val="003B718E"/>
    <w:rsid w:val="003B79F2"/>
    <w:rsid w:val="003C0369"/>
    <w:rsid w:val="003C073C"/>
    <w:rsid w:val="003C0B09"/>
    <w:rsid w:val="003C0F08"/>
    <w:rsid w:val="003C1A80"/>
    <w:rsid w:val="003C1ECD"/>
    <w:rsid w:val="003C2AE9"/>
    <w:rsid w:val="003C324C"/>
    <w:rsid w:val="003C3528"/>
    <w:rsid w:val="003C35E0"/>
    <w:rsid w:val="003C3AA2"/>
    <w:rsid w:val="003C5420"/>
    <w:rsid w:val="003C5662"/>
    <w:rsid w:val="003C5A5B"/>
    <w:rsid w:val="003C6538"/>
    <w:rsid w:val="003C69E3"/>
    <w:rsid w:val="003D0F7C"/>
    <w:rsid w:val="003D1917"/>
    <w:rsid w:val="003D234F"/>
    <w:rsid w:val="003D2B27"/>
    <w:rsid w:val="003D32B8"/>
    <w:rsid w:val="003D36AC"/>
    <w:rsid w:val="003D48FE"/>
    <w:rsid w:val="003D4D4F"/>
    <w:rsid w:val="003D5672"/>
    <w:rsid w:val="003D5CA0"/>
    <w:rsid w:val="003D62C9"/>
    <w:rsid w:val="003D6C91"/>
    <w:rsid w:val="003E1092"/>
    <w:rsid w:val="003E13AC"/>
    <w:rsid w:val="003E17D8"/>
    <w:rsid w:val="003E2BC4"/>
    <w:rsid w:val="003E362B"/>
    <w:rsid w:val="003E442A"/>
    <w:rsid w:val="003E44E6"/>
    <w:rsid w:val="003E61AD"/>
    <w:rsid w:val="003E6A65"/>
    <w:rsid w:val="003E70F7"/>
    <w:rsid w:val="003E76D1"/>
    <w:rsid w:val="003F022C"/>
    <w:rsid w:val="003F0663"/>
    <w:rsid w:val="003F1B03"/>
    <w:rsid w:val="003F1ED9"/>
    <w:rsid w:val="003F1F5E"/>
    <w:rsid w:val="003F27B1"/>
    <w:rsid w:val="003F2BDD"/>
    <w:rsid w:val="003F2E17"/>
    <w:rsid w:val="003F2F78"/>
    <w:rsid w:val="003F3679"/>
    <w:rsid w:val="003F3B7D"/>
    <w:rsid w:val="003F4267"/>
    <w:rsid w:val="003F4317"/>
    <w:rsid w:val="003F43A7"/>
    <w:rsid w:val="003F4553"/>
    <w:rsid w:val="003F52C5"/>
    <w:rsid w:val="003F5E9F"/>
    <w:rsid w:val="003F6041"/>
    <w:rsid w:val="003F654F"/>
    <w:rsid w:val="003F6925"/>
    <w:rsid w:val="003F6ABF"/>
    <w:rsid w:val="003F6FF4"/>
    <w:rsid w:val="00400203"/>
    <w:rsid w:val="00400AD4"/>
    <w:rsid w:val="00400C95"/>
    <w:rsid w:val="004018A1"/>
    <w:rsid w:val="00401A84"/>
    <w:rsid w:val="00402F29"/>
    <w:rsid w:val="004030B6"/>
    <w:rsid w:val="00403FC8"/>
    <w:rsid w:val="00404A75"/>
    <w:rsid w:val="00405115"/>
    <w:rsid w:val="00406725"/>
    <w:rsid w:val="00406A2E"/>
    <w:rsid w:val="00406A44"/>
    <w:rsid w:val="00406C2B"/>
    <w:rsid w:val="0040757D"/>
    <w:rsid w:val="0040769A"/>
    <w:rsid w:val="00407B8B"/>
    <w:rsid w:val="00407EF5"/>
    <w:rsid w:val="004120FF"/>
    <w:rsid w:val="004131C2"/>
    <w:rsid w:val="0041339C"/>
    <w:rsid w:val="004136D9"/>
    <w:rsid w:val="00414138"/>
    <w:rsid w:val="004146A4"/>
    <w:rsid w:val="00416492"/>
    <w:rsid w:val="00416C65"/>
    <w:rsid w:val="0041717B"/>
    <w:rsid w:val="004208E9"/>
    <w:rsid w:val="00420DF4"/>
    <w:rsid w:val="00421286"/>
    <w:rsid w:val="004214D0"/>
    <w:rsid w:val="00421AFD"/>
    <w:rsid w:val="00422DBE"/>
    <w:rsid w:val="00423AC1"/>
    <w:rsid w:val="004245A0"/>
    <w:rsid w:val="00425492"/>
    <w:rsid w:val="004270E7"/>
    <w:rsid w:val="00427E19"/>
    <w:rsid w:val="00430C9E"/>
    <w:rsid w:val="004310C6"/>
    <w:rsid w:val="00431471"/>
    <w:rsid w:val="004315D9"/>
    <w:rsid w:val="00432724"/>
    <w:rsid w:val="00432DE8"/>
    <w:rsid w:val="00433C7E"/>
    <w:rsid w:val="004347A9"/>
    <w:rsid w:val="00434997"/>
    <w:rsid w:val="00434A31"/>
    <w:rsid w:val="00434ADA"/>
    <w:rsid w:val="004365E4"/>
    <w:rsid w:val="004375E4"/>
    <w:rsid w:val="00437607"/>
    <w:rsid w:val="0043766F"/>
    <w:rsid w:val="0044047D"/>
    <w:rsid w:val="0044047F"/>
    <w:rsid w:val="004415DE"/>
    <w:rsid w:val="00441A88"/>
    <w:rsid w:val="00441D8E"/>
    <w:rsid w:val="004430F2"/>
    <w:rsid w:val="00443AAB"/>
    <w:rsid w:val="00443CA3"/>
    <w:rsid w:val="00443DAA"/>
    <w:rsid w:val="00445E1B"/>
    <w:rsid w:val="0044674B"/>
    <w:rsid w:val="0045293C"/>
    <w:rsid w:val="004536C2"/>
    <w:rsid w:val="00453D71"/>
    <w:rsid w:val="00454370"/>
    <w:rsid w:val="00454926"/>
    <w:rsid w:val="00454C73"/>
    <w:rsid w:val="00455348"/>
    <w:rsid w:val="004556AE"/>
    <w:rsid w:val="00457739"/>
    <w:rsid w:val="00457B96"/>
    <w:rsid w:val="00460D00"/>
    <w:rsid w:val="00460D19"/>
    <w:rsid w:val="0046173E"/>
    <w:rsid w:val="004621C8"/>
    <w:rsid w:val="0046290A"/>
    <w:rsid w:val="00462F92"/>
    <w:rsid w:val="004631B4"/>
    <w:rsid w:val="00464438"/>
    <w:rsid w:val="00465E3A"/>
    <w:rsid w:val="004669E9"/>
    <w:rsid w:val="00467808"/>
    <w:rsid w:val="00467E0F"/>
    <w:rsid w:val="00470441"/>
    <w:rsid w:val="00470F6C"/>
    <w:rsid w:val="00471044"/>
    <w:rsid w:val="00471C12"/>
    <w:rsid w:val="00471F4F"/>
    <w:rsid w:val="00471F65"/>
    <w:rsid w:val="0047281D"/>
    <w:rsid w:val="004732C2"/>
    <w:rsid w:val="00473811"/>
    <w:rsid w:val="00474549"/>
    <w:rsid w:val="0047463A"/>
    <w:rsid w:val="00475303"/>
    <w:rsid w:val="004753BC"/>
    <w:rsid w:val="0047544D"/>
    <w:rsid w:val="00475B63"/>
    <w:rsid w:val="004760F4"/>
    <w:rsid w:val="004772AD"/>
    <w:rsid w:val="004779AD"/>
    <w:rsid w:val="00480C96"/>
    <w:rsid w:val="00481724"/>
    <w:rsid w:val="0048184F"/>
    <w:rsid w:val="00482A31"/>
    <w:rsid w:val="00482B01"/>
    <w:rsid w:val="00483AAC"/>
    <w:rsid w:val="00484FBA"/>
    <w:rsid w:val="00485089"/>
    <w:rsid w:val="00485890"/>
    <w:rsid w:val="00486B0D"/>
    <w:rsid w:val="00486D90"/>
    <w:rsid w:val="00487AC5"/>
    <w:rsid w:val="00487F88"/>
    <w:rsid w:val="00490FDB"/>
    <w:rsid w:val="0049146C"/>
    <w:rsid w:val="00491910"/>
    <w:rsid w:val="00491A63"/>
    <w:rsid w:val="0049279A"/>
    <w:rsid w:val="00492D14"/>
    <w:rsid w:val="00493213"/>
    <w:rsid w:val="00493676"/>
    <w:rsid w:val="00494B99"/>
    <w:rsid w:val="00496E22"/>
    <w:rsid w:val="0049717C"/>
    <w:rsid w:val="00497364"/>
    <w:rsid w:val="00497804"/>
    <w:rsid w:val="004A0107"/>
    <w:rsid w:val="004A02F8"/>
    <w:rsid w:val="004A059E"/>
    <w:rsid w:val="004A0A9B"/>
    <w:rsid w:val="004A0B23"/>
    <w:rsid w:val="004A11AA"/>
    <w:rsid w:val="004A17F6"/>
    <w:rsid w:val="004A1A56"/>
    <w:rsid w:val="004A25C2"/>
    <w:rsid w:val="004A289A"/>
    <w:rsid w:val="004A3256"/>
    <w:rsid w:val="004A386B"/>
    <w:rsid w:val="004A5808"/>
    <w:rsid w:val="004A7020"/>
    <w:rsid w:val="004B026D"/>
    <w:rsid w:val="004B0404"/>
    <w:rsid w:val="004B0535"/>
    <w:rsid w:val="004B10DB"/>
    <w:rsid w:val="004B1130"/>
    <w:rsid w:val="004B19BB"/>
    <w:rsid w:val="004B1A37"/>
    <w:rsid w:val="004B355E"/>
    <w:rsid w:val="004B4CD8"/>
    <w:rsid w:val="004C0012"/>
    <w:rsid w:val="004C1E33"/>
    <w:rsid w:val="004C4371"/>
    <w:rsid w:val="004C4A87"/>
    <w:rsid w:val="004C4AEF"/>
    <w:rsid w:val="004C4B04"/>
    <w:rsid w:val="004C514B"/>
    <w:rsid w:val="004C5DD4"/>
    <w:rsid w:val="004C62CE"/>
    <w:rsid w:val="004C6351"/>
    <w:rsid w:val="004C7487"/>
    <w:rsid w:val="004C7EF7"/>
    <w:rsid w:val="004C7FB6"/>
    <w:rsid w:val="004D0993"/>
    <w:rsid w:val="004D09BE"/>
    <w:rsid w:val="004D218F"/>
    <w:rsid w:val="004D2C9D"/>
    <w:rsid w:val="004D36E3"/>
    <w:rsid w:val="004D3980"/>
    <w:rsid w:val="004D4B08"/>
    <w:rsid w:val="004D4C66"/>
    <w:rsid w:val="004D6CF0"/>
    <w:rsid w:val="004E0821"/>
    <w:rsid w:val="004E0DB0"/>
    <w:rsid w:val="004E1A01"/>
    <w:rsid w:val="004E1A70"/>
    <w:rsid w:val="004E1B49"/>
    <w:rsid w:val="004E1BD8"/>
    <w:rsid w:val="004E22C0"/>
    <w:rsid w:val="004E3773"/>
    <w:rsid w:val="004E3A8C"/>
    <w:rsid w:val="004E4FCC"/>
    <w:rsid w:val="004E533F"/>
    <w:rsid w:val="004E5374"/>
    <w:rsid w:val="004E5548"/>
    <w:rsid w:val="004E5B42"/>
    <w:rsid w:val="004E5BD2"/>
    <w:rsid w:val="004E6439"/>
    <w:rsid w:val="004E7189"/>
    <w:rsid w:val="004E7773"/>
    <w:rsid w:val="004F0B6B"/>
    <w:rsid w:val="004F18CE"/>
    <w:rsid w:val="004F18D5"/>
    <w:rsid w:val="004F1E98"/>
    <w:rsid w:val="004F23A4"/>
    <w:rsid w:val="004F2E62"/>
    <w:rsid w:val="004F35E5"/>
    <w:rsid w:val="004F39F9"/>
    <w:rsid w:val="004F3C9A"/>
    <w:rsid w:val="004F3CA1"/>
    <w:rsid w:val="004F409D"/>
    <w:rsid w:val="004F443B"/>
    <w:rsid w:val="004F4913"/>
    <w:rsid w:val="004F5E19"/>
    <w:rsid w:val="004F620C"/>
    <w:rsid w:val="004F65C2"/>
    <w:rsid w:val="004F675C"/>
    <w:rsid w:val="00500E3B"/>
    <w:rsid w:val="00501295"/>
    <w:rsid w:val="005023D2"/>
    <w:rsid w:val="00502555"/>
    <w:rsid w:val="00503307"/>
    <w:rsid w:val="005043E7"/>
    <w:rsid w:val="005047B5"/>
    <w:rsid w:val="00504DE9"/>
    <w:rsid w:val="0050504E"/>
    <w:rsid w:val="005059A0"/>
    <w:rsid w:val="005060A1"/>
    <w:rsid w:val="005067AB"/>
    <w:rsid w:val="00506B4A"/>
    <w:rsid w:val="00510437"/>
    <w:rsid w:val="005105B2"/>
    <w:rsid w:val="00510D96"/>
    <w:rsid w:val="00511424"/>
    <w:rsid w:val="00511442"/>
    <w:rsid w:val="0051157D"/>
    <w:rsid w:val="00511C8E"/>
    <w:rsid w:val="00513D3A"/>
    <w:rsid w:val="005149C7"/>
    <w:rsid w:val="00515CB6"/>
    <w:rsid w:val="00516769"/>
    <w:rsid w:val="00517C4B"/>
    <w:rsid w:val="00521221"/>
    <w:rsid w:val="00522794"/>
    <w:rsid w:val="0052298E"/>
    <w:rsid w:val="00523293"/>
    <w:rsid w:val="0052403B"/>
    <w:rsid w:val="0052411C"/>
    <w:rsid w:val="00524A21"/>
    <w:rsid w:val="00525054"/>
    <w:rsid w:val="0052553D"/>
    <w:rsid w:val="0052563B"/>
    <w:rsid w:val="005263B5"/>
    <w:rsid w:val="00526E94"/>
    <w:rsid w:val="005272F9"/>
    <w:rsid w:val="00530959"/>
    <w:rsid w:val="00530B54"/>
    <w:rsid w:val="00531121"/>
    <w:rsid w:val="00532584"/>
    <w:rsid w:val="0053300A"/>
    <w:rsid w:val="00533E7A"/>
    <w:rsid w:val="005358B9"/>
    <w:rsid w:val="00536707"/>
    <w:rsid w:val="00536ABE"/>
    <w:rsid w:val="005376AD"/>
    <w:rsid w:val="00541C0D"/>
    <w:rsid w:val="0054250D"/>
    <w:rsid w:val="00542AF9"/>
    <w:rsid w:val="005430DC"/>
    <w:rsid w:val="005440D1"/>
    <w:rsid w:val="005455C1"/>
    <w:rsid w:val="00545AA9"/>
    <w:rsid w:val="00546406"/>
    <w:rsid w:val="00546A22"/>
    <w:rsid w:val="005474D2"/>
    <w:rsid w:val="0055029C"/>
    <w:rsid w:val="00550638"/>
    <w:rsid w:val="00551661"/>
    <w:rsid w:val="00552834"/>
    <w:rsid w:val="00552EA6"/>
    <w:rsid w:val="005541D8"/>
    <w:rsid w:val="0055450D"/>
    <w:rsid w:val="00554CE1"/>
    <w:rsid w:val="00555B14"/>
    <w:rsid w:val="005562E7"/>
    <w:rsid w:val="00557427"/>
    <w:rsid w:val="00557C3A"/>
    <w:rsid w:val="00557F98"/>
    <w:rsid w:val="00557FD3"/>
    <w:rsid w:val="0056140F"/>
    <w:rsid w:val="0056147E"/>
    <w:rsid w:val="00561C4D"/>
    <w:rsid w:val="00561C94"/>
    <w:rsid w:val="00561E1F"/>
    <w:rsid w:val="00561EFB"/>
    <w:rsid w:val="00562165"/>
    <w:rsid w:val="0056287C"/>
    <w:rsid w:val="00562EA7"/>
    <w:rsid w:val="0056307F"/>
    <w:rsid w:val="0056358E"/>
    <w:rsid w:val="00564393"/>
    <w:rsid w:val="0056479B"/>
    <w:rsid w:val="00564DAF"/>
    <w:rsid w:val="0056535D"/>
    <w:rsid w:val="00565403"/>
    <w:rsid w:val="005657DD"/>
    <w:rsid w:val="00565937"/>
    <w:rsid w:val="005668DD"/>
    <w:rsid w:val="005675BE"/>
    <w:rsid w:val="005675ED"/>
    <w:rsid w:val="00567900"/>
    <w:rsid w:val="00567A11"/>
    <w:rsid w:val="005707A1"/>
    <w:rsid w:val="00570A97"/>
    <w:rsid w:val="00570DBE"/>
    <w:rsid w:val="0057117E"/>
    <w:rsid w:val="0057122D"/>
    <w:rsid w:val="005717C2"/>
    <w:rsid w:val="005723E5"/>
    <w:rsid w:val="00572988"/>
    <w:rsid w:val="0057318D"/>
    <w:rsid w:val="00573AA7"/>
    <w:rsid w:val="00574187"/>
    <w:rsid w:val="005746D7"/>
    <w:rsid w:val="00574768"/>
    <w:rsid w:val="005777DA"/>
    <w:rsid w:val="00577F52"/>
    <w:rsid w:val="005802CA"/>
    <w:rsid w:val="0058133E"/>
    <w:rsid w:val="005827A8"/>
    <w:rsid w:val="00582960"/>
    <w:rsid w:val="005844E9"/>
    <w:rsid w:val="00584D1C"/>
    <w:rsid w:val="00587A05"/>
    <w:rsid w:val="005900AF"/>
    <w:rsid w:val="005916CB"/>
    <w:rsid w:val="00591C82"/>
    <w:rsid w:val="00593080"/>
    <w:rsid w:val="005935CB"/>
    <w:rsid w:val="00593A4E"/>
    <w:rsid w:val="00594232"/>
    <w:rsid w:val="005A0859"/>
    <w:rsid w:val="005A0B08"/>
    <w:rsid w:val="005A2730"/>
    <w:rsid w:val="005A2DE4"/>
    <w:rsid w:val="005A320B"/>
    <w:rsid w:val="005A3C2E"/>
    <w:rsid w:val="005A3DB9"/>
    <w:rsid w:val="005A4358"/>
    <w:rsid w:val="005A4C8A"/>
    <w:rsid w:val="005A5657"/>
    <w:rsid w:val="005A5BAF"/>
    <w:rsid w:val="005A7191"/>
    <w:rsid w:val="005A7867"/>
    <w:rsid w:val="005A7C02"/>
    <w:rsid w:val="005A7F07"/>
    <w:rsid w:val="005B0166"/>
    <w:rsid w:val="005B0F74"/>
    <w:rsid w:val="005B198B"/>
    <w:rsid w:val="005B1EA8"/>
    <w:rsid w:val="005B332B"/>
    <w:rsid w:val="005B370A"/>
    <w:rsid w:val="005B3B0D"/>
    <w:rsid w:val="005B417A"/>
    <w:rsid w:val="005B4C49"/>
    <w:rsid w:val="005B540D"/>
    <w:rsid w:val="005B5712"/>
    <w:rsid w:val="005B59B4"/>
    <w:rsid w:val="005B6192"/>
    <w:rsid w:val="005B782B"/>
    <w:rsid w:val="005B79AE"/>
    <w:rsid w:val="005B7B7B"/>
    <w:rsid w:val="005B7BE8"/>
    <w:rsid w:val="005C07EE"/>
    <w:rsid w:val="005C0835"/>
    <w:rsid w:val="005C0CD0"/>
    <w:rsid w:val="005C0D3F"/>
    <w:rsid w:val="005C2BD0"/>
    <w:rsid w:val="005C2E74"/>
    <w:rsid w:val="005C30DF"/>
    <w:rsid w:val="005C37C6"/>
    <w:rsid w:val="005C4F1A"/>
    <w:rsid w:val="005C5141"/>
    <w:rsid w:val="005C5B8D"/>
    <w:rsid w:val="005C6623"/>
    <w:rsid w:val="005C6848"/>
    <w:rsid w:val="005C691C"/>
    <w:rsid w:val="005C75CA"/>
    <w:rsid w:val="005D022A"/>
    <w:rsid w:val="005D0DD5"/>
    <w:rsid w:val="005D11F9"/>
    <w:rsid w:val="005D173A"/>
    <w:rsid w:val="005D3EE0"/>
    <w:rsid w:val="005D537B"/>
    <w:rsid w:val="005D5B48"/>
    <w:rsid w:val="005D6597"/>
    <w:rsid w:val="005D6C56"/>
    <w:rsid w:val="005E0039"/>
    <w:rsid w:val="005E029F"/>
    <w:rsid w:val="005E09C4"/>
    <w:rsid w:val="005E1B6F"/>
    <w:rsid w:val="005E2134"/>
    <w:rsid w:val="005E3BAC"/>
    <w:rsid w:val="005E47DB"/>
    <w:rsid w:val="005E78E7"/>
    <w:rsid w:val="005F03D9"/>
    <w:rsid w:val="005F0B39"/>
    <w:rsid w:val="005F15DE"/>
    <w:rsid w:val="005F196E"/>
    <w:rsid w:val="005F2195"/>
    <w:rsid w:val="005F27E1"/>
    <w:rsid w:val="005F2ECA"/>
    <w:rsid w:val="005F31E0"/>
    <w:rsid w:val="005F34E4"/>
    <w:rsid w:val="005F44F7"/>
    <w:rsid w:val="005F4BBD"/>
    <w:rsid w:val="005F686F"/>
    <w:rsid w:val="005F6BA0"/>
    <w:rsid w:val="005F6BC9"/>
    <w:rsid w:val="00600442"/>
    <w:rsid w:val="006008B6"/>
    <w:rsid w:val="00600E29"/>
    <w:rsid w:val="00601541"/>
    <w:rsid w:val="00601E5D"/>
    <w:rsid w:val="00601F5B"/>
    <w:rsid w:val="006020CD"/>
    <w:rsid w:val="0060232D"/>
    <w:rsid w:val="006024DC"/>
    <w:rsid w:val="00602A33"/>
    <w:rsid w:val="0060311A"/>
    <w:rsid w:val="006034FF"/>
    <w:rsid w:val="006038F4"/>
    <w:rsid w:val="00603FD3"/>
    <w:rsid w:val="00604906"/>
    <w:rsid w:val="00604A3F"/>
    <w:rsid w:val="00604BE5"/>
    <w:rsid w:val="006056E2"/>
    <w:rsid w:val="00605A44"/>
    <w:rsid w:val="00606140"/>
    <w:rsid w:val="00606897"/>
    <w:rsid w:val="006072AB"/>
    <w:rsid w:val="00610B7C"/>
    <w:rsid w:val="006114BE"/>
    <w:rsid w:val="006115C0"/>
    <w:rsid w:val="00612293"/>
    <w:rsid w:val="0061333B"/>
    <w:rsid w:val="00613667"/>
    <w:rsid w:val="006139D8"/>
    <w:rsid w:val="00613B0B"/>
    <w:rsid w:val="00614A8C"/>
    <w:rsid w:val="00614BB9"/>
    <w:rsid w:val="006154A6"/>
    <w:rsid w:val="00615636"/>
    <w:rsid w:val="006161F3"/>
    <w:rsid w:val="00616AE2"/>
    <w:rsid w:val="00617B55"/>
    <w:rsid w:val="00617C7E"/>
    <w:rsid w:val="00617E6C"/>
    <w:rsid w:val="00617FAB"/>
    <w:rsid w:val="00620369"/>
    <w:rsid w:val="00620506"/>
    <w:rsid w:val="0062053A"/>
    <w:rsid w:val="006209FD"/>
    <w:rsid w:val="00621EB0"/>
    <w:rsid w:val="006220CB"/>
    <w:rsid w:val="006229F5"/>
    <w:rsid w:val="00624428"/>
    <w:rsid w:val="00624488"/>
    <w:rsid w:val="006248B8"/>
    <w:rsid w:val="00624AD0"/>
    <w:rsid w:val="00624DF6"/>
    <w:rsid w:val="00631020"/>
    <w:rsid w:val="006314BC"/>
    <w:rsid w:val="00631813"/>
    <w:rsid w:val="006328F7"/>
    <w:rsid w:val="00633AF1"/>
    <w:rsid w:val="006346E8"/>
    <w:rsid w:val="0063493E"/>
    <w:rsid w:val="00634991"/>
    <w:rsid w:val="006349FA"/>
    <w:rsid w:val="00637FA8"/>
    <w:rsid w:val="00637FCA"/>
    <w:rsid w:val="0064003D"/>
    <w:rsid w:val="00640E43"/>
    <w:rsid w:val="00641367"/>
    <w:rsid w:val="006413BA"/>
    <w:rsid w:val="00641E24"/>
    <w:rsid w:val="00642435"/>
    <w:rsid w:val="00644DB3"/>
    <w:rsid w:val="00644FCB"/>
    <w:rsid w:val="00645A5A"/>
    <w:rsid w:val="00645C9D"/>
    <w:rsid w:val="00646092"/>
    <w:rsid w:val="00646680"/>
    <w:rsid w:val="00646C48"/>
    <w:rsid w:val="00647FDC"/>
    <w:rsid w:val="0065120D"/>
    <w:rsid w:val="00651611"/>
    <w:rsid w:val="00652D33"/>
    <w:rsid w:val="00652DD5"/>
    <w:rsid w:val="00653192"/>
    <w:rsid w:val="006536DD"/>
    <w:rsid w:val="00653A66"/>
    <w:rsid w:val="006545C3"/>
    <w:rsid w:val="00654DC8"/>
    <w:rsid w:val="006574F6"/>
    <w:rsid w:val="00657F27"/>
    <w:rsid w:val="00657F5D"/>
    <w:rsid w:val="0066056B"/>
    <w:rsid w:val="0066058C"/>
    <w:rsid w:val="006619D4"/>
    <w:rsid w:val="00662194"/>
    <w:rsid w:val="00662CDD"/>
    <w:rsid w:val="00662FAD"/>
    <w:rsid w:val="00663888"/>
    <w:rsid w:val="00663892"/>
    <w:rsid w:val="006649C6"/>
    <w:rsid w:val="00665058"/>
    <w:rsid w:val="006655D6"/>
    <w:rsid w:val="00665860"/>
    <w:rsid w:val="0066596E"/>
    <w:rsid w:val="00666516"/>
    <w:rsid w:val="006668BB"/>
    <w:rsid w:val="00667903"/>
    <w:rsid w:val="00667C60"/>
    <w:rsid w:val="00667D53"/>
    <w:rsid w:val="00670455"/>
    <w:rsid w:val="00670AC9"/>
    <w:rsid w:val="00670D5F"/>
    <w:rsid w:val="00671494"/>
    <w:rsid w:val="0067183A"/>
    <w:rsid w:val="00671BDE"/>
    <w:rsid w:val="0067236D"/>
    <w:rsid w:val="006725CE"/>
    <w:rsid w:val="00672A08"/>
    <w:rsid w:val="006737B2"/>
    <w:rsid w:val="00673C1A"/>
    <w:rsid w:val="00673D46"/>
    <w:rsid w:val="00673F21"/>
    <w:rsid w:val="00674BD0"/>
    <w:rsid w:val="00674DD0"/>
    <w:rsid w:val="00675FBF"/>
    <w:rsid w:val="006766B9"/>
    <w:rsid w:val="00676957"/>
    <w:rsid w:val="00676BFF"/>
    <w:rsid w:val="006808AC"/>
    <w:rsid w:val="006811AF"/>
    <w:rsid w:val="00684DE6"/>
    <w:rsid w:val="00684F9B"/>
    <w:rsid w:val="0068519F"/>
    <w:rsid w:val="00685618"/>
    <w:rsid w:val="00685DD4"/>
    <w:rsid w:val="0068724E"/>
    <w:rsid w:val="006873C5"/>
    <w:rsid w:val="0068782F"/>
    <w:rsid w:val="006910C4"/>
    <w:rsid w:val="00691EF2"/>
    <w:rsid w:val="006930AF"/>
    <w:rsid w:val="0069376E"/>
    <w:rsid w:val="00693F16"/>
    <w:rsid w:val="006945BE"/>
    <w:rsid w:val="006946D4"/>
    <w:rsid w:val="00694A4E"/>
    <w:rsid w:val="00694C26"/>
    <w:rsid w:val="00695473"/>
    <w:rsid w:val="0069562B"/>
    <w:rsid w:val="00695C5D"/>
    <w:rsid w:val="00696067"/>
    <w:rsid w:val="00696D7E"/>
    <w:rsid w:val="006A1050"/>
    <w:rsid w:val="006A157E"/>
    <w:rsid w:val="006A163B"/>
    <w:rsid w:val="006A1751"/>
    <w:rsid w:val="006A38C6"/>
    <w:rsid w:val="006A3BAD"/>
    <w:rsid w:val="006A4886"/>
    <w:rsid w:val="006A490E"/>
    <w:rsid w:val="006A5831"/>
    <w:rsid w:val="006B2377"/>
    <w:rsid w:val="006B3ED6"/>
    <w:rsid w:val="006B4765"/>
    <w:rsid w:val="006B4F57"/>
    <w:rsid w:val="006B5346"/>
    <w:rsid w:val="006B57B7"/>
    <w:rsid w:val="006B6901"/>
    <w:rsid w:val="006B69A0"/>
    <w:rsid w:val="006B701C"/>
    <w:rsid w:val="006C0199"/>
    <w:rsid w:val="006C028D"/>
    <w:rsid w:val="006C0B45"/>
    <w:rsid w:val="006C112B"/>
    <w:rsid w:val="006C1704"/>
    <w:rsid w:val="006C2609"/>
    <w:rsid w:val="006C2CA0"/>
    <w:rsid w:val="006C31E4"/>
    <w:rsid w:val="006C3C51"/>
    <w:rsid w:val="006C3E59"/>
    <w:rsid w:val="006C4031"/>
    <w:rsid w:val="006C409F"/>
    <w:rsid w:val="006C56AF"/>
    <w:rsid w:val="006C6409"/>
    <w:rsid w:val="006C7E65"/>
    <w:rsid w:val="006D04AC"/>
    <w:rsid w:val="006D06B2"/>
    <w:rsid w:val="006D2054"/>
    <w:rsid w:val="006D3F48"/>
    <w:rsid w:val="006D411A"/>
    <w:rsid w:val="006D4224"/>
    <w:rsid w:val="006D42BE"/>
    <w:rsid w:val="006D4478"/>
    <w:rsid w:val="006D48AE"/>
    <w:rsid w:val="006D4F27"/>
    <w:rsid w:val="006D50F9"/>
    <w:rsid w:val="006D5657"/>
    <w:rsid w:val="006D5A53"/>
    <w:rsid w:val="006D701D"/>
    <w:rsid w:val="006D7E1A"/>
    <w:rsid w:val="006D7E34"/>
    <w:rsid w:val="006E027C"/>
    <w:rsid w:val="006E0C9D"/>
    <w:rsid w:val="006E156A"/>
    <w:rsid w:val="006E22DE"/>
    <w:rsid w:val="006E2E52"/>
    <w:rsid w:val="006E30C9"/>
    <w:rsid w:val="006E3608"/>
    <w:rsid w:val="006E36BE"/>
    <w:rsid w:val="006E3860"/>
    <w:rsid w:val="006E3B09"/>
    <w:rsid w:val="006E3D9B"/>
    <w:rsid w:val="006E3F16"/>
    <w:rsid w:val="006E412D"/>
    <w:rsid w:val="006E483D"/>
    <w:rsid w:val="006E526C"/>
    <w:rsid w:val="006E54FF"/>
    <w:rsid w:val="006E61FC"/>
    <w:rsid w:val="006E6574"/>
    <w:rsid w:val="006E6CB6"/>
    <w:rsid w:val="006E6DB4"/>
    <w:rsid w:val="006E6FBE"/>
    <w:rsid w:val="006E6FDD"/>
    <w:rsid w:val="006E782A"/>
    <w:rsid w:val="006E7A2C"/>
    <w:rsid w:val="006E7CD5"/>
    <w:rsid w:val="006F0066"/>
    <w:rsid w:val="006F0D8C"/>
    <w:rsid w:val="006F1CB5"/>
    <w:rsid w:val="006F3805"/>
    <w:rsid w:val="006F3DBF"/>
    <w:rsid w:val="006F42AF"/>
    <w:rsid w:val="006F4899"/>
    <w:rsid w:val="006F51D7"/>
    <w:rsid w:val="006F6135"/>
    <w:rsid w:val="006F66B6"/>
    <w:rsid w:val="006F7E28"/>
    <w:rsid w:val="00700DEC"/>
    <w:rsid w:val="00701E83"/>
    <w:rsid w:val="00701EBA"/>
    <w:rsid w:val="00702774"/>
    <w:rsid w:val="00703D67"/>
    <w:rsid w:val="0070462E"/>
    <w:rsid w:val="00704A8C"/>
    <w:rsid w:val="00705F28"/>
    <w:rsid w:val="00707662"/>
    <w:rsid w:val="007077FD"/>
    <w:rsid w:val="007101B9"/>
    <w:rsid w:val="0071024C"/>
    <w:rsid w:val="00710AF8"/>
    <w:rsid w:val="00711C72"/>
    <w:rsid w:val="007126C2"/>
    <w:rsid w:val="0071406F"/>
    <w:rsid w:val="0071466F"/>
    <w:rsid w:val="00714E9E"/>
    <w:rsid w:val="00715AD9"/>
    <w:rsid w:val="00715AE8"/>
    <w:rsid w:val="0071642F"/>
    <w:rsid w:val="00716849"/>
    <w:rsid w:val="00716C61"/>
    <w:rsid w:val="00716DD5"/>
    <w:rsid w:val="00717717"/>
    <w:rsid w:val="00717B67"/>
    <w:rsid w:val="00717FAB"/>
    <w:rsid w:val="007201B0"/>
    <w:rsid w:val="00720A45"/>
    <w:rsid w:val="00720BD3"/>
    <w:rsid w:val="00720EAF"/>
    <w:rsid w:val="007217AB"/>
    <w:rsid w:val="0072369D"/>
    <w:rsid w:val="007244E0"/>
    <w:rsid w:val="00725CBF"/>
    <w:rsid w:val="00726EF7"/>
    <w:rsid w:val="007273F3"/>
    <w:rsid w:val="007277A7"/>
    <w:rsid w:val="00727E24"/>
    <w:rsid w:val="007306BF"/>
    <w:rsid w:val="00731617"/>
    <w:rsid w:val="00731B34"/>
    <w:rsid w:val="0073228F"/>
    <w:rsid w:val="00732E36"/>
    <w:rsid w:val="00732EDE"/>
    <w:rsid w:val="0073396C"/>
    <w:rsid w:val="00733EFA"/>
    <w:rsid w:val="007347B3"/>
    <w:rsid w:val="0073587A"/>
    <w:rsid w:val="00736076"/>
    <w:rsid w:val="00736789"/>
    <w:rsid w:val="00740CA6"/>
    <w:rsid w:val="007422AA"/>
    <w:rsid w:val="00742709"/>
    <w:rsid w:val="00742B18"/>
    <w:rsid w:val="00744AB1"/>
    <w:rsid w:val="0074608B"/>
    <w:rsid w:val="00747ABA"/>
    <w:rsid w:val="00750AA4"/>
    <w:rsid w:val="0075113C"/>
    <w:rsid w:val="00751E27"/>
    <w:rsid w:val="007522C8"/>
    <w:rsid w:val="007526A2"/>
    <w:rsid w:val="00752814"/>
    <w:rsid w:val="00753B8C"/>
    <w:rsid w:val="00753FCB"/>
    <w:rsid w:val="007550C8"/>
    <w:rsid w:val="007572E7"/>
    <w:rsid w:val="0076093C"/>
    <w:rsid w:val="00760EED"/>
    <w:rsid w:val="00760FF9"/>
    <w:rsid w:val="00761E30"/>
    <w:rsid w:val="0076227E"/>
    <w:rsid w:val="00762363"/>
    <w:rsid w:val="00763696"/>
    <w:rsid w:val="00763A18"/>
    <w:rsid w:val="00763BD0"/>
    <w:rsid w:val="00763F20"/>
    <w:rsid w:val="007655E9"/>
    <w:rsid w:val="00766088"/>
    <w:rsid w:val="0076720B"/>
    <w:rsid w:val="0076766C"/>
    <w:rsid w:val="0076787F"/>
    <w:rsid w:val="00767D9D"/>
    <w:rsid w:val="00767ED4"/>
    <w:rsid w:val="00771071"/>
    <w:rsid w:val="00771883"/>
    <w:rsid w:val="00771E3C"/>
    <w:rsid w:val="007738AE"/>
    <w:rsid w:val="007747A5"/>
    <w:rsid w:val="007762DE"/>
    <w:rsid w:val="007765BE"/>
    <w:rsid w:val="007766F1"/>
    <w:rsid w:val="00776CB5"/>
    <w:rsid w:val="00777683"/>
    <w:rsid w:val="00777C84"/>
    <w:rsid w:val="00780133"/>
    <w:rsid w:val="007814D3"/>
    <w:rsid w:val="00781D0C"/>
    <w:rsid w:val="007820B4"/>
    <w:rsid w:val="00783151"/>
    <w:rsid w:val="00784B0A"/>
    <w:rsid w:val="00785231"/>
    <w:rsid w:val="00785370"/>
    <w:rsid w:val="00785E1E"/>
    <w:rsid w:val="00786788"/>
    <w:rsid w:val="007868E4"/>
    <w:rsid w:val="00786C00"/>
    <w:rsid w:val="00786CC0"/>
    <w:rsid w:val="0078778C"/>
    <w:rsid w:val="00790073"/>
    <w:rsid w:val="007905CB"/>
    <w:rsid w:val="00791269"/>
    <w:rsid w:val="00791393"/>
    <w:rsid w:val="00791581"/>
    <w:rsid w:val="0079270E"/>
    <w:rsid w:val="00793240"/>
    <w:rsid w:val="007934B0"/>
    <w:rsid w:val="007951EB"/>
    <w:rsid w:val="00796859"/>
    <w:rsid w:val="0079698B"/>
    <w:rsid w:val="00796B2D"/>
    <w:rsid w:val="007975F0"/>
    <w:rsid w:val="00797660"/>
    <w:rsid w:val="00797B9B"/>
    <w:rsid w:val="00797BFD"/>
    <w:rsid w:val="007A081A"/>
    <w:rsid w:val="007A1695"/>
    <w:rsid w:val="007A219D"/>
    <w:rsid w:val="007A2F01"/>
    <w:rsid w:val="007A359A"/>
    <w:rsid w:val="007A4EAF"/>
    <w:rsid w:val="007A6097"/>
    <w:rsid w:val="007A714C"/>
    <w:rsid w:val="007A7D9B"/>
    <w:rsid w:val="007B024D"/>
    <w:rsid w:val="007B0853"/>
    <w:rsid w:val="007B1181"/>
    <w:rsid w:val="007B2436"/>
    <w:rsid w:val="007B2D6D"/>
    <w:rsid w:val="007B3A44"/>
    <w:rsid w:val="007B414A"/>
    <w:rsid w:val="007B47A1"/>
    <w:rsid w:val="007B5B1B"/>
    <w:rsid w:val="007B60CE"/>
    <w:rsid w:val="007B61EB"/>
    <w:rsid w:val="007C12C1"/>
    <w:rsid w:val="007C22E1"/>
    <w:rsid w:val="007C2DF6"/>
    <w:rsid w:val="007C3889"/>
    <w:rsid w:val="007C4245"/>
    <w:rsid w:val="007C465B"/>
    <w:rsid w:val="007C5243"/>
    <w:rsid w:val="007C62CA"/>
    <w:rsid w:val="007C6342"/>
    <w:rsid w:val="007C649E"/>
    <w:rsid w:val="007C68E8"/>
    <w:rsid w:val="007C714F"/>
    <w:rsid w:val="007C73A4"/>
    <w:rsid w:val="007C796E"/>
    <w:rsid w:val="007C7D0F"/>
    <w:rsid w:val="007D0216"/>
    <w:rsid w:val="007D17C8"/>
    <w:rsid w:val="007D1AE7"/>
    <w:rsid w:val="007D2515"/>
    <w:rsid w:val="007D2626"/>
    <w:rsid w:val="007D2A7A"/>
    <w:rsid w:val="007D31F5"/>
    <w:rsid w:val="007D3925"/>
    <w:rsid w:val="007D3E23"/>
    <w:rsid w:val="007D4291"/>
    <w:rsid w:val="007D44B5"/>
    <w:rsid w:val="007D458E"/>
    <w:rsid w:val="007D4FE6"/>
    <w:rsid w:val="007D6789"/>
    <w:rsid w:val="007D6C9E"/>
    <w:rsid w:val="007D703E"/>
    <w:rsid w:val="007D7532"/>
    <w:rsid w:val="007D7989"/>
    <w:rsid w:val="007D7B03"/>
    <w:rsid w:val="007D7C19"/>
    <w:rsid w:val="007D7C83"/>
    <w:rsid w:val="007D7E38"/>
    <w:rsid w:val="007E1039"/>
    <w:rsid w:val="007E122E"/>
    <w:rsid w:val="007E12BE"/>
    <w:rsid w:val="007E191D"/>
    <w:rsid w:val="007E1BB2"/>
    <w:rsid w:val="007E1BEF"/>
    <w:rsid w:val="007E1D2E"/>
    <w:rsid w:val="007E1DFA"/>
    <w:rsid w:val="007E25B3"/>
    <w:rsid w:val="007E26E6"/>
    <w:rsid w:val="007E3093"/>
    <w:rsid w:val="007E3184"/>
    <w:rsid w:val="007E449B"/>
    <w:rsid w:val="007E4BD4"/>
    <w:rsid w:val="007E523B"/>
    <w:rsid w:val="007E680E"/>
    <w:rsid w:val="007E7BB3"/>
    <w:rsid w:val="007E7CAA"/>
    <w:rsid w:val="007F04B9"/>
    <w:rsid w:val="007F0642"/>
    <w:rsid w:val="007F0727"/>
    <w:rsid w:val="007F1215"/>
    <w:rsid w:val="007F1F24"/>
    <w:rsid w:val="007F34ED"/>
    <w:rsid w:val="007F4E55"/>
    <w:rsid w:val="007F4F4B"/>
    <w:rsid w:val="007F594D"/>
    <w:rsid w:val="007F699D"/>
    <w:rsid w:val="007F782B"/>
    <w:rsid w:val="007F7C84"/>
    <w:rsid w:val="007F7D7C"/>
    <w:rsid w:val="00800092"/>
    <w:rsid w:val="0080214E"/>
    <w:rsid w:val="0080327A"/>
    <w:rsid w:val="00803722"/>
    <w:rsid w:val="008054EF"/>
    <w:rsid w:val="00805CDD"/>
    <w:rsid w:val="00805E76"/>
    <w:rsid w:val="00807AFD"/>
    <w:rsid w:val="00810DC6"/>
    <w:rsid w:val="00810ECD"/>
    <w:rsid w:val="00811EC0"/>
    <w:rsid w:val="00812065"/>
    <w:rsid w:val="0081268C"/>
    <w:rsid w:val="0081354C"/>
    <w:rsid w:val="00813738"/>
    <w:rsid w:val="00813798"/>
    <w:rsid w:val="0081388F"/>
    <w:rsid w:val="00813BCF"/>
    <w:rsid w:val="0081426A"/>
    <w:rsid w:val="00814F2C"/>
    <w:rsid w:val="00814FD0"/>
    <w:rsid w:val="00815353"/>
    <w:rsid w:val="0081559D"/>
    <w:rsid w:val="00815C91"/>
    <w:rsid w:val="00815CA6"/>
    <w:rsid w:val="00816132"/>
    <w:rsid w:val="008164C5"/>
    <w:rsid w:val="008165B4"/>
    <w:rsid w:val="008168EB"/>
    <w:rsid w:val="00816C43"/>
    <w:rsid w:val="00817019"/>
    <w:rsid w:val="00817232"/>
    <w:rsid w:val="0081730C"/>
    <w:rsid w:val="008177FC"/>
    <w:rsid w:val="00820240"/>
    <w:rsid w:val="008202AF"/>
    <w:rsid w:val="008217D9"/>
    <w:rsid w:val="00821C37"/>
    <w:rsid w:val="008229ED"/>
    <w:rsid w:val="008230ED"/>
    <w:rsid w:val="00823845"/>
    <w:rsid w:val="00824011"/>
    <w:rsid w:val="00824CA2"/>
    <w:rsid w:val="008251F0"/>
    <w:rsid w:val="00825553"/>
    <w:rsid w:val="0082589D"/>
    <w:rsid w:val="00825A93"/>
    <w:rsid w:val="008275FA"/>
    <w:rsid w:val="00827766"/>
    <w:rsid w:val="0082778E"/>
    <w:rsid w:val="00830FD0"/>
    <w:rsid w:val="00831881"/>
    <w:rsid w:val="008323C2"/>
    <w:rsid w:val="00832AC4"/>
    <w:rsid w:val="00832BFF"/>
    <w:rsid w:val="008332AE"/>
    <w:rsid w:val="0083390F"/>
    <w:rsid w:val="00833E12"/>
    <w:rsid w:val="00833ED8"/>
    <w:rsid w:val="00833FDC"/>
    <w:rsid w:val="00834323"/>
    <w:rsid w:val="008349C2"/>
    <w:rsid w:val="00835189"/>
    <w:rsid w:val="00835D84"/>
    <w:rsid w:val="0083671B"/>
    <w:rsid w:val="00837B42"/>
    <w:rsid w:val="00840055"/>
    <w:rsid w:val="00840EAA"/>
    <w:rsid w:val="00841211"/>
    <w:rsid w:val="00841244"/>
    <w:rsid w:val="00842831"/>
    <w:rsid w:val="00842AE3"/>
    <w:rsid w:val="008434FE"/>
    <w:rsid w:val="00845DE3"/>
    <w:rsid w:val="00850A72"/>
    <w:rsid w:val="00850B49"/>
    <w:rsid w:val="00850B6E"/>
    <w:rsid w:val="00851604"/>
    <w:rsid w:val="00851D13"/>
    <w:rsid w:val="00851E3D"/>
    <w:rsid w:val="00852456"/>
    <w:rsid w:val="00852A2F"/>
    <w:rsid w:val="008532FA"/>
    <w:rsid w:val="0085340D"/>
    <w:rsid w:val="0085350E"/>
    <w:rsid w:val="00853BF3"/>
    <w:rsid w:val="00854558"/>
    <w:rsid w:val="00854AE9"/>
    <w:rsid w:val="00854B7E"/>
    <w:rsid w:val="00854C9D"/>
    <w:rsid w:val="00854F3B"/>
    <w:rsid w:val="00855F7B"/>
    <w:rsid w:val="00856064"/>
    <w:rsid w:val="00856454"/>
    <w:rsid w:val="0085662E"/>
    <w:rsid w:val="008566FD"/>
    <w:rsid w:val="008567E6"/>
    <w:rsid w:val="00856CA2"/>
    <w:rsid w:val="008609CB"/>
    <w:rsid w:val="00861B99"/>
    <w:rsid w:val="008628A6"/>
    <w:rsid w:val="00862B02"/>
    <w:rsid w:val="00863376"/>
    <w:rsid w:val="00864225"/>
    <w:rsid w:val="00865208"/>
    <w:rsid w:val="00865343"/>
    <w:rsid w:val="008653E9"/>
    <w:rsid w:val="00865720"/>
    <w:rsid w:val="00866880"/>
    <w:rsid w:val="008671C1"/>
    <w:rsid w:val="0086726A"/>
    <w:rsid w:val="00870A86"/>
    <w:rsid w:val="00871689"/>
    <w:rsid w:val="00871770"/>
    <w:rsid w:val="00871A2F"/>
    <w:rsid w:val="00871D3B"/>
    <w:rsid w:val="00871FA9"/>
    <w:rsid w:val="00872987"/>
    <w:rsid w:val="008729DD"/>
    <w:rsid w:val="0087348C"/>
    <w:rsid w:val="00875B38"/>
    <w:rsid w:val="00875E41"/>
    <w:rsid w:val="008762A0"/>
    <w:rsid w:val="008765E8"/>
    <w:rsid w:val="00876D7A"/>
    <w:rsid w:val="00877283"/>
    <w:rsid w:val="00877430"/>
    <w:rsid w:val="00880179"/>
    <w:rsid w:val="00880C0F"/>
    <w:rsid w:val="00881551"/>
    <w:rsid w:val="008828C0"/>
    <w:rsid w:val="00883CB5"/>
    <w:rsid w:val="00884CEC"/>
    <w:rsid w:val="00886301"/>
    <w:rsid w:val="00886554"/>
    <w:rsid w:val="00887B32"/>
    <w:rsid w:val="00891426"/>
    <w:rsid w:val="008916A7"/>
    <w:rsid w:val="008919DE"/>
    <w:rsid w:val="008919EE"/>
    <w:rsid w:val="00891D82"/>
    <w:rsid w:val="00891F49"/>
    <w:rsid w:val="008936FE"/>
    <w:rsid w:val="008937F0"/>
    <w:rsid w:val="00893DAB"/>
    <w:rsid w:val="00894358"/>
    <w:rsid w:val="008945FE"/>
    <w:rsid w:val="00894768"/>
    <w:rsid w:val="00894EEB"/>
    <w:rsid w:val="00895602"/>
    <w:rsid w:val="00895939"/>
    <w:rsid w:val="00897563"/>
    <w:rsid w:val="00897C36"/>
    <w:rsid w:val="008A03D5"/>
    <w:rsid w:val="008A11C5"/>
    <w:rsid w:val="008A121B"/>
    <w:rsid w:val="008A17D5"/>
    <w:rsid w:val="008A180C"/>
    <w:rsid w:val="008A2053"/>
    <w:rsid w:val="008A2C6F"/>
    <w:rsid w:val="008A4925"/>
    <w:rsid w:val="008A56F5"/>
    <w:rsid w:val="008A660A"/>
    <w:rsid w:val="008A68E4"/>
    <w:rsid w:val="008A6A6A"/>
    <w:rsid w:val="008A6E07"/>
    <w:rsid w:val="008A732B"/>
    <w:rsid w:val="008A7A47"/>
    <w:rsid w:val="008A7CC8"/>
    <w:rsid w:val="008A7D70"/>
    <w:rsid w:val="008B0131"/>
    <w:rsid w:val="008B1D7D"/>
    <w:rsid w:val="008B222F"/>
    <w:rsid w:val="008B305E"/>
    <w:rsid w:val="008B3B1B"/>
    <w:rsid w:val="008B3B9F"/>
    <w:rsid w:val="008B3EC4"/>
    <w:rsid w:val="008B413A"/>
    <w:rsid w:val="008B63C7"/>
    <w:rsid w:val="008B719C"/>
    <w:rsid w:val="008B733D"/>
    <w:rsid w:val="008C0C80"/>
    <w:rsid w:val="008C0D06"/>
    <w:rsid w:val="008C1FFA"/>
    <w:rsid w:val="008C21D0"/>
    <w:rsid w:val="008C39F5"/>
    <w:rsid w:val="008C3B0B"/>
    <w:rsid w:val="008C5CED"/>
    <w:rsid w:val="008C5D65"/>
    <w:rsid w:val="008C6AEC"/>
    <w:rsid w:val="008C6B42"/>
    <w:rsid w:val="008C702D"/>
    <w:rsid w:val="008C79D7"/>
    <w:rsid w:val="008C7DDE"/>
    <w:rsid w:val="008D0A7E"/>
    <w:rsid w:val="008D0E89"/>
    <w:rsid w:val="008D1B38"/>
    <w:rsid w:val="008D2417"/>
    <w:rsid w:val="008D2438"/>
    <w:rsid w:val="008D267A"/>
    <w:rsid w:val="008D2F39"/>
    <w:rsid w:val="008D3ED8"/>
    <w:rsid w:val="008D400C"/>
    <w:rsid w:val="008D416E"/>
    <w:rsid w:val="008D53EC"/>
    <w:rsid w:val="008D6227"/>
    <w:rsid w:val="008D6645"/>
    <w:rsid w:val="008D6BA1"/>
    <w:rsid w:val="008D7426"/>
    <w:rsid w:val="008D76E1"/>
    <w:rsid w:val="008D7702"/>
    <w:rsid w:val="008D785F"/>
    <w:rsid w:val="008E00B8"/>
    <w:rsid w:val="008E0E01"/>
    <w:rsid w:val="008E1DA0"/>
    <w:rsid w:val="008E23DA"/>
    <w:rsid w:val="008E25EB"/>
    <w:rsid w:val="008E305B"/>
    <w:rsid w:val="008E3992"/>
    <w:rsid w:val="008E4CAA"/>
    <w:rsid w:val="008E511D"/>
    <w:rsid w:val="008E5194"/>
    <w:rsid w:val="008E5459"/>
    <w:rsid w:val="008E54D5"/>
    <w:rsid w:val="008E5C5B"/>
    <w:rsid w:val="008E6C9E"/>
    <w:rsid w:val="008E76D8"/>
    <w:rsid w:val="008E7DE5"/>
    <w:rsid w:val="008F070A"/>
    <w:rsid w:val="008F0BBC"/>
    <w:rsid w:val="008F0EE3"/>
    <w:rsid w:val="008F0F0B"/>
    <w:rsid w:val="008F1644"/>
    <w:rsid w:val="008F19F1"/>
    <w:rsid w:val="008F203A"/>
    <w:rsid w:val="008F2104"/>
    <w:rsid w:val="008F3362"/>
    <w:rsid w:val="008F403D"/>
    <w:rsid w:val="008F4A93"/>
    <w:rsid w:val="008F54EF"/>
    <w:rsid w:val="008F5B2D"/>
    <w:rsid w:val="008F6010"/>
    <w:rsid w:val="008F6BBE"/>
    <w:rsid w:val="008F6DFD"/>
    <w:rsid w:val="008F70F7"/>
    <w:rsid w:val="009001D7"/>
    <w:rsid w:val="00900FBB"/>
    <w:rsid w:val="009010F5"/>
    <w:rsid w:val="009016D8"/>
    <w:rsid w:val="00902891"/>
    <w:rsid w:val="00902F0B"/>
    <w:rsid w:val="00903632"/>
    <w:rsid w:val="009053D8"/>
    <w:rsid w:val="00905526"/>
    <w:rsid w:val="009056D5"/>
    <w:rsid w:val="00906423"/>
    <w:rsid w:val="00907BCB"/>
    <w:rsid w:val="00907ECC"/>
    <w:rsid w:val="00910503"/>
    <w:rsid w:val="00910A6B"/>
    <w:rsid w:val="00910B43"/>
    <w:rsid w:val="00910C43"/>
    <w:rsid w:val="00910FF3"/>
    <w:rsid w:val="00911916"/>
    <w:rsid w:val="009124BB"/>
    <w:rsid w:val="00912ED4"/>
    <w:rsid w:val="00913331"/>
    <w:rsid w:val="0091474C"/>
    <w:rsid w:val="00914BF4"/>
    <w:rsid w:val="009150FD"/>
    <w:rsid w:val="00915481"/>
    <w:rsid w:val="0091622D"/>
    <w:rsid w:val="009163E8"/>
    <w:rsid w:val="009170E7"/>
    <w:rsid w:val="0092049D"/>
    <w:rsid w:val="0092113F"/>
    <w:rsid w:val="00921639"/>
    <w:rsid w:val="009219FD"/>
    <w:rsid w:val="00922CBA"/>
    <w:rsid w:val="009232C3"/>
    <w:rsid w:val="009235BE"/>
    <w:rsid w:val="009242F4"/>
    <w:rsid w:val="00924685"/>
    <w:rsid w:val="009247F9"/>
    <w:rsid w:val="00924CD9"/>
    <w:rsid w:val="00925D7B"/>
    <w:rsid w:val="009266C4"/>
    <w:rsid w:val="00931E87"/>
    <w:rsid w:val="00932403"/>
    <w:rsid w:val="00932465"/>
    <w:rsid w:val="00932F3A"/>
    <w:rsid w:val="00933CDA"/>
    <w:rsid w:val="00933F97"/>
    <w:rsid w:val="00935D08"/>
    <w:rsid w:val="00937334"/>
    <w:rsid w:val="0093744E"/>
    <w:rsid w:val="009374F3"/>
    <w:rsid w:val="00937B4F"/>
    <w:rsid w:val="00940389"/>
    <w:rsid w:val="00940649"/>
    <w:rsid w:val="0094137F"/>
    <w:rsid w:val="00943033"/>
    <w:rsid w:val="00943338"/>
    <w:rsid w:val="00943A26"/>
    <w:rsid w:val="009443AB"/>
    <w:rsid w:val="0094478B"/>
    <w:rsid w:val="0094489C"/>
    <w:rsid w:val="009448BB"/>
    <w:rsid w:val="009454D0"/>
    <w:rsid w:val="00945C91"/>
    <w:rsid w:val="00945E74"/>
    <w:rsid w:val="00947A44"/>
    <w:rsid w:val="009503E0"/>
    <w:rsid w:val="00951E1B"/>
    <w:rsid w:val="00952585"/>
    <w:rsid w:val="00952FEF"/>
    <w:rsid w:val="00953279"/>
    <w:rsid w:val="00954492"/>
    <w:rsid w:val="00955625"/>
    <w:rsid w:val="00956346"/>
    <w:rsid w:val="00957320"/>
    <w:rsid w:val="00957F9F"/>
    <w:rsid w:val="00960690"/>
    <w:rsid w:val="00960BD0"/>
    <w:rsid w:val="009623B8"/>
    <w:rsid w:val="0096273E"/>
    <w:rsid w:val="00962A3F"/>
    <w:rsid w:val="00962AB1"/>
    <w:rsid w:val="00963342"/>
    <w:rsid w:val="0096457F"/>
    <w:rsid w:val="009646AA"/>
    <w:rsid w:val="00965D3F"/>
    <w:rsid w:val="0096643F"/>
    <w:rsid w:val="009670B3"/>
    <w:rsid w:val="00967895"/>
    <w:rsid w:val="009716D8"/>
    <w:rsid w:val="00972B95"/>
    <w:rsid w:val="00972C48"/>
    <w:rsid w:val="00972E27"/>
    <w:rsid w:val="0097335C"/>
    <w:rsid w:val="00973F07"/>
    <w:rsid w:val="00974F8E"/>
    <w:rsid w:val="009755F0"/>
    <w:rsid w:val="009760CF"/>
    <w:rsid w:val="00976448"/>
    <w:rsid w:val="009768A4"/>
    <w:rsid w:val="00976A6B"/>
    <w:rsid w:val="00976DFC"/>
    <w:rsid w:val="00977572"/>
    <w:rsid w:val="0097764C"/>
    <w:rsid w:val="00977F43"/>
    <w:rsid w:val="009817B6"/>
    <w:rsid w:val="00981C14"/>
    <w:rsid w:val="00982217"/>
    <w:rsid w:val="00982857"/>
    <w:rsid w:val="00983AAA"/>
    <w:rsid w:val="0098652E"/>
    <w:rsid w:val="00986E38"/>
    <w:rsid w:val="00986E3E"/>
    <w:rsid w:val="00990ABF"/>
    <w:rsid w:val="00990B8E"/>
    <w:rsid w:val="009910BB"/>
    <w:rsid w:val="009919F2"/>
    <w:rsid w:val="00991B80"/>
    <w:rsid w:val="009929A0"/>
    <w:rsid w:val="00992BBC"/>
    <w:rsid w:val="0099384A"/>
    <w:rsid w:val="00993D7A"/>
    <w:rsid w:val="00993DB1"/>
    <w:rsid w:val="00993E45"/>
    <w:rsid w:val="00994A40"/>
    <w:rsid w:val="009957E2"/>
    <w:rsid w:val="00995FCF"/>
    <w:rsid w:val="009A013C"/>
    <w:rsid w:val="009A1CEF"/>
    <w:rsid w:val="009A20A7"/>
    <w:rsid w:val="009A23EE"/>
    <w:rsid w:val="009A347D"/>
    <w:rsid w:val="009A3E62"/>
    <w:rsid w:val="009A4E54"/>
    <w:rsid w:val="009A51F7"/>
    <w:rsid w:val="009A698E"/>
    <w:rsid w:val="009A6A85"/>
    <w:rsid w:val="009A6ECE"/>
    <w:rsid w:val="009A7082"/>
    <w:rsid w:val="009A7697"/>
    <w:rsid w:val="009B025B"/>
    <w:rsid w:val="009B0878"/>
    <w:rsid w:val="009B16B5"/>
    <w:rsid w:val="009B1FF9"/>
    <w:rsid w:val="009B2371"/>
    <w:rsid w:val="009B2CE4"/>
    <w:rsid w:val="009B2D4C"/>
    <w:rsid w:val="009B3C48"/>
    <w:rsid w:val="009B41C9"/>
    <w:rsid w:val="009B56D0"/>
    <w:rsid w:val="009B5A37"/>
    <w:rsid w:val="009B64BA"/>
    <w:rsid w:val="009C0179"/>
    <w:rsid w:val="009C05D5"/>
    <w:rsid w:val="009C1AAF"/>
    <w:rsid w:val="009C355F"/>
    <w:rsid w:val="009C3633"/>
    <w:rsid w:val="009C4DCA"/>
    <w:rsid w:val="009C53F1"/>
    <w:rsid w:val="009C609A"/>
    <w:rsid w:val="009C61B4"/>
    <w:rsid w:val="009C6261"/>
    <w:rsid w:val="009C6C9C"/>
    <w:rsid w:val="009C6CB6"/>
    <w:rsid w:val="009C78FE"/>
    <w:rsid w:val="009D0627"/>
    <w:rsid w:val="009D0B26"/>
    <w:rsid w:val="009D0B52"/>
    <w:rsid w:val="009D1F9A"/>
    <w:rsid w:val="009D409B"/>
    <w:rsid w:val="009D5A5B"/>
    <w:rsid w:val="009D60D0"/>
    <w:rsid w:val="009D7173"/>
    <w:rsid w:val="009D7236"/>
    <w:rsid w:val="009D7DDC"/>
    <w:rsid w:val="009E03AE"/>
    <w:rsid w:val="009E09A3"/>
    <w:rsid w:val="009E0BD1"/>
    <w:rsid w:val="009E0DC0"/>
    <w:rsid w:val="009E1301"/>
    <w:rsid w:val="009E1430"/>
    <w:rsid w:val="009E4BA8"/>
    <w:rsid w:val="009E4FD4"/>
    <w:rsid w:val="009E53D4"/>
    <w:rsid w:val="009E793B"/>
    <w:rsid w:val="009E7CC5"/>
    <w:rsid w:val="009F0766"/>
    <w:rsid w:val="009F07D8"/>
    <w:rsid w:val="009F0FEC"/>
    <w:rsid w:val="009F1785"/>
    <w:rsid w:val="009F26C2"/>
    <w:rsid w:val="009F3658"/>
    <w:rsid w:val="009F3C9B"/>
    <w:rsid w:val="009F4056"/>
    <w:rsid w:val="009F5021"/>
    <w:rsid w:val="009F55F7"/>
    <w:rsid w:val="009F59BA"/>
    <w:rsid w:val="009F6202"/>
    <w:rsid w:val="009F62F5"/>
    <w:rsid w:val="009F63D2"/>
    <w:rsid w:val="009F6BD8"/>
    <w:rsid w:val="00A001F1"/>
    <w:rsid w:val="00A009C4"/>
    <w:rsid w:val="00A00B9A"/>
    <w:rsid w:val="00A01F6E"/>
    <w:rsid w:val="00A020ED"/>
    <w:rsid w:val="00A036FE"/>
    <w:rsid w:val="00A03BBF"/>
    <w:rsid w:val="00A054F7"/>
    <w:rsid w:val="00A0689D"/>
    <w:rsid w:val="00A1113D"/>
    <w:rsid w:val="00A12391"/>
    <w:rsid w:val="00A123CC"/>
    <w:rsid w:val="00A12431"/>
    <w:rsid w:val="00A12A60"/>
    <w:rsid w:val="00A132DF"/>
    <w:rsid w:val="00A136F1"/>
    <w:rsid w:val="00A1395A"/>
    <w:rsid w:val="00A1432B"/>
    <w:rsid w:val="00A151DF"/>
    <w:rsid w:val="00A16506"/>
    <w:rsid w:val="00A16BA7"/>
    <w:rsid w:val="00A176FC"/>
    <w:rsid w:val="00A2038A"/>
    <w:rsid w:val="00A204EF"/>
    <w:rsid w:val="00A20ECB"/>
    <w:rsid w:val="00A22CF1"/>
    <w:rsid w:val="00A24627"/>
    <w:rsid w:val="00A24EDE"/>
    <w:rsid w:val="00A24FD6"/>
    <w:rsid w:val="00A26558"/>
    <w:rsid w:val="00A30EC8"/>
    <w:rsid w:val="00A3151E"/>
    <w:rsid w:val="00A31DC2"/>
    <w:rsid w:val="00A33BBA"/>
    <w:rsid w:val="00A3518F"/>
    <w:rsid w:val="00A36ABB"/>
    <w:rsid w:val="00A402B3"/>
    <w:rsid w:val="00A406F5"/>
    <w:rsid w:val="00A40761"/>
    <w:rsid w:val="00A41121"/>
    <w:rsid w:val="00A41FEE"/>
    <w:rsid w:val="00A42BC2"/>
    <w:rsid w:val="00A42ECF"/>
    <w:rsid w:val="00A42F09"/>
    <w:rsid w:val="00A432EE"/>
    <w:rsid w:val="00A44482"/>
    <w:rsid w:val="00A44722"/>
    <w:rsid w:val="00A452A6"/>
    <w:rsid w:val="00A457EF"/>
    <w:rsid w:val="00A45CCC"/>
    <w:rsid w:val="00A4663E"/>
    <w:rsid w:val="00A46B72"/>
    <w:rsid w:val="00A46C79"/>
    <w:rsid w:val="00A479B3"/>
    <w:rsid w:val="00A508E5"/>
    <w:rsid w:val="00A50963"/>
    <w:rsid w:val="00A5221B"/>
    <w:rsid w:val="00A52233"/>
    <w:rsid w:val="00A5250B"/>
    <w:rsid w:val="00A52EC0"/>
    <w:rsid w:val="00A546F5"/>
    <w:rsid w:val="00A54873"/>
    <w:rsid w:val="00A54C7A"/>
    <w:rsid w:val="00A55E2D"/>
    <w:rsid w:val="00A561FF"/>
    <w:rsid w:val="00A568C1"/>
    <w:rsid w:val="00A56EF7"/>
    <w:rsid w:val="00A579F7"/>
    <w:rsid w:val="00A601BA"/>
    <w:rsid w:val="00A6083E"/>
    <w:rsid w:val="00A608AB"/>
    <w:rsid w:val="00A608F0"/>
    <w:rsid w:val="00A61B06"/>
    <w:rsid w:val="00A61FC5"/>
    <w:rsid w:val="00A63AF4"/>
    <w:rsid w:val="00A642ED"/>
    <w:rsid w:val="00A64D4D"/>
    <w:rsid w:val="00A665B2"/>
    <w:rsid w:val="00A66B4E"/>
    <w:rsid w:val="00A66DBB"/>
    <w:rsid w:val="00A6773B"/>
    <w:rsid w:val="00A70762"/>
    <w:rsid w:val="00A70D15"/>
    <w:rsid w:val="00A70F59"/>
    <w:rsid w:val="00A710B5"/>
    <w:rsid w:val="00A712F0"/>
    <w:rsid w:val="00A72848"/>
    <w:rsid w:val="00A72D22"/>
    <w:rsid w:val="00A7348F"/>
    <w:rsid w:val="00A734A2"/>
    <w:rsid w:val="00A736C9"/>
    <w:rsid w:val="00A7396F"/>
    <w:rsid w:val="00A74069"/>
    <w:rsid w:val="00A75DEB"/>
    <w:rsid w:val="00A762AB"/>
    <w:rsid w:val="00A77945"/>
    <w:rsid w:val="00A80083"/>
    <w:rsid w:val="00A81CA7"/>
    <w:rsid w:val="00A8211E"/>
    <w:rsid w:val="00A821D9"/>
    <w:rsid w:val="00A82601"/>
    <w:rsid w:val="00A82804"/>
    <w:rsid w:val="00A8326E"/>
    <w:rsid w:val="00A859B9"/>
    <w:rsid w:val="00A878D1"/>
    <w:rsid w:val="00A901FA"/>
    <w:rsid w:val="00A906F9"/>
    <w:rsid w:val="00A910F8"/>
    <w:rsid w:val="00A91133"/>
    <w:rsid w:val="00A91B9F"/>
    <w:rsid w:val="00A92BDB"/>
    <w:rsid w:val="00A92DE3"/>
    <w:rsid w:val="00A92F8E"/>
    <w:rsid w:val="00A93427"/>
    <w:rsid w:val="00A937EF"/>
    <w:rsid w:val="00A93E45"/>
    <w:rsid w:val="00A9579C"/>
    <w:rsid w:val="00A958D1"/>
    <w:rsid w:val="00A95BAA"/>
    <w:rsid w:val="00A96EF7"/>
    <w:rsid w:val="00A97841"/>
    <w:rsid w:val="00AA052E"/>
    <w:rsid w:val="00AA0A9B"/>
    <w:rsid w:val="00AA0C41"/>
    <w:rsid w:val="00AA0DB8"/>
    <w:rsid w:val="00AA129B"/>
    <w:rsid w:val="00AA1498"/>
    <w:rsid w:val="00AA23F5"/>
    <w:rsid w:val="00AA27A1"/>
    <w:rsid w:val="00AA2E7A"/>
    <w:rsid w:val="00AA45F6"/>
    <w:rsid w:val="00AA4799"/>
    <w:rsid w:val="00AA4F3A"/>
    <w:rsid w:val="00AA549C"/>
    <w:rsid w:val="00AA607D"/>
    <w:rsid w:val="00AA6859"/>
    <w:rsid w:val="00AA778C"/>
    <w:rsid w:val="00AA7830"/>
    <w:rsid w:val="00AB0FA0"/>
    <w:rsid w:val="00AB1A27"/>
    <w:rsid w:val="00AB22E4"/>
    <w:rsid w:val="00AB2D0C"/>
    <w:rsid w:val="00AB4A6F"/>
    <w:rsid w:val="00AB6D95"/>
    <w:rsid w:val="00AC034B"/>
    <w:rsid w:val="00AC0EB0"/>
    <w:rsid w:val="00AC10A0"/>
    <w:rsid w:val="00AC14FD"/>
    <w:rsid w:val="00AC1779"/>
    <w:rsid w:val="00AC1B19"/>
    <w:rsid w:val="00AC2673"/>
    <w:rsid w:val="00AC2A6C"/>
    <w:rsid w:val="00AC40D9"/>
    <w:rsid w:val="00AC4B48"/>
    <w:rsid w:val="00AC6E13"/>
    <w:rsid w:val="00AD05FC"/>
    <w:rsid w:val="00AD0CF5"/>
    <w:rsid w:val="00AD0CFC"/>
    <w:rsid w:val="00AD107B"/>
    <w:rsid w:val="00AD2A0E"/>
    <w:rsid w:val="00AD37EB"/>
    <w:rsid w:val="00AD42CD"/>
    <w:rsid w:val="00AD477E"/>
    <w:rsid w:val="00AD49A0"/>
    <w:rsid w:val="00AD55E1"/>
    <w:rsid w:val="00AD5737"/>
    <w:rsid w:val="00AD5F01"/>
    <w:rsid w:val="00AD6314"/>
    <w:rsid w:val="00AD675A"/>
    <w:rsid w:val="00AD67C3"/>
    <w:rsid w:val="00AD6D24"/>
    <w:rsid w:val="00AD7218"/>
    <w:rsid w:val="00AE09A5"/>
    <w:rsid w:val="00AE1019"/>
    <w:rsid w:val="00AE125C"/>
    <w:rsid w:val="00AE1818"/>
    <w:rsid w:val="00AE2865"/>
    <w:rsid w:val="00AE2E78"/>
    <w:rsid w:val="00AE39DC"/>
    <w:rsid w:val="00AE3CEC"/>
    <w:rsid w:val="00AE5413"/>
    <w:rsid w:val="00AE5430"/>
    <w:rsid w:val="00AE5C22"/>
    <w:rsid w:val="00AE717F"/>
    <w:rsid w:val="00AE75E0"/>
    <w:rsid w:val="00AF0117"/>
    <w:rsid w:val="00AF0A28"/>
    <w:rsid w:val="00AF0C4D"/>
    <w:rsid w:val="00AF1AF7"/>
    <w:rsid w:val="00AF1D8A"/>
    <w:rsid w:val="00AF1F37"/>
    <w:rsid w:val="00AF30B3"/>
    <w:rsid w:val="00AF3970"/>
    <w:rsid w:val="00AF4513"/>
    <w:rsid w:val="00AF466C"/>
    <w:rsid w:val="00AF47E0"/>
    <w:rsid w:val="00AF56EA"/>
    <w:rsid w:val="00AF5D54"/>
    <w:rsid w:val="00AF5D64"/>
    <w:rsid w:val="00AF5F11"/>
    <w:rsid w:val="00AF65E3"/>
    <w:rsid w:val="00AF689F"/>
    <w:rsid w:val="00AF692C"/>
    <w:rsid w:val="00AF6D60"/>
    <w:rsid w:val="00AF7A56"/>
    <w:rsid w:val="00AF7A8D"/>
    <w:rsid w:val="00AF7DA2"/>
    <w:rsid w:val="00AF7E13"/>
    <w:rsid w:val="00AF7F2B"/>
    <w:rsid w:val="00AF7F8C"/>
    <w:rsid w:val="00B0051C"/>
    <w:rsid w:val="00B00536"/>
    <w:rsid w:val="00B01985"/>
    <w:rsid w:val="00B026C1"/>
    <w:rsid w:val="00B04154"/>
    <w:rsid w:val="00B04B60"/>
    <w:rsid w:val="00B04E5D"/>
    <w:rsid w:val="00B05258"/>
    <w:rsid w:val="00B06099"/>
    <w:rsid w:val="00B061AE"/>
    <w:rsid w:val="00B06239"/>
    <w:rsid w:val="00B066A4"/>
    <w:rsid w:val="00B066D5"/>
    <w:rsid w:val="00B06845"/>
    <w:rsid w:val="00B06F56"/>
    <w:rsid w:val="00B0707D"/>
    <w:rsid w:val="00B072B8"/>
    <w:rsid w:val="00B0748C"/>
    <w:rsid w:val="00B07615"/>
    <w:rsid w:val="00B07C0C"/>
    <w:rsid w:val="00B10492"/>
    <w:rsid w:val="00B106C0"/>
    <w:rsid w:val="00B11B50"/>
    <w:rsid w:val="00B138DA"/>
    <w:rsid w:val="00B14968"/>
    <w:rsid w:val="00B14D39"/>
    <w:rsid w:val="00B14D54"/>
    <w:rsid w:val="00B16776"/>
    <w:rsid w:val="00B16C3F"/>
    <w:rsid w:val="00B17A15"/>
    <w:rsid w:val="00B17ABF"/>
    <w:rsid w:val="00B203BF"/>
    <w:rsid w:val="00B20C1A"/>
    <w:rsid w:val="00B21328"/>
    <w:rsid w:val="00B21A07"/>
    <w:rsid w:val="00B21DFF"/>
    <w:rsid w:val="00B2291D"/>
    <w:rsid w:val="00B230A8"/>
    <w:rsid w:val="00B2340D"/>
    <w:rsid w:val="00B2355E"/>
    <w:rsid w:val="00B23659"/>
    <w:rsid w:val="00B25A90"/>
    <w:rsid w:val="00B25B29"/>
    <w:rsid w:val="00B2698C"/>
    <w:rsid w:val="00B26F4B"/>
    <w:rsid w:val="00B2719A"/>
    <w:rsid w:val="00B274DF"/>
    <w:rsid w:val="00B277CB"/>
    <w:rsid w:val="00B305AE"/>
    <w:rsid w:val="00B31A25"/>
    <w:rsid w:val="00B32F22"/>
    <w:rsid w:val="00B34606"/>
    <w:rsid w:val="00B347F6"/>
    <w:rsid w:val="00B361A8"/>
    <w:rsid w:val="00B369E5"/>
    <w:rsid w:val="00B36FE9"/>
    <w:rsid w:val="00B40BD5"/>
    <w:rsid w:val="00B41964"/>
    <w:rsid w:val="00B41B79"/>
    <w:rsid w:val="00B42063"/>
    <w:rsid w:val="00B42168"/>
    <w:rsid w:val="00B445D9"/>
    <w:rsid w:val="00B45173"/>
    <w:rsid w:val="00B45A76"/>
    <w:rsid w:val="00B476ED"/>
    <w:rsid w:val="00B4786E"/>
    <w:rsid w:val="00B47CE7"/>
    <w:rsid w:val="00B50F96"/>
    <w:rsid w:val="00B510E9"/>
    <w:rsid w:val="00B53128"/>
    <w:rsid w:val="00B5360D"/>
    <w:rsid w:val="00B54498"/>
    <w:rsid w:val="00B555F2"/>
    <w:rsid w:val="00B56064"/>
    <w:rsid w:val="00B563FC"/>
    <w:rsid w:val="00B56F5A"/>
    <w:rsid w:val="00B579B1"/>
    <w:rsid w:val="00B57AA7"/>
    <w:rsid w:val="00B615B4"/>
    <w:rsid w:val="00B6186A"/>
    <w:rsid w:val="00B61ED5"/>
    <w:rsid w:val="00B62075"/>
    <w:rsid w:val="00B62591"/>
    <w:rsid w:val="00B62C7E"/>
    <w:rsid w:val="00B649DD"/>
    <w:rsid w:val="00B64F55"/>
    <w:rsid w:val="00B65322"/>
    <w:rsid w:val="00B65578"/>
    <w:rsid w:val="00B65B76"/>
    <w:rsid w:val="00B66A9A"/>
    <w:rsid w:val="00B70B2C"/>
    <w:rsid w:val="00B71592"/>
    <w:rsid w:val="00B71BAC"/>
    <w:rsid w:val="00B72419"/>
    <w:rsid w:val="00B726B6"/>
    <w:rsid w:val="00B72F35"/>
    <w:rsid w:val="00B73F96"/>
    <w:rsid w:val="00B74B72"/>
    <w:rsid w:val="00B74FB9"/>
    <w:rsid w:val="00B7512C"/>
    <w:rsid w:val="00B767C5"/>
    <w:rsid w:val="00B774AE"/>
    <w:rsid w:val="00B801EE"/>
    <w:rsid w:val="00B8078C"/>
    <w:rsid w:val="00B810F3"/>
    <w:rsid w:val="00B81437"/>
    <w:rsid w:val="00B81507"/>
    <w:rsid w:val="00B828CD"/>
    <w:rsid w:val="00B84127"/>
    <w:rsid w:val="00B8537C"/>
    <w:rsid w:val="00B85EF4"/>
    <w:rsid w:val="00B860B5"/>
    <w:rsid w:val="00B8613E"/>
    <w:rsid w:val="00B87445"/>
    <w:rsid w:val="00B878C7"/>
    <w:rsid w:val="00B87AC6"/>
    <w:rsid w:val="00B90736"/>
    <w:rsid w:val="00B9125B"/>
    <w:rsid w:val="00B9157E"/>
    <w:rsid w:val="00B9200F"/>
    <w:rsid w:val="00B961D9"/>
    <w:rsid w:val="00B9632A"/>
    <w:rsid w:val="00B96BE7"/>
    <w:rsid w:val="00BA127B"/>
    <w:rsid w:val="00BA3B0A"/>
    <w:rsid w:val="00BA459D"/>
    <w:rsid w:val="00BA71E3"/>
    <w:rsid w:val="00BB017D"/>
    <w:rsid w:val="00BB051A"/>
    <w:rsid w:val="00BB1916"/>
    <w:rsid w:val="00BB27DC"/>
    <w:rsid w:val="00BB3773"/>
    <w:rsid w:val="00BB54F9"/>
    <w:rsid w:val="00BB5B11"/>
    <w:rsid w:val="00BB5DD3"/>
    <w:rsid w:val="00BB5FD9"/>
    <w:rsid w:val="00BB6939"/>
    <w:rsid w:val="00BB69D7"/>
    <w:rsid w:val="00BB7904"/>
    <w:rsid w:val="00BB7C70"/>
    <w:rsid w:val="00BB7C7E"/>
    <w:rsid w:val="00BC035F"/>
    <w:rsid w:val="00BC07FE"/>
    <w:rsid w:val="00BC218A"/>
    <w:rsid w:val="00BC3000"/>
    <w:rsid w:val="00BC3BE5"/>
    <w:rsid w:val="00BC4033"/>
    <w:rsid w:val="00BC421F"/>
    <w:rsid w:val="00BC465F"/>
    <w:rsid w:val="00BC52F8"/>
    <w:rsid w:val="00BC62E2"/>
    <w:rsid w:val="00BC68C3"/>
    <w:rsid w:val="00BC7A8F"/>
    <w:rsid w:val="00BD0016"/>
    <w:rsid w:val="00BD0FEE"/>
    <w:rsid w:val="00BD219B"/>
    <w:rsid w:val="00BD230F"/>
    <w:rsid w:val="00BD27FC"/>
    <w:rsid w:val="00BD2935"/>
    <w:rsid w:val="00BD39B6"/>
    <w:rsid w:val="00BD3AB5"/>
    <w:rsid w:val="00BD4CDD"/>
    <w:rsid w:val="00BD5D7C"/>
    <w:rsid w:val="00BD6DA6"/>
    <w:rsid w:val="00BD6E0A"/>
    <w:rsid w:val="00BD6F94"/>
    <w:rsid w:val="00BD7709"/>
    <w:rsid w:val="00BD7D6F"/>
    <w:rsid w:val="00BE131B"/>
    <w:rsid w:val="00BE161C"/>
    <w:rsid w:val="00BE1998"/>
    <w:rsid w:val="00BE1AAB"/>
    <w:rsid w:val="00BE2668"/>
    <w:rsid w:val="00BE2E7D"/>
    <w:rsid w:val="00BE3037"/>
    <w:rsid w:val="00BE3352"/>
    <w:rsid w:val="00BE3ACE"/>
    <w:rsid w:val="00BE3B68"/>
    <w:rsid w:val="00BE3D1F"/>
    <w:rsid w:val="00BE4053"/>
    <w:rsid w:val="00BE4BC6"/>
    <w:rsid w:val="00BE4F66"/>
    <w:rsid w:val="00BE50F5"/>
    <w:rsid w:val="00BE6A5F"/>
    <w:rsid w:val="00BE736B"/>
    <w:rsid w:val="00BE7793"/>
    <w:rsid w:val="00BE7998"/>
    <w:rsid w:val="00BF0E17"/>
    <w:rsid w:val="00BF1A4D"/>
    <w:rsid w:val="00BF1C33"/>
    <w:rsid w:val="00BF2459"/>
    <w:rsid w:val="00BF2544"/>
    <w:rsid w:val="00BF2977"/>
    <w:rsid w:val="00BF3F1B"/>
    <w:rsid w:val="00BF46A1"/>
    <w:rsid w:val="00BF4E23"/>
    <w:rsid w:val="00BF574B"/>
    <w:rsid w:val="00BF5D48"/>
    <w:rsid w:val="00BF6457"/>
    <w:rsid w:val="00BF6511"/>
    <w:rsid w:val="00BF6E56"/>
    <w:rsid w:val="00BF7B8F"/>
    <w:rsid w:val="00C01A16"/>
    <w:rsid w:val="00C0267A"/>
    <w:rsid w:val="00C02CF0"/>
    <w:rsid w:val="00C033DF"/>
    <w:rsid w:val="00C057E0"/>
    <w:rsid w:val="00C0635B"/>
    <w:rsid w:val="00C103B5"/>
    <w:rsid w:val="00C12044"/>
    <w:rsid w:val="00C126DB"/>
    <w:rsid w:val="00C1299B"/>
    <w:rsid w:val="00C13A42"/>
    <w:rsid w:val="00C142E4"/>
    <w:rsid w:val="00C14757"/>
    <w:rsid w:val="00C14C3C"/>
    <w:rsid w:val="00C15191"/>
    <w:rsid w:val="00C1647E"/>
    <w:rsid w:val="00C16836"/>
    <w:rsid w:val="00C16AA2"/>
    <w:rsid w:val="00C170E5"/>
    <w:rsid w:val="00C2012B"/>
    <w:rsid w:val="00C20AAB"/>
    <w:rsid w:val="00C2168C"/>
    <w:rsid w:val="00C21CE8"/>
    <w:rsid w:val="00C22973"/>
    <w:rsid w:val="00C22D79"/>
    <w:rsid w:val="00C2350C"/>
    <w:rsid w:val="00C246B5"/>
    <w:rsid w:val="00C2616C"/>
    <w:rsid w:val="00C27840"/>
    <w:rsid w:val="00C3064A"/>
    <w:rsid w:val="00C307ED"/>
    <w:rsid w:val="00C3087B"/>
    <w:rsid w:val="00C319B0"/>
    <w:rsid w:val="00C31F61"/>
    <w:rsid w:val="00C3236F"/>
    <w:rsid w:val="00C32D8E"/>
    <w:rsid w:val="00C33335"/>
    <w:rsid w:val="00C33483"/>
    <w:rsid w:val="00C33A9D"/>
    <w:rsid w:val="00C33EF0"/>
    <w:rsid w:val="00C34681"/>
    <w:rsid w:val="00C35389"/>
    <w:rsid w:val="00C36495"/>
    <w:rsid w:val="00C36663"/>
    <w:rsid w:val="00C36744"/>
    <w:rsid w:val="00C371C4"/>
    <w:rsid w:val="00C37496"/>
    <w:rsid w:val="00C37614"/>
    <w:rsid w:val="00C37D49"/>
    <w:rsid w:val="00C4091F"/>
    <w:rsid w:val="00C40BDA"/>
    <w:rsid w:val="00C40F87"/>
    <w:rsid w:val="00C4170B"/>
    <w:rsid w:val="00C41D67"/>
    <w:rsid w:val="00C42186"/>
    <w:rsid w:val="00C42B75"/>
    <w:rsid w:val="00C434A4"/>
    <w:rsid w:val="00C44732"/>
    <w:rsid w:val="00C44A57"/>
    <w:rsid w:val="00C453A8"/>
    <w:rsid w:val="00C45BB6"/>
    <w:rsid w:val="00C45E0C"/>
    <w:rsid w:val="00C46720"/>
    <w:rsid w:val="00C46CE3"/>
    <w:rsid w:val="00C46E8F"/>
    <w:rsid w:val="00C479A1"/>
    <w:rsid w:val="00C50461"/>
    <w:rsid w:val="00C50CE9"/>
    <w:rsid w:val="00C5113D"/>
    <w:rsid w:val="00C52686"/>
    <w:rsid w:val="00C532A2"/>
    <w:rsid w:val="00C542C7"/>
    <w:rsid w:val="00C55465"/>
    <w:rsid w:val="00C55AE2"/>
    <w:rsid w:val="00C55F0E"/>
    <w:rsid w:val="00C564D8"/>
    <w:rsid w:val="00C56B64"/>
    <w:rsid w:val="00C56DAE"/>
    <w:rsid w:val="00C57E67"/>
    <w:rsid w:val="00C60616"/>
    <w:rsid w:val="00C611EC"/>
    <w:rsid w:val="00C612E7"/>
    <w:rsid w:val="00C616E9"/>
    <w:rsid w:val="00C61863"/>
    <w:rsid w:val="00C61AA6"/>
    <w:rsid w:val="00C61B28"/>
    <w:rsid w:val="00C6225C"/>
    <w:rsid w:val="00C62CF2"/>
    <w:rsid w:val="00C643EB"/>
    <w:rsid w:val="00C64FB8"/>
    <w:rsid w:val="00C65049"/>
    <w:rsid w:val="00C653C8"/>
    <w:rsid w:val="00C65648"/>
    <w:rsid w:val="00C6622D"/>
    <w:rsid w:val="00C66667"/>
    <w:rsid w:val="00C6778D"/>
    <w:rsid w:val="00C67C06"/>
    <w:rsid w:val="00C70036"/>
    <w:rsid w:val="00C71124"/>
    <w:rsid w:val="00C724E2"/>
    <w:rsid w:val="00C72657"/>
    <w:rsid w:val="00C74EE4"/>
    <w:rsid w:val="00C74F63"/>
    <w:rsid w:val="00C75469"/>
    <w:rsid w:val="00C75E29"/>
    <w:rsid w:val="00C76BC5"/>
    <w:rsid w:val="00C77740"/>
    <w:rsid w:val="00C77DE3"/>
    <w:rsid w:val="00C800BD"/>
    <w:rsid w:val="00C8010F"/>
    <w:rsid w:val="00C8036C"/>
    <w:rsid w:val="00C80EA3"/>
    <w:rsid w:val="00C8180C"/>
    <w:rsid w:val="00C8212F"/>
    <w:rsid w:val="00C833BA"/>
    <w:rsid w:val="00C87CD1"/>
    <w:rsid w:val="00C9019B"/>
    <w:rsid w:val="00C90ADC"/>
    <w:rsid w:val="00C91EA3"/>
    <w:rsid w:val="00C924E3"/>
    <w:rsid w:val="00C947E1"/>
    <w:rsid w:val="00C94EED"/>
    <w:rsid w:val="00C967AA"/>
    <w:rsid w:val="00C96C89"/>
    <w:rsid w:val="00C97A8F"/>
    <w:rsid w:val="00CA0161"/>
    <w:rsid w:val="00CA0EA2"/>
    <w:rsid w:val="00CA11D9"/>
    <w:rsid w:val="00CA21CE"/>
    <w:rsid w:val="00CA30B7"/>
    <w:rsid w:val="00CA39C3"/>
    <w:rsid w:val="00CA3CB8"/>
    <w:rsid w:val="00CA3CE8"/>
    <w:rsid w:val="00CA4857"/>
    <w:rsid w:val="00CA4B32"/>
    <w:rsid w:val="00CA4FA1"/>
    <w:rsid w:val="00CA572D"/>
    <w:rsid w:val="00CA674F"/>
    <w:rsid w:val="00CA6B29"/>
    <w:rsid w:val="00CA6C8D"/>
    <w:rsid w:val="00CA6C90"/>
    <w:rsid w:val="00CA77B1"/>
    <w:rsid w:val="00CA7B99"/>
    <w:rsid w:val="00CA7CA2"/>
    <w:rsid w:val="00CA7F3C"/>
    <w:rsid w:val="00CA7F62"/>
    <w:rsid w:val="00CB04AB"/>
    <w:rsid w:val="00CB1C75"/>
    <w:rsid w:val="00CB2338"/>
    <w:rsid w:val="00CB3749"/>
    <w:rsid w:val="00CB3C0B"/>
    <w:rsid w:val="00CB42B5"/>
    <w:rsid w:val="00CB5871"/>
    <w:rsid w:val="00CB6636"/>
    <w:rsid w:val="00CB7B50"/>
    <w:rsid w:val="00CC022B"/>
    <w:rsid w:val="00CC37D0"/>
    <w:rsid w:val="00CC3EA5"/>
    <w:rsid w:val="00CC44D4"/>
    <w:rsid w:val="00CC4832"/>
    <w:rsid w:val="00CC4B0C"/>
    <w:rsid w:val="00CC4C12"/>
    <w:rsid w:val="00CC60E2"/>
    <w:rsid w:val="00CC74AD"/>
    <w:rsid w:val="00CC79F1"/>
    <w:rsid w:val="00CC7A9A"/>
    <w:rsid w:val="00CC7BD7"/>
    <w:rsid w:val="00CD003F"/>
    <w:rsid w:val="00CD0898"/>
    <w:rsid w:val="00CD0D58"/>
    <w:rsid w:val="00CD1187"/>
    <w:rsid w:val="00CD15FD"/>
    <w:rsid w:val="00CD1CF3"/>
    <w:rsid w:val="00CD2456"/>
    <w:rsid w:val="00CD26E7"/>
    <w:rsid w:val="00CD2768"/>
    <w:rsid w:val="00CD290D"/>
    <w:rsid w:val="00CD29CD"/>
    <w:rsid w:val="00CD3138"/>
    <w:rsid w:val="00CD3155"/>
    <w:rsid w:val="00CD332C"/>
    <w:rsid w:val="00CD34BE"/>
    <w:rsid w:val="00CD3818"/>
    <w:rsid w:val="00CD6716"/>
    <w:rsid w:val="00CD6974"/>
    <w:rsid w:val="00CE03BC"/>
    <w:rsid w:val="00CE0E35"/>
    <w:rsid w:val="00CE22A1"/>
    <w:rsid w:val="00CE23EB"/>
    <w:rsid w:val="00CE27FB"/>
    <w:rsid w:val="00CE29F8"/>
    <w:rsid w:val="00CE2A83"/>
    <w:rsid w:val="00CE34B9"/>
    <w:rsid w:val="00CE48AA"/>
    <w:rsid w:val="00CE549E"/>
    <w:rsid w:val="00CE54A0"/>
    <w:rsid w:val="00CE571C"/>
    <w:rsid w:val="00CE65A3"/>
    <w:rsid w:val="00CE69F6"/>
    <w:rsid w:val="00CE6E6F"/>
    <w:rsid w:val="00CE70A7"/>
    <w:rsid w:val="00CE71D3"/>
    <w:rsid w:val="00CF0532"/>
    <w:rsid w:val="00CF14F1"/>
    <w:rsid w:val="00CF22B0"/>
    <w:rsid w:val="00CF274D"/>
    <w:rsid w:val="00CF297D"/>
    <w:rsid w:val="00CF2D76"/>
    <w:rsid w:val="00CF2E13"/>
    <w:rsid w:val="00CF3038"/>
    <w:rsid w:val="00CF37A5"/>
    <w:rsid w:val="00CF3A6E"/>
    <w:rsid w:val="00CF49E0"/>
    <w:rsid w:val="00CF5759"/>
    <w:rsid w:val="00CF5A91"/>
    <w:rsid w:val="00CF65E3"/>
    <w:rsid w:val="00CF6726"/>
    <w:rsid w:val="00CF67D4"/>
    <w:rsid w:val="00CF69D5"/>
    <w:rsid w:val="00D00079"/>
    <w:rsid w:val="00D00EBF"/>
    <w:rsid w:val="00D013FF"/>
    <w:rsid w:val="00D01736"/>
    <w:rsid w:val="00D01842"/>
    <w:rsid w:val="00D018F0"/>
    <w:rsid w:val="00D01C70"/>
    <w:rsid w:val="00D0237A"/>
    <w:rsid w:val="00D032D3"/>
    <w:rsid w:val="00D06761"/>
    <w:rsid w:val="00D06866"/>
    <w:rsid w:val="00D06970"/>
    <w:rsid w:val="00D07BD7"/>
    <w:rsid w:val="00D10079"/>
    <w:rsid w:val="00D10A6A"/>
    <w:rsid w:val="00D10E75"/>
    <w:rsid w:val="00D11730"/>
    <w:rsid w:val="00D1175A"/>
    <w:rsid w:val="00D12061"/>
    <w:rsid w:val="00D123D7"/>
    <w:rsid w:val="00D12527"/>
    <w:rsid w:val="00D14B7D"/>
    <w:rsid w:val="00D14CA4"/>
    <w:rsid w:val="00D15477"/>
    <w:rsid w:val="00D166B3"/>
    <w:rsid w:val="00D175EE"/>
    <w:rsid w:val="00D17E9D"/>
    <w:rsid w:val="00D20BE0"/>
    <w:rsid w:val="00D211A6"/>
    <w:rsid w:val="00D21D52"/>
    <w:rsid w:val="00D21D64"/>
    <w:rsid w:val="00D22826"/>
    <w:rsid w:val="00D24A00"/>
    <w:rsid w:val="00D25F81"/>
    <w:rsid w:val="00D26563"/>
    <w:rsid w:val="00D27544"/>
    <w:rsid w:val="00D30847"/>
    <w:rsid w:val="00D30873"/>
    <w:rsid w:val="00D31472"/>
    <w:rsid w:val="00D31E20"/>
    <w:rsid w:val="00D31ED2"/>
    <w:rsid w:val="00D32429"/>
    <w:rsid w:val="00D333CF"/>
    <w:rsid w:val="00D3352D"/>
    <w:rsid w:val="00D33916"/>
    <w:rsid w:val="00D33B96"/>
    <w:rsid w:val="00D33DE2"/>
    <w:rsid w:val="00D344DF"/>
    <w:rsid w:val="00D351E8"/>
    <w:rsid w:val="00D352A3"/>
    <w:rsid w:val="00D354C5"/>
    <w:rsid w:val="00D35BB1"/>
    <w:rsid w:val="00D36C6C"/>
    <w:rsid w:val="00D377AC"/>
    <w:rsid w:val="00D40D31"/>
    <w:rsid w:val="00D40EFA"/>
    <w:rsid w:val="00D419FE"/>
    <w:rsid w:val="00D43A57"/>
    <w:rsid w:val="00D43F65"/>
    <w:rsid w:val="00D4420E"/>
    <w:rsid w:val="00D450D9"/>
    <w:rsid w:val="00D45188"/>
    <w:rsid w:val="00D45CAC"/>
    <w:rsid w:val="00D46C00"/>
    <w:rsid w:val="00D46DCD"/>
    <w:rsid w:val="00D474E3"/>
    <w:rsid w:val="00D50B88"/>
    <w:rsid w:val="00D510BC"/>
    <w:rsid w:val="00D5138F"/>
    <w:rsid w:val="00D51FAC"/>
    <w:rsid w:val="00D522D8"/>
    <w:rsid w:val="00D534DE"/>
    <w:rsid w:val="00D53B39"/>
    <w:rsid w:val="00D54D9D"/>
    <w:rsid w:val="00D55C0D"/>
    <w:rsid w:val="00D55E71"/>
    <w:rsid w:val="00D56673"/>
    <w:rsid w:val="00D573B2"/>
    <w:rsid w:val="00D573BA"/>
    <w:rsid w:val="00D57DD0"/>
    <w:rsid w:val="00D60BB4"/>
    <w:rsid w:val="00D60D35"/>
    <w:rsid w:val="00D616AF"/>
    <w:rsid w:val="00D619CF"/>
    <w:rsid w:val="00D62E29"/>
    <w:rsid w:val="00D63081"/>
    <w:rsid w:val="00D633F3"/>
    <w:rsid w:val="00D6371D"/>
    <w:rsid w:val="00D63985"/>
    <w:rsid w:val="00D63B2C"/>
    <w:rsid w:val="00D63EDD"/>
    <w:rsid w:val="00D642AC"/>
    <w:rsid w:val="00D648C5"/>
    <w:rsid w:val="00D65655"/>
    <w:rsid w:val="00D65901"/>
    <w:rsid w:val="00D6665E"/>
    <w:rsid w:val="00D66741"/>
    <w:rsid w:val="00D70AC3"/>
    <w:rsid w:val="00D70C0C"/>
    <w:rsid w:val="00D70E40"/>
    <w:rsid w:val="00D70EEE"/>
    <w:rsid w:val="00D71CE2"/>
    <w:rsid w:val="00D737E7"/>
    <w:rsid w:val="00D738AC"/>
    <w:rsid w:val="00D73BA8"/>
    <w:rsid w:val="00D73F87"/>
    <w:rsid w:val="00D74462"/>
    <w:rsid w:val="00D74801"/>
    <w:rsid w:val="00D74909"/>
    <w:rsid w:val="00D74A52"/>
    <w:rsid w:val="00D74E88"/>
    <w:rsid w:val="00D76B1D"/>
    <w:rsid w:val="00D776AE"/>
    <w:rsid w:val="00D80409"/>
    <w:rsid w:val="00D80609"/>
    <w:rsid w:val="00D80CE9"/>
    <w:rsid w:val="00D80FDB"/>
    <w:rsid w:val="00D814C5"/>
    <w:rsid w:val="00D820CC"/>
    <w:rsid w:val="00D82BC3"/>
    <w:rsid w:val="00D855A8"/>
    <w:rsid w:val="00D85A01"/>
    <w:rsid w:val="00D85B49"/>
    <w:rsid w:val="00D85FB8"/>
    <w:rsid w:val="00D8759E"/>
    <w:rsid w:val="00D876B3"/>
    <w:rsid w:val="00D8774C"/>
    <w:rsid w:val="00D87DF1"/>
    <w:rsid w:val="00D903E0"/>
    <w:rsid w:val="00D93B9B"/>
    <w:rsid w:val="00D94405"/>
    <w:rsid w:val="00D94598"/>
    <w:rsid w:val="00D955BA"/>
    <w:rsid w:val="00D9710D"/>
    <w:rsid w:val="00D97173"/>
    <w:rsid w:val="00D97AAD"/>
    <w:rsid w:val="00D97BF9"/>
    <w:rsid w:val="00DA046B"/>
    <w:rsid w:val="00DA06D1"/>
    <w:rsid w:val="00DA0E0C"/>
    <w:rsid w:val="00DA3209"/>
    <w:rsid w:val="00DA376B"/>
    <w:rsid w:val="00DA3DC2"/>
    <w:rsid w:val="00DA5719"/>
    <w:rsid w:val="00DA7F7B"/>
    <w:rsid w:val="00DB0251"/>
    <w:rsid w:val="00DB0892"/>
    <w:rsid w:val="00DB0C5D"/>
    <w:rsid w:val="00DB1348"/>
    <w:rsid w:val="00DB1C05"/>
    <w:rsid w:val="00DB2133"/>
    <w:rsid w:val="00DB2889"/>
    <w:rsid w:val="00DB2947"/>
    <w:rsid w:val="00DB2E58"/>
    <w:rsid w:val="00DB4A7C"/>
    <w:rsid w:val="00DB4C70"/>
    <w:rsid w:val="00DB4E7E"/>
    <w:rsid w:val="00DB6E33"/>
    <w:rsid w:val="00DB7139"/>
    <w:rsid w:val="00DB73A9"/>
    <w:rsid w:val="00DB79F5"/>
    <w:rsid w:val="00DB7EC4"/>
    <w:rsid w:val="00DC01E4"/>
    <w:rsid w:val="00DC14C0"/>
    <w:rsid w:val="00DC187E"/>
    <w:rsid w:val="00DC1AE7"/>
    <w:rsid w:val="00DC1AFE"/>
    <w:rsid w:val="00DC1F68"/>
    <w:rsid w:val="00DC20C3"/>
    <w:rsid w:val="00DC308D"/>
    <w:rsid w:val="00DC34E2"/>
    <w:rsid w:val="00DC5104"/>
    <w:rsid w:val="00DC52AF"/>
    <w:rsid w:val="00DC5473"/>
    <w:rsid w:val="00DC5918"/>
    <w:rsid w:val="00DC6002"/>
    <w:rsid w:val="00DC647A"/>
    <w:rsid w:val="00DC705E"/>
    <w:rsid w:val="00DC746C"/>
    <w:rsid w:val="00DD018A"/>
    <w:rsid w:val="00DD1C34"/>
    <w:rsid w:val="00DD2664"/>
    <w:rsid w:val="00DD2EE4"/>
    <w:rsid w:val="00DD33F7"/>
    <w:rsid w:val="00DD4839"/>
    <w:rsid w:val="00DD4956"/>
    <w:rsid w:val="00DD4CDA"/>
    <w:rsid w:val="00DD4CDB"/>
    <w:rsid w:val="00DD682A"/>
    <w:rsid w:val="00DD6EF3"/>
    <w:rsid w:val="00DD74C6"/>
    <w:rsid w:val="00DE088D"/>
    <w:rsid w:val="00DE1AB6"/>
    <w:rsid w:val="00DE20E6"/>
    <w:rsid w:val="00DE25CD"/>
    <w:rsid w:val="00DE3351"/>
    <w:rsid w:val="00DE3505"/>
    <w:rsid w:val="00DE4588"/>
    <w:rsid w:val="00DE4600"/>
    <w:rsid w:val="00DE66EE"/>
    <w:rsid w:val="00DE674E"/>
    <w:rsid w:val="00DE6CD0"/>
    <w:rsid w:val="00DE7F00"/>
    <w:rsid w:val="00DF09E4"/>
    <w:rsid w:val="00DF11C7"/>
    <w:rsid w:val="00DF139A"/>
    <w:rsid w:val="00DF29C1"/>
    <w:rsid w:val="00DF3272"/>
    <w:rsid w:val="00DF33C6"/>
    <w:rsid w:val="00DF4790"/>
    <w:rsid w:val="00DF53AD"/>
    <w:rsid w:val="00DF58BB"/>
    <w:rsid w:val="00DF5F5F"/>
    <w:rsid w:val="00DF6040"/>
    <w:rsid w:val="00DF6351"/>
    <w:rsid w:val="00DF656A"/>
    <w:rsid w:val="00DF6D2D"/>
    <w:rsid w:val="00E0161B"/>
    <w:rsid w:val="00E01973"/>
    <w:rsid w:val="00E01ADE"/>
    <w:rsid w:val="00E02BFA"/>
    <w:rsid w:val="00E039BE"/>
    <w:rsid w:val="00E03F29"/>
    <w:rsid w:val="00E04320"/>
    <w:rsid w:val="00E05BAC"/>
    <w:rsid w:val="00E06376"/>
    <w:rsid w:val="00E063AA"/>
    <w:rsid w:val="00E07941"/>
    <w:rsid w:val="00E10BE6"/>
    <w:rsid w:val="00E1155A"/>
    <w:rsid w:val="00E11EEB"/>
    <w:rsid w:val="00E124BE"/>
    <w:rsid w:val="00E137C0"/>
    <w:rsid w:val="00E143CA"/>
    <w:rsid w:val="00E14506"/>
    <w:rsid w:val="00E1469F"/>
    <w:rsid w:val="00E1479E"/>
    <w:rsid w:val="00E160FA"/>
    <w:rsid w:val="00E16502"/>
    <w:rsid w:val="00E16CFA"/>
    <w:rsid w:val="00E16E23"/>
    <w:rsid w:val="00E16FC8"/>
    <w:rsid w:val="00E1710B"/>
    <w:rsid w:val="00E17C49"/>
    <w:rsid w:val="00E20805"/>
    <w:rsid w:val="00E20F6E"/>
    <w:rsid w:val="00E22A59"/>
    <w:rsid w:val="00E238AF"/>
    <w:rsid w:val="00E238EC"/>
    <w:rsid w:val="00E23BAA"/>
    <w:rsid w:val="00E2691C"/>
    <w:rsid w:val="00E26AED"/>
    <w:rsid w:val="00E2784C"/>
    <w:rsid w:val="00E27A8A"/>
    <w:rsid w:val="00E30745"/>
    <w:rsid w:val="00E30B3D"/>
    <w:rsid w:val="00E30C45"/>
    <w:rsid w:val="00E32614"/>
    <w:rsid w:val="00E32A97"/>
    <w:rsid w:val="00E32DF9"/>
    <w:rsid w:val="00E3300E"/>
    <w:rsid w:val="00E330B2"/>
    <w:rsid w:val="00E33275"/>
    <w:rsid w:val="00E334A5"/>
    <w:rsid w:val="00E33AB0"/>
    <w:rsid w:val="00E34414"/>
    <w:rsid w:val="00E3453A"/>
    <w:rsid w:val="00E354AF"/>
    <w:rsid w:val="00E35D0F"/>
    <w:rsid w:val="00E403F1"/>
    <w:rsid w:val="00E42538"/>
    <w:rsid w:val="00E42C9C"/>
    <w:rsid w:val="00E43537"/>
    <w:rsid w:val="00E441CD"/>
    <w:rsid w:val="00E44385"/>
    <w:rsid w:val="00E4487C"/>
    <w:rsid w:val="00E448F9"/>
    <w:rsid w:val="00E4749E"/>
    <w:rsid w:val="00E47739"/>
    <w:rsid w:val="00E47D30"/>
    <w:rsid w:val="00E47DFF"/>
    <w:rsid w:val="00E5009E"/>
    <w:rsid w:val="00E50843"/>
    <w:rsid w:val="00E50CF4"/>
    <w:rsid w:val="00E50DF1"/>
    <w:rsid w:val="00E5273A"/>
    <w:rsid w:val="00E52A44"/>
    <w:rsid w:val="00E5322E"/>
    <w:rsid w:val="00E53BB3"/>
    <w:rsid w:val="00E53E56"/>
    <w:rsid w:val="00E55051"/>
    <w:rsid w:val="00E56AA1"/>
    <w:rsid w:val="00E60279"/>
    <w:rsid w:val="00E6051F"/>
    <w:rsid w:val="00E611D7"/>
    <w:rsid w:val="00E61326"/>
    <w:rsid w:val="00E61772"/>
    <w:rsid w:val="00E62641"/>
    <w:rsid w:val="00E62BBB"/>
    <w:rsid w:val="00E634B7"/>
    <w:rsid w:val="00E640F6"/>
    <w:rsid w:val="00E64DAF"/>
    <w:rsid w:val="00E651D2"/>
    <w:rsid w:val="00E703BA"/>
    <w:rsid w:val="00E7041C"/>
    <w:rsid w:val="00E707B0"/>
    <w:rsid w:val="00E70E15"/>
    <w:rsid w:val="00E7105E"/>
    <w:rsid w:val="00E72515"/>
    <w:rsid w:val="00E72A8D"/>
    <w:rsid w:val="00E72FDC"/>
    <w:rsid w:val="00E76050"/>
    <w:rsid w:val="00E7615A"/>
    <w:rsid w:val="00E766E2"/>
    <w:rsid w:val="00E76B52"/>
    <w:rsid w:val="00E7721A"/>
    <w:rsid w:val="00E7747A"/>
    <w:rsid w:val="00E80119"/>
    <w:rsid w:val="00E80934"/>
    <w:rsid w:val="00E815DE"/>
    <w:rsid w:val="00E82444"/>
    <w:rsid w:val="00E824CB"/>
    <w:rsid w:val="00E82A53"/>
    <w:rsid w:val="00E82E19"/>
    <w:rsid w:val="00E839CA"/>
    <w:rsid w:val="00E844F2"/>
    <w:rsid w:val="00E856B7"/>
    <w:rsid w:val="00E85768"/>
    <w:rsid w:val="00E86D8D"/>
    <w:rsid w:val="00E87758"/>
    <w:rsid w:val="00E87F82"/>
    <w:rsid w:val="00E900D1"/>
    <w:rsid w:val="00E908C8"/>
    <w:rsid w:val="00E92156"/>
    <w:rsid w:val="00E938EE"/>
    <w:rsid w:val="00E94649"/>
    <w:rsid w:val="00E9510C"/>
    <w:rsid w:val="00E95CE6"/>
    <w:rsid w:val="00E96584"/>
    <w:rsid w:val="00E969CF"/>
    <w:rsid w:val="00E96CAC"/>
    <w:rsid w:val="00EA098B"/>
    <w:rsid w:val="00EA141A"/>
    <w:rsid w:val="00EA2B71"/>
    <w:rsid w:val="00EA2BB5"/>
    <w:rsid w:val="00EA2CF8"/>
    <w:rsid w:val="00EA2E81"/>
    <w:rsid w:val="00EA438E"/>
    <w:rsid w:val="00EA5141"/>
    <w:rsid w:val="00EA53DC"/>
    <w:rsid w:val="00EA56B4"/>
    <w:rsid w:val="00EA57D3"/>
    <w:rsid w:val="00EA5B99"/>
    <w:rsid w:val="00EA6042"/>
    <w:rsid w:val="00EA65C5"/>
    <w:rsid w:val="00EA6E87"/>
    <w:rsid w:val="00EB17E9"/>
    <w:rsid w:val="00EB18D4"/>
    <w:rsid w:val="00EB26CC"/>
    <w:rsid w:val="00EB4666"/>
    <w:rsid w:val="00EB47BE"/>
    <w:rsid w:val="00EB60C1"/>
    <w:rsid w:val="00EB6481"/>
    <w:rsid w:val="00EB6A35"/>
    <w:rsid w:val="00EB74D1"/>
    <w:rsid w:val="00EC01B2"/>
    <w:rsid w:val="00EC0B82"/>
    <w:rsid w:val="00EC2DD6"/>
    <w:rsid w:val="00EC3ACB"/>
    <w:rsid w:val="00EC436F"/>
    <w:rsid w:val="00EC46C0"/>
    <w:rsid w:val="00EC4E22"/>
    <w:rsid w:val="00EC5030"/>
    <w:rsid w:val="00EC5209"/>
    <w:rsid w:val="00EC59F0"/>
    <w:rsid w:val="00EC64F4"/>
    <w:rsid w:val="00EC6529"/>
    <w:rsid w:val="00EC65C6"/>
    <w:rsid w:val="00EC70D3"/>
    <w:rsid w:val="00EC7309"/>
    <w:rsid w:val="00ED17C5"/>
    <w:rsid w:val="00ED1B48"/>
    <w:rsid w:val="00ED3A25"/>
    <w:rsid w:val="00ED45F8"/>
    <w:rsid w:val="00ED5371"/>
    <w:rsid w:val="00ED6E37"/>
    <w:rsid w:val="00ED7923"/>
    <w:rsid w:val="00EE10EB"/>
    <w:rsid w:val="00EE117D"/>
    <w:rsid w:val="00EE210A"/>
    <w:rsid w:val="00EE3753"/>
    <w:rsid w:val="00EE3807"/>
    <w:rsid w:val="00EE3BBE"/>
    <w:rsid w:val="00EE41B1"/>
    <w:rsid w:val="00EE4DF7"/>
    <w:rsid w:val="00EE581A"/>
    <w:rsid w:val="00EE5ADA"/>
    <w:rsid w:val="00EE6248"/>
    <w:rsid w:val="00EE6448"/>
    <w:rsid w:val="00EE64A2"/>
    <w:rsid w:val="00EE7298"/>
    <w:rsid w:val="00EE730D"/>
    <w:rsid w:val="00EE7750"/>
    <w:rsid w:val="00EF0F17"/>
    <w:rsid w:val="00EF1CC4"/>
    <w:rsid w:val="00EF233C"/>
    <w:rsid w:val="00EF2395"/>
    <w:rsid w:val="00EF2844"/>
    <w:rsid w:val="00EF286F"/>
    <w:rsid w:val="00EF28B7"/>
    <w:rsid w:val="00EF3052"/>
    <w:rsid w:val="00EF38CE"/>
    <w:rsid w:val="00EF3B40"/>
    <w:rsid w:val="00EF3CB7"/>
    <w:rsid w:val="00EF3FE2"/>
    <w:rsid w:val="00EF4152"/>
    <w:rsid w:val="00EF42C4"/>
    <w:rsid w:val="00EF4A32"/>
    <w:rsid w:val="00EF59D6"/>
    <w:rsid w:val="00EF6299"/>
    <w:rsid w:val="00EF65FE"/>
    <w:rsid w:val="00EF6C88"/>
    <w:rsid w:val="00EF6D24"/>
    <w:rsid w:val="00EF743B"/>
    <w:rsid w:val="00F03199"/>
    <w:rsid w:val="00F03937"/>
    <w:rsid w:val="00F03AB2"/>
    <w:rsid w:val="00F04040"/>
    <w:rsid w:val="00F04897"/>
    <w:rsid w:val="00F04B46"/>
    <w:rsid w:val="00F05D28"/>
    <w:rsid w:val="00F07735"/>
    <w:rsid w:val="00F10362"/>
    <w:rsid w:val="00F1069A"/>
    <w:rsid w:val="00F1098B"/>
    <w:rsid w:val="00F10C6F"/>
    <w:rsid w:val="00F12A67"/>
    <w:rsid w:val="00F12E4D"/>
    <w:rsid w:val="00F14505"/>
    <w:rsid w:val="00F1494B"/>
    <w:rsid w:val="00F15746"/>
    <w:rsid w:val="00F15C0F"/>
    <w:rsid w:val="00F167AC"/>
    <w:rsid w:val="00F20923"/>
    <w:rsid w:val="00F20E95"/>
    <w:rsid w:val="00F20F47"/>
    <w:rsid w:val="00F227C4"/>
    <w:rsid w:val="00F23155"/>
    <w:rsid w:val="00F23694"/>
    <w:rsid w:val="00F23750"/>
    <w:rsid w:val="00F238D9"/>
    <w:rsid w:val="00F23E79"/>
    <w:rsid w:val="00F246F1"/>
    <w:rsid w:val="00F24921"/>
    <w:rsid w:val="00F25010"/>
    <w:rsid w:val="00F269AA"/>
    <w:rsid w:val="00F270C5"/>
    <w:rsid w:val="00F31D55"/>
    <w:rsid w:val="00F326A1"/>
    <w:rsid w:val="00F32BE0"/>
    <w:rsid w:val="00F336F5"/>
    <w:rsid w:val="00F33FEA"/>
    <w:rsid w:val="00F3437E"/>
    <w:rsid w:val="00F350BE"/>
    <w:rsid w:val="00F366FA"/>
    <w:rsid w:val="00F3794F"/>
    <w:rsid w:val="00F41690"/>
    <w:rsid w:val="00F41867"/>
    <w:rsid w:val="00F42267"/>
    <w:rsid w:val="00F4461D"/>
    <w:rsid w:val="00F4511E"/>
    <w:rsid w:val="00F45F5D"/>
    <w:rsid w:val="00F47469"/>
    <w:rsid w:val="00F47A69"/>
    <w:rsid w:val="00F47EAE"/>
    <w:rsid w:val="00F50FCF"/>
    <w:rsid w:val="00F513B5"/>
    <w:rsid w:val="00F54DE6"/>
    <w:rsid w:val="00F54FCF"/>
    <w:rsid w:val="00F55806"/>
    <w:rsid w:val="00F55E16"/>
    <w:rsid w:val="00F55FA6"/>
    <w:rsid w:val="00F55FB5"/>
    <w:rsid w:val="00F56106"/>
    <w:rsid w:val="00F56868"/>
    <w:rsid w:val="00F57AE2"/>
    <w:rsid w:val="00F57DC1"/>
    <w:rsid w:val="00F57FB0"/>
    <w:rsid w:val="00F604D9"/>
    <w:rsid w:val="00F608A9"/>
    <w:rsid w:val="00F62114"/>
    <w:rsid w:val="00F62B20"/>
    <w:rsid w:val="00F62B2D"/>
    <w:rsid w:val="00F630ED"/>
    <w:rsid w:val="00F63A7F"/>
    <w:rsid w:val="00F63CA1"/>
    <w:rsid w:val="00F63E4B"/>
    <w:rsid w:val="00F65E27"/>
    <w:rsid w:val="00F66B15"/>
    <w:rsid w:val="00F67405"/>
    <w:rsid w:val="00F72349"/>
    <w:rsid w:val="00F7312C"/>
    <w:rsid w:val="00F73FE9"/>
    <w:rsid w:val="00F74593"/>
    <w:rsid w:val="00F753C4"/>
    <w:rsid w:val="00F7595E"/>
    <w:rsid w:val="00F75B56"/>
    <w:rsid w:val="00F75BD1"/>
    <w:rsid w:val="00F75D61"/>
    <w:rsid w:val="00F75D76"/>
    <w:rsid w:val="00F773B7"/>
    <w:rsid w:val="00F77721"/>
    <w:rsid w:val="00F77B9F"/>
    <w:rsid w:val="00F77EA4"/>
    <w:rsid w:val="00F801FB"/>
    <w:rsid w:val="00F8044A"/>
    <w:rsid w:val="00F80961"/>
    <w:rsid w:val="00F815A5"/>
    <w:rsid w:val="00F8319B"/>
    <w:rsid w:val="00F83743"/>
    <w:rsid w:val="00F83AE0"/>
    <w:rsid w:val="00F83DA9"/>
    <w:rsid w:val="00F84C50"/>
    <w:rsid w:val="00F8507C"/>
    <w:rsid w:val="00F85E1D"/>
    <w:rsid w:val="00F864DA"/>
    <w:rsid w:val="00F865E3"/>
    <w:rsid w:val="00F8676A"/>
    <w:rsid w:val="00F86CFA"/>
    <w:rsid w:val="00F9014B"/>
    <w:rsid w:val="00F90D8C"/>
    <w:rsid w:val="00F91814"/>
    <w:rsid w:val="00F919A4"/>
    <w:rsid w:val="00F91A2A"/>
    <w:rsid w:val="00F91DB3"/>
    <w:rsid w:val="00F92453"/>
    <w:rsid w:val="00F95C12"/>
    <w:rsid w:val="00F95C90"/>
    <w:rsid w:val="00F961EA"/>
    <w:rsid w:val="00F96603"/>
    <w:rsid w:val="00F96884"/>
    <w:rsid w:val="00F968C8"/>
    <w:rsid w:val="00F97C4E"/>
    <w:rsid w:val="00FA0855"/>
    <w:rsid w:val="00FA0906"/>
    <w:rsid w:val="00FA10EC"/>
    <w:rsid w:val="00FA1901"/>
    <w:rsid w:val="00FA2272"/>
    <w:rsid w:val="00FA2FF0"/>
    <w:rsid w:val="00FA3209"/>
    <w:rsid w:val="00FA353B"/>
    <w:rsid w:val="00FA3B6A"/>
    <w:rsid w:val="00FA3BDA"/>
    <w:rsid w:val="00FA421F"/>
    <w:rsid w:val="00FA4784"/>
    <w:rsid w:val="00FA64E3"/>
    <w:rsid w:val="00FA661A"/>
    <w:rsid w:val="00FA7754"/>
    <w:rsid w:val="00FB0116"/>
    <w:rsid w:val="00FB12E3"/>
    <w:rsid w:val="00FB15CB"/>
    <w:rsid w:val="00FB22F9"/>
    <w:rsid w:val="00FB2F36"/>
    <w:rsid w:val="00FB310A"/>
    <w:rsid w:val="00FB43A2"/>
    <w:rsid w:val="00FB4417"/>
    <w:rsid w:val="00FB4EFF"/>
    <w:rsid w:val="00FB50E2"/>
    <w:rsid w:val="00FB5662"/>
    <w:rsid w:val="00FB575F"/>
    <w:rsid w:val="00FB5B2C"/>
    <w:rsid w:val="00FB666E"/>
    <w:rsid w:val="00FB6ED2"/>
    <w:rsid w:val="00FB7296"/>
    <w:rsid w:val="00FB76A6"/>
    <w:rsid w:val="00FB7F9E"/>
    <w:rsid w:val="00FC0DED"/>
    <w:rsid w:val="00FC131F"/>
    <w:rsid w:val="00FC1D61"/>
    <w:rsid w:val="00FC3CD8"/>
    <w:rsid w:val="00FC3FF8"/>
    <w:rsid w:val="00FC56F9"/>
    <w:rsid w:val="00FC5FC2"/>
    <w:rsid w:val="00FC6876"/>
    <w:rsid w:val="00FC708D"/>
    <w:rsid w:val="00FC7C91"/>
    <w:rsid w:val="00FD05A7"/>
    <w:rsid w:val="00FD0681"/>
    <w:rsid w:val="00FD0E0C"/>
    <w:rsid w:val="00FD1076"/>
    <w:rsid w:val="00FD1FB6"/>
    <w:rsid w:val="00FD2098"/>
    <w:rsid w:val="00FD2C59"/>
    <w:rsid w:val="00FD2F3F"/>
    <w:rsid w:val="00FD45DB"/>
    <w:rsid w:val="00FD49A4"/>
    <w:rsid w:val="00FD49D8"/>
    <w:rsid w:val="00FD5081"/>
    <w:rsid w:val="00FD5578"/>
    <w:rsid w:val="00FD57BE"/>
    <w:rsid w:val="00FD7895"/>
    <w:rsid w:val="00FD7C92"/>
    <w:rsid w:val="00FE0951"/>
    <w:rsid w:val="00FE2CA4"/>
    <w:rsid w:val="00FE31BD"/>
    <w:rsid w:val="00FE3E6A"/>
    <w:rsid w:val="00FE41BD"/>
    <w:rsid w:val="00FE48B7"/>
    <w:rsid w:val="00FE4CA3"/>
    <w:rsid w:val="00FE5EF7"/>
    <w:rsid w:val="00FE64C6"/>
    <w:rsid w:val="00FE64C9"/>
    <w:rsid w:val="00FE689C"/>
    <w:rsid w:val="00FE7F47"/>
    <w:rsid w:val="00FF02BC"/>
    <w:rsid w:val="00FF04AB"/>
    <w:rsid w:val="00FF09D7"/>
    <w:rsid w:val="00FF1D28"/>
    <w:rsid w:val="00FF2174"/>
    <w:rsid w:val="00FF3618"/>
    <w:rsid w:val="00FF3E3F"/>
    <w:rsid w:val="00FF427B"/>
    <w:rsid w:val="00FF453D"/>
    <w:rsid w:val="00FF4773"/>
    <w:rsid w:val="00FF60D8"/>
    <w:rsid w:val="00FF6591"/>
    <w:rsid w:val="00FF6858"/>
    <w:rsid w:val="00FF6A15"/>
    <w:rsid w:val="00FF7BF3"/>
    <w:rsid w:val="01701A79"/>
    <w:rsid w:val="0199100A"/>
    <w:rsid w:val="01AA1262"/>
    <w:rsid w:val="01C32805"/>
    <w:rsid w:val="025C3D63"/>
    <w:rsid w:val="026B6B93"/>
    <w:rsid w:val="02DF2F1D"/>
    <w:rsid w:val="02E825EA"/>
    <w:rsid w:val="031F6118"/>
    <w:rsid w:val="03A739C5"/>
    <w:rsid w:val="03C56D03"/>
    <w:rsid w:val="03EE419D"/>
    <w:rsid w:val="03F1179B"/>
    <w:rsid w:val="04086A1D"/>
    <w:rsid w:val="042848C1"/>
    <w:rsid w:val="047E7589"/>
    <w:rsid w:val="048F4F5B"/>
    <w:rsid w:val="04B821C6"/>
    <w:rsid w:val="050312DF"/>
    <w:rsid w:val="050D21F3"/>
    <w:rsid w:val="05276CF9"/>
    <w:rsid w:val="05704825"/>
    <w:rsid w:val="06F85F55"/>
    <w:rsid w:val="07374408"/>
    <w:rsid w:val="07B00EC1"/>
    <w:rsid w:val="07E50E92"/>
    <w:rsid w:val="08270219"/>
    <w:rsid w:val="08694664"/>
    <w:rsid w:val="09113FD0"/>
    <w:rsid w:val="0930069A"/>
    <w:rsid w:val="094A4EA1"/>
    <w:rsid w:val="0AAC5CE9"/>
    <w:rsid w:val="0AE306CA"/>
    <w:rsid w:val="0B0B01BB"/>
    <w:rsid w:val="0BBE31AD"/>
    <w:rsid w:val="0CDD38ED"/>
    <w:rsid w:val="0E472D19"/>
    <w:rsid w:val="0E782522"/>
    <w:rsid w:val="0E7E66EE"/>
    <w:rsid w:val="0E8A790A"/>
    <w:rsid w:val="0EB4794B"/>
    <w:rsid w:val="0F233BA9"/>
    <w:rsid w:val="0F241522"/>
    <w:rsid w:val="10430EB7"/>
    <w:rsid w:val="106502A3"/>
    <w:rsid w:val="113069F5"/>
    <w:rsid w:val="12861CE4"/>
    <w:rsid w:val="13B3142C"/>
    <w:rsid w:val="13CF5599"/>
    <w:rsid w:val="13D0124B"/>
    <w:rsid w:val="13D2550D"/>
    <w:rsid w:val="13D66270"/>
    <w:rsid w:val="13FA7D9F"/>
    <w:rsid w:val="148779AC"/>
    <w:rsid w:val="14CC4D41"/>
    <w:rsid w:val="151736C6"/>
    <w:rsid w:val="153E67F2"/>
    <w:rsid w:val="15920305"/>
    <w:rsid w:val="15AF54A9"/>
    <w:rsid w:val="15E06128"/>
    <w:rsid w:val="15F011B7"/>
    <w:rsid w:val="16087314"/>
    <w:rsid w:val="163F3011"/>
    <w:rsid w:val="16407D64"/>
    <w:rsid w:val="167E42A8"/>
    <w:rsid w:val="16A30190"/>
    <w:rsid w:val="17031FE7"/>
    <w:rsid w:val="17F04282"/>
    <w:rsid w:val="18035DCC"/>
    <w:rsid w:val="181A7862"/>
    <w:rsid w:val="19134299"/>
    <w:rsid w:val="1A361CF4"/>
    <w:rsid w:val="1A411C05"/>
    <w:rsid w:val="1A9860DC"/>
    <w:rsid w:val="1AA014D6"/>
    <w:rsid w:val="1AAD77CA"/>
    <w:rsid w:val="1B4E684A"/>
    <w:rsid w:val="1C147C71"/>
    <w:rsid w:val="1C181ED3"/>
    <w:rsid w:val="1C324211"/>
    <w:rsid w:val="1C6665CB"/>
    <w:rsid w:val="1C950AE1"/>
    <w:rsid w:val="1CB84D67"/>
    <w:rsid w:val="1D9A0349"/>
    <w:rsid w:val="1E624BB1"/>
    <w:rsid w:val="1E9A05FC"/>
    <w:rsid w:val="1F6455F0"/>
    <w:rsid w:val="1F7315B2"/>
    <w:rsid w:val="20815F93"/>
    <w:rsid w:val="20945E1F"/>
    <w:rsid w:val="20B00100"/>
    <w:rsid w:val="21334602"/>
    <w:rsid w:val="21796F6E"/>
    <w:rsid w:val="21BC5F07"/>
    <w:rsid w:val="21C651E1"/>
    <w:rsid w:val="22042631"/>
    <w:rsid w:val="22737314"/>
    <w:rsid w:val="229F6D61"/>
    <w:rsid w:val="22C94847"/>
    <w:rsid w:val="22CA0B50"/>
    <w:rsid w:val="22F32C04"/>
    <w:rsid w:val="22FC6509"/>
    <w:rsid w:val="231337DD"/>
    <w:rsid w:val="237C3C12"/>
    <w:rsid w:val="237E03EC"/>
    <w:rsid w:val="243D2453"/>
    <w:rsid w:val="24542E31"/>
    <w:rsid w:val="24857E1A"/>
    <w:rsid w:val="248758D4"/>
    <w:rsid w:val="24DA693C"/>
    <w:rsid w:val="24EE6385"/>
    <w:rsid w:val="258E4C9B"/>
    <w:rsid w:val="25BD48EB"/>
    <w:rsid w:val="25C52A96"/>
    <w:rsid w:val="264F2DF1"/>
    <w:rsid w:val="27007528"/>
    <w:rsid w:val="275159C0"/>
    <w:rsid w:val="27557EE4"/>
    <w:rsid w:val="276363F3"/>
    <w:rsid w:val="27DE3507"/>
    <w:rsid w:val="27E005F3"/>
    <w:rsid w:val="280C6F5D"/>
    <w:rsid w:val="28567B2A"/>
    <w:rsid w:val="28F56694"/>
    <w:rsid w:val="296207D3"/>
    <w:rsid w:val="29C8533A"/>
    <w:rsid w:val="29C93499"/>
    <w:rsid w:val="2A4D2F83"/>
    <w:rsid w:val="2A685161"/>
    <w:rsid w:val="2A9E1303"/>
    <w:rsid w:val="2ABA7514"/>
    <w:rsid w:val="2ABC11EE"/>
    <w:rsid w:val="2B0150A1"/>
    <w:rsid w:val="2B38264F"/>
    <w:rsid w:val="2B6E3457"/>
    <w:rsid w:val="2BB1791E"/>
    <w:rsid w:val="2BB60B25"/>
    <w:rsid w:val="2BD77C54"/>
    <w:rsid w:val="2C367F04"/>
    <w:rsid w:val="2C8E7C41"/>
    <w:rsid w:val="2D636205"/>
    <w:rsid w:val="2D8F3503"/>
    <w:rsid w:val="2DC1644C"/>
    <w:rsid w:val="2DFB3A7B"/>
    <w:rsid w:val="2EA86EF2"/>
    <w:rsid w:val="2F0106CB"/>
    <w:rsid w:val="2F392E02"/>
    <w:rsid w:val="2F4B5AFB"/>
    <w:rsid w:val="2F5605EF"/>
    <w:rsid w:val="2F810F73"/>
    <w:rsid w:val="301168A9"/>
    <w:rsid w:val="304F1CD2"/>
    <w:rsid w:val="30F358EF"/>
    <w:rsid w:val="313A3CF5"/>
    <w:rsid w:val="31AC17F4"/>
    <w:rsid w:val="31B25D06"/>
    <w:rsid w:val="323A3717"/>
    <w:rsid w:val="32880CDF"/>
    <w:rsid w:val="32C0738B"/>
    <w:rsid w:val="32C94609"/>
    <w:rsid w:val="32FD5E0B"/>
    <w:rsid w:val="336A30FA"/>
    <w:rsid w:val="337A71EB"/>
    <w:rsid w:val="33A354E6"/>
    <w:rsid w:val="33FD0F58"/>
    <w:rsid w:val="34EA74D6"/>
    <w:rsid w:val="354F1F6B"/>
    <w:rsid w:val="35E906AF"/>
    <w:rsid w:val="35EB01B2"/>
    <w:rsid w:val="35F05081"/>
    <w:rsid w:val="36E94542"/>
    <w:rsid w:val="370B680C"/>
    <w:rsid w:val="37250F22"/>
    <w:rsid w:val="37316219"/>
    <w:rsid w:val="373B1052"/>
    <w:rsid w:val="3763274C"/>
    <w:rsid w:val="37795246"/>
    <w:rsid w:val="3802246B"/>
    <w:rsid w:val="38080589"/>
    <w:rsid w:val="38757EBD"/>
    <w:rsid w:val="389122A4"/>
    <w:rsid w:val="393514E9"/>
    <w:rsid w:val="39FA5950"/>
    <w:rsid w:val="3A5A0FDF"/>
    <w:rsid w:val="3AC1358B"/>
    <w:rsid w:val="3B066086"/>
    <w:rsid w:val="3BA17AB2"/>
    <w:rsid w:val="3BC211E2"/>
    <w:rsid w:val="3C77720D"/>
    <w:rsid w:val="3CAA12FD"/>
    <w:rsid w:val="3CB255EF"/>
    <w:rsid w:val="3CF93ED0"/>
    <w:rsid w:val="3D9723E7"/>
    <w:rsid w:val="3DB80CB3"/>
    <w:rsid w:val="3E0261BA"/>
    <w:rsid w:val="3E2A0347"/>
    <w:rsid w:val="3E9A7FA6"/>
    <w:rsid w:val="3EDF55F7"/>
    <w:rsid w:val="3EEB3AD9"/>
    <w:rsid w:val="3F143D5A"/>
    <w:rsid w:val="3F1E1AD3"/>
    <w:rsid w:val="3F4A4292"/>
    <w:rsid w:val="3F897987"/>
    <w:rsid w:val="40184BC3"/>
    <w:rsid w:val="40231E1C"/>
    <w:rsid w:val="404922F5"/>
    <w:rsid w:val="40A450E4"/>
    <w:rsid w:val="40B616F1"/>
    <w:rsid w:val="40EE0503"/>
    <w:rsid w:val="41307ECF"/>
    <w:rsid w:val="4239405C"/>
    <w:rsid w:val="428428CB"/>
    <w:rsid w:val="42CC762E"/>
    <w:rsid w:val="43016DD2"/>
    <w:rsid w:val="432E3C17"/>
    <w:rsid w:val="437C018F"/>
    <w:rsid w:val="4391119C"/>
    <w:rsid w:val="43C31B7D"/>
    <w:rsid w:val="43F40003"/>
    <w:rsid w:val="446E021C"/>
    <w:rsid w:val="451E44F6"/>
    <w:rsid w:val="460B031D"/>
    <w:rsid w:val="46D77883"/>
    <w:rsid w:val="47754ECC"/>
    <w:rsid w:val="47DB67A8"/>
    <w:rsid w:val="480F1B16"/>
    <w:rsid w:val="48334E70"/>
    <w:rsid w:val="488A027D"/>
    <w:rsid w:val="48B75091"/>
    <w:rsid w:val="48FF3A76"/>
    <w:rsid w:val="4A616E5F"/>
    <w:rsid w:val="4A980BD8"/>
    <w:rsid w:val="4B0D101B"/>
    <w:rsid w:val="4B4B5366"/>
    <w:rsid w:val="4C2151F9"/>
    <w:rsid w:val="4C55746F"/>
    <w:rsid w:val="4D2F0FA5"/>
    <w:rsid w:val="4D601CFB"/>
    <w:rsid w:val="4E0F0C57"/>
    <w:rsid w:val="4E7E6C55"/>
    <w:rsid w:val="4EB3432F"/>
    <w:rsid w:val="4F444F81"/>
    <w:rsid w:val="4FC275AB"/>
    <w:rsid w:val="50105715"/>
    <w:rsid w:val="5068549F"/>
    <w:rsid w:val="5069674F"/>
    <w:rsid w:val="509610E4"/>
    <w:rsid w:val="50FF0EC6"/>
    <w:rsid w:val="512C4E2D"/>
    <w:rsid w:val="522E3175"/>
    <w:rsid w:val="52527F72"/>
    <w:rsid w:val="52BD21DF"/>
    <w:rsid w:val="52F32B59"/>
    <w:rsid w:val="53B32208"/>
    <w:rsid w:val="53DA2905"/>
    <w:rsid w:val="540B2D2B"/>
    <w:rsid w:val="55031E59"/>
    <w:rsid w:val="551F7DF1"/>
    <w:rsid w:val="554B1BDA"/>
    <w:rsid w:val="55636E74"/>
    <w:rsid w:val="55897145"/>
    <w:rsid w:val="55A24FEA"/>
    <w:rsid w:val="56F6488D"/>
    <w:rsid w:val="577D619B"/>
    <w:rsid w:val="578E579E"/>
    <w:rsid w:val="579453FF"/>
    <w:rsid w:val="57CC6A51"/>
    <w:rsid w:val="583A0076"/>
    <w:rsid w:val="58580B92"/>
    <w:rsid w:val="587E6105"/>
    <w:rsid w:val="58930228"/>
    <w:rsid w:val="58BF7C8D"/>
    <w:rsid w:val="58D63BE8"/>
    <w:rsid w:val="5A59582A"/>
    <w:rsid w:val="5A8F51ED"/>
    <w:rsid w:val="5A92673C"/>
    <w:rsid w:val="5ABD07F6"/>
    <w:rsid w:val="5AE82F9C"/>
    <w:rsid w:val="5B2D0095"/>
    <w:rsid w:val="5B61780E"/>
    <w:rsid w:val="5BD4347F"/>
    <w:rsid w:val="5BD908DF"/>
    <w:rsid w:val="5C3C25B5"/>
    <w:rsid w:val="5C527D8F"/>
    <w:rsid w:val="5C79491A"/>
    <w:rsid w:val="5CE37F63"/>
    <w:rsid w:val="5D645EE9"/>
    <w:rsid w:val="5DC72F85"/>
    <w:rsid w:val="5DD5494D"/>
    <w:rsid w:val="5DFF387D"/>
    <w:rsid w:val="5E1D6CAF"/>
    <w:rsid w:val="5EFE78C9"/>
    <w:rsid w:val="5F2A27FF"/>
    <w:rsid w:val="5FB90557"/>
    <w:rsid w:val="5FC30F01"/>
    <w:rsid w:val="5FE82542"/>
    <w:rsid w:val="60195132"/>
    <w:rsid w:val="60714E01"/>
    <w:rsid w:val="610A624F"/>
    <w:rsid w:val="6217786F"/>
    <w:rsid w:val="62492DE8"/>
    <w:rsid w:val="62C3289C"/>
    <w:rsid w:val="62CC4E8C"/>
    <w:rsid w:val="62FC7D45"/>
    <w:rsid w:val="636F5ACB"/>
    <w:rsid w:val="63B318ED"/>
    <w:rsid w:val="63BB4D53"/>
    <w:rsid w:val="63FC741F"/>
    <w:rsid w:val="644037A7"/>
    <w:rsid w:val="64541A46"/>
    <w:rsid w:val="648758EC"/>
    <w:rsid w:val="64A060C3"/>
    <w:rsid w:val="65325D9C"/>
    <w:rsid w:val="65444892"/>
    <w:rsid w:val="657B4BF2"/>
    <w:rsid w:val="658C6359"/>
    <w:rsid w:val="65D941E8"/>
    <w:rsid w:val="65ED6CD8"/>
    <w:rsid w:val="6616757C"/>
    <w:rsid w:val="66BA3943"/>
    <w:rsid w:val="671E1940"/>
    <w:rsid w:val="672A5CA5"/>
    <w:rsid w:val="674E28B0"/>
    <w:rsid w:val="678D1BF7"/>
    <w:rsid w:val="6817003C"/>
    <w:rsid w:val="68271D2D"/>
    <w:rsid w:val="68CE5F37"/>
    <w:rsid w:val="695706BC"/>
    <w:rsid w:val="6992418B"/>
    <w:rsid w:val="699B3038"/>
    <w:rsid w:val="69BE713E"/>
    <w:rsid w:val="6A596020"/>
    <w:rsid w:val="6A66583D"/>
    <w:rsid w:val="6AB57D25"/>
    <w:rsid w:val="6ABD3D41"/>
    <w:rsid w:val="6C24686D"/>
    <w:rsid w:val="6C277079"/>
    <w:rsid w:val="6CD01792"/>
    <w:rsid w:val="6D101A8C"/>
    <w:rsid w:val="6D42384C"/>
    <w:rsid w:val="6D491E96"/>
    <w:rsid w:val="6DA8731F"/>
    <w:rsid w:val="6DC5678C"/>
    <w:rsid w:val="6DEF7365"/>
    <w:rsid w:val="6DFA45B8"/>
    <w:rsid w:val="6DFD16CF"/>
    <w:rsid w:val="6E4B2919"/>
    <w:rsid w:val="6E4C6BCD"/>
    <w:rsid w:val="6E5528FB"/>
    <w:rsid w:val="6E71195D"/>
    <w:rsid w:val="6E7D21F1"/>
    <w:rsid w:val="6F397C0C"/>
    <w:rsid w:val="6FB360D2"/>
    <w:rsid w:val="702600AF"/>
    <w:rsid w:val="705261FF"/>
    <w:rsid w:val="70775D44"/>
    <w:rsid w:val="70881F3B"/>
    <w:rsid w:val="70A604D8"/>
    <w:rsid w:val="70D04A5F"/>
    <w:rsid w:val="713140C5"/>
    <w:rsid w:val="717D624A"/>
    <w:rsid w:val="719A6613"/>
    <w:rsid w:val="71CB5498"/>
    <w:rsid w:val="72A22207"/>
    <w:rsid w:val="72AD59B3"/>
    <w:rsid w:val="734477F0"/>
    <w:rsid w:val="736A60E5"/>
    <w:rsid w:val="739C69CC"/>
    <w:rsid w:val="74655E39"/>
    <w:rsid w:val="74BE6922"/>
    <w:rsid w:val="75193C2F"/>
    <w:rsid w:val="75953CF3"/>
    <w:rsid w:val="75B07D22"/>
    <w:rsid w:val="761532BB"/>
    <w:rsid w:val="761616D8"/>
    <w:rsid w:val="76E43163"/>
    <w:rsid w:val="7740435D"/>
    <w:rsid w:val="775302D8"/>
    <w:rsid w:val="77C64123"/>
    <w:rsid w:val="77F76E69"/>
    <w:rsid w:val="77FE10E9"/>
    <w:rsid w:val="780A1A08"/>
    <w:rsid w:val="783F09AA"/>
    <w:rsid w:val="78AB59F3"/>
    <w:rsid w:val="78B13B95"/>
    <w:rsid w:val="79E22947"/>
    <w:rsid w:val="7A1F5FAF"/>
    <w:rsid w:val="7A355593"/>
    <w:rsid w:val="7A415B5C"/>
    <w:rsid w:val="7A793D31"/>
    <w:rsid w:val="7BC9509C"/>
    <w:rsid w:val="7BEC4A0E"/>
    <w:rsid w:val="7BF93D4E"/>
    <w:rsid w:val="7C13525A"/>
    <w:rsid w:val="7C6D24C9"/>
    <w:rsid w:val="7C7E247E"/>
    <w:rsid w:val="7CB92C99"/>
    <w:rsid w:val="7CF25494"/>
    <w:rsid w:val="7D1D1522"/>
    <w:rsid w:val="7D1E1FAE"/>
    <w:rsid w:val="7D322A52"/>
    <w:rsid w:val="7D71584C"/>
    <w:rsid w:val="7F5652D3"/>
    <w:rsid w:val="7F9F7F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iPriority="0" w:semiHidden="0" w:name="table of figures"/>
    <w:lsdException w:qFormat="1" w:unhideWhenUsed="0" w:uiPriority="99" w:semiHidden="0" w:name="envelope address"/>
    <w:lsdException w:qFormat="1" w:unhideWhenUsed="0" w:uiPriority="99" w:semiHidden="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nhideWhenUsed="0" w:uiPriority="0" w:name="toa heading"/>
    <w:lsdException w:uiPriority="0" w:name="List"/>
    <w:lsdException w:qFormat="1" w:unhideWhenUsed="0" w:uiPriority="99"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qFormat="1" w:unhideWhenUsed="0" w:uiPriority="99"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qFormat="1" w:unhideWhenUsed="0" w:uiPriority="99"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qFormat="1" w:unhideWhenUsed="0" w:uiPriority="99"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70"/>
    <w:autoRedefine/>
    <w:qFormat/>
    <w:uiPriority w:val="0"/>
    <w:pPr>
      <w:keepNext/>
      <w:keepLines/>
      <w:spacing w:before="340" w:after="330" w:line="578" w:lineRule="auto"/>
      <w:jc w:val="center"/>
      <w:outlineLvl w:val="0"/>
    </w:pPr>
    <w:rPr>
      <w:rFonts w:eastAsia="黑体"/>
      <w:bCs/>
      <w:kern w:val="44"/>
      <w:sz w:val="48"/>
      <w:szCs w:val="44"/>
      <w:lang w:val="zh-CN"/>
    </w:rPr>
  </w:style>
  <w:style w:type="paragraph" w:styleId="3">
    <w:name w:val="heading 2"/>
    <w:basedOn w:val="1"/>
    <w:next w:val="1"/>
    <w:link w:val="71"/>
    <w:autoRedefine/>
    <w:qFormat/>
    <w:uiPriority w:val="0"/>
    <w:pPr>
      <w:keepNext/>
      <w:keepLines/>
      <w:spacing w:line="300" w:lineRule="auto"/>
      <w:outlineLvl w:val="1"/>
    </w:pPr>
    <w:rPr>
      <w:rFonts w:ascii="Calibri" w:hAnsi="Calibri" w:eastAsia="黑体"/>
      <w:bCs/>
      <w:kern w:val="2"/>
      <w:sz w:val="28"/>
      <w:szCs w:val="32"/>
      <w:lang w:val="zh-CN"/>
    </w:rPr>
  </w:style>
  <w:style w:type="paragraph" w:styleId="4">
    <w:name w:val="heading 3"/>
    <w:basedOn w:val="1"/>
    <w:next w:val="1"/>
    <w:link w:val="72"/>
    <w:autoRedefine/>
    <w:qFormat/>
    <w:uiPriority w:val="0"/>
    <w:pPr>
      <w:keepNext/>
      <w:keepLines/>
      <w:spacing w:line="360" w:lineRule="auto"/>
      <w:outlineLvl w:val="2"/>
    </w:pPr>
    <w:rPr>
      <w:rFonts w:eastAsia="黑体"/>
      <w:bCs/>
      <w:kern w:val="2"/>
      <w:szCs w:val="32"/>
      <w:lang w:val="zh-CN"/>
    </w:rPr>
  </w:style>
  <w:style w:type="paragraph" w:styleId="5">
    <w:name w:val="heading 4"/>
    <w:basedOn w:val="1"/>
    <w:next w:val="1"/>
    <w:link w:val="73"/>
    <w:autoRedefine/>
    <w:qFormat/>
    <w:uiPriority w:val="0"/>
    <w:pPr>
      <w:keepNext/>
      <w:keepLines/>
      <w:spacing w:line="360" w:lineRule="auto"/>
      <w:outlineLvl w:val="3"/>
    </w:pPr>
    <w:rPr>
      <w:rFonts w:ascii="Arial" w:hAnsi="Arial" w:eastAsia="黑体"/>
      <w:bCs/>
      <w:kern w:val="2"/>
      <w:szCs w:val="28"/>
      <w:lang w:val="zh-CN"/>
    </w:rPr>
  </w:style>
  <w:style w:type="paragraph" w:styleId="6">
    <w:name w:val="heading 5"/>
    <w:basedOn w:val="1"/>
    <w:next w:val="1"/>
    <w:link w:val="98"/>
    <w:autoRedefine/>
    <w:qFormat/>
    <w:uiPriority w:val="0"/>
    <w:pPr>
      <w:keepNext/>
      <w:keepLines/>
      <w:spacing w:before="280" w:after="290" w:line="376" w:lineRule="auto"/>
      <w:outlineLvl w:val="4"/>
    </w:pPr>
    <w:rPr>
      <w:b/>
      <w:bCs/>
      <w:kern w:val="2"/>
      <w:sz w:val="28"/>
      <w:szCs w:val="28"/>
      <w:lang w:val="zh-CN"/>
    </w:rPr>
  </w:style>
  <w:style w:type="paragraph" w:styleId="7">
    <w:name w:val="heading 6"/>
    <w:basedOn w:val="1"/>
    <w:next w:val="1"/>
    <w:link w:val="99"/>
    <w:autoRedefine/>
    <w:qFormat/>
    <w:uiPriority w:val="0"/>
    <w:pPr>
      <w:keepNext/>
      <w:keepLines/>
      <w:spacing w:before="240" w:after="64" w:line="320" w:lineRule="auto"/>
      <w:outlineLvl w:val="5"/>
    </w:pPr>
    <w:rPr>
      <w:rFonts w:ascii="Arial" w:hAnsi="Arial" w:eastAsia="黑体"/>
      <w:b/>
      <w:bCs/>
      <w:kern w:val="2"/>
      <w:lang w:val="zh-CN"/>
    </w:rPr>
  </w:style>
  <w:style w:type="paragraph" w:styleId="8">
    <w:name w:val="heading 7"/>
    <w:basedOn w:val="1"/>
    <w:next w:val="1"/>
    <w:link w:val="100"/>
    <w:autoRedefine/>
    <w:qFormat/>
    <w:uiPriority w:val="0"/>
    <w:pPr>
      <w:keepNext/>
      <w:keepLines/>
      <w:spacing w:before="240" w:after="64" w:line="320" w:lineRule="auto"/>
      <w:outlineLvl w:val="6"/>
    </w:pPr>
    <w:rPr>
      <w:b/>
      <w:bCs/>
      <w:kern w:val="2"/>
      <w:lang w:val="zh-CN"/>
    </w:rPr>
  </w:style>
  <w:style w:type="paragraph" w:styleId="9">
    <w:name w:val="heading 8"/>
    <w:basedOn w:val="1"/>
    <w:next w:val="1"/>
    <w:link w:val="101"/>
    <w:autoRedefine/>
    <w:qFormat/>
    <w:uiPriority w:val="0"/>
    <w:pPr>
      <w:keepNext/>
      <w:keepLines/>
      <w:spacing w:before="240" w:after="64" w:line="320" w:lineRule="auto"/>
      <w:outlineLvl w:val="7"/>
    </w:pPr>
    <w:rPr>
      <w:rFonts w:ascii="Arial" w:hAnsi="Arial" w:eastAsia="黑体"/>
      <w:kern w:val="2"/>
      <w:lang w:val="zh-CN"/>
    </w:rPr>
  </w:style>
  <w:style w:type="paragraph" w:styleId="10">
    <w:name w:val="heading 9"/>
    <w:basedOn w:val="1"/>
    <w:next w:val="1"/>
    <w:link w:val="102"/>
    <w:autoRedefine/>
    <w:qFormat/>
    <w:uiPriority w:val="0"/>
    <w:pPr>
      <w:keepNext/>
      <w:keepLines/>
      <w:spacing w:before="240" w:after="64" w:line="320" w:lineRule="auto"/>
      <w:outlineLvl w:val="8"/>
    </w:pPr>
    <w:rPr>
      <w:rFonts w:ascii="Arial" w:hAnsi="Arial" w:eastAsia="黑体"/>
      <w:kern w:val="2"/>
      <w:sz w:val="21"/>
      <w:szCs w:val="21"/>
      <w:lang w:val="zh-CN"/>
    </w:rPr>
  </w:style>
  <w:style w:type="character" w:default="1" w:styleId="56">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unhideWhenUsed/>
    <w:qFormat/>
    <w:uiPriority w:val="99"/>
    <w:pPr>
      <w:widowControl w:val="0"/>
      <w:ind w:left="420" w:leftChars="200"/>
      <w:jc w:val="both"/>
    </w:pPr>
    <w:rPr>
      <w:rFonts w:ascii="Calibri" w:hAnsi="Calibri"/>
      <w:kern w:val="2"/>
      <w:sz w:val="21"/>
      <w:szCs w:val="22"/>
    </w:rPr>
  </w:style>
  <w:style w:type="paragraph" w:styleId="12">
    <w:name w:val="index 8"/>
    <w:basedOn w:val="1"/>
    <w:next w:val="1"/>
    <w:autoRedefine/>
    <w:qFormat/>
    <w:uiPriority w:val="0"/>
    <w:pPr>
      <w:ind w:left="1400" w:leftChars="1400"/>
    </w:pPr>
  </w:style>
  <w:style w:type="paragraph" w:styleId="13">
    <w:name w:val="Normal Indent"/>
    <w:basedOn w:val="1"/>
    <w:next w:val="1"/>
    <w:link w:val="133"/>
    <w:autoRedefine/>
    <w:qFormat/>
    <w:uiPriority w:val="0"/>
    <w:pPr>
      <w:adjustRightInd w:val="0"/>
      <w:spacing w:line="360" w:lineRule="atLeast"/>
      <w:ind w:firstLine="420" w:firstLineChars="200"/>
      <w:textAlignment w:val="baseline"/>
    </w:pPr>
    <w:rPr>
      <w:kern w:val="2"/>
      <w:szCs w:val="20"/>
      <w:lang w:val="zh-CN"/>
    </w:r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99"/>
    <w:pPr>
      <w:spacing w:before="240" w:line="260" w:lineRule="atLeast"/>
      <w:ind w:left="1080" w:hanging="360" w:hangingChars="200"/>
      <w:jc w:val="both"/>
    </w:pPr>
    <w:rPr>
      <w:rFonts w:eastAsia="LF Song"/>
      <w:i/>
      <w:szCs w:val="20"/>
      <w:lang w:val="en-GB"/>
    </w:rPr>
  </w:style>
  <w:style w:type="paragraph" w:styleId="16">
    <w:name w:val="envelope address"/>
    <w:basedOn w:val="1"/>
    <w:autoRedefine/>
    <w:qFormat/>
    <w:uiPriority w:val="99"/>
    <w:pPr>
      <w:ind w:left="2880"/>
      <w:jc w:val="both"/>
    </w:pPr>
    <w:rPr>
      <w:sz w:val="22"/>
      <w:szCs w:val="20"/>
      <w:lang w:val="en-GB" w:eastAsia="en-US"/>
    </w:rPr>
  </w:style>
  <w:style w:type="paragraph" w:styleId="17">
    <w:name w:val="Document Map"/>
    <w:basedOn w:val="1"/>
    <w:link w:val="76"/>
    <w:autoRedefine/>
    <w:qFormat/>
    <w:uiPriority w:val="99"/>
    <w:rPr>
      <w:rFonts w:ascii="Heiti SC Light" w:eastAsia="Heiti SC Light"/>
      <w:kern w:val="2"/>
      <w:lang w:val="zh-CN"/>
    </w:rPr>
  </w:style>
  <w:style w:type="paragraph" w:styleId="18">
    <w:name w:val="toa heading"/>
    <w:basedOn w:val="1"/>
    <w:next w:val="11"/>
    <w:autoRedefine/>
    <w:semiHidden/>
    <w:qFormat/>
    <w:uiPriority w:val="0"/>
    <w:pPr>
      <w:keepNext/>
      <w:widowControl w:val="0"/>
      <w:spacing w:before="120" w:after="120" w:line="240" w:lineRule="exact"/>
      <w:jc w:val="center"/>
    </w:pPr>
    <w:rPr>
      <w:b/>
      <w:bCs/>
      <w:caps/>
      <w:lang w:val="en-GB"/>
    </w:rPr>
  </w:style>
  <w:style w:type="paragraph" w:styleId="19">
    <w:name w:val="annotation text"/>
    <w:basedOn w:val="1"/>
    <w:link w:val="116"/>
    <w:autoRedefine/>
    <w:qFormat/>
    <w:uiPriority w:val="0"/>
    <w:pPr>
      <w:spacing w:line="360" w:lineRule="auto"/>
      <w:ind w:firstLine="200" w:firstLineChars="200"/>
    </w:pPr>
    <w:rPr>
      <w:kern w:val="2"/>
      <w:lang w:val="zh-CN"/>
    </w:rPr>
  </w:style>
  <w:style w:type="paragraph" w:styleId="20">
    <w:name w:val="Body Text 3"/>
    <w:basedOn w:val="1"/>
    <w:link w:val="126"/>
    <w:autoRedefine/>
    <w:qFormat/>
    <w:uiPriority w:val="99"/>
    <w:rPr>
      <w:rFonts w:ascii="宋体"/>
      <w:color w:val="000000"/>
      <w:szCs w:val="20"/>
      <w:lang w:val="zh-CN"/>
    </w:rPr>
  </w:style>
  <w:style w:type="paragraph" w:styleId="21">
    <w:name w:val="Body Text"/>
    <w:basedOn w:val="1"/>
    <w:link w:val="106"/>
    <w:autoRedefine/>
    <w:qFormat/>
    <w:uiPriority w:val="99"/>
    <w:rPr>
      <w:kern w:val="2"/>
      <w:sz w:val="28"/>
      <w:szCs w:val="20"/>
      <w:lang w:val="zh-CN"/>
    </w:rPr>
  </w:style>
  <w:style w:type="paragraph" w:styleId="22">
    <w:name w:val="Body Text Indent"/>
    <w:basedOn w:val="1"/>
    <w:next w:val="23"/>
    <w:link w:val="265"/>
    <w:autoRedefine/>
    <w:qFormat/>
    <w:uiPriority w:val="0"/>
    <w:pPr>
      <w:spacing w:after="120"/>
      <w:ind w:left="420" w:leftChars="200"/>
    </w:pPr>
    <w:rPr>
      <w:rFonts w:ascii="宋体"/>
      <w:color w:val="000000"/>
      <w:sz w:val="21"/>
      <w:szCs w:val="21"/>
      <w:lang w:val="zh-CN"/>
    </w:rPr>
  </w:style>
  <w:style w:type="paragraph" w:styleId="23">
    <w:name w:val="Body Text First Indent 2"/>
    <w:basedOn w:val="1"/>
    <w:autoRedefine/>
    <w:unhideWhenUsed/>
    <w:qFormat/>
    <w:uiPriority w:val="0"/>
    <w:pPr>
      <w:ind w:firstLine="420"/>
    </w:pPr>
    <w:rPr>
      <w:rFonts w:hint="eastAsia"/>
    </w:rPr>
  </w:style>
  <w:style w:type="paragraph" w:styleId="24">
    <w:name w:val="List 2"/>
    <w:basedOn w:val="1"/>
    <w:autoRedefine/>
    <w:qFormat/>
    <w:uiPriority w:val="0"/>
    <w:pPr>
      <w:ind w:left="100" w:leftChars="200" w:hanging="200" w:hangingChars="200"/>
    </w:pPr>
  </w:style>
  <w:style w:type="paragraph" w:styleId="25">
    <w:name w:val="Block Text"/>
    <w:basedOn w:val="1"/>
    <w:autoRedefine/>
    <w:qFormat/>
    <w:uiPriority w:val="0"/>
    <w:pPr>
      <w:spacing w:line="360" w:lineRule="auto"/>
      <w:ind w:left="564" w:right="26"/>
    </w:pPr>
    <w:rPr>
      <w:rFonts w:ascii="宋体"/>
      <w:color w:val="000000"/>
      <w:szCs w:val="20"/>
    </w:rPr>
  </w:style>
  <w:style w:type="paragraph" w:styleId="26">
    <w:name w:val="List Bullet 2"/>
    <w:basedOn w:val="1"/>
    <w:autoRedefine/>
    <w:qFormat/>
    <w:uiPriority w:val="99"/>
    <w:pPr>
      <w:tabs>
        <w:tab w:val="left" w:pos="780"/>
      </w:tabs>
      <w:spacing w:before="240" w:line="260" w:lineRule="atLeast"/>
      <w:ind w:left="1620" w:leftChars="200" w:hanging="720" w:hangingChars="200"/>
      <w:jc w:val="both"/>
    </w:pPr>
    <w:rPr>
      <w:rFonts w:eastAsia="LF Song"/>
      <w:i/>
      <w:szCs w:val="20"/>
    </w:rPr>
  </w:style>
  <w:style w:type="paragraph" w:styleId="27">
    <w:name w:val="index 4"/>
    <w:basedOn w:val="1"/>
    <w:next w:val="1"/>
    <w:autoRedefine/>
    <w:qFormat/>
    <w:uiPriority w:val="0"/>
    <w:pPr>
      <w:ind w:left="600" w:leftChars="600"/>
    </w:pPr>
  </w:style>
  <w:style w:type="paragraph" w:styleId="28">
    <w:name w:val="toc 5"/>
    <w:basedOn w:val="1"/>
    <w:next w:val="1"/>
    <w:qFormat/>
    <w:uiPriority w:val="39"/>
    <w:pPr>
      <w:ind w:left="800" w:leftChars="800"/>
    </w:pPr>
  </w:style>
  <w:style w:type="paragraph" w:styleId="29">
    <w:name w:val="toc 3"/>
    <w:basedOn w:val="1"/>
    <w:next w:val="1"/>
    <w:autoRedefine/>
    <w:unhideWhenUsed/>
    <w:qFormat/>
    <w:uiPriority w:val="39"/>
    <w:pPr>
      <w:ind w:left="840" w:leftChars="400"/>
    </w:pPr>
  </w:style>
  <w:style w:type="paragraph" w:styleId="30">
    <w:name w:val="Plain Text"/>
    <w:basedOn w:val="1"/>
    <w:next w:val="13"/>
    <w:link w:val="105"/>
    <w:autoRedefine/>
    <w:qFormat/>
    <w:uiPriority w:val="0"/>
    <w:rPr>
      <w:rFonts w:ascii="宋体" w:hAnsi="Courier New"/>
      <w:kern w:val="2"/>
      <w:sz w:val="21"/>
      <w:szCs w:val="20"/>
      <w:lang w:val="zh-CN"/>
    </w:rPr>
  </w:style>
  <w:style w:type="paragraph" w:styleId="31">
    <w:name w:val="Date"/>
    <w:basedOn w:val="1"/>
    <w:next w:val="1"/>
    <w:link w:val="79"/>
    <w:autoRedefine/>
    <w:qFormat/>
    <w:uiPriority w:val="0"/>
    <w:pPr>
      <w:ind w:left="100" w:leftChars="2500"/>
    </w:pPr>
    <w:rPr>
      <w:rFonts w:ascii="宋体"/>
      <w:lang w:val="zh-CN"/>
    </w:rPr>
  </w:style>
  <w:style w:type="paragraph" w:styleId="32">
    <w:name w:val="Body Text Indent 2"/>
    <w:basedOn w:val="1"/>
    <w:link w:val="103"/>
    <w:autoRedefine/>
    <w:qFormat/>
    <w:uiPriority w:val="99"/>
    <w:pPr>
      <w:spacing w:line="480" w:lineRule="auto"/>
      <w:ind w:firstLine="480" w:firstLineChars="200"/>
    </w:pPr>
    <w:rPr>
      <w:rFonts w:ascii="仿宋_GB2312" w:hAnsi="宋体" w:eastAsia="仿宋_GB2312"/>
      <w:kern w:val="2"/>
      <w:lang w:val="zh-CN"/>
    </w:rPr>
  </w:style>
  <w:style w:type="paragraph" w:styleId="33">
    <w:name w:val="Balloon Text"/>
    <w:basedOn w:val="1"/>
    <w:link w:val="97"/>
    <w:autoRedefine/>
    <w:qFormat/>
    <w:uiPriority w:val="99"/>
    <w:rPr>
      <w:rFonts w:ascii="Heiti SC Light" w:eastAsia="Heiti SC Light"/>
      <w:kern w:val="2"/>
      <w:sz w:val="18"/>
      <w:szCs w:val="18"/>
      <w:lang w:val="zh-CN"/>
    </w:rPr>
  </w:style>
  <w:style w:type="paragraph" w:styleId="34">
    <w:name w:val="footer"/>
    <w:basedOn w:val="1"/>
    <w:link w:val="138"/>
    <w:autoRedefine/>
    <w:qFormat/>
    <w:uiPriority w:val="99"/>
    <w:pPr>
      <w:tabs>
        <w:tab w:val="center" w:pos="4153"/>
        <w:tab w:val="right" w:pos="8306"/>
      </w:tabs>
      <w:snapToGrid w:val="0"/>
    </w:pPr>
    <w:rPr>
      <w:kern w:val="2"/>
      <w:sz w:val="18"/>
      <w:szCs w:val="18"/>
      <w:lang w:val="zh-CN"/>
    </w:rPr>
  </w:style>
  <w:style w:type="paragraph" w:styleId="35">
    <w:name w:val="envelope return"/>
    <w:basedOn w:val="1"/>
    <w:autoRedefine/>
    <w:qFormat/>
    <w:uiPriority w:val="99"/>
    <w:pPr>
      <w:jc w:val="both"/>
    </w:pPr>
    <w:rPr>
      <w:sz w:val="22"/>
      <w:szCs w:val="20"/>
      <w:lang w:val="en-GB" w:eastAsia="en-US"/>
    </w:rPr>
  </w:style>
  <w:style w:type="paragraph" w:styleId="36">
    <w:name w:val="header"/>
    <w:basedOn w:val="1"/>
    <w:next w:val="1"/>
    <w:link w:val="74"/>
    <w:autoRedefine/>
    <w:qFormat/>
    <w:uiPriority w:val="99"/>
    <w:pPr>
      <w:pBdr>
        <w:bottom w:val="single" w:color="auto" w:sz="6" w:space="1"/>
      </w:pBdr>
      <w:tabs>
        <w:tab w:val="center" w:pos="4153"/>
        <w:tab w:val="right" w:pos="8306"/>
      </w:tabs>
      <w:snapToGrid w:val="0"/>
      <w:jc w:val="center"/>
    </w:pPr>
    <w:rPr>
      <w:kern w:val="2"/>
      <w:sz w:val="18"/>
      <w:szCs w:val="18"/>
      <w:lang w:val="zh-CN"/>
    </w:rPr>
  </w:style>
  <w:style w:type="paragraph" w:styleId="37">
    <w:name w:val="toc 1"/>
    <w:basedOn w:val="1"/>
    <w:next w:val="1"/>
    <w:autoRedefine/>
    <w:unhideWhenUsed/>
    <w:qFormat/>
    <w:uiPriority w:val="39"/>
  </w:style>
  <w:style w:type="paragraph" w:styleId="38">
    <w:name w:val="toc 4"/>
    <w:basedOn w:val="1"/>
    <w:next w:val="1"/>
    <w:autoRedefine/>
    <w:unhideWhenUsed/>
    <w:qFormat/>
    <w:uiPriority w:val="39"/>
    <w:pPr>
      <w:ind w:left="1260" w:leftChars="600"/>
    </w:pPr>
  </w:style>
  <w:style w:type="paragraph" w:styleId="39">
    <w:name w:val="Subtitle"/>
    <w:basedOn w:val="1"/>
    <w:next w:val="1"/>
    <w:link w:val="146"/>
    <w:autoRedefine/>
    <w:qFormat/>
    <w:uiPriority w:val="0"/>
    <w:pPr>
      <w:spacing w:before="240" w:after="60" w:line="312" w:lineRule="auto"/>
      <w:jc w:val="center"/>
      <w:outlineLvl w:val="1"/>
    </w:pPr>
    <w:rPr>
      <w:rFonts w:ascii="Cambria" w:hAnsi="Cambria"/>
      <w:b/>
      <w:bCs/>
      <w:kern w:val="28"/>
      <w:sz w:val="32"/>
      <w:szCs w:val="32"/>
      <w:lang w:val="zh-CN"/>
    </w:rPr>
  </w:style>
  <w:style w:type="paragraph" w:styleId="40">
    <w:name w:val="footnote text"/>
    <w:basedOn w:val="1"/>
    <w:link w:val="496"/>
    <w:autoRedefine/>
    <w:semiHidden/>
    <w:qFormat/>
    <w:uiPriority w:val="0"/>
    <w:pPr>
      <w:widowControl w:val="0"/>
      <w:snapToGrid w:val="0"/>
    </w:pPr>
    <w:rPr>
      <w:kern w:val="2"/>
      <w:sz w:val="18"/>
      <w:szCs w:val="18"/>
    </w:rPr>
  </w:style>
  <w:style w:type="paragraph" w:styleId="41">
    <w:name w:val="Body Text Indent 3"/>
    <w:basedOn w:val="1"/>
    <w:link w:val="104"/>
    <w:autoRedefine/>
    <w:qFormat/>
    <w:uiPriority w:val="99"/>
    <w:pPr>
      <w:spacing w:after="120" w:line="360" w:lineRule="atLeast"/>
      <w:ind w:firstLine="720" w:firstLineChars="300"/>
    </w:pPr>
    <w:rPr>
      <w:kern w:val="2"/>
      <w:szCs w:val="20"/>
      <w:lang w:val="zh-CN"/>
    </w:rPr>
  </w:style>
  <w:style w:type="paragraph" w:styleId="42">
    <w:name w:val="table of figures"/>
    <w:basedOn w:val="1"/>
    <w:next w:val="1"/>
    <w:autoRedefine/>
    <w:unhideWhenUsed/>
    <w:qFormat/>
    <w:uiPriority w:val="0"/>
    <w:pPr>
      <w:spacing w:before="100" w:beforeAutospacing="1" w:after="100" w:afterAutospacing="1"/>
      <w:ind w:left="200" w:leftChars="200" w:hanging="200" w:hangingChars="200"/>
    </w:pPr>
    <w:rPr>
      <w:rFonts w:hint="eastAsia" w:cs="黑体"/>
      <w:sz w:val="32"/>
      <w:szCs w:val="22"/>
    </w:rPr>
  </w:style>
  <w:style w:type="paragraph" w:styleId="43">
    <w:name w:val="toc 2"/>
    <w:basedOn w:val="1"/>
    <w:next w:val="1"/>
    <w:autoRedefine/>
    <w:unhideWhenUsed/>
    <w:qFormat/>
    <w:uiPriority w:val="39"/>
    <w:pPr>
      <w:ind w:left="420" w:leftChars="200"/>
    </w:pPr>
  </w:style>
  <w:style w:type="paragraph" w:styleId="44">
    <w:name w:val="Body Text 2"/>
    <w:basedOn w:val="1"/>
    <w:link w:val="360"/>
    <w:autoRedefine/>
    <w:qFormat/>
    <w:uiPriority w:val="0"/>
    <w:pPr>
      <w:widowControl w:val="0"/>
      <w:spacing w:line="480" w:lineRule="atLeast"/>
      <w:ind w:firstLine="200" w:firstLineChars="200"/>
      <w:jc w:val="both"/>
    </w:pPr>
    <w:rPr>
      <w:rFonts w:ascii="宋体" w:hAnsi="宋体" w:cs="宋体"/>
      <w:color w:val="000000"/>
      <w:kern w:val="1"/>
      <w:sz w:val="28"/>
      <w:szCs w:val="20"/>
    </w:rPr>
  </w:style>
  <w:style w:type="paragraph" w:styleId="45">
    <w:name w:val="HTML Preformatted"/>
    <w:basedOn w:val="1"/>
    <w:link w:val="172"/>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lang w:val="zh-CN"/>
    </w:rPr>
  </w:style>
  <w:style w:type="paragraph" w:styleId="46">
    <w:name w:val="Normal (Web)"/>
    <w:basedOn w:val="1"/>
    <w:autoRedefine/>
    <w:qFormat/>
    <w:uiPriority w:val="0"/>
    <w:pPr>
      <w:spacing w:before="100" w:beforeAutospacing="1" w:after="100" w:afterAutospacing="1"/>
    </w:pPr>
    <w:rPr>
      <w:rFonts w:ascii="宋体" w:hAnsi="宋体" w:cs="宋体"/>
    </w:rPr>
  </w:style>
  <w:style w:type="paragraph" w:styleId="47">
    <w:name w:val="index 1"/>
    <w:basedOn w:val="1"/>
    <w:next w:val="1"/>
    <w:autoRedefine/>
    <w:qFormat/>
    <w:uiPriority w:val="99"/>
    <w:pPr>
      <w:widowControl w:val="0"/>
      <w:spacing w:line="360" w:lineRule="auto"/>
      <w:jc w:val="both"/>
    </w:pPr>
    <w:rPr>
      <w:rFonts w:ascii="宋体" w:hAnsi="宋体"/>
      <w:bCs/>
      <w:kern w:val="2"/>
      <w:sz w:val="21"/>
      <w:szCs w:val="21"/>
    </w:rPr>
  </w:style>
  <w:style w:type="paragraph" w:styleId="48">
    <w:name w:val="Title"/>
    <w:basedOn w:val="1"/>
    <w:next w:val="1"/>
    <w:link w:val="108"/>
    <w:autoRedefine/>
    <w:qFormat/>
    <w:uiPriority w:val="10"/>
    <w:pPr>
      <w:spacing w:before="240" w:after="60"/>
      <w:jc w:val="center"/>
      <w:outlineLvl w:val="0"/>
    </w:pPr>
    <w:rPr>
      <w:rFonts w:ascii="Cambria" w:hAnsi="Cambria"/>
      <w:b/>
      <w:bCs/>
      <w:kern w:val="2"/>
      <w:sz w:val="32"/>
      <w:szCs w:val="32"/>
      <w:lang w:val="zh-CN"/>
    </w:rPr>
  </w:style>
  <w:style w:type="paragraph" w:styleId="49">
    <w:name w:val="annotation subject"/>
    <w:basedOn w:val="19"/>
    <w:next w:val="19"/>
    <w:link w:val="117"/>
    <w:autoRedefine/>
    <w:qFormat/>
    <w:uiPriority w:val="99"/>
    <w:pPr>
      <w:spacing w:line="240" w:lineRule="auto"/>
      <w:ind w:firstLine="0" w:firstLineChars="0"/>
    </w:pPr>
    <w:rPr>
      <w:b/>
      <w:bCs/>
      <w:sz w:val="21"/>
    </w:rPr>
  </w:style>
  <w:style w:type="paragraph" w:styleId="50">
    <w:name w:val="Body Text First Indent"/>
    <w:basedOn w:val="21"/>
    <w:autoRedefine/>
    <w:qFormat/>
    <w:uiPriority w:val="0"/>
    <w:pPr>
      <w:spacing w:after="120"/>
      <w:ind w:firstLine="420" w:firstLineChars="100"/>
    </w:pPr>
  </w:style>
  <w:style w:type="table" w:styleId="52">
    <w:name w:val="Table Grid"/>
    <w:basedOn w:val="5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Theme"/>
    <w:basedOn w:val="51"/>
    <w:autoRedefine/>
    <w:semiHidden/>
    <w:qFormat/>
    <w:uiPriority w:val="99"/>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Subtle 2"/>
    <w:basedOn w:val="51"/>
    <w:autoRedefine/>
    <w:semiHidden/>
    <w:qFormat/>
    <w:uiPriority w:val="99"/>
    <w:pPr>
      <w:widowControl w:val="0"/>
      <w:adjustRightInd w:val="0"/>
      <w:spacing w:line="360" w:lineRule="auto"/>
      <w:jc w:val="both"/>
      <w:textAlignment w:val="baseline"/>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55">
    <w:name w:val="Table List 3"/>
    <w:basedOn w:val="51"/>
    <w:autoRedefine/>
    <w:semiHidden/>
    <w:qFormat/>
    <w:uiPriority w:val="99"/>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character" w:styleId="57">
    <w:name w:val="Strong"/>
    <w:autoRedefine/>
    <w:qFormat/>
    <w:uiPriority w:val="22"/>
    <w:rPr>
      <w:b/>
      <w:bCs/>
    </w:rPr>
  </w:style>
  <w:style w:type="character" w:styleId="58">
    <w:name w:val="page number"/>
    <w:basedOn w:val="56"/>
    <w:autoRedefine/>
    <w:qFormat/>
    <w:uiPriority w:val="0"/>
  </w:style>
  <w:style w:type="character" w:styleId="59">
    <w:name w:val="FollowedHyperlink"/>
    <w:autoRedefine/>
    <w:qFormat/>
    <w:uiPriority w:val="99"/>
    <w:rPr>
      <w:color w:val="800080"/>
      <w:u w:val="single"/>
    </w:rPr>
  </w:style>
  <w:style w:type="character" w:styleId="60">
    <w:name w:val="Emphasis"/>
    <w:autoRedefine/>
    <w:qFormat/>
    <w:uiPriority w:val="99"/>
    <w:rPr>
      <w:i/>
      <w:iCs/>
    </w:rPr>
  </w:style>
  <w:style w:type="character" w:styleId="61">
    <w:name w:val="HTML Definition"/>
    <w:basedOn w:val="56"/>
    <w:autoRedefine/>
    <w:semiHidden/>
    <w:unhideWhenUsed/>
    <w:qFormat/>
    <w:uiPriority w:val="0"/>
    <w:rPr>
      <w:i/>
    </w:rPr>
  </w:style>
  <w:style w:type="character" w:styleId="62">
    <w:name w:val="Hyperlink"/>
    <w:basedOn w:val="56"/>
    <w:autoRedefine/>
    <w:qFormat/>
    <w:uiPriority w:val="99"/>
    <w:rPr>
      <w:color w:val="0000FF"/>
      <w:u w:val="single"/>
    </w:rPr>
  </w:style>
  <w:style w:type="character" w:styleId="63">
    <w:name w:val="HTML Code"/>
    <w:basedOn w:val="56"/>
    <w:autoRedefine/>
    <w:semiHidden/>
    <w:unhideWhenUsed/>
    <w:qFormat/>
    <w:uiPriority w:val="0"/>
    <w:rPr>
      <w:rFonts w:hint="default" w:ascii="Consolas" w:hAnsi="Consolas" w:eastAsia="Consolas" w:cs="Consolas"/>
      <w:color w:val="C7254E"/>
      <w:sz w:val="21"/>
      <w:szCs w:val="21"/>
      <w:shd w:val="clear" w:color="auto" w:fill="F9F2F4"/>
    </w:rPr>
  </w:style>
  <w:style w:type="character" w:styleId="64">
    <w:name w:val="annotation reference"/>
    <w:autoRedefine/>
    <w:qFormat/>
    <w:uiPriority w:val="0"/>
    <w:rPr>
      <w:sz w:val="21"/>
      <w:szCs w:val="21"/>
    </w:rPr>
  </w:style>
  <w:style w:type="character" w:styleId="65">
    <w:name w:val="footnote reference"/>
    <w:autoRedefine/>
    <w:semiHidden/>
    <w:qFormat/>
    <w:uiPriority w:val="0"/>
    <w:rPr>
      <w:vertAlign w:val="superscript"/>
    </w:rPr>
  </w:style>
  <w:style w:type="character" w:styleId="66">
    <w:name w:val="HTML Keyboard"/>
    <w:basedOn w:val="56"/>
    <w:autoRedefine/>
    <w:semiHidden/>
    <w:unhideWhenUsed/>
    <w:qFormat/>
    <w:uiPriority w:val="0"/>
    <w:rPr>
      <w:rFonts w:ascii="Consolas" w:hAnsi="Consolas" w:eastAsia="Consolas" w:cs="Consolas"/>
      <w:color w:val="FFFFFF"/>
      <w:sz w:val="21"/>
      <w:szCs w:val="21"/>
      <w:shd w:val="clear" w:color="auto" w:fill="333333"/>
    </w:rPr>
  </w:style>
  <w:style w:type="character" w:styleId="67">
    <w:name w:val="HTML Sample"/>
    <w:basedOn w:val="56"/>
    <w:autoRedefine/>
    <w:semiHidden/>
    <w:unhideWhenUsed/>
    <w:qFormat/>
    <w:uiPriority w:val="0"/>
    <w:rPr>
      <w:rFonts w:hint="default" w:ascii="Consolas" w:hAnsi="Consolas" w:eastAsia="Consolas" w:cs="Consolas"/>
      <w:sz w:val="21"/>
      <w:szCs w:val="21"/>
    </w:rPr>
  </w:style>
  <w:style w:type="paragraph" w:customStyle="1" w:styleId="68">
    <w:name w:val="无间隔1"/>
    <w:basedOn w:val="50"/>
    <w:autoRedefine/>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0">
    <w:name w:val="标题 1 字符1"/>
    <w:link w:val="2"/>
    <w:autoRedefine/>
    <w:qFormat/>
    <w:uiPriority w:val="99"/>
    <w:rPr>
      <w:rFonts w:eastAsia="黑体"/>
      <w:bCs/>
      <w:kern w:val="44"/>
      <w:sz w:val="48"/>
      <w:szCs w:val="44"/>
    </w:rPr>
  </w:style>
  <w:style w:type="character" w:customStyle="1" w:styleId="71">
    <w:name w:val="标题 2 字符1"/>
    <w:link w:val="3"/>
    <w:autoRedefine/>
    <w:qFormat/>
    <w:uiPriority w:val="9"/>
    <w:rPr>
      <w:rFonts w:ascii="Calibri" w:hAnsi="Calibri" w:eastAsia="黑体" w:cs="Times New Roman"/>
      <w:bCs/>
      <w:kern w:val="2"/>
      <w:sz w:val="28"/>
      <w:szCs w:val="32"/>
    </w:rPr>
  </w:style>
  <w:style w:type="character" w:customStyle="1" w:styleId="72">
    <w:name w:val="标题 3 字符1"/>
    <w:link w:val="4"/>
    <w:autoRedefine/>
    <w:qFormat/>
    <w:uiPriority w:val="9"/>
    <w:rPr>
      <w:rFonts w:eastAsia="黑体"/>
      <w:bCs/>
      <w:kern w:val="2"/>
      <w:sz w:val="24"/>
      <w:szCs w:val="32"/>
    </w:rPr>
  </w:style>
  <w:style w:type="character" w:customStyle="1" w:styleId="73">
    <w:name w:val="标题 4 字符1"/>
    <w:link w:val="5"/>
    <w:autoRedefine/>
    <w:qFormat/>
    <w:uiPriority w:val="9"/>
    <w:rPr>
      <w:rFonts w:ascii="Arial" w:hAnsi="Arial" w:eastAsia="黑体"/>
      <w:bCs/>
      <w:kern w:val="2"/>
      <w:sz w:val="24"/>
      <w:szCs w:val="28"/>
    </w:rPr>
  </w:style>
  <w:style w:type="character" w:customStyle="1" w:styleId="74">
    <w:name w:val="页眉 字符1"/>
    <w:link w:val="36"/>
    <w:autoRedefine/>
    <w:qFormat/>
    <w:uiPriority w:val="99"/>
    <w:rPr>
      <w:kern w:val="2"/>
      <w:sz w:val="18"/>
      <w:szCs w:val="18"/>
    </w:rPr>
  </w:style>
  <w:style w:type="paragraph" w:customStyle="1" w:styleId="75">
    <w:name w:val="Char Char"/>
    <w:basedOn w:val="1"/>
    <w:autoRedefine/>
    <w:qFormat/>
    <w:uiPriority w:val="0"/>
    <w:pPr>
      <w:spacing w:after="160" w:line="240" w:lineRule="exact"/>
    </w:pPr>
    <w:rPr>
      <w:rFonts w:ascii="Verdana" w:hAnsi="Verdana" w:cs="Verdana"/>
      <w:sz w:val="20"/>
      <w:szCs w:val="20"/>
      <w:lang w:eastAsia="en-US"/>
    </w:rPr>
  </w:style>
  <w:style w:type="character" w:customStyle="1" w:styleId="76">
    <w:name w:val="文档结构图 字符"/>
    <w:link w:val="17"/>
    <w:autoRedefine/>
    <w:qFormat/>
    <w:uiPriority w:val="99"/>
    <w:rPr>
      <w:rFonts w:ascii="Heiti SC Light" w:eastAsia="Heiti SC Light"/>
      <w:kern w:val="2"/>
      <w:sz w:val="24"/>
      <w:szCs w:val="24"/>
    </w:rPr>
  </w:style>
  <w:style w:type="paragraph" w:customStyle="1" w:styleId="77">
    <w:name w:val="Char Char Char"/>
    <w:basedOn w:val="1"/>
    <w:autoRedefine/>
    <w:qFormat/>
    <w:uiPriority w:val="99"/>
    <w:rPr>
      <w:rFonts w:ascii="Tahoma" w:hAnsi="Tahoma"/>
      <w:szCs w:val="20"/>
    </w:rPr>
  </w:style>
  <w:style w:type="paragraph" w:customStyle="1" w:styleId="78">
    <w:name w:val="CM91"/>
    <w:basedOn w:val="69"/>
    <w:next w:val="69"/>
    <w:autoRedefine/>
    <w:qFormat/>
    <w:uiPriority w:val="0"/>
    <w:pPr>
      <w:spacing w:after="160"/>
    </w:pPr>
    <w:rPr>
      <w:color w:val="auto"/>
    </w:rPr>
  </w:style>
  <w:style w:type="character" w:customStyle="1" w:styleId="79">
    <w:name w:val="日期 字符1"/>
    <w:link w:val="31"/>
    <w:autoRedefine/>
    <w:qFormat/>
    <w:uiPriority w:val="99"/>
    <w:rPr>
      <w:rFonts w:ascii="宋体" w:cs="宋体"/>
      <w:sz w:val="24"/>
      <w:szCs w:val="24"/>
    </w:rPr>
  </w:style>
  <w:style w:type="paragraph" w:customStyle="1" w:styleId="80">
    <w:name w:val="Char Char1 Char Char Char"/>
    <w:basedOn w:val="1"/>
    <w:autoRedefine/>
    <w:qFormat/>
    <w:uiPriority w:val="0"/>
    <w:rPr>
      <w:sz w:val="20"/>
      <w:szCs w:val="20"/>
    </w:rPr>
  </w:style>
  <w:style w:type="paragraph" w:customStyle="1" w:styleId="81">
    <w:name w:val="CM4"/>
    <w:basedOn w:val="69"/>
    <w:next w:val="69"/>
    <w:autoRedefine/>
    <w:qFormat/>
    <w:uiPriority w:val="0"/>
    <w:rPr>
      <w:color w:val="auto"/>
    </w:rPr>
  </w:style>
  <w:style w:type="paragraph" w:customStyle="1" w:styleId="82">
    <w:name w:val="CM26"/>
    <w:basedOn w:val="69"/>
    <w:next w:val="69"/>
    <w:autoRedefine/>
    <w:qFormat/>
    <w:uiPriority w:val="0"/>
    <w:pPr>
      <w:spacing w:line="400" w:lineRule="atLeast"/>
    </w:pPr>
    <w:rPr>
      <w:color w:val="auto"/>
    </w:rPr>
  </w:style>
  <w:style w:type="paragraph" w:customStyle="1" w:styleId="83">
    <w:name w:val="CM95"/>
    <w:basedOn w:val="69"/>
    <w:next w:val="69"/>
    <w:autoRedefine/>
    <w:qFormat/>
    <w:uiPriority w:val="0"/>
    <w:pPr>
      <w:spacing w:after="115"/>
    </w:pPr>
    <w:rPr>
      <w:color w:val="auto"/>
    </w:rPr>
  </w:style>
  <w:style w:type="paragraph" w:customStyle="1" w:styleId="84">
    <w:name w:val="CM28"/>
    <w:basedOn w:val="69"/>
    <w:next w:val="69"/>
    <w:autoRedefine/>
    <w:qFormat/>
    <w:uiPriority w:val="0"/>
    <w:rPr>
      <w:color w:val="auto"/>
    </w:rPr>
  </w:style>
  <w:style w:type="paragraph" w:customStyle="1" w:styleId="85">
    <w:name w:val="CM65"/>
    <w:basedOn w:val="69"/>
    <w:next w:val="69"/>
    <w:autoRedefine/>
    <w:qFormat/>
    <w:uiPriority w:val="0"/>
    <w:rPr>
      <w:color w:val="auto"/>
    </w:rPr>
  </w:style>
  <w:style w:type="paragraph" w:customStyle="1" w:styleId="86">
    <w:name w:val="目录 11"/>
    <w:basedOn w:val="1"/>
    <w:next w:val="1"/>
    <w:autoRedefine/>
    <w:qFormat/>
    <w:uiPriority w:val="39"/>
    <w:pPr>
      <w:spacing w:before="120" w:after="120"/>
    </w:pPr>
    <w:rPr>
      <w:rFonts w:ascii="等线" w:eastAsia="等线"/>
      <w:b/>
      <w:bCs/>
      <w:caps/>
      <w:sz w:val="20"/>
      <w:szCs w:val="20"/>
    </w:rPr>
  </w:style>
  <w:style w:type="paragraph" w:customStyle="1" w:styleId="87">
    <w:name w:val="目录 21"/>
    <w:basedOn w:val="1"/>
    <w:next w:val="1"/>
    <w:autoRedefine/>
    <w:qFormat/>
    <w:uiPriority w:val="39"/>
    <w:pPr>
      <w:ind w:left="240"/>
    </w:pPr>
    <w:rPr>
      <w:rFonts w:ascii="等线" w:eastAsia="等线"/>
      <w:smallCaps/>
      <w:sz w:val="20"/>
      <w:szCs w:val="20"/>
    </w:rPr>
  </w:style>
  <w:style w:type="paragraph" w:customStyle="1" w:styleId="88">
    <w:name w:val="目录 31"/>
    <w:basedOn w:val="1"/>
    <w:next w:val="1"/>
    <w:autoRedefine/>
    <w:qFormat/>
    <w:uiPriority w:val="39"/>
    <w:pPr>
      <w:ind w:left="480"/>
    </w:pPr>
    <w:rPr>
      <w:rFonts w:ascii="等线" w:eastAsia="Kai"/>
      <w:iCs/>
      <w:sz w:val="20"/>
      <w:szCs w:val="20"/>
    </w:rPr>
  </w:style>
  <w:style w:type="paragraph" w:customStyle="1" w:styleId="89">
    <w:name w:val="目录 41"/>
    <w:basedOn w:val="1"/>
    <w:next w:val="1"/>
    <w:autoRedefine/>
    <w:qFormat/>
    <w:uiPriority w:val="39"/>
    <w:pPr>
      <w:ind w:left="720"/>
    </w:pPr>
    <w:rPr>
      <w:rFonts w:ascii="等线" w:eastAsia="等线"/>
      <w:sz w:val="18"/>
      <w:szCs w:val="18"/>
    </w:rPr>
  </w:style>
  <w:style w:type="paragraph" w:customStyle="1" w:styleId="90">
    <w:name w:val="目录 51"/>
    <w:basedOn w:val="1"/>
    <w:next w:val="1"/>
    <w:autoRedefine/>
    <w:qFormat/>
    <w:uiPriority w:val="39"/>
    <w:pPr>
      <w:ind w:left="960"/>
    </w:pPr>
    <w:rPr>
      <w:rFonts w:ascii="等线" w:eastAsia="等线"/>
      <w:sz w:val="18"/>
      <w:szCs w:val="18"/>
    </w:rPr>
  </w:style>
  <w:style w:type="paragraph" w:customStyle="1" w:styleId="91">
    <w:name w:val="CM24"/>
    <w:basedOn w:val="69"/>
    <w:next w:val="69"/>
    <w:autoRedefine/>
    <w:qFormat/>
    <w:uiPriority w:val="0"/>
    <w:pPr>
      <w:spacing w:line="440" w:lineRule="atLeast"/>
    </w:pPr>
    <w:rPr>
      <w:color w:val="auto"/>
    </w:rPr>
  </w:style>
  <w:style w:type="paragraph" w:customStyle="1" w:styleId="92">
    <w:name w:val="目录 61"/>
    <w:basedOn w:val="1"/>
    <w:next w:val="1"/>
    <w:autoRedefine/>
    <w:qFormat/>
    <w:uiPriority w:val="39"/>
    <w:pPr>
      <w:ind w:left="1200"/>
    </w:pPr>
    <w:rPr>
      <w:rFonts w:ascii="等线" w:eastAsia="等线"/>
      <w:sz w:val="18"/>
      <w:szCs w:val="18"/>
    </w:rPr>
  </w:style>
  <w:style w:type="paragraph" w:customStyle="1" w:styleId="93">
    <w:name w:val="目录 71"/>
    <w:basedOn w:val="1"/>
    <w:next w:val="1"/>
    <w:autoRedefine/>
    <w:qFormat/>
    <w:uiPriority w:val="39"/>
    <w:pPr>
      <w:ind w:left="1440"/>
    </w:pPr>
    <w:rPr>
      <w:rFonts w:ascii="等线" w:eastAsia="等线"/>
      <w:sz w:val="18"/>
      <w:szCs w:val="18"/>
    </w:rPr>
  </w:style>
  <w:style w:type="paragraph" w:customStyle="1" w:styleId="94">
    <w:name w:val="目录 81"/>
    <w:basedOn w:val="1"/>
    <w:next w:val="1"/>
    <w:autoRedefine/>
    <w:qFormat/>
    <w:uiPriority w:val="39"/>
    <w:pPr>
      <w:ind w:left="1680"/>
    </w:pPr>
    <w:rPr>
      <w:rFonts w:ascii="等线" w:eastAsia="等线"/>
      <w:sz w:val="18"/>
      <w:szCs w:val="18"/>
    </w:rPr>
  </w:style>
  <w:style w:type="paragraph" w:customStyle="1" w:styleId="95">
    <w:name w:val="目录 91"/>
    <w:basedOn w:val="1"/>
    <w:next w:val="1"/>
    <w:autoRedefine/>
    <w:qFormat/>
    <w:uiPriority w:val="39"/>
    <w:pPr>
      <w:ind w:left="1920"/>
    </w:pPr>
    <w:rPr>
      <w:rFonts w:ascii="等线" w:eastAsia="等线"/>
      <w:sz w:val="18"/>
      <w:szCs w:val="18"/>
    </w:rPr>
  </w:style>
  <w:style w:type="paragraph" w:customStyle="1" w:styleId="96">
    <w:name w:val="Char Char3"/>
    <w:basedOn w:val="1"/>
    <w:autoRedefine/>
    <w:qFormat/>
    <w:uiPriority w:val="0"/>
    <w:rPr>
      <w:rFonts w:ascii="Tahoma" w:hAnsi="Tahoma"/>
      <w:szCs w:val="20"/>
    </w:rPr>
  </w:style>
  <w:style w:type="character" w:customStyle="1" w:styleId="97">
    <w:name w:val="批注框文本 字符1"/>
    <w:link w:val="33"/>
    <w:autoRedefine/>
    <w:qFormat/>
    <w:uiPriority w:val="99"/>
    <w:rPr>
      <w:rFonts w:ascii="Heiti SC Light" w:eastAsia="Heiti SC Light"/>
      <w:kern w:val="2"/>
      <w:sz w:val="18"/>
      <w:szCs w:val="18"/>
    </w:rPr>
  </w:style>
  <w:style w:type="character" w:customStyle="1" w:styleId="98">
    <w:name w:val="标题 5 字符"/>
    <w:link w:val="6"/>
    <w:autoRedefine/>
    <w:qFormat/>
    <w:uiPriority w:val="9"/>
    <w:rPr>
      <w:b/>
      <w:bCs/>
      <w:kern w:val="2"/>
      <w:sz w:val="28"/>
      <w:szCs w:val="28"/>
    </w:rPr>
  </w:style>
  <w:style w:type="character" w:customStyle="1" w:styleId="99">
    <w:name w:val="标题 6 字符"/>
    <w:link w:val="7"/>
    <w:autoRedefine/>
    <w:qFormat/>
    <w:uiPriority w:val="9"/>
    <w:rPr>
      <w:rFonts w:ascii="Arial" w:hAnsi="Arial" w:eastAsia="黑体"/>
      <w:b/>
      <w:bCs/>
      <w:kern w:val="2"/>
      <w:sz w:val="24"/>
      <w:szCs w:val="24"/>
    </w:rPr>
  </w:style>
  <w:style w:type="character" w:customStyle="1" w:styleId="100">
    <w:name w:val="标题 7 字符"/>
    <w:link w:val="8"/>
    <w:autoRedefine/>
    <w:qFormat/>
    <w:uiPriority w:val="0"/>
    <w:rPr>
      <w:b/>
      <w:bCs/>
      <w:kern w:val="2"/>
      <w:sz w:val="24"/>
      <w:szCs w:val="24"/>
    </w:rPr>
  </w:style>
  <w:style w:type="character" w:customStyle="1" w:styleId="101">
    <w:name w:val="标题 8 字符"/>
    <w:link w:val="9"/>
    <w:autoRedefine/>
    <w:qFormat/>
    <w:uiPriority w:val="0"/>
    <w:rPr>
      <w:rFonts w:ascii="Arial" w:hAnsi="Arial" w:eastAsia="黑体"/>
      <w:kern w:val="2"/>
      <w:sz w:val="24"/>
      <w:szCs w:val="24"/>
    </w:rPr>
  </w:style>
  <w:style w:type="character" w:customStyle="1" w:styleId="102">
    <w:name w:val="标题 9 字符"/>
    <w:link w:val="10"/>
    <w:autoRedefine/>
    <w:qFormat/>
    <w:uiPriority w:val="0"/>
    <w:rPr>
      <w:rFonts w:ascii="Arial" w:hAnsi="Arial" w:eastAsia="黑体"/>
      <w:kern w:val="2"/>
      <w:sz w:val="21"/>
      <w:szCs w:val="21"/>
    </w:rPr>
  </w:style>
  <w:style w:type="character" w:customStyle="1" w:styleId="103">
    <w:name w:val="正文文本缩进 2 字符"/>
    <w:link w:val="32"/>
    <w:autoRedefine/>
    <w:qFormat/>
    <w:uiPriority w:val="99"/>
    <w:rPr>
      <w:rFonts w:ascii="仿宋_GB2312" w:hAnsi="宋体" w:eastAsia="仿宋_GB2312"/>
      <w:kern w:val="2"/>
      <w:sz w:val="24"/>
      <w:szCs w:val="24"/>
    </w:rPr>
  </w:style>
  <w:style w:type="character" w:customStyle="1" w:styleId="104">
    <w:name w:val="正文文本缩进 3 字符"/>
    <w:link w:val="41"/>
    <w:autoRedefine/>
    <w:qFormat/>
    <w:uiPriority w:val="99"/>
    <w:rPr>
      <w:kern w:val="2"/>
      <w:sz w:val="24"/>
    </w:rPr>
  </w:style>
  <w:style w:type="character" w:customStyle="1" w:styleId="105">
    <w:name w:val="纯文本 字符"/>
    <w:link w:val="30"/>
    <w:autoRedefine/>
    <w:qFormat/>
    <w:uiPriority w:val="0"/>
    <w:rPr>
      <w:rFonts w:ascii="宋体" w:hAnsi="Courier New"/>
      <w:kern w:val="2"/>
      <w:sz w:val="21"/>
    </w:rPr>
  </w:style>
  <w:style w:type="character" w:customStyle="1" w:styleId="106">
    <w:name w:val="正文文本 字符"/>
    <w:link w:val="21"/>
    <w:autoRedefine/>
    <w:qFormat/>
    <w:uiPriority w:val="99"/>
    <w:rPr>
      <w:kern w:val="2"/>
      <w:sz w:val="28"/>
    </w:rPr>
  </w:style>
  <w:style w:type="character" w:customStyle="1" w:styleId="107">
    <w:name w:val="Char Char1"/>
    <w:autoRedefine/>
    <w:qFormat/>
    <w:uiPriority w:val="0"/>
    <w:rPr>
      <w:rFonts w:ascii="楷体_GB2312" w:eastAsia="楷体_GB2312"/>
      <w:sz w:val="28"/>
    </w:rPr>
  </w:style>
  <w:style w:type="character" w:customStyle="1" w:styleId="108">
    <w:name w:val="标题 字符"/>
    <w:link w:val="48"/>
    <w:autoRedefine/>
    <w:qFormat/>
    <w:uiPriority w:val="10"/>
    <w:rPr>
      <w:rFonts w:ascii="Cambria" w:hAnsi="Cambria"/>
      <w:b/>
      <w:bCs/>
      <w:kern w:val="2"/>
      <w:sz w:val="32"/>
      <w:szCs w:val="32"/>
    </w:rPr>
  </w:style>
  <w:style w:type="character" w:customStyle="1" w:styleId="109">
    <w:name w:val="标题 Char"/>
    <w:autoRedefine/>
    <w:qFormat/>
    <w:uiPriority w:val="10"/>
    <w:rPr>
      <w:rFonts w:ascii="Cambria" w:hAnsi="Cambria" w:cs="Times New Roman"/>
      <w:b/>
      <w:bCs/>
      <w:kern w:val="2"/>
      <w:sz w:val="32"/>
      <w:szCs w:val="32"/>
    </w:rPr>
  </w:style>
  <w:style w:type="character" w:customStyle="1" w:styleId="110">
    <w:name w:val="标题 1 Char"/>
    <w:autoRedefine/>
    <w:qFormat/>
    <w:uiPriority w:val="0"/>
    <w:rPr>
      <w:rFonts w:ascii="黑体"/>
      <w:b/>
      <w:kern w:val="44"/>
      <w:sz w:val="32"/>
    </w:rPr>
  </w:style>
  <w:style w:type="paragraph" w:customStyle="1" w:styleId="111">
    <w:name w:val="网格表 31"/>
    <w:basedOn w:val="2"/>
    <w:next w:val="1"/>
    <w:autoRedefine/>
    <w:qFormat/>
    <w:uiPriority w:val="0"/>
    <w:pPr>
      <w:spacing w:before="480" w:after="0" w:line="276" w:lineRule="auto"/>
      <w:jc w:val="left"/>
      <w:outlineLvl w:val="9"/>
    </w:pPr>
    <w:rPr>
      <w:rFonts w:ascii="Cambria" w:hAnsi="Cambria" w:eastAsia="宋体"/>
      <w:b/>
      <w:color w:val="365F91"/>
      <w:kern w:val="0"/>
      <w:sz w:val="28"/>
      <w:szCs w:val="28"/>
    </w:rPr>
  </w:style>
  <w:style w:type="paragraph" w:customStyle="1" w:styleId="112">
    <w:name w:val="彩色列表 - 着色 11"/>
    <w:basedOn w:val="1"/>
    <w:autoRedefine/>
    <w:qFormat/>
    <w:uiPriority w:val="0"/>
    <w:pPr>
      <w:ind w:firstLine="420" w:firstLineChars="200"/>
    </w:pPr>
    <w:rPr>
      <w:szCs w:val="20"/>
    </w:rPr>
  </w:style>
  <w:style w:type="character" w:customStyle="1" w:styleId="113">
    <w:name w:val="正文文本缩进 Char"/>
    <w:autoRedefine/>
    <w:qFormat/>
    <w:uiPriority w:val="0"/>
    <w:rPr>
      <w:rFonts w:ascii="楷体_GB2312" w:eastAsia="楷体_GB2312"/>
      <w:sz w:val="28"/>
    </w:rPr>
  </w:style>
  <w:style w:type="paragraph" w:customStyle="1" w:styleId="114">
    <w:name w:val="Char Char Char Char Char Char Char Char Char Char Char Char Char"/>
    <w:basedOn w:val="17"/>
    <w:autoRedefine/>
    <w:qFormat/>
    <w:uiPriority w:val="0"/>
    <w:pPr>
      <w:shd w:val="clear" w:color="auto" w:fill="000080"/>
    </w:pPr>
    <w:rPr>
      <w:rFonts w:ascii="Tahoma" w:hAnsi="Tahoma" w:eastAsia="宋体"/>
    </w:rPr>
  </w:style>
  <w:style w:type="paragraph" w:customStyle="1" w:styleId="115">
    <w:name w:val="Blockquote"/>
    <w:basedOn w:val="1"/>
    <w:autoRedefine/>
    <w:qFormat/>
    <w:uiPriority w:val="0"/>
    <w:pPr>
      <w:autoSpaceDE w:val="0"/>
      <w:autoSpaceDN w:val="0"/>
      <w:adjustRightInd w:val="0"/>
      <w:spacing w:before="100" w:after="100"/>
      <w:ind w:left="360" w:right="360"/>
    </w:pPr>
    <w:rPr>
      <w:szCs w:val="20"/>
    </w:rPr>
  </w:style>
  <w:style w:type="character" w:customStyle="1" w:styleId="116">
    <w:name w:val="批注文字 字符1"/>
    <w:link w:val="19"/>
    <w:autoRedefine/>
    <w:qFormat/>
    <w:uiPriority w:val="99"/>
    <w:rPr>
      <w:kern w:val="2"/>
      <w:sz w:val="24"/>
      <w:szCs w:val="24"/>
    </w:rPr>
  </w:style>
  <w:style w:type="character" w:customStyle="1" w:styleId="117">
    <w:name w:val="批注主题 字符1"/>
    <w:link w:val="49"/>
    <w:autoRedefine/>
    <w:qFormat/>
    <w:uiPriority w:val="99"/>
    <w:rPr>
      <w:b/>
      <w:bCs/>
      <w:kern w:val="2"/>
      <w:sz w:val="21"/>
      <w:szCs w:val="24"/>
    </w:rPr>
  </w:style>
  <w:style w:type="paragraph" w:customStyle="1" w:styleId="118">
    <w:name w:val="bt1bt1"/>
    <w:basedOn w:val="2"/>
    <w:autoRedefine/>
    <w:qFormat/>
    <w:uiPriority w:val="0"/>
    <w:pPr>
      <w:spacing w:line="240" w:lineRule="auto"/>
    </w:pPr>
    <w:rPr>
      <w:rFonts w:ascii="黑体"/>
      <w:sz w:val="36"/>
      <w:szCs w:val="36"/>
    </w:rPr>
  </w:style>
  <w:style w:type="paragraph" w:customStyle="1" w:styleId="119">
    <w:name w:val="新定义正文"/>
    <w:basedOn w:val="1"/>
    <w:autoRedefine/>
    <w:qFormat/>
    <w:uiPriority w:val="0"/>
    <w:rPr>
      <w:color w:val="000000"/>
      <w:szCs w:val="21"/>
    </w:rPr>
  </w:style>
  <w:style w:type="paragraph" w:customStyle="1" w:styleId="120">
    <w:name w:val="节"/>
    <w:basedOn w:val="3"/>
    <w:autoRedefine/>
    <w:qFormat/>
    <w:uiPriority w:val="0"/>
    <w:pPr>
      <w:numPr>
        <w:ilvl w:val="1"/>
        <w:numId w:val="1"/>
      </w:numPr>
      <w:spacing w:before="260" w:after="260" w:line="240" w:lineRule="auto"/>
    </w:pPr>
    <w:rPr>
      <w:rFonts w:ascii="黑体" w:hAnsi="Arial"/>
      <w:szCs w:val="28"/>
    </w:rPr>
  </w:style>
  <w:style w:type="paragraph" w:customStyle="1" w:styleId="121">
    <w:name w:val="CM92"/>
    <w:basedOn w:val="69"/>
    <w:next w:val="69"/>
    <w:autoRedefine/>
    <w:qFormat/>
    <w:uiPriority w:val="0"/>
    <w:pPr>
      <w:spacing w:after="530"/>
    </w:pPr>
    <w:rPr>
      <w:color w:val="auto"/>
    </w:rPr>
  </w:style>
  <w:style w:type="paragraph" w:customStyle="1" w:styleId="122">
    <w:name w:val="CM31"/>
    <w:basedOn w:val="69"/>
    <w:next w:val="69"/>
    <w:autoRedefine/>
    <w:qFormat/>
    <w:uiPriority w:val="0"/>
    <w:pPr>
      <w:spacing w:line="400" w:lineRule="atLeast"/>
    </w:pPr>
    <w:rPr>
      <w:color w:val="auto"/>
    </w:rPr>
  </w:style>
  <w:style w:type="paragraph" w:customStyle="1" w:styleId="123">
    <w:name w:val="Char Char Char Char"/>
    <w:basedOn w:val="1"/>
    <w:autoRedefine/>
    <w:qFormat/>
    <w:uiPriority w:val="0"/>
    <w:pPr>
      <w:spacing w:after="160" w:line="240" w:lineRule="exact"/>
    </w:pPr>
    <w:rPr>
      <w:rFonts w:ascii="Verdana" w:hAnsi="Verdana" w:cs="Verdana"/>
      <w:color w:val="000000"/>
      <w:szCs w:val="21"/>
    </w:rPr>
  </w:style>
  <w:style w:type="paragraph" w:customStyle="1" w:styleId="124">
    <w:name w:val="CM39"/>
    <w:basedOn w:val="69"/>
    <w:next w:val="69"/>
    <w:autoRedefine/>
    <w:qFormat/>
    <w:uiPriority w:val="0"/>
    <w:pPr>
      <w:spacing w:line="400" w:lineRule="atLeast"/>
    </w:pPr>
    <w:rPr>
      <w:color w:val="auto"/>
    </w:rPr>
  </w:style>
  <w:style w:type="paragraph" w:customStyle="1" w:styleId="125">
    <w:name w:val="样式 标题 3 + (中文) 黑体 小四 非加粗 段前: 7.8 磅 段后: 0 磅 行距: 固定值 20 磅"/>
    <w:basedOn w:val="4"/>
    <w:autoRedefine/>
    <w:qFormat/>
    <w:uiPriority w:val="0"/>
    <w:pPr>
      <w:spacing w:line="400" w:lineRule="exact"/>
    </w:pPr>
    <w:rPr>
      <w:rFonts w:ascii="宋体" w:cs="宋体"/>
      <w:bCs w:val="0"/>
      <w:color w:val="000000"/>
      <w:kern w:val="0"/>
      <w:szCs w:val="20"/>
    </w:rPr>
  </w:style>
  <w:style w:type="character" w:customStyle="1" w:styleId="126">
    <w:name w:val="正文文本 3 字符"/>
    <w:link w:val="20"/>
    <w:autoRedefine/>
    <w:qFormat/>
    <w:uiPriority w:val="99"/>
    <w:rPr>
      <w:rFonts w:ascii="宋体" w:cs="宋体"/>
      <w:color w:val="000000"/>
      <w:sz w:val="24"/>
    </w:rPr>
  </w:style>
  <w:style w:type="paragraph" w:customStyle="1" w:styleId="127">
    <w:name w:val="CM97"/>
    <w:basedOn w:val="69"/>
    <w:next w:val="69"/>
    <w:autoRedefine/>
    <w:qFormat/>
    <w:uiPriority w:val="0"/>
    <w:pPr>
      <w:spacing w:after="373"/>
    </w:pPr>
    <w:rPr>
      <w:color w:val="auto"/>
    </w:rPr>
  </w:style>
  <w:style w:type="paragraph" w:customStyle="1" w:styleId="128">
    <w:name w:val="Char1"/>
    <w:basedOn w:val="1"/>
    <w:autoRedefine/>
    <w:qFormat/>
    <w:uiPriority w:val="0"/>
  </w:style>
  <w:style w:type="paragraph" w:customStyle="1" w:styleId="129">
    <w:name w:val="Char Char Char Char Char Char Char"/>
    <w:basedOn w:val="1"/>
    <w:autoRedefine/>
    <w:qFormat/>
    <w:uiPriority w:val="99"/>
    <w:rPr>
      <w:rFonts w:ascii="Tahoma" w:hAnsi="Tahoma"/>
      <w:szCs w:val="20"/>
    </w:rPr>
  </w:style>
  <w:style w:type="paragraph" w:customStyle="1" w:styleId="130">
    <w:name w:val="默认段落字体 Para Char Char Char Char"/>
    <w:basedOn w:val="1"/>
    <w:autoRedefine/>
    <w:qFormat/>
    <w:uiPriority w:val="99"/>
  </w:style>
  <w:style w:type="paragraph" w:customStyle="1" w:styleId="131">
    <w:name w:val="Char Char Char1 Char"/>
    <w:basedOn w:val="1"/>
    <w:autoRedefine/>
    <w:qFormat/>
    <w:uiPriority w:val="99"/>
    <w:rPr>
      <w:rFonts w:ascii="Tahoma" w:hAnsi="Tahoma"/>
      <w:szCs w:val="20"/>
    </w:rPr>
  </w:style>
  <w:style w:type="paragraph" w:customStyle="1" w:styleId="132">
    <w:name w:val="xl3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8"/>
      <w:szCs w:val="28"/>
    </w:rPr>
  </w:style>
  <w:style w:type="character" w:customStyle="1" w:styleId="133">
    <w:name w:val="正文缩进 字符"/>
    <w:link w:val="13"/>
    <w:autoRedefine/>
    <w:qFormat/>
    <w:uiPriority w:val="0"/>
    <w:rPr>
      <w:kern w:val="2"/>
      <w:sz w:val="24"/>
    </w:rPr>
  </w:style>
  <w:style w:type="paragraph" w:customStyle="1" w:styleId="134">
    <w:name w:val="Char"/>
    <w:basedOn w:val="1"/>
    <w:autoRedefine/>
    <w:qFormat/>
    <w:uiPriority w:val="0"/>
  </w:style>
  <w:style w:type="paragraph" w:customStyle="1" w:styleId="135">
    <w:name w:val="Char Char4 Char Char Char Char Char Char Char Char"/>
    <w:basedOn w:val="1"/>
    <w:autoRedefine/>
    <w:qFormat/>
    <w:uiPriority w:val="0"/>
    <w:rPr>
      <w:sz w:val="30"/>
      <w:szCs w:val="20"/>
    </w:rPr>
  </w:style>
  <w:style w:type="paragraph" w:customStyle="1" w:styleId="136">
    <w:name w:val="CM1"/>
    <w:basedOn w:val="69"/>
    <w:next w:val="69"/>
    <w:autoRedefine/>
    <w:qFormat/>
    <w:uiPriority w:val="0"/>
    <w:rPr>
      <w:color w:val="auto"/>
    </w:rPr>
  </w:style>
  <w:style w:type="paragraph" w:customStyle="1" w:styleId="137">
    <w:name w:val="Char Char3 Char Char"/>
    <w:basedOn w:val="1"/>
    <w:autoRedefine/>
    <w:qFormat/>
    <w:uiPriority w:val="0"/>
    <w:rPr>
      <w:rFonts w:ascii="Tahoma" w:hAnsi="Tahoma"/>
      <w:szCs w:val="20"/>
    </w:rPr>
  </w:style>
  <w:style w:type="character" w:customStyle="1" w:styleId="138">
    <w:name w:val="页脚 字符1"/>
    <w:link w:val="34"/>
    <w:autoRedefine/>
    <w:qFormat/>
    <w:uiPriority w:val="99"/>
    <w:rPr>
      <w:kern w:val="2"/>
      <w:sz w:val="18"/>
      <w:szCs w:val="18"/>
    </w:rPr>
  </w:style>
  <w:style w:type="paragraph" w:customStyle="1" w:styleId="139">
    <w:name w:val="1 Char Char Char Char Char Char Char"/>
    <w:basedOn w:val="1"/>
    <w:autoRedefine/>
    <w:qFormat/>
    <w:uiPriority w:val="0"/>
    <w:rPr>
      <w:sz w:val="30"/>
      <w:szCs w:val="20"/>
    </w:rPr>
  </w:style>
  <w:style w:type="character" w:customStyle="1" w:styleId="140">
    <w:name w:val="apple-converted-space"/>
    <w:basedOn w:val="56"/>
    <w:autoRedefine/>
    <w:qFormat/>
    <w:uiPriority w:val="0"/>
  </w:style>
  <w:style w:type="paragraph" w:customStyle="1" w:styleId="141">
    <w:name w:val="彩色列表 - 强调文字颜色 11"/>
    <w:basedOn w:val="1"/>
    <w:autoRedefine/>
    <w:qFormat/>
    <w:uiPriority w:val="0"/>
    <w:pPr>
      <w:ind w:firstLine="420" w:firstLineChars="200"/>
    </w:pPr>
  </w:style>
  <w:style w:type="character" w:customStyle="1" w:styleId="142">
    <w:name w:val="标题4 Char Char"/>
    <w:autoRedefine/>
    <w:qFormat/>
    <w:uiPriority w:val="0"/>
    <w:rPr>
      <w:rFonts w:ascii="Arial" w:hAnsi="Arial"/>
      <w:b/>
      <w:bCs/>
      <w:sz w:val="24"/>
      <w:szCs w:val="32"/>
    </w:rPr>
  </w:style>
  <w:style w:type="character" w:customStyle="1" w:styleId="143">
    <w:name w:val="浅色底纹 - 强调文字颜色 2 Char"/>
    <w:link w:val="144"/>
    <w:autoRedefine/>
    <w:qFormat/>
    <w:uiPriority w:val="0"/>
    <w:rPr>
      <w:b/>
      <w:bCs/>
      <w:i/>
      <w:iCs/>
      <w:color w:val="4F81BD"/>
      <w:kern w:val="2"/>
      <w:sz w:val="21"/>
      <w:szCs w:val="22"/>
    </w:rPr>
  </w:style>
  <w:style w:type="paragraph" w:customStyle="1" w:styleId="144">
    <w:name w:val="浅色底纹 - 强调文字颜色 21"/>
    <w:basedOn w:val="1"/>
    <w:next w:val="1"/>
    <w:link w:val="143"/>
    <w:autoRedefine/>
    <w:qFormat/>
    <w:uiPriority w:val="0"/>
    <w:pPr>
      <w:pBdr>
        <w:bottom w:val="single" w:color="4F81BD" w:sz="4" w:space="4"/>
      </w:pBdr>
      <w:spacing w:before="200" w:after="280"/>
      <w:ind w:left="936" w:right="936"/>
    </w:pPr>
    <w:rPr>
      <w:b/>
      <w:bCs/>
      <w:i/>
      <w:iCs/>
      <w:color w:val="4F81BD"/>
      <w:kern w:val="2"/>
      <w:sz w:val="21"/>
      <w:szCs w:val="22"/>
      <w:lang w:val="zh-CN"/>
    </w:rPr>
  </w:style>
  <w:style w:type="character" w:customStyle="1" w:styleId="145">
    <w:name w:val="书籍标题1"/>
    <w:autoRedefine/>
    <w:qFormat/>
    <w:uiPriority w:val="0"/>
    <w:rPr>
      <w:b/>
      <w:bCs/>
      <w:smallCaps/>
      <w:spacing w:val="5"/>
    </w:rPr>
  </w:style>
  <w:style w:type="character" w:customStyle="1" w:styleId="146">
    <w:name w:val="副标题 字符"/>
    <w:link w:val="39"/>
    <w:autoRedefine/>
    <w:qFormat/>
    <w:uiPriority w:val="0"/>
    <w:rPr>
      <w:rFonts w:ascii="Cambria" w:hAnsi="Cambria"/>
      <w:b/>
      <w:bCs/>
      <w:kern w:val="28"/>
      <w:sz w:val="32"/>
      <w:szCs w:val="32"/>
    </w:rPr>
  </w:style>
  <w:style w:type="character" w:customStyle="1" w:styleId="147">
    <w:name w:val="明显强调1"/>
    <w:autoRedefine/>
    <w:qFormat/>
    <w:uiPriority w:val="0"/>
    <w:rPr>
      <w:b/>
      <w:bCs/>
      <w:i/>
      <w:iCs/>
      <w:color w:val="4F81BD"/>
    </w:rPr>
  </w:style>
  <w:style w:type="character" w:customStyle="1" w:styleId="148">
    <w:name w:val="标题5 Char Char"/>
    <w:link w:val="149"/>
    <w:autoRedefine/>
    <w:qFormat/>
    <w:uiPriority w:val="0"/>
    <w:rPr>
      <w:rFonts w:ascii="Arial" w:hAnsi="Arial"/>
      <w:b/>
      <w:bCs/>
      <w:sz w:val="24"/>
      <w:szCs w:val="32"/>
    </w:rPr>
  </w:style>
  <w:style w:type="paragraph" w:customStyle="1" w:styleId="149">
    <w:name w:val="标题5"/>
    <w:basedOn w:val="4"/>
    <w:link w:val="148"/>
    <w:autoRedefine/>
    <w:qFormat/>
    <w:uiPriority w:val="0"/>
    <w:pPr>
      <w:spacing w:before="260" w:after="260" w:line="413" w:lineRule="auto"/>
    </w:pPr>
    <w:rPr>
      <w:rFonts w:ascii="Arial" w:hAnsi="Arial" w:eastAsia="宋体"/>
      <w:b/>
    </w:rPr>
  </w:style>
  <w:style w:type="character" w:customStyle="1" w:styleId="150">
    <w:name w:val="textcontents"/>
    <w:autoRedefine/>
    <w:qFormat/>
    <w:uiPriority w:val="0"/>
    <w:rPr>
      <w:rFonts w:cs="Times New Roman"/>
    </w:rPr>
  </w:style>
  <w:style w:type="character" w:customStyle="1" w:styleId="151">
    <w:name w:val="不明显强调1"/>
    <w:autoRedefine/>
    <w:qFormat/>
    <w:uiPriority w:val="0"/>
    <w:rPr>
      <w:i/>
      <w:iCs/>
      <w:color w:val="808080"/>
    </w:rPr>
  </w:style>
  <w:style w:type="character" w:customStyle="1" w:styleId="152">
    <w:name w:val="不明显参考1"/>
    <w:autoRedefine/>
    <w:qFormat/>
    <w:uiPriority w:val="0"/>
    <w:rPr>
      <w:smallCaps/>
      <w:color w:val="C0504D"/>
      <w:u w:val="single"/>
    </w:rPr>
  </w:style>
  <w:style w:type="character" w:customStyle="1" w:styleId="153">
    <w:name w:val="日期 Char1"/>
    <w:autoRedefine/>
    <w:qFormat/>
    <w:uiPriority w:val="99"/>
    <w:rPr>
      <w:kern w:val="2"/>
      <w:sz w:val="21"/>
      <w:szCs w:val="22"/>
    </w:rPr>
  </w:style>
  <w:style w:type="character" w:customStyle="1" w:styleId="154">
    <w:name w:val="正文文本 Char1"/>
    <w:autoRedefine/>
    <w:qFormat/>
    <w:uiPriority w:val="99"/>
    <w:rPr>
      <w:kern w:val="2"/>
      <w:sz w:val="21"/>
      <w:szCs w:val="22"/>
    </w:rPr>
  </w:style>
  <w:style w:type="character" w:customStyle="1" w:styleId="155">
    <w:name w:val="批注主题 Char1"/>
    <w:autoRedefine/>
    <w:qFormat/>
    <w:uiPriority w:val="99"/>
    <w:rPr>
      <w:b/>
      <w:bCs/>
      <w:kern w:val="2"/>
      <w:sz w:val="21"/>
      <w:szCs w:val="22"/>
    </w:rPr>
  </w:style>
  <w:style w:type="character" w:customStyle="1" w:styleId="156">
    <w:name w:val="批注文字 Char Char"/>
    <w:autoRedefine/>
    <w:qFormat/>
    <w:uiPriority w:val="0"/>
    <w:rPr>
      <w:rFonts w:ascii="宋体" w:hAnsi="Times New Roman" w:eastAsia="宋体" w:cs="Times New Roman"/>
      <w:sz w:val="28"/>
      <w:szCs w:val="20"/>
    </w:rPr>
  </w:style>
  <w:style w:type="character" w:customStyle="1" w:styleId="157">
    <w:name w:val="明显参考1"/>
    <w:autoRedefine/>
    <w:qFormat/>
    <w:uiPriority w:val="0"/>
    <w:rPr>
      <w:b/>
      <w:bCs/>
      <w:smallCaps/>
      <w:color w:val="C0504D"/>
      <w:spacing w:val="5"/>
      <w:u w:val="single"/>
    </w:rPr>
  </w:style>
  <w:style w:type="character" w:customStyle="1" w:styleId="158">
    <w:name w:val="批注框文本 Char1"/>
    <w:autoRedefine/>
    <w:qFormat/>
    <w:uiPriority w:val="99"/>
    <w:rPr>
      <w:kern w:val="2"/>
      <w:sz w:val="18"/>
      <w:szCs w:val="18"/>
    </w:rPr>
  </w:style>
  <w:style w:type="character" w:customStyle="1" w:styleId="159">
    <w:name w:val="彩色网格 - 强调文字颜色 1 Char"/>
    <w:link w:val="160"/>
    <w:autoRedefine/>
    <w:qFormat/>
    <w:uiPriority w:val="0"/>
    <w:rPr>
      <w:i/>
      <w:iCs/>
      <w:color w:val="000000"/>
      <w:kern w:val="2"/>
      <w:sz w:val="21"/>
      <w:szCs w:val="22"/>
    </w:rPr>
  </w:style>
  <w:style w:type="paragraph" w:customStyle="1" w:styleId="160">
    <w:name w:val="彩色网格 - 强调文字颜色 11"/>
    <w:basedOn w:val="1"/>
    <w:next w:val="1"/>
    <w:link w:val="159"/>
    <w:autoRedefine/>
    <w:qFormat/>
    <w:uiPriority w:val="0"/>
    <w:rPr>
      <w:i/>
      <w:iCs/>
      <w:color w:val="000000"/>
      <w:kern w:val="2"/>
      <w:sz w:val="21"/>
      <w:szCs w:val="22"/>
      <w:lang w:val="zh-CN"/>
    </w:rPr>
  </w:style>
  <w:style w:type="character" w:customStyle="1" w:styleId="161">
    <w:name w:val="文档结构图 Char1"/>
    <w:autoRedefine/>
    <w:qFormat/>
    <w:uiPriority w:val="99"/>
    <w:rPr>
      <w:rFonts w:ascii="宋体"/>
      <w:kern w:val="2"/>
      <w:sz w:val="18"/>
      <w:szCs w:val="18"/>
    </w:rPr>
  </w:style>
  <w:style w:type="paragraph" w:customStyle="1" w:styleId="162">
    <w:name w:val="样式 标题 2 + Times New Roman 四号 非加粗 段前: 5 磅 段后: 0 磅 行距: 固定值 20..."/>
    <w:basedOn w:val="3"/>
    <w:autoRedefine/>
    <w:qFormat/>
    <w:uiPriority w:val="0"/>
    <w:pPr>
      <w:spacing w:before="100" w:line="400" w:lineRule="exact"/>
    </w:pPr>
    <w:rPr>
      <w:rFonts w:ascii="Times New Roman" w:hAnsi="Times New Roman" w:cs="宋体"/>
      <w:bCs w:val="0"/>
      <w:kern w:val="0"/>
      <w:szCs w:val="20"/>
    </w:rPr>
  </w:style>
  <w:style w:type="paragraph" w:customStyle="1" w:styleId="163">
    <w:name w:val="无间距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4">
    <w:name w:val="副标题字符1"/>
    <w:autoRedefine/>
    <w:qFormat/>
    <w:uiPriority w:val="0"/>
    <w:rPr>
      <w:rFonts w:ascii="Calibri" w:hAnsi="Calibri" w:cs="Times New Roman"/>
      <w:b/>
      <w:bCs/>
      <w:kern w:val="28"/>
      <w:sz w:val="32"/>
      <w:szCs w:val="32"/>
    </w:rPr>
  </w:style>
  <w:style w:type="character" w:customStyle="1" w:styleId="165">
    <w:name w:val="明显引用字符1"/>
    <w:autoRedefine/>
    <w:qFormat/>
    <w:uiPriority w:val="0"/>
    <w:rPr>
      <w:b/>
      <w:bCs/>
      <w:i/>
      <w:iCs/>
      <w:color w:val="4F81BD"/>
      <w:kern w:val="2"/>
      <w:sz w:val="21"/>
      <w:szCs w:val="24"/>
    </w:rPr>
  </w:style>
  <w:style w:type="character" w:customStyle="1" w:styleId="166">
    <w:name w:val="引用字符1"/>
    <w:autoRedefine/>
    <w:qFormat/>
    <w:uiPriority w:val="0"/>
    <w:rPr>
      <w:i/>
      <w:iCs/>
      <w:color w:val="000000"/>
      <w:kern w:val="2"/>
      <w:sz w:val="21"/>
      <w:szCs w:val="24"/>
    </w:rPr>
  </w:style>
  <w:style w:type="paragraph" w:customStyle="1" w:styleId="167">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168">
    <w:name w:val="flNote"/>
    <w:basedOn w:val="1"/>
    <w:autoRedefine/>
    <w:qFormat/>
    <w:uiPriority w:val="0"/>
    <w:pPr>
      <w:adjustRightInd w:val="0"/>
      <w:spacing w:before="320" w:after="160" w:line="360" w:lineRule="atLeast"/>
      <w:jc w:val="center"/>
      <w:textAlignment w:val="baseline"/>
    </w:pPr>
    <w:rPr>
      <w:rFonts w:ascii="Arial" w:eastAsia="黑体"/>
      <w:sz w:val="30"/>
      <w:szCs w:val="20"/>
    </w:rPr>
  </w:style>
  <w:style w:type="paragraph" w:customStyle="1" w:styleId="169">
    <w:name w:val="空半行"/>
    <w:basedOn w:val="1"/>
    <w:autoRedefine/>
    <w:qFormat/>
    <w:uiPriority w:val="0"/>
    <w:pPr>
      <w:adjustRightInd w:val="0"/>
      <w:spacing w:line="120" w:lineRule="exact"/>
      <w:textAlignment w:val="baseline"/>
    </w:pPr>
    <w:rPr>
      <w:rFonts w:eastAsia="仿宋_GB2312"/>
      <w:color w:val="FFFFFF"/>
      <w:sz w:val="30"/>
      <w:szCs w:val="20"/>
    </w:rPr>
  </w:style>
  <w:style w:type="paragraph" w:customStyle="1" w:styleId="170">
    <w:name w:val="TOC 标题1"/>
    <w:basedOn w:val="2"/>
    <w:next w:val="1"/>
    <w:autoRedefine/>
    <w:qFormat/>
    <w:uiPriority w:val="39"/>
    <w:pPr>
      <w:spacing w:line="576" w:lineRule="auto"/>
      <w:jc w:val="both"/>
      <w:outlineLvl w:val="9"/>
    </w:pPr>
    <w:rPr>
      <w:rFonts w:ascii="Calibri" w:hAnsi="Calibri" w:eastAsia="宋体"/>
      <w:b/>
      <w:sz w:val="44"/>
    </w:rPr>
  </w:style>
  <w:style w:type="character" w:customStyle="1" w:styleId="171">
    <w:name w:val="Char Char18"/>
    <w:autoRedefine/>
    <w:qFormat/>
    <w:uiPriority w:val="0"/>
    <w:rPr>
      <w:rFonts w:ascii="Calibri" w:hAnsi="Calibri" w:eastAsia="宋体"/>
      <w:b/>
      <w:bCs/>
      <w:kern w:val="44"/>
      <w:sz w:val="44"/>
      <w:szCs w:val="44"/>
      <w:lang w:val="en-US" w:eastAsia="zh-CN" w:bidi="ar-SA"/>
    </w:rPr>
  </w:style>
  <w:style w:type="character" w:customStyle="1" w:styleId="172">
    <w:name w:val="HTML 预设格式 字符"/>
    <w:link w:val="45"/>
    <w:autoRedefine/>
    <w:qFormat/>
    <w:uiPriority w:val="99"/>
    <w:rPr>
      <w:rFonts w:ascii="Arial" w:hAnsi="Arial" w:cs="Arial"/>
      <w:sz w:val="24"/>
      <w:szCs w:val="24"/>
    </w:rPr>
  </w:style>
  <w:style w:type="paragraph" w:customStyle="1" w:styleId="173">
    <w:name w:val="Char Char Char Char11"/>
    <w:basedOn w:val="1"/>
    <w:autoRedefine/>
    <w:qFormat/>
    <w:uiPriority w:val="0"/>
    <w:pPr>
      <w:adjustRightInd w:val="0"/>
      <w:spacing w:line="360" w:lineRule="atLeast"/>
      <w:textAlignment w:val="baseline"/>
    </w:pPr>
  </w:style>
  <w:style w:type="character" w:customStyle="1" w:styleId="174">
    <w:name w:val="标题 #3_"/>
    <w:link w:val="175"/>
    <w:autoRedefine/>
    <w:qFormat/>
    <w:uiPriority w:val="0"/>
    <w:rPr>
      <w:rFonts w:ascii="MingLiU" w:hAnsi="MingLiU" w:eastAsia="MingLiU" w:cs="MingLiU"/>
      <w:spacing w:val="42"/>
      <w:sz w:val="45"/>
      <w:szCs w:val="45"/>
      <w:shd w:val="clear" w:color="auto" w:fill="FFFFFF"/>
    </w:rPr>
  </w:style>
  <w:style w:type="paragraph" w:customStyle="1" w:styleId="175">
    <w:name w:val="标题 #3"/>
    <w:basedOn w:val="1"/>
    <w:link w:val="174"/>
    <w:autoRedefine/>
    <w:qFormat/>
    <w:uiPriority w:val="0"/>
    <w:pPr>
      <w:shd w:val="clear" w:color="auto" w:fill="FFFFFF"/>
      <w:spacing w:after="660" w:line="0" w:lineRule="atLeast"/>
      <w:jc w:val="center"/>
      <w:outlineLvl w:val="2"/>
    </w:pPr>
    <w:rPr>
      <w:rFonts w:ascii="MingLiU" w:hAnsi="MingLiU" w:eastAsia="MingLiU"/>
      <w:spacing w:val="42"/>
      <w:sz w:val="45"/>
      <w:szCs w:val="45"/>
      <w:lang w:val="zh-CN"/>
    </w:rPr>
  </w:style>
  <w:style w:type="character" w:customStyle="1" w:styleId="176">
    <w:name w:val="标题 #3 + 29.5 pt"/>
    <w:autoRedefine/>
    <w:qFormat/>
    <w:uiPriority w:val="0"/>
    <w:rPr>
      <w:rFonts w:ascii="MingLiU" w:hAnsi="MingLiU" w:eastAsia="MingLiU" w:cs="MingLiU"/>
      <w:color w:val="000000"/>
      <w:spacing w:val="21"/>
      <w:w w:val="100"/>
      <w:position w:val="0"/>
      <w:sz w:val="59"/>
      <w:szCs w:val="59"/>
      <w:shd w:val="clear" w:color="auto" w:fill="FFFFFF"/>
      <w:lang w:val="en-US"/>
    </w:rPr>
  </w:style>
  <w:style w:type="character" w:customStyle="1" w:styleId="177">
    <w:name w:val="正文文本 (2)_"/>
    <w:link w:val="178"/>
    <w:autoRedefine/>
    <w:qFormat/>
    <w:uiPriority w:val="0"/>
    <w:rPr>
      <w:rFonts w:ascii="Batang" w:hAnsi="Batang" w:eastAsia="Batang" w:cs="Batang"/>
      <w:spacing w:val="-9"/>
      <w:shd w:val="clear" w:color="auto" w:fill="FFFFFF"/>
    </w:rPr>
  </w:style>
  <w:style w:type="paragraph" w:customStyle="1" w:styleId="178">
    <w:name w:val="正文文本 (2)"/>
    <w:basedOn w:val="1"/>
    <w:link w:val="177"/>
    <w:autoRedefine/>
    <w:qFormat/>
    <w:uiPriority w:val="0"/>
    <w:pPr>
      <w:shd w:val="clear" w:color="auto" w:fill="FFFFFF"/>
      <w:spacing w:before="660" w:after="7860" w:line="0" w:lineRule="atLeast"/>
    </w:pPr>
    <w:rPr>
      <w:rFonts w:ascii="Batang" w:hAnsi="Batang" w:eastAsia="Batang"/>
      <w:spacing w:val="-9"/>
      <w:sz w:val="20"/>
      <w:szCs w:val="20"/>
      <w:lang w:val="zh-CN"/>
    </w:rPr>
  </w:style>
  <w:style w:type="character" w:customStyle="1" w:styleId="179">
    <w:name w:val="标题 #1 + 间距 9 pt"/>
    <w:autoRedefine/>
    <w:qFormat/>
    <w:uiPriority w:val="0"/>
    <w:rPr>
      <w:rFonts w:ascii="MingLiU" w:hAnsi="MingLiU" w:eastAsia="MingLiU" w:cs="MingLiU"/>
      <w:color w:val="000000"/>
      <w:spacing w:val="190"/>
      <w:w w:val="100"/>
      <w:position w:val="0"/>
      <w:sz w:val="55"/>
      <w:szCs w:val="55"/>
      <w:u w:val="none"/>
      <w:lang w:val="zh-TW"/>
    </w:rPr>
  </w:style>
  <w:style w:type="character" w:customStyle="1" w:styleId="180">
    <w:name w:val="标题 #6_"/>
    <w:link w:val="181"/>
    <w:autoRedefine/>
    <w:qFormat/>
    <w:uiPriority w:val="0"/>
    <w:rPr>
      <w:rFonts w:ascii="MingLiU" w:hAnsi="MingLiU" w:eastAsia="MingLiU" w:cs="MingLiU"/>
      <w:spacing w:val="17"/>
      <w:sz w:val="34"/>
      <w:szCs w:val="34"/>
      <w:shd w:val="clear" w:color="auto" w:fill="FFFFFF"/>
    </w:rPr>
  </w:style>
  <w:style w:type="paragraph" w:customStyle="1" w:styleId="181">
    <w:name w:val="标题 #6"/>
    <w:basedOn w:val="1"/>
    <w:link w:val="180"/>
    <w:autoRedefine/>
    <w:qFormat/>
    <w:uiPriority w:val="0"/>
    <w:pPr>
      <w:shd w:val="clear" w:color="auto" w:fill="FFFFFF"/>
      <w:spacing w:before="960" w:after="120" w:line="0" w:lineRule="atLeast"/>
      <w:outlineLvl w:val="5"/>
    </w:pPr>
    <w:rPr>
      <w:rFonts w:ascii="MingLiU" w:hAnsi="MingLiU" w:eastAsia="MingLiU"/>
      <w:spacing w:val="17"/>
      <w:sz w:val="34"/>
      <w:szCs w:val="34"/>
      <w:lang w:val="zh-CN"/>
    </w:rPr>
  </w:style>
  <w:style w:type="character" w:customStyle="1" w:styleId="182">
    <w:name w:val="标题 #6 + Batang"/>
    <w:autoRedefine/>
    <w:qFormat/>
    <w:uiPriority w:val="0"/>
    <w:rPr>
      <w:rFonts w:ascii="Batang" w:hAnsi="Batang" w:eastAsia="Batang" w:cs="Batang"/>
      <w:color w:val="000000"/>
      <w:spacing w:val="13"/>
      <w:w w:val="100"/>
      <w:position w:val="0"/>
      <w:sz w:val="35"/>
      <w:szCs w:val="35"/>
      <w:shd w:val="clear" w:color="auto" w:fill="FFFFFF"/>
      <w:lang w:val="en-US"/>
    </w:rPr>
  </w:style>
  <w:style w:type="character" w:customStyle="1" w:styleId="183">
    <w:name w:val="正文文本 (11) + 间距 1 pt"/>
    <w:autoRedefine/>
    <w:qFormat/>
    <w:uiPriority w:val="0"/>
    <w:rPr>
      <w:rFonts w:ascii="MingLiU" w:hAnsi="MingLiU" w:eastAsia="MingLiU" w:cs="MingLiU"/>
      <w:color w:val="000000"/>
      <w:spacing w:val="37"/>
      <w:w w:val="100"/>
      <w:position w:val="0"/>
      <w:sz w:val="21"/>
      <w:szCs w:val="21"/>
      <w:u w:val="none"/>
      <w:lang w:val="zh-TW"/>
    </w:rPr>
  </w:style>
  <w:style w:type="character" w:customStyle="1" w:styleId="184">
    <w:name w:val="正文文本_"/>
    <w:link w:val="185"/>
    <w:autoRedefine/>
    <w:qFormat/>
    <w:uiPriority w:val="0"/>
    <w:rPr>
      <w:rFonts w:ascii="MingLiU" w:hAnsi="MingLiU" w:eastAsia="MingLiU" w:cs="MingLiU"/>
      <w:spacing w:val="11"/>
      <w:szCs w:val="21"/>
      <w:shd w:val="clear" w:color="auto" w:fill="FFFFFF"/>
    </w:rPr>
  </w:style>
  <w:style w:type="paragraph" w:customStyle="1" w:styleId="185">
    <w:name w:val="正文文本1"/>
    <w:basedOn w:val="1"/>
    <w:link w:val="184"/>
    <w:autoRedefine/>
    <w:qFormat/>
    <w:uiPriority w:val="0"/>
    <w:pPr>
      <w:shd w:val="clear" w:color="auto" w:fill="FFFFFF"/>
      <w:spacing w:before="840" w:line="346" w:lineRule="exact"/>
      <w:jc w:val="distribute"/>
    </w:pPr>
    <w:rPr>
      <w:rFonts w:ascii="MingLiU" w:hAnsi="MingLiU" w:eastAsia="MingLiU"/>
      <w:spacing w:val="11"/>
      <w:sz w:val="20"/>
      <w:szCs w:val="21"/>
      <w:lang w:val="zh-CN"/>
    </w:rPr>
  </w:style>
  <w:style w:type="character" w:customStyle="1" w:styleId="186">
    <w:name w:val="正文文本 + 间距 3 pt"/>
    <w:autoRedefine/>
    <w:qFormat/>
    <w:uiPriority w:val="0"/>
    <w:rPr>
      <w:rFonts w:ascii="MingLiU" w:hAnsi="MingLiU" w:eastAsia="MingLiU" w:cs="MingLiU"/>
      <w:color w:val="000000"/>
      <w:spacing w:val="79"/>
      <w:w w:val="100"/>
      <w:position w:val="0"/>
      <w:szCs w:val="21"/>
      <w:shd w:val="clear" w:color="auto" w:fill="FFFFFF"/>
      <w:lang w:val="zh-TW"/>
    </w:rPr>
  </w:style>
  <w:style w:type="character" w:customStyle="1" w:styleId="187">
    <w:name w:val="页眉或页脚 (3)_"/>
    <w:link w:val="188"/>
    <w:autoRedefine/>
    <w:qFormat/>
    <w:uiPriority w:val="0"/>
    <w:rPr>
      <w:rFonts w:ascii="MingLiU" w:hAnsi="MingLiU" w:eastAsia="MingLiU" w:cs="MingLiU"/>
      <w:spacing w:val="28"/>
      <w:sz w:val="19"/>
      <w:szCs w:val="19"/>
      <w:shd w:val="clear" w:color="auto" w:fill="FFFFFF"/>
    </w:rPr>
  </w:style>
  <w:style w:type="paragraph" w:customStyle="1" w:styleId="188">
    <w:name w:val="页眉或页脚 (3)"/>
    <w:basedOn w:val="1"/>
    <w:link w:val="187"/>
    <w:autoRedefine/>
    <w:qFormat/>
    <w:uiPriority w:val="0"/>
    <w:pPr>
      <w:shd w:val="clear" w:color="auto" w:fill="FFFFFF"/>
      <w:spacing w:line="0" w:lineRule="atLeast"/>
    </w:pPr>
    <w:rPr>
      <w:rFonts w:ascii="MingLiU" w:hAnsi="MingLiU" w:eastAsia="MingLiU"/>
      <w:spacing w:val="28"/>
      <w:sz w:val="19"/>
      <w:szCs w:val="19"/>
      <w:lang w:val="zh-CN"/>
    </w:rPr>
  </w:style>
  <w:style w:type="character" w:customStyle="1" w:styleId="189">
    <w:name w:val="正文文本 (13) + MingLiU"/>
    <w:autoRedefine/>
    <w:qFormat/>
    <w:uiPriority w:val="0"/>
    <w:rPr>
      <w:rFonts w:ascii="MingLiU" w:hAnsi="MingLiU" w:eastAsia="MingLiU" w:cs="MingLiU"/>
      <w:b/>
      <w:bCs/>
      <w:color w:val="000000"/>
      <w:spacing w:val="257"/>
      <w:w w:val="100"/>
      <w:position w:val="0"/>
      <w:sz w:val="23"/>
      <w:szCs w:val="23"/>
      <w:u w:val="none"/>
      <w:lang w:val="zh-TW"/>
    </w:rPr>
  </w:style>
  <w:style w:type="character" w:customStyle="1" w:styleId="190">
    <w:name w:val="标题 #5 + 间距 10 pt"/>
    <w:autoRedefine/>
    <w:qFormat/>
    <w:uiPriority w:val="0"/>
    <w:rPr>
      <w:rFonts w:ascii="MingLiU" w:hAnsi="MingLiU" w:eastAsia="MingLiU" w:cs="MingLiU"/>
      <w:color w:val="000000"/>
      <w:spacing w:val="201"/>
      <w:w w:val="100"/>
      <w:position w:val="0"/>
      <w:sz w:val="39"/>
      <w:szCs w:val="39"/>
      <w:u w:val="none"/>
      <w:lang w:val="zh-TW"/>
    </w:rPr>
  </w:style>
  <w:style w:type="character" w:customStyle="1" w:styleId="191">
    <w:name w:val="正文文本 (14) + 间距 2 pt"/>
    <w:autoRedefine/>
    <w:qFormat/>
    <w:uiPriority w:val="0"/>
    <w:rPr>
      <w:rFonts w:ascii="MingLiU" w:hAnsi="MingLiU" w:eastAsia="MingLiU" w:cs="MingLiU"/>
      <w:b/>
      <w:bCs/>
      <w:color w:val="000000"/>
      <w:spacing w:val="46"/>
      <w:w w:val="100"/>
      <w:position w:val="0"/>
      <w:sz w:val="23"/>
      <w:szCs w:val="23"/>
      <w:u w:val="none"/>
      <w:lang w:val="zh-TW"/>
    </w:rPr>
  </w:style>
  <w:style w:type="character" w:customStyle="1" w:styleId="192">
    <w:name w:val="正文文本 (11) + 11.5 pt"/>
    <w:autoRedefine/>
    <w:qFormat/>
    <w:uiPriority w:val="0"/>
    <w:rPr>
      <w:rFonts w:ascii="MingLiU" w:hAnsi="MingLiU" w:eastAsia="MingLiU" w:cs="MingLiU"/>
      <w:b/>
      <w:bCs/>
      <w:color w:val="000000"/>
      <w:spacing w:val="46"/>
      <w:w w:val="100"/>
      <w:position w:val="0"/>
      <w:sz w:val="23"/>
      <w:szCs w:val="23"/>
      <w:u w:val="none"/>
      <w:lang w:val="zh-TW"/>
    </w:rPr>
  </w:style>
  <w:style w:type="character" w:customStyle="1" w:styleId="193">
    <w:name w:val="目录 + 间距 1 pt"/>
    <w:autoRedefine/>
    <w:qFormat/>
    <w:uiPriority w:val="0"/>
    <w:rPr>
      <w:rFonts w:ascii="MingLiU" w:hAnsi="MingLiU" w:eastAsia="MingLiU" w:cs="MingLiU"/>
      <w:color w:val="000000"/>
      <w:spacing w:val="39"/>
      <w:w w:val="100"/>
      <w:position w:val="0"/>
      <w:sz w:val="21"/>
      <w:szCs w:val="21"/>
      <w:u w:val="none"/>
      <w:lang w:val="zh-TW"/>
    </w:rPr>
  </w:style>
  <w:style w:type="paragraph" w:customStyle="1" w:styleId="194">
    <w:name w:val="1"/>
    <w:basedOn w:val="1"/>
    <w:autoRedefine/>
    <w:qFormat/>
    <w:uiPriority w:val="99"/>
    <w:pPr>
      <w:adjustRightInd w:val="0"/>
      <w:spacing w:before="360" w:after="240" w:line="420" w:lineRule="atLeast"/>
      <w:ind w:firstLine="454"/>
      <w:textAlignment w:val="baseline"/>
    </w:pPr>
    <w:rPr>
      <w:b/>
      <w:szCs w:val="20"/>
    </w:rPr>
  </w:style>
  <w:style w:type="character" w:customStyle="1" w:styleId="195">
    <w:name w:val="正文文本 + 8 pt"/>
    <w:autoRedefine/>
    <w:qFormat/>
    <w:uiPriority w:val="0"/>
    <w:rPr>
      <w:rFonts w:ascii="宋体" w:hAnsi="宋体" w:eastAsia="宋体" w:cs="宋体"/>
      <w:color w:val="000000"/>
      <w:spacing w:val="2"/>
      <w:w w:val="100"/>
      <w:position w:val="0"/>
      <w:sz w:val="16"/>
      <w:szCs w:val="16"/>
      <w:u w:val="none"/>
      <w:shd w:val="clear" w:color="auto" w:fill="FFFFFF"/>
      <w:lang w:val="zh-TW"/>
    </w:rPr>
  </w:style>
  <w:style w:type="character" w:customStyle="1" w:styleId="196">
    <w:name w:val="正文文本 (5)_"/>
    <w:link w:val="197"/>
    <w:autoRedefine/>
    <w:qFormat/>
    <w:uiPriority w:val="0"/>
    <w:rPr>
      <w:rFonts w:ascii="宋体" w:hAnsi="宋体" w:eastAsia="宋体" w:cs="宋体"/>
      <w:spacing w:val="11"/>
      <w:shd w:val="clear" w:color="auto" w:fill="FFFFFF"/>
    </w:rPr>
  </w:style>
  <w:style w:type="paragraph" w:customStyle="1" w:styleId="197">
    <w:name w:val="正文文本 (5)"/>
    <w:basedOn w:val="1"/>
    <w:link w:val="196"/>
    <w:autoRedefine/>
    <w:qFormat/>
    <w:uiPriority w:val="0"/>
    <w:pPr>
      <w:shd w:val="clear" w:color="auto" w:fill="FFFFFF"/>
      <w:spacing w:after="540" w:line="0" w:lineRule="atLeast"/>
    </w:pPr>
    <w:rPr>
      <w:rFonts w:ascii="宋体" w:hAnsi="宋体"/>
      <w:spacing w:val="11"/>
      <w:sz w:val="20"/>
      <w:szCs w:val="20"/>
      <w:lang w:val="zh-CN"/>
    </w:rPr>
  </w:style>
  <w:style w:type="character" w:customStyle="1" w:styleId="198">
    <w:name w:val="正文文本 (6)_"/>
    <w:link w:val="199"/>
    <w:autoRedefine/>
    <w:qFormat/>
    <w:uiPriority w:val="0"/>
    <w:rPr>
      <w:rFonts w:ascii="Batang" w:hAnsi="Batang" w:eastAsia="Batang" w:cs="Batang"/>
      <w:spacing w:val="22"/>
      <w:sz w:val="19"/>
      <w:szCs w:val="19"/>
      <w:shd w:val="clear" w:color="auto" w:fill="FFFFFF"/>
    </w:rPr>
  </w:style>
  <w:style w:type="paragraph" w:customStyle="1" w:styleId="199">
    <w:name w:val="正文文本 (6)"/>
    <w:basedOn w:val="1"/>
    <w:link w:val="198"/>
    <w:autoRedefine/>
    <w:qFormat/>
    <w:uiPriority w:val="0"/>
    <w:pPr>
      <w:shd w:val="clear" w:color="auto" w:fill="FFFFFF"/>
      <w:spacing w:before="240" w:line="110" w:lineRule="exact"/>
      <w:jc w:val="distribute"/>
    </w:pPr>
    <w:rPr>
      <w:rFonts w:ascii="Batang" w:hAnsi="Batang" w:eastAsia="Batang"/>
      <w:spacing w:val="22"/>
      <w:sz w:val="19"/>
      <w:szCs w:val="19"/>
      <w:lang w:val="zh-CN"/>
    </w:rPr>
  </w:style>
  <w:style w:type="character" w:customStyle="1" w:styleId="200">
    <w:name w:val="正文文本 (6) + 间距 0 pt"/>
    <w:autoRedefine/>
    <w:qFormat/>
    <w:uiPriority w:val="0"/>
    <w:rPr>
      <w:rFonts w:ascii="Batang" w:hAnsi="Batang" w:eastAsia="Batang" w:cs="Batang"/>
      <w:color w:val="000000"/>
      <w:spacing w:val="-6"/>
      <w:w w:val="100"/>
      <w:position w:val="0"/>
      <w:sz w:val="19"/>
      <w:szCs w:val="19"/>
      <w:shd w:val="clear" w:color="auto" w:fill="FFFFFF"/>
    </w:rPr>
  </w:style>
  <w:style w:type="character" w:customStyle="1" w:styleId="201">
    <w:name w:val="标题 #1_"/>
    <w:link w:val="202"/>
    <w:autoRedefine/>
    <w:qFormat/>
    <w:uiPriority w:val="0"/>
    <w:rPr>
      <w:rFonts w:ascii="宋体" w:hAnsi="宋体" w:eastAsia="宋体" w:cs="宋体"/>
      <w:spacing w:val="11"/>
      <w:shd w:val="clear" w:color="auto" w:fill="FFFFFF"/>
    </w:rPr>
  </w:style>
  <w:style w:type="paragraph" w:customStyle="1" w:styleId="202">
    <w:name w:val="标题 #1"/>
    <w:basedOn w:val="1"/>
    <w:link w:val="201"/>
    <w:autoRedefine/>
    <w:qFormat/>
    <w:uiPriority w:val="0"/>
    <w:pPr>
      <w:shd w:val="clear" w:color="auto" w:fill="FFFFFF"/>
      <w:spacing w:after="240" w:line="0" w:lineRule="atLeast"/>
      <w:outlineLvl w:val="0"/>
    </w:pPr>
    <w:rPr>
      <w:rFonts w:ascii="宋体" w:hAnsi="宋体"/>
      <w:spacing w:val="11"/>
      <w:sz w:val="20"/>
      <w:szCs w:val="20"/>
      <w:lang w:val="zh-CN"/>
    </w:rPr>
  </w:style>
  <w:style w:type="character" w:customStyle="1" w:styleId="203">
    <w:name w:val="正文文本 (6) + 间距 -1 pt"/>
    <w:autoRedefine/>
    <w:qFormat/>
    <w:uiPriority w:val="0"/>
    <w:rPr>
      <w:rFonts w:ascii="Batang" w:hAnsi="Batang" w:eastAsia="Batang" w:cs="Batang"/>
      <w:color w:val="000000"/>
      <w:spacing w:val="-36"/>
      <w:w w:val="100"/>
      <w:position w:val="0"/>
      <w:sz w:val="19"/>
      <w:szCs w:val="19"/>
      <w:u w:val="none"/>
      <w:shd w:val="clear" w:color="auto" w:fill="FFFFFF"/>
      <w:lang w:val="en-US"/>
    </w:rPr>
  </w:style>
  <w:style w:type="character" w:customStyle="1" w:styleId="204">
    <w:name w:val="正文文本 (7)_"/>
    <w:link w:val="205"/>
    <w:autoRedefine/>
    <w:qFormat/>
    <w:uiPriority w:val="0"/>
    <w:rPr>
      <w:rFonts w:ascii="宋体" w:hAnsi="宋体" w:eastAsia="宋体" w:cs="宋体"/>
      <w:spacing w:val="12"/>
      <w:sz w:val="22"/>
      <w:shd w:val="clear" w:color="auto" w:fill="FFFFFF"/>
    </w:rPr>
  </w:style>
  <w:style w:type="paragraph" w:customStyle="1" w:styleId="205">
    <w:name w:val="正文文本 (7)"/>
    <w:basedOn w:val="1"/>
    <w:link w:val="204"/>
    <w:autoRedefine/>
    <w:qFormat/>
    <w:uiPriority w:val="0"/>
    <w:pPr>
      <w:shd w:val="clear" w:color="auto" w:fill="FFFFFF"/>
      <w:spacing w:line="350" w:lineRule="exact"/>
      <w:ind w:firstLine="440"/>
      <w:jc w:val="distribute"/>
    </w:pPr>
    <w:rPr>
      <w:rFonts w:ascii="宋体" w:hAnsi="宋体"/>
      <w:spacing w:val="12"/>
      <w:sz w:val="22"/>
      <w:szCs w:val="20"/>
      <w:lang w:val="zh-CN"/>
    </w:rPr>
  </w:style>
  <w:style w:type="character" w:customStyle="1" w:styleId="206">
    <w:name w:val="正文文本 (7) + 间距 -2 pt"/>
    <w:autoRedefine/>
    <w:qFormat/>
    <w:uiPriority w:val="0"/>
    <w:rPr>
      <w:rFonts w:ascii="宋体" w:hAnsi="宋体" w:eastAsia="宋体" w:cs="宋体"/>
      <w:color w:val="000000"/>
      <w:spacing w:val="-41"/>
      <w:w w:val="100"/>
      <w:position w:val="0"/>
      <w:sz w:val="22"/>
      <w:shd w:val="clear" w:color="auto" w:fill="FFFFFF"/>
      <w:lang w:val="zh-TW"/>
    </w:rPr>
  </w:style>
  <w:style w:type="character" w:customStyle="1" w:styleId="207">
    <w:name w:val="正文文本 (8)_"/>
    <w:link w:val="208"/>
    <w:autoRedefine/>
    <w:qFormat/>
    <w:uiPriority w:val="0"/>
    <w:rPr>
      <w:rFonts w:ascii="Dotum" w:hAnsi="Dotum" w:eastAsia="Dotum" w:cs="Dotum"/>
      <w:spacing w:val="-9"/>
      <w:sz w:val="14"/>
      <w:szCs w:val="14"/>
      <w:shd w:val="clear" w:color="auto" w:fill="FFFFFF"/>
    </w:rPr>
  </w:style>
  <w:style w:type="paragraph" w:customStyle="1" w:styleId="208">
    <w:name w:val="正文文本 (8)"/>
    <w:basedOn w:val="1"/>
    <w:link w:val="207"/>
    <w:autoRedefine/>
    <w:qFormat/>
    <w:uiPriority w:val="0"/>
    <w:pPr>
      <w:shd w:val="clear" w:color="auto" w:fill="FFFFFF"/>
      <w:spacing w:line="0" w:lineRule="atLeast"/>
    </w:pPr>
    <w:rPr>
      <w:rFonts w:ascii="Dotum" w:hAnsi="Dotum" w:eastAsia="Dotum"/>
      <w:spacing w:val="-9"/>
      <w:sz w:val="14"/>
      <w:szCs w:val="14"/>
      <w:lang w:val="zh-CN"/>
    </w:rPr>
  </w:style>
  <w:style w:type="character" w:customStyle="1" w:styleId="209">
    <w:name w:val="正文文本 (8) + 间距 -1 pt"/>
    <w:autoRedefine/>
    <w:qFormat/>
    <w:uiPriority w:val="0"/>
    <w:rPr>
      <w:rFonts w:ascii="Dotum" w:hAnsi="Dotum" w:eastAsia="Dotum" w:cs="Dotum"/>
      <w:color w:val="000000"/>
      <w:spacing w:val="-28"/>
      <w:w w:val="100"/>
      <w:position w:val="0"/>
      <w:sz w:val="14"/>
      <w:szCs w:val="14"/>
      <w:shd w:val="clear" w:color="auto" w:fill="FFFFFF"/>
    </w:rPr>
  </w:style>
  <w:style w:type="character" w:customStyle="1" w:styleId="210">
    <w:name w:val="目录_"/>
    <w:link w:val="211"/>
    <w:autoRedefine/>
    <w:qFormat/>
    <w:uiPriority w:val="0"/>
    <w:rPr>
      <w:rFonts w:ascii="宋体" w:hAnsi="宋体" w:eastAsia="宋体" w:cs="宋体"/>
      <w:spacing w:val="2"/>
      <w:sz w:val="22"/>
      <w:shd w:val="clear" w:color="auto" w:fill="FFFFFF"/>
    </w:rPr>
  </w:style>
  <w:style w:type="paragraph" w:customStyle="1" w:styleId="211">
    <w:name w:val="目录"/>
    <w:basedOn w:val="1"/>
    <w:link w:val="210"/>
    <w:autoRedefine/>
    <w:qFormat/>
    <w:uiPriority w:val="0"/>
    <w:pPr>
      <w:shd w:val="clear" w:color="auto" w:fill="FFFFFF"/>
      <w:spacing w:line="350" w:lineRule="exact"/>
      <w:jc w:val="distribute"/>
    </w:pPr>
    <w:rPr>
      <w:rFonts w:ascii="宋体" w:hAnsi="宋体"/>
      <w:spacing w:val="2"/>
      <w:sz w:val="22"/>
      <w:szCs w:val="20"/>
      <w:lang w:val="zh-CN"/>
    </w:rPr>
  </w:style>
  <w:style w:type="character" w:customStyle="1" w:styleId="212">
    <w:name w:val="目录 + 间距 -1 pt"/>
    <w:autoRedefine/>
    <w:qFormat/>
    <w:uiPriority w:val="0"/>
    <w:rPr>
      <w:rFonts w:ascii="宋体" w:hAnsi="宋体" w:eastAsia="宋体" w:cs="宋体"/>
      <w:color w:val="000000"/>
      <w:spacing w:val="-21"/>
      <w:w w:val="100"/>
      <w:position w:val="0"/>
      <w:sz w:val="22"/>
      <w:shd w:val="clear" w:color="auto" w:fill="FFFFFF"/>
      <w:lang w:val="zh-TW"/>
    </w:rPr>
  </w:style>
  <w:style w:type="character" w:customStyle="1" w:styleId="213">
    <w:name w:val="目录 + 间距 -2 pt"/>
    <w:autoRedefine/>
    <w:qFormat/>
    <w:uiPriority w:val="0"/>
    <w:rPr>
      <w:rFonts w:ascii="宋体" w:hAnsi="宋体" w:eastAsia="宋体" w:cs="宋体"/>
      <w:color w:val="000000"/>
      <w:spacing w:val="-41"/>
      <w:w w:val="100"/>
      <w:position w:val="0"/>
      <w:sz w:val="22"/>
      <w:shd w:val="clear" w:color="auto" w:fill="FFFFFF"/>
    </w:rPr>
  </w:style>
  <w:style w:type="character" w:customStyle="1" w:styleId="214">
    <w:name w:val="目录 + 8 pt"/>
    <w:autoRedefine/>
    <w:qFormat/>
    <w:uiPriority w:val="0"/>
    <w:rPr>
      <w:rFonts w:ascii="宋体" w:hAnsi="宋体" w:eastAsia="宋体" w:cs="宋体"/>
      <w:color w:val="000000"/>
      <w:spacing w:val="2"/>
      <w:w w:val="100"/>
      <w:position w:val="0"/>
      <w:sz w:val="16"/>
      <w:szCs w:val="16"/>
      <w:shd w:val="clear" w:color="auto" w:fill="FFFFFF"/>
    </w:rPr>
  </w:style>
  <w:style w:type="character" w:customStyle="1" w:styleId="215">
    <w:name w:val="正文文本 (9)_"/>
    <w:link w:val="216"/>
    <w:autoRedefine/>
    <w:qFormat/>
    <w:uiPriority w:val="0"/>
    <w:rPr>
      <w:rFonts w:ascii="Impact" w:hAnsi="Impact" w:eastAsia="Impact" w:cs="Impact"/>
      <w:spacing w:val="-11"/>
      <w:sz w:val="13"/>
      <w:szCs w:val="13"/>
      <w:shd w:val="clear" w:color="auto" w:fill="FFFFFF"/>
    </w:rPr>
  </w:style>
  <w:style w:type="paragraph" w:customStyle="1" w:styleId="216">
    <w:name w:val="正文文本 (9)"/>
    <w:basedOn w:val="1"/>
    <w:link w:val="215"/>
    <w:autoRedefine/>
    <w:qFormat/>
    <w:uiPriority w:val="0"/>
    <w:pPr>
      <w:shd w:val="clear" w:color="auto" w:fill="FFFFFF"/>
      <w:spacing w:line="0" w:lineRule="atLeast"/>
    </w:pPr>
    <w:rPr>
      <w:rFonts w:ascii="Impact" w:hAnsi="Impact" w:eastAsia="Impact"/>
      <w:spacing w:val="-11"/>
      <w:sz w:val="13"/>
      <w:szCs w:val="13"/>
      <w:lang w:val="zh-CN"/>
    </w:rPr>
  </w:style>
  <w:style w:type="character" w:customStyle="1" w:styleId="217">
    <w:name w:val="正文文本 (10)_"/>
    <w:link w:val="218"/>
    <w:autoRedefine/>
    <w:qFormat/>
    <w:uiPriority w:val="0"/>
    <w:rPr>
      <w:rFonts w:ascii="Franklin Gothic Heavy" w:hAnsi="Franklin Gothic Heavy" w:eastAsia="Franklin Gothic Heavy" w:cs="Franklin Gothic Heavy"/>
      <w:spacing w:val="6"/>
      <w:sz w:val="11"/>
      <w:szCs w:val="11"/>
      <w:shd w:val="clear" w:color="auto" w:fill="FFFFFF"/>
    </w:rPr>
  </w:style>
  <w:style w:type="paragraph" w:customStyle="1" w:styleId="218">
    <w:name w:val="正文文本 (10)"/>
    <w:basedOn w:val="1"/>
    <w:link w:val="217"/>
    <w:autoRedefine/>
    <w:qFormat/>
    <w:uiPriority w:val="0"/>
    <w:pPr>
      <w:shd w:val="clear" w:color="auto" w:fill="FFFFFF"/>
      <w:spacing w:line="350" w:lineRule="exact"/>
    </w:pPr>
    <w:rPr>
      <w:rFonts w:ascii="Franklin Gothic Heavy" w:hAnsi="Franklin Gothic Heavy" w:eastAsia="Franklin Gothic Heavy"/>
      <w:spacing w:val="6"/>
      <w:sz w:val="11"/>
      <w:szCs w:val="11"/>
      <w:lang w:val="zh-CN"/>
    </w:rPr>
  </w:style>
  <w:style w:type="character" w:customStyle="1" w:styleId="219">
    <w:name w:val="正文文本 + 间距 -1 pt"/>
    <w:autoRedefine/>
    <w:qFormat/>
    <w:uiPriority w:val="0"/>
    <w:rPr>
      <w:rFonts w:ascii="宋体" w:hAnsi="宋体" w:eastAsia="宋体" w:cs="宋体"/>
      <w:color w:val="000000"/>
      <w:spacing w:val="-21"/>
      <w:w w:val="100"/>
      <w:position w:val="0"/>
      <w:sz w:val="22"/>
      <w:szCs w:val="22"/>
      <w:u w:val="none"/>
      <w:shd w:val="clear" w:color="auto" w:fill="FFFFFF"/>
      <w:lang w:val="zh-TW"/>
    </w:rPr>
  </w:style>
  <w:style w:type="paragraph" w:customStyle="1" w:styleId="220">
    <w:name w:val="彩色列表 - 强调文字颜色 121"/>
    <w:basedOn w:val="1"/>
    <w:autoRedefine/>
    <w:qFormat/>
    <w:uiPriority w:val="34"/>
    <w:pPr>
      <w:ind w:firstLine="420" w:firstLineChars="200"/>
    </w:pPr>
  </w:style>
  <w:style w:type="character" w:customStyle="1" w:styleId="221">
    <w:name w:val="Body text_"/>
    <w:link w:val="222"/>
    <w:autoRedefine/>
    <w:qFormat/>
    <w:uiPriority w:val="0"/>
    <w:rPr>
      <w:rFonts w:ascii="黑体" w:hAnsi="黑体" w:eastAsia="黑体" w:cs="黑体"/>
      <w:sz w:val="22"/>
      <w:shd w:val="clear" w:color="auto" w:fill="FFFFFF"/>
    </w:rPr>
  </w:style>
  <w:style w:type="paragraph" w:customStyle="1" w:styleId="222">
    <w:name w:val="正文文本2"/>
    <w:basedOn w:val="1"/>
    <w:link w:val="221"/>
    <w:autoRedefine/>
    <w:qFormat/>
    <w:uiPriority w:val="0"/>
    <w:pPr>
      <w:shd w:val="clear" w:color="auto" w:fill="FFFFFF"/>
      <w:spacing w:after="240" w:line="0" w:lineRule="atLeast"/>
    </w:pPr>
    <w:rPr>
      <w:rFonts w:ascii="黑体" w:hAnsi="黑体" w:eastAsia="黑体"/>
      <w:sz w:val="22"/>
      <w:szCs w:val="20"/>
      <w:lang w:val="zh-CN"/>
    </w:rPr>
  </w:style>
  <w:style w:type="character" w:customStyle="1" w:styleId="223">
    <w:name w:val="Body text + 10.5 pt"/>
    <w:autoRedefine/>
    <w:qFormat/>
    <w:uiPriority w:val="0"/>
    <w:rPr>
      <w:rFonts w:ascii="黑体" w:hAnsi="黑体" w:eastAsia="黑体" w:cs="黑体"/>
      <w:color w:val="000000"/>
      <w:spacing w:val="0"/>
      <w:w w:val="100"/>
      <w:position w:val="0"/>
      <w:sz w:val="21"/>
      <w:szCs w:val="21"/>
      <w:shd w:val="clear" w:color="auto" w:fill="FFFFFF"/>
      <w:lang w:val="zh-TW"/>
    </w:rPr>
  </w:style>
  <w:style w:type="character" w:customStyle="1" w:styleId="224">
    <w:name w:val="Header or footer_"/>
    <w:autoRedefine/>
    <w:qFormat/>
    <w:uiPriority w:val="0"/>
    <w:rPr>
      <w:rFonts w:ascii="黑体" w:hAnsi="黑体" w:eastAsia="黑体" w:cs="黑体"/>
      <w:spacing w:val="20"/>
      <w:sz w:val="22"/>
      <w:szCs w:val="22"/>
      <w:u w:val="none"/>
    </w:rPr>
  </w:style>
  <w:style w:type="character" w:customStyle="1" w:styleId="225">
    <w:name w:val="Header or footer"/>
    <w:autoRedefine/>
    <w:qFormat/>
    <w:uiPriority w:val="0"/>
    <w:rPr>
      <w:rFonts w:ascii="黑体" w:hAnsi="黑体" w:eastAsia="黑体" w:cs="黑体"/>
      <w:color w:val="000000"/>
      <w:spacing w:val="20"/>
      <w:w w:val="100"/>
      <w:position w:val="0"/>
      <w:sz w:val="22"/>
      <w:szCs w:val="22"/>
      <w:u w:val="none"/>
      <w:lang w:val="zh-TW"/>
    </w:rPr>
  </w:style>
  <w:style w:type="character" w:customStyle="1" w:styleId="226">
    <w:name w:val="正文文本 + 间距 0 pt"/>
    <w:autoRedefine/>
    <w:qFormat/>
    <w:uiPriority w:val="0"/>
    <w:rPr>
      <w:rFonts w:ascii="宋体" w:hAnsi="宋体" w:eastAsia="宋体" w:cs="宋体"/>
      <w:color w:val="000000"/>
      <w:spacing w:val="8"/>
      <w:w w:val="100"/>
      <w:position w:val="0"/>
      <w:sz w:val="21"/>
      <w:szCs w:val="21"/>
      <w:shd w:val="clear" w:color="auto" w:fill="FFFFFF"/>
      <w:lang w:val="en-US"/>
    </w:rPr>
  </w:style>
  <w:style w:type="character" w:customStyle="1" w:styleId="227">
    <w:name w:val="正文文本 + 间距 1 pt"/>
    <w:autoRedefine/>
    <w:qFormat/>
    <w:uiPriority w:val="0"/>
    <w:rPr>
      <w:rFonts w:ascii="宋体" w:hAnsi="宋体" w:eastAsia="宋体" w:cs="宋体"/>
      <w:color w:val="000000"/>
      <w:spacing w:val="27"/>
      <w:w w:val="100"/>
      <w:position w:val="0"/>
      <w:sz w:val="21"/>
      <w:szCs w:val="21"/>
      <w:shd w:val="clear" w:color="auto" w:fill="FFFFFF"/>
      <w:lang w:val="zh-TW"/>
    </w:rPr>
  </w:style>
  <w:style w:type="character" w:customStyle="1" w:styleId="228">
    <w:name w:val="正文文本 (3)_"/>
    <w:link w:val="229"/>
    <w:autoRedefine/>
    <w:qFormat/>
    <w:uiPriority w:val="0"/>
    <w:rPr>
      <w:rFonts w:ascii="宋体" w:hAnsi="宋体" w:eastAsia="宋体" w:cs="宋体"/>
      <w:spacing w:val="35"/>
      <w:shd w:val="clear" w:color="auto" w:fill="FFFFFF"/>
    </w:rPr>
  </w:style>
  <w:style w:type="paragraph" w:customStyle="1" w:styleId="229">
    <w:name w:val="正文文本 (3)"/>
    <w:basedOn w:val="1"/>
    <w:link w:val="228"/>
    <w:autoRedefine/>
    <w:qFormat/>
    <w:uiPriority w:val="0"/>
    <w:pPr>
      <w:shd w:val="clear" w:color="auto" w:fill="FFFFFF"/>
      <w:spacing w:line="350" w:lineRule="exact"/>
      <w:ind w:firstLine="380"/>
      <w:jc w:val="distribute"/>
    </w:pPr>
    <w:rPr>
      <w:rFonts w:ascii="宋体" w:hAnsi="宋体"/>
      <w:spacing w:val="35"/>
      <w:sz w:val="20"/>
      <w:szCs w:val="20"/>
      <w:lang w:val="zh-CN"/>
    </w:rPr>
  </w:style>
  <w:style w:type="character" w:customStyle="1" w:styleId="230">
    <w:name w:val="标题 #1 + 间距 0 pt"/>
    <w:autoRedefine/>
    <w:qFormat/>
    <w:uiPriority w:val="0"/>
    <w:rPr>
      <w:rFonts w:ascii="宋体" w:hAnsi="宋体" w:eastAsia="宋体" w:cs="宋体"/>
      <w:color w:val="000000"/>
      <w:spacing w:val="-5"/>
      <w:w w:val="100"/>
      <w:position w:val="0"/>
      <w:sz w:val="26"/>
      <w:szCs w:val="26"/>
      <w:shd w:val="clear" w:color="auto" w:fill="FFFFFF"/>
      <w:lang w:val="zh-TW"/>
    </w:rPr>
  </w:style>
  <w:style w:type="character" w:customStyle="1" w:styleId="231">
    <w:name w:val="正文文本 (4)_"/>
    <w:link w:val="232"/>
    <w:autoRedefine/>
    <w:qFormat/>
    <w:uiPriority w:val="0"/>
    <w:rPr>
      <w:rFonts w:ascii="宋体" w:hAnsi="宋体" w:eastAsia="宋体" w:cs="宋体"/>
      <w:spacing w:val="5"/>
      <w:szCs w:val="21"/>
      <w:shd w:val="clear" w:color="auto" w:fill="FFFFFF"/>
    </w:rPr>
  </w:style>
  <w:style w:type="paragraph" w:customStyle="1" w:styleId="232">
    <w:name w:val="正文文本 (4)"/>
    <w:basedOn w:val="1"/>
    <w:link w:val="231"/>
    <w:autoRedefine/>
    <w:qFormat/>
    <w:uiPriority w:val="0"/>
    <w:pPr>
      <w:shd w:val="clear" w:color="auto" w:fill="FFFFFF"/>
      <w:spacing w:before="360" w:line="355" w:lineRule="exact"/>
      <w:ind w:firstLine="380"/>
      <w:jc w:val="distribute"/>
    </w:pPr>
    <w:rPr>
      <w:rFonts w:ascii="宋体" w:hAnsi="宋体"/>
      <w:spacing w:val="5"/>
      <w:sz w:val="20"/>
      <w:szCs w:val="21"/>
      <w:lang w:val="zh-CN"/>
    </w:rPr>
  </w:style>
  <w:style w:type="character" w:customStyle="1" w:styleId="233">
    <w:name w:val="正文文本 (4) + 间距 0 pt"/>
    <w:autoRedefine/>
    <w:qFormat/>
    <w:uiPriority w:val="0"/>
    <w:rPr>
      <w:rFonts w:ascii="宋体" w:hAnsi="宋体" w:eastAsia="宋体" w:cs="宋体"/>
      <w:color w:val="000000"/>
      <w:spacing w:val="2"/>
      <w:w w:val="100"/>
      <w:position w:val="0"/>
      <w:szCs w:val="21"/>
      <w:shd w:val="clear" w:color="auto" w:fill="FFFFFF"/>
      <w:lang w:val="zh-TW"/>
    </w:rPr>
  </w:style>
  <w:style w:type="character" w:customStyle="1" w:styleId="234">
    <w:name w:val="正文文本 (3) + 间距 0 pt"/>
    <w:autoRedefine/>
    <w:qFormat/>
    <w:uiPriority w:val="0"/>
    <w:rPr>
      <w:rFonts w:ascii="宋体" w:hAnsi="宋体" w:eastAsia="宋体" w:cs="宋体"/>
      <w:color w:val="000000"/>
      <w:spacing w:val="-2"/>
      <w:w w:val="100"/>
      <w:position w:val="0"/>
      <w:shd w:val="clear" w:color="auto" w:fill="FFFFFF"/>
      <w:lang w:val="zh-TW"/>
    </w:rPr>
  </w:style>
  <w:style w:type="paragraph" w:customStyle="1" w:styleId="235">
    <w:name w:val="正文文本3"/>
    <w:basedOn w:val="1"/>
    <w:autoRedefine/>
    <w:qFormat/>
    <w:uiPriority w:val="0"/>
    <w:pPr>
      <w:shd w:val="clear" w:color="auto" w:fill="FFFFFF"/>
      <w:spacing w:line="355" w:lineRule="exact"/>
    </w:pPr>
    <w:rPr>
      <w:rFonts w:ascii="宋体" w:hAnsi="宋体" w:cs="宋体"/>
      <w:spacing w:val="2"/>
      <w:szCs w:val="21"/>
    </w:rPr>
  </w:style>
  <w:style w:type="character" w:customStyle="1" w:styleId="236">
    <w:name w:val="标题 #2_"/>
    <w:link w:val="237"/>
    <w:autoRedefine/>
    <w:qFormat/>
    <w:uiPriority w:val="0"/>
    <w:rPr>
      <w:rFonts w:ascii="MingLiU" w:hAnsi="MingLiU" w:eastAsia="MingLiU" w:cs="MingLiU"/>
      <w:spacing w:val="24"/>
      <w:shd w:val="clear" w:color="auto" w:fill="FFFFFF"/>
    </w:rPr>
  </w:style>
  <w:style w:type="paragraph" w:customStyle="1" w:styleId="237">
    <w:name w:val="标题 #2"/>
    <w:basedOn w:val="1"/>
    <w:link w:val="236"/>
    <w:autoRedefine/>
    <w:qFormat/>
    <w:uiPriority w:val="0"/>
    <w:pPr>
      <w:shd w:val="clear" w:color="auto" w:fill="FFFFFF"/>
      <w:spacing w:before="300" w:after="480" w:line="0" w:lineRule="atLeast"/>
      <w:jc w:val="distribute"/>
      <w:outlineLvl w:val="1"/>
    </w:pPr>
    <w:rPr>
      <w:rFonts w:ascii="MingLiU" w:hAnsi="MingLiU" w:eastAsia="MingLiU"/>
      <w:spacing w:val="24"/>
      <w:sz w:val="20"/>
      <w:szCs w:val="20"/>
      <w:lang w:val="zh-CN"/>
    </w:rPr>
  </w:style>
  <w:style w:type="character" w:customStyle="1" w:styleId="238">
    <w:name w:val="表格标题 + 间距 -1 pt"/>
    <w:autoRedefine/>
    <w:qFormat/>
    <w:uiPriority w:val="0"/>
    <w:rPr>
      <w:rFonts w:ascii="MingLiU" w:hAnsi="MingLiU" w:eastAsia="MingLiU" w:cs="MingLiU"/>
      <w:color w:val="000000"/>
      <w:spacing w:val="-34"/>
      <w:w w:val="100"/>
      <w:position w:val="0"/>
      <w:sz w:val="17"/>
      <w:szCs w:val="17"/>
      <w:u w:val="none"/>
    </w:rPr>
  </w:style>
  <w:style w:type="character" w:customStyle="1" w:styleId="239">
    <w:name w:val="正文文本 (5) + 间距 -1 pt"/>
    <w:autoRedefine/>
    <w:qFormat/>
    <w:uiPriority w:val="0"/>
    <w:rPr>
      <w:rFonts w:ascii="MingLiU" w:hAnsi="MingLiU" w:eastAsia="MingLiU" w:cs="MingLiU"/>
      <w:color w:val="000000"/>
      <w:spacing w:val="-34"/>
      <w:w w:val="100"/>
      <w:position w:val="0"/>
      <w:sz w:val="17"/>
      <w:szCs w:val="17"/>
      <w:u w:val="none"/>
      <w:lang w:val="en-US"/>
    </w:rPr>
  </w:style>
  <w:style w:type="character" w:customStyle="1" w:styleId="240">
    <w:name w:val="正文文本 (5) + 间距 0 pt"/>
    <w:autoRedefine/>
    <w:qFormat/>
    <w:uiPriority w:val="0"/>
    <w:rPr>
      <w:rFonts w:ascii="MingLiU" w:hAnsi="MingLiU" w:eastAsia="MingLiU" w:cs="MingLiU"/>
      <w:color w:val="000000"/>
      <w:spacing w:val="-4"/>
      <w:w w:val="100"/>
      <w:position w:val="0"/>
      <w:sz w:val="17"/>
      <w:szCs w:val="17"/>
      <w:u w:val="none"/>
      <w:lang w:val="zh-TW"/>
    </w:rPr>
  </w:style>
  <w:style w:type="character" w:customStyle="1" w:styleId="241">
    <w:name w:val="正文文本 (14)_"/>
    <w:link w:val="242"/>
    <w:autoRedefine/>
    <w:qFormat/>
    <w:uiPriority w:val="0"/>
    <w:rPr>
      <w:rFonts w:ascii="MingLiU" w:hAnsi="MingLiU" w:eastAsia="MingLiU" w:cs="MingLiU"/>
      <w:i/>
      <w:iCs/>
      <w:spacing w:val="9"/>
      <w:szCs w:val="21"/>
      <w:shd w:val="clear" w:color="auto" w:fill="FFFFFF"/>
    </w:rPr>
  </w:style>
  <w:style w:type="paragraph" w:customStyle="1" w:styleId="242">
    <w:name w:val="正文文本 (14)"/>
    <w:basedOn w:val="1"/>
    <w:link w:val="241"/>
    <w:autoRedefine/>
    <w:qFormat/>
    <w:uiPriority w:val="0"/>
    <w:pPr>
      <w:shd w:val="clear" w:color="auto" w:fill="FFFFFF"/>
      <w:spacing w:before="300" w:line="346" w:lineRule="exact"/>
      <w:jc w:val="distribute"/>
    </w:pPr>
    <w:rPr>
      <w:rFonts w:ascii="MingLiU" w:hAnsi="MingLiU" w:eastAsia="MingLiU"/>
      <w:i/>
      <w:iCs/>
      <w:spacing w:val="9"/>
      <w:sz w:val="20"/>
      <w:szCs w:val="21"/>
      <w:lang w:val="zh-CN"/>
    </w:rPr>
  </w:style>
  <w:style w:type="paragraph" w:customStyle="1" w:styleId="243">
    <w:name w:val="表头"/>
    <w:basedOn w:val="1"/>
    <w:autoRedefine/>
    <w:qFormat/>
    <w:uiPriority w:val="0"/>
    <w:pPr>
      <w:adjustRightInd w:val="0"/>
      <w:spacing w:before="120" w:after="60" w:line="420" w:lineRule="atLeast"/>
      <w:textAlignment w:val="baseline"/>
    </w:pPr>
    <w:rPr>
      <w:rFonts w:ascii="黑体" w:eastAsia="黑体"/>
      <w:b/>
      <w:szCs w:val="20"/>
    </w:rPr>
  </w:style>
  <w:style w:type="paragraph" w:customStyle="1" w:styleId="244">
    <w:name w:val="样式1"/>
    <w:basedOn w:val="48"/>
    <w:link w:val="246"/>
    <w:autoRedefine/>
    <w:qFormat/>
    <w:uiPriority w:val="0"/>
    <w:pPr>
      <w:adjustRightInd w:val="0"/>
      <w:snapToGrid w:val="0"/>
      <w:spacing w:before="0" w:after="0" w:line="400" w:lineRule="atLeast"/>
      <w:jc w:val="left"/>
      <w:textAlignment w:val="baseline"/>
    </w:pPr>
    <w:rPr>
      <w:rFonts w:ascii="宋体" w:hAnsi="宋体"/>
      <w:sz w:val="24"/>
      <w:szCs w:val="24"/>
    </w:rPr>
  </w:style>
  <w:style w:type="paragraph" w:customStyle="1" w:styleId="245">
    <w:name w:val="样式2"/>
    <w:basedOn w:val="1"/>
    <w:link w:val="248"/>
    <w:autoRedefine/>
    <w:qFormat/>
    <w:uiPriority w:val="0"/>
    <w:pPr>
      <w:snapToGrid w:val="0"/>
      <w:spacing w:line="400" w:lineRule="atLeast"/>
    </w:pPr>
    <w:rPr>
      <w:rFonts w:ascii="黑体" w:hAnsi="黑体" w:eastAsia="黑体"/>
      <w:kern w:val="2"/>
      <w:sz w:val="30"/>
      <w:szCs w:val="30"/>
      <w:lang w:val="zh-CN"/>
    </w:rPr>
  </w:style>
  <w:style w:type="character" w:customStyle="1" w:styleId="246">
    <w:name w:val="样式1 Char"/>
    <w:link w:val="244"/>
    <w:autoRedefine/>
    <w:qFormat/>
    <w:uiPriority w:val="0"/>
    <w:rPr>
      <w:rFonts w:ascii="宋体" w:hAnsi="宋体" w:eastAsia="宋体" w:cs="Times New Roman"/>
      <w:b/>
      <w:bCs/>
      <w:kern w:val="2"/>
      <w:sz w:val="24"/>
      <w:szCs w:val="24"/>
    </w:rPr>
  </w:style>
  <w:style w:type="paragraph" w:customStyle="1" w:styleId="247">
    <w:name w:val="样式3"/>
    <w:basedOn w:val="1"/>
    <w:link w:val="250"/>
    <w:autoRedefine/>
    <w:qFormat/>
    <w:uiPriority w:val="0"/>
    <w:pPr>
      <w:snapToGrid w:val="0"/>
      <w:spacing w:beforeLines="100" w:afterLines="100" w:line="400" w:lineRule="atLeast"/>
      <w:jc w:val="center"/>
    </w:pPr>
    <w:rPr>
      <w:rFonts w:ascii="黑体" w:hAnsi="黑体" w:eastAsia="黑体"/>
      <w:kern w:val="2"/>
      <w:sz w:val="30"/>
      <w:szCs w:val="30"/>
      <w:lang w:val="zh-CN"/>
    </w:rPr>
  </w:style>
  <w:style w:type="character" w:customStyle="1" w:styleId="248">
    <w:name w:val="样式2 Char"/>
    <w:link w:val="245"/>
    <w:autoRedefine/>
    <w:qFormat/>
    <w:uiPriority w:val="0"/>
    <w:rPr>
      <w:rFonts w:ascii="黑体" w:hAnsi="黑体" w:eastAsia="黑体" w:cs="Times New Roman"/>
      <w:kern w:val="2"/>
      <w:sz w:val="30"/>
      <w:szCs w:val="30"/>
    </w:rPr>
  </w:style>
  <w:style w:type="paragraph" w:customStyle="1" w:styleId="249">
    <w:name w:val="样式4"/>
    <w:basedOn w:val="1"/>
    <w:link w:val="251"/>
    <w:autoRedefine/>
    <w:qFormat/>
    <w:uiPriority w:val="0"/>
    <w:pPr>
      <w:snapToGrid w:val="0"/>
      <w:spacing w:line="400" w:lineRule="atLeast"/>
    </w:pPr>
    <w:rPr>
      <w:rFonts w:ascii="Calibri" w:hAnsi="Calibri"/>
      <w:b/>
      <w:kern w:val="2"/>
      <w:lang w:val="zh-CN"/>
    </w:rPr>
  </w:style>
  <w:style w:type="character" w:customStyle="1" w:styleId="250">
    <w:name w:val="样式3 Char"/>
    <w:link w:val="247"/>
    <w:autoRedefine/>
    <w:qFormat/>
    <w:uiPriority w:val="0"/>
    <w:rPr>
      <w:rFonts w:ascii="黑体" w:hAnsi="黑体" w:eastAsia="黑体" w:cs="Times New Roman"/>
      <w:kern w:val="2"/>
      <w:sz w:val="30"/>
      <w:szCs w:val="30"/>
    </w:rPr>
  </w:style>
  <w:style w:type="character" w:customStyle="1" w:styleId="251">
    <w:name w:val="样式4 Char"/>
    <w:link w:val="249"/>
    <w:autoRedefine/>
    <w:qFormat/>
    <w:uiPriority w:val="0"/>
    <w:rPr>
      <w:rFonts w:ascii="Calibri" w:hAnsi="Calibri" w:eastAsia="宋体" w:cs="Times New Roman"/>
      <w:b/>
      <w:kern w:val="2"/>
      <w:sz w:val="24"/>
      <w:szCs w:val="24"/>
    </w:rPr>
  </w:style>
  <w:style w:type="paragraph" w:customStyle="1" w:styleId="252">
    <w:name w:val="样式5"/>
    <w:basedOn w:val="1"/>
    <w:link w:val="254"/>
    <w:autoRedefine/>
    <w:qFormat/>
    <w:uiPriority w:val="0"/>
    <w:pPr>
      <w:spacing w:line="400" w:lineRule="atLeast"/>
      <w:jc w:val="center"/>
      <w:outlineLvl w:val="0"/>
    </w:pPr>
    <w:rPr>
      <w:rFonts w:ascii="宋体" w:hAnsi="宋体"/>
      <w:spacing w:val="30"/>
      <w:kern w:val="2"/>
      <w:sz w:val="52"/>
      <w:szCs w:val="52"/>
      <w:lang w:val="zh-CN"/>
    </w:rPr>
  </w:style>
  <w:style w:type="paragraph" w:customStyle="1" w:styleId="253">
    <w:name w:val="样式6"/>
    <w:basedOn w:val="1"/>
    <w:link w:val="256"/>
    <w:autoRedefine/>
    <w:qFormat/>
    <w:uiPriority w:val="0"/>
    <w:pPr>
      <w:jc w:val="center"/>
    </w:pPr>
    <w:rPr>
      <w:rFonts w:ascii="宋体" w:hAnsi="宋体"/>
      <w:kern w:val="2"/>
      <w:lang w:val="zh-CN"/>
    </w:rPr>
  </w:style>
  <w:style w:type="character" w:customStyle="1" w:styleId="254">
    <w:name w:val="样式5 Char"/>
    <w:link w:val="252"/>
    <w:autoRedefine/>
    <w:qFormat/>
    <w:uiPriority w:val="0"/>
    <w:rPr>
      <w:rFonts w:ascii="宋体" w:hAnsi="宋体" w:eastAsia="宋体"/>
      <w:spacing w:val="30"/>
      <w:kern w:val="2"/>
      <w:sz w:val="52"/>
      <w:szCs w:val="52"/>
    </w:rPr>
  </w:style>
  <w:style w:type="paragraph" w:customStyle="1" w:styleId="255">
    <w:name w:val="样式7"/>
    <w:basedOn w:val="1"/>
    <w:link w:val="258"/>
    <w:autoRedefine/>
    <w:qFormat/>
    <w:uiPriority w:val="0"/>
    <w:rPr>
      <w:rFonts w:ascii="Calibri" w:hAnsi="Calibri"/>
      <w:kern w:val="2"/>
      <w:sz w:val="48"/>
      <w:szCs w:val="22"/>
      <w:lang w:val="zh-CN"/>
    </w:rPr>
  </w:style>
  <w:style w:type="character" w:customStyle="1" w:styleId="256">
    <w:name w:val="样式6 Char"/>
    <w:link w:val="253"/>
    <w:autoRedefine/>
    <w:qFormat/>
    <w:uiPriority w:val="0"/>
    <w:rPr>
      <w:rFonts w:ascii="宋体" w:hAnsi="宋体" w:eastAsia="宋体" w:cs="Times New Roman"/>
      <w:kern w:val="2"/>
      <w:sz w:val="24"/>
      <w:szCs w:val="24"/>
    </w:rPr>
  </w:style>
  <w:style w:type="paragraph" w:customStyle="1" w:styleId="257">
    <w:name w:val="样式8"/>
    <w:basedOn w:val="1"/>
    <w:link w:val="259"/>
    <w:autoRedefine/>
    <w:qFormat/>
    <w:uiPriority w:val="0"/>
    <w:pPr>
      <w:spacing w:line="400" w:lineRule="atLeast"/>
      <w:jc w:val="center"/>
      <w:outlineLvl w:val="0"/>
    </w:pPr>
    <w:rPr>
      <w:rFonts w:ascii="宋体" w:hAnsi="宋体"/>
      <w:spacing w:val="30"/>
      <w:kern w:val="2"/>
      <w:sz w:val="36"/>
      <w:lang w:val="zh-CN"/>
    </w:rPr>
  </w:style>
  <w:style w:type="character" w:customStyle="1" w:styleId="258">
    <w:name w:val="样式7 Char"/>
    <w:link w:val="255"/>
    <w:autoRedefine/>
    <w:qFormat/>
    <w:uiPriority w:val="0"/>
    <w:rPr>
      <w:rFonts w:ascii="Calibri" w:hAnsi="Calibri" w:eastAsia="宋体" w:cs="Times New Roman"/>
      <w:kern w:val="2"/>
      <w:sz w:val="48"/>
      <w:szCs w:val="22"/>
    </w:rPr>
  </w:style>
  <w:style w:type="character" w:customStyle="1" w:styleId="259">
    <w:name w:val="样式8 Char"/>
    <w:link w:val="257"/>
    <w:autoRedefine/>
    <w:qFormat/>
    <w:uiPriority w:val="0"/>
    <w:rPr>
      <w:rFonts w:ascii="宋体" w:hAnsi="宋体" w:eastAsia="宋体"/>
      <w:spacing w:val="30"/>
      <w:kern w:val="2"/>
      <w:sz w:val="36"/>
      <w:szCs w:val="24"/>
    </w:rPr>
  </w:style>
  <w:style w:type="paragraph" w:customStyle="1" w:styleId="260">
    <w:name w:val="样式9"/>
    <w:link w:val="261"/>
    <w:autoRedefine/>
    <w:qFormat/>
    <w:uiPriority w:val="0"/>
    <w:pPr>
      <w:jc w:val="center"/>
    </w:pPr>
    <w:rPr>
      <w:rFonts w:ascii="宋体" w:hAnsi="宋体" w:eastAsia="宋体" w:cs="Franklin Gothic Heavy"/>
      <w:spacing w:val="6"/>
      <w:kern w:val="2"/>
      <w:sz w:val="11"/>
      <w:szCs w:val="24"/>
      <w:lang w:val="en-US" w:eastAsia="zh-CN" w:bidi="ar-SA"/>
    </w:rPr>
  </w:style>
  <w:style w:type="character" w:customStyle="1" w:styleId="261">
    <w:name w:val="样式9 Char"/>
    <w:link w:val="260"/>
    <w:autoRedefine/>
    <w:qFormat/>
    <w:uiPriority w:val="0"/>
    <w:rPr>
      <w:rFonts w:ascii="宋体" w:hAnsi="宋体" w:cs="Franklin Gothic Heavy"/>
      <w:spacing w:val="6"/>
      <w:kern w:val="2"/>
      <w:sz w:val="11"/>
      <w:szCs w:val="24"/>
      <w:lang w:val="en-US" w:eastAsia="zh-CN" w:bidi="ar-SA"/>
    </w:rPr>
  </w:style>
  <w:style w:type="paragraph" w:customStyle="1" w:styleId="262">
    <w:name w:val="目录标题"/>
    <w:basedOn w:val="2"/>
    <w:next w:val="1"/>
    <w:autoRedefine/>
    <w:qFormat/>
    <w:uiPriority w:val="39"/>
    <w:pPr>
      <w:spacing w:before="480" w:after="0" w:line="276" w:lineRule="auto"/>
      <w:jc w:val="left"/>
      <w:outlineLvl w:val="9"/>
    </w:pPr>
    <w:rPr>
      <w:rFonts w:ascii="Cambria" w:hAnsi="Cambria" w:eastAsia="宋体"/>
      <w:b/>
      <w:color w:val="365F91"/>
      <w:kern w:val="0"/>
      <w:sz w:val="44"/>
      <w:szCs w:val="28"/>
    </w:rPr>
  </w:style>
  <w:style w:type="character" w:customStyle="1" w:styleId="263">
    <w:name w:val="中等深浅网格 11"/>
    <w:autoRedefine/>
    <w:semiHidden/>
    <w:qFormat/>
    <w:uiPriority w:val="99"/>
    <w:rPr>
      <w:color w:val="808080"/>
    </w:rPr>
  </w:style>
  <w:style w:type="paragraph" w:customStyle="1" w:styleId="264">
    <w:name w:val="彩色底纹 - 强调文字颜色 121"/>
    <w:autoRedefine/>
    <w:hidden/>
    <w:semiHidden/>
    <w:qFormat/>
    <w:uiPriority w:val="71"/>
    <w:rPr>
      <w:rFonts w:ascii="Times New Roman" w:hAnsi="Times New Roman" w:eastAsia="宋体" w:cs="Times New Roman"/>
      <w:kern w:val="2"/>
      <w:sz w:val="21"/>
      <w:szCs w:val="24"/>
      <w:lang w:val="en-US" w:eastAsia="zh-CN" w:bidi="ar-SA"/>
    </w:rPr>
  </w:style>
  <w:style w:type="character" w:customStyle="1" w:styleId="265">
    <w:name w:val="正文文本缩进 字符"/>
    <w:link w:val="22"/>
    <w:autoRedefine/>
    <w:qFormat/>
    <w:uiPriority w:val="99"/>
    <w:rPr>
      <w:rFonts w:ascii="宋体" w:cs="宋体"/>
      <w:color w:val="000000"/>
      <w:sz w:val="21"/>
      <w:szCs w:val="21"/>
    </w:rPr>
  </w:style>
  <w:style w:type="character" w:customStyle="1" w:styleId="266">
    <w:name w:val="副标题 Char1"/>
    <w:autoRedefine/>
    <w:qFormat/>
    <w:uiPriority w:val="11"/>
    <w:rPr>
      <w:rFonts w:ascii="Cambria" w:hAnsi="Cambria" w:eastAsia="宋体" w:cs="Times New Roman"/>
      <w:b/>
      <w:bCs/>
      <w:kern w:val="28"/>
      <w:sz w:val="32"/>
      <w:szCs w:val="32"/>
    </w:rPr>
  </w:style>
  <w:style w:type="paragraph" w:customStyle="1" w:styleId="267">
    <w:name w:val="目录标题1"/>
    <w:basedOn w:val="2"/>
    <w:next w:val="1"/>
    <w:autoRedefine/>
    <w:qFormat/>
    <w:uiPriority w:val="39"/>
    <w:pPr>
      <w:spacing w:before="480" w:after="0" w:line="276" w:lineRule="auto"/>
      <w:jc w:val="left"/>
      <w:outlineLvl w:val="9"/>
    </w:pPr>
    <w:rPr>
      <w:rFonts w:ascii="Cambria" w:hAnsi="Cambria" w:eastAsia="宋体"/>
      <w:b/>
      <w:color w:val="365F91"/>
      <w:kern w:val="0"/>
      <w:sz w:val="44"/>
      <w:szCs w:val="28"/>
    </w:rPr>
  </w:style>
  <w:style w:type="character" w:customStyle="1" w:styleId="268">
    <w:name w:val="占位符文本1"/>
    <w:autoRedefine/>
    <w:qFormat/>
    <w:uiPriority w:val="99"/>
    <w:rPr>
      <w:color w:val="808080"/>
    </w:rPr>
  </w:style>
  <w:style w:type="paragraph" w:customStyle="1" w:styleId="269">
    <w:name w:val="15表格"/>
    <w:basedOn w:val="1"/>
    <w:link w:val="270"/>
    <w:autoRedefine/>
    <w:qFormat/>
    <w:uiPriority w:val="0"/>
    <w:pPr>
      <w:spacing w:line="280" w:lineRule="atLeast"/>
      <w:jc w:val="center"/>
    </w:pPr>
    <w:rPr>
      <w:kern w:val="2"/>
      <w:sz w:val="18"/>
      <w:szCs w:val="20"/>
      <w:lang w:val="zh-CN"/>
    </w:rPr>
  </w:style>
  <w:style w:type="character" w:customStyle="1" w:styleId="270">
    <w:name w:val="15表格 Char"/>
    <w:link w:val="269"/>
    <w:autoRedefine/>
    <w:qFormat/>
    <w:uiPriority w:val="0"/>
    <w:rPr>
      <w:kern w:val="2"/>
      <w:sz w:val="18"/>
    </w:rPr>
  </w:style>
  <w:style w:type="paragraph" w:customStyle="1" w:styleId="271">
    <w:name w:val="表格"/>
    <w:basedOn w:val="1"/>
    <w:autoRedefine/>
    <w:qFormat/>
    <w:uiPriority w:val="0"/>
    <w:pPr>
      <w:spacing w:line="580" w:lineRule="exact"/>
    </w:pPr>
    <w:rPr>
      <w:szCs w:val="21"/>
    </w:rPr>
  </w:style>
  <w:style w:type="paragraph" w:customStyle="1" w:styleId="272">
    <w:name w:val="14表格名"/>
    <w:basedOn w:val="1"/>
    <w:link w:val="273"/>
    <w:autoRedefine/>
    <w:qFormat/>
    <w:uiPriority w:val="0"/>
    <w:pPr>
      <w:spacing w:before="80" w:line="560" w:lineRule="exact"/>
      <w:jc w:val="center"/>
    </w:pPr>
    <w:rPr>
      <w:rFonts w:ascii="Calibri" w:hAnsi="Calibri" w:eastAsia="黑体"/>
      <w:b/>
      <w:kern w:val="2"/>
      <w:sz w:val="28"/>
      <w:szCs w:val="20"/>
      <w:lang w:val="zh-CN"/>
    </w:rPr>
  </w:style>
  <w:style w:type="character" w:customStyle="1" w:styleId="273">
    <w:name w:val="14表格名 Char"/>
    <w:link w:val="272"/>
    <w:autoRedefine/>
    <w:qFormat/>
    <w:uiPriority w:val="0"/>
    <w:rPr>
      <w:rFonts w:ascii="Calibri" w:hAnsi="Calibri" w:eastAsia="黑体"/>
      <w:b/>
      <w:kern w:val="2"/>
      <w:sz w:val="28"/>
    </w:rPr>
  </w:style>
  <w:style w:type="paragraph" w:customStyle="1" w:styleId="274">
    <w:name w:val="正文强调"/>
    <w:basedOn w:val="1"/>
    <w:autoRedefine/>
    <w:qFormat/>
    <w:uiPriority w:val="0"/>
    <w:pPr>
      <w:spacing w:beforeLines="50" w:afterLines="50" w:line="360" w:lineRule="auto"/>
      <w:jc w:val="center"/>
    </w:pPr>
    <w:rPr>
      <w:rFonts w:eastAsia="黑体"/>
      <w:b/>
      <w:sz w:val="44"/>
      <w:szCs w:val="21"/>
    </w:rPr>
  </w:style>
  <w:style w:type="paragraph" w:customStyle="1" w:styleId="275">
    <w:name w:val="样式 正文1 + 加粗"/>
    <w:basedOn w:val="1"/>
    <w:link w:val="276"/>
    <w:autoRedefine/>
    <w:qFormat/>
    <w:uiPriority w:val="0"/>
    <w:pPr>
      <w:spacing w:line="360" w:lineRule="auto"/>
      <w:ind w:firstLine="200" w:firstLineChars="200"/>
    </w:pPr>
    <w:rPr>
      <w:b/>
      <w:bCs/>
      <w:kern w:val="2"/>
      <w:szCs w:val="32"/>
      <w:lang w:val="zh-CN"/>
    </w:rPr>
  </w:style>
  <w:style w:type="character" w:customStyle="1" w:styleId="276">
    <w:name w:val="样式 正文1 + 加粗 Char"/>
    <w:link w:val="275"/>
    <w:autoRedefine/>
    <w:qFormat/>
    <w:uiPriority w:val="0"/>
    <w:rPr>
      <w:rFonts w:cs="Arial"/>
      <w:b/>
      <w:bCs/>
      <w:kern w:val="2"/>
      <w:sz w:val="24"/>
      <w:szCs w:val="32"/>
    </w:rPr>
  </w:style>
  <w:style w:type="paragraph" w:customStyle="1" w:styleId="277">
    <w:name w:val="正文1"/>
    <w:basedOn w:val="1"/>
    <w:autoRedefine/>
    <w:qFormat/>
    <w:uiPriority w:val="99"/>
    <w:pPr>
      <w:spacing w:line="360" w:lineRule="auto"/>
      <w:ind w:firstLine="480" w:firstLineChars="200"/>
    </w:pPr>
    <w:rPr>
      <w:rFonts w:cs="宋体"/>
      <w:szCs w:val="20"/>
    </w:rPr>
  </w:style>
  <w:style w:type="paragraph" w:customStyle="1" w:styleId="278">
    <w:name w:val="样式 样式 样式 样式 样式 样式 标题 1 + (中文) 仿宋_GB2312 三号 段前: 0.5 行 段后: 0.5 行 行...1"/>
    <w:basedOn w:val="1"/>
    <w:autoRedefine/>
    <w:qFormat/>
    <w:uiPriority w:val="99"/>
    <w:pPr>
      <w:numPr>
        <w:ilvl w:val="0"/>
        <w:numId w:val="2"/>
      </w:numPr>
      <w:tabs>
        <w:tab w:val="left" w:pos="851"/>
        <w:tab w:val="left" w:pos="1276"/>
        <w:tab w:val="left" w:pos="3828"/>
        <w:tab w:val="left" w:pos="4253"/>
        <w:tab w:val="left" w:pos="4678"/>
      </w:tabs>
      <w:spacing w:beforeLines="50" w:afterLines="50" w:line="360" w:lineRule="auto"/>
      <w:jc w:val="center"/>
      <w:outlineLvl w:val="0"/>
    </w:pPr>
    <w:rPr>
      <w:rFonts w:ascii="仿宋_GB2312" w:hAnsi="宋体" w:eastAsia="仿宋_GB2312" w:cs="宋体"/>
      <w:b/>
      <w:bCs/>
      <w:caps/>
      <w:sz w:val="32"/>
      <w:szCs w:val="20"/>
      <w:lang w:val="en-GB"/>
    </w:rPr>
  </w:style>
  <w:style w:type="paragraph" w:customStyle="1" w:styleId="279">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280">
    <w:name w:val="页眉 字符"/>
    <w:autoRedefine/>
    <w:qFormat/>
    <w:uiPriority w:val="99"/>
    <w:rPr>
      <w:sz w:val="18"/>
      <w:szCs w:val="18"/>
    </w:rPr>
  </w:style>
  <w:style w:type="character" w:customStyle="1" w:styleId="281">
    <w:name w:val="页脚 字符"/>
    <w:autoRedefine/>
    <w:qFormat/>
    <w:uiPriority w:val="99"/>
    <w:rPr>
      <w:sz w:val="18"/>
      <w:szCs w:val="18"/>
    </w:rPr>
  </w:style>
  <w:style w:type="character" w:customStyle="1" w:styleId="282">
    <w:name w:val="标题 1 字符"/>
    <w:autoRedefine/>
    <w:qFormat/>
    <w:uiPriority w:val="0"/>
    <w:rPr>
      <w:b/>
      <w:bCs/>
      <w:kern w:val="44"/>
      <w:sz w:val="44"/>
      <w:szCs w:val="44"/>
    </w:rPr>
  </w:style>
  <w:style w:type="character" w:customStyle="1" w:styleId="283">
    <w:name w:val="标题 2 字符"/>
    <w:autoRedefine/>
    <w:qFormat/>
    <w:uiPriority w:val="99"/>
    <w:rPr>
      <w:rFonts w:ascii="Cambria" w:hAnsi="Cambria" w:eastAsia="宋体" w:cs="Times New Roman"/>
      <w:b/>
      <w:bCs/>
      <w:kern w:val="2"/>
      <w:sz w:val="32"/>
      <w:szCs w:val="32"/>
    </w:rPr>
  </w:style>
  <w:style w:type="character" w:customStyle="1" w:styleId="284">
    <w:name w:val="标题 3 字符"/>
    <w:autoRedefine/>
    <w:qFormat/>
    <w:uiPriority w:val="9"/>
    <w:rPr>
      <w:b/>
      <w:bCs/>
      <w:kern w:val="2"/>
      <w:sz w:val="32"/>
      <w:szCs w:val="32"/>
    </w:rPr>
  </w:style>
  <w:style w:type="character" w:customStyle="1" w:styleId="285">
    <w:name w:val="标题 4 字符"/>
    <w:autoRedefine/>
    <w:qFormat/>
    <w:uiPriority w:val="9"/>
    <w:rPr>
      <w:rFonts w:ascii="Cambria" w:hAnsi="Cambria" w:eastAsia="宋体" w:cs="Times New Roman"/>
      <w:b/>
      <w:bCs/>
      <w:kern w:val="2"/>
      <w:sz w:val="28"/>
      <w:szCs w:val="28"/>
    </w:rPr>
  </w:style>
  <w:style w:type="paragraph" w:customStyle="1" w:styleId="286">
    <w:name w:val="TOC 标题2"/>
    <w:basedOn w:val="2"/>
    <w:next w:val="1"/>
    <w:autoRedefine/>
    <w:qFormat/>
    <w:uiPriority w:val="39"/>
    <w:pPr>
      <w:spacing w:before="480" w:after="0" w:line="276" w:lineRule="auto"/>
      <w:jc w:val="left"/>
      <w:outlineLvl w:val="9"/>
    </w:pPr>
    <w:rPr>
      <w:rFonts w:ascii="Cambria" w:hAnsi="Cambria" w:eastAsia="宋体"/>
      <w:b/>
      <w:color w:val="365F91"/>
      <w:kern w:val="0"/>
      <w:sz w:val="28"/>
      <w:szCs w:val="28"/>
      <w:lang w:val="en-US"/>
    </w:rPr>
  </w:style>
  <w:style w:type="character" w:customStyle="1" w:styleId="287">
    <w:name w:val="批注框文本 字符"/>
    <w:autoRedefine/>
    <w:qFormat/>
    <w:uiPriority w:val="99"/>
    <w:rPr>
      <w:kern w:val="2"/>
      <w:sz w:val="18"/>
      <w:szCs w:val="18"/>
    </w:rPr>
  </w:style>
  <w:style w:type="character" w:customStyle="1" w:styleId="288">
    <w:name w:val="日期 字符"/>
    <w:autoRedefine/>
    <w:qFormat/>
    <w:uiPriority w:val="99"/>
    <w:rPr>
      <w:kern w:val="2"/>
      <w:sz w:val="21"/>
      <w:szCs w:val="22"/>
    </w:rPr>
  </w:style>
  <w:style w:type="character" w:customStyle="1" w:styleId="289">
    <w:name w:val="批注文字 字符"/>
    <w:autoRedefine/>
    <w:qFormat/>
    <w:uiPriority w:val="0"/>
    <w:rPr>
      <w:kern w:val="2"/>
      <w:sz w:val="21"/>
      <w:szCs w:val="22"/>
    </w:rPr>
  </w:style>
  <w:style w:type="character" w:customStyle="1" w:styleId="290">
    <w:name w:val="批注主题 字符"/>
    <w:autoRedefine/>
    <w:qFormat/>
    <w:uiPriority w:val="99"/>
    <w:rPr>
      <w:b/>
      <w:bCs/>
      <w:kern w:val="2"/>
      <w:sz w:val="21"/>
      <w:szCs w:val="22"/>
    </w:rPr>
  </w:style>
  <w:style w:type="character" w:customStyle="1" w:styleId="291">
    <w:name w:val="未处理的提及1"/>
    <w:autoRedefine/>
    <w:unhideWhenUsed/>
    <w:qFormat/>
    <w:uiPriority w:val="99"/>
    <w:rPr>
      <w:color w:val="808080"/>
      <w:shd w:val="clear" w:color="auto" w:fill="E6E6E6"/>
    </w:rPr>
  </w:style>
  <w:style w:type="character" w:styleId="292">
    <w:name w:val="Placeholder Text"/>
    <w:autoRedefine/>
    <w:unhideWhenUsed/>
    <w:qFormat/>
    <w:uiPriority w:val="99"/>
    <w:rPr>
      <w:color w:val="808080"/>
    </w:rPr>
  </w:style>
  <w:style w:type="character" w:customStyle="1" w:styleId="293">
    <w:name w:val="标题 3 Char"/>
    <w:autoRedefine/>
    <w:qFormat/>
    <w:uiPriority w:val="0"/>
    <w:rPr>
      <w:rFonts w:eastAsia="黑体"/>
      <w:bCs/>
      <w:kern w:val="2"/>
      <w:sz w:val="24"/>
      <w:szCs w:val="32"/>
    </w:rPr>
  </w:style>
  <w:style w:type="paragraph" w:customStyle="1" w:styleId="294">
    <w:name w:val="标题111"/>
    <w:basedOn w:val="1"/>
    <w:autoRedefine/>
    <w:qFormat/>
    <w:uiPriority w:val="0"/>
    <w:pPr>
      <w:widowControl w:val="0"/>
      <w:spacing w:line="400" w:lineRule="exact"/>
      <w:ind w:firstLine="482"/>
      <w:jc w:val="center"/>
      <w:outlineLvl w:val="0"/>
    </w:pPr>
    <w:rPr>
      <w:rFonts w:ascii="宋体" w:hAnsi="宋体" w:cs="仿宋"/>
      <w:b/>
      <w:kern w:val="2"/>
    </w:rPr>
  </w:style>
  <w:style w:type="paragraph" w:customStyle="1" w:styleId="295">
    <w:name w:val="标题222"/>
    <w:basedOn w:val="1"/>
    <w:autoRedefine/>
    <w:qFormat/>
    <w:uiPriority w:val="0"/>
    <w:pPr>
      <w:widowControl w:val="0"/>
      <w:spacing w:line="400" w:lineRule="exact"/>
      <w:ind w:firstLine="200" w:firstLineChars="200"/>
      <w:jc w:val="both"/>
      <w:outlineLvl w:val="1"/>
    </w:pPr>
    <w:rPr>
      <w:rFonts w:ascii="宋体" w:hAnsi="宋体" w:cs="仿宋"/>
      <w:b/>
      <w:bCs/>
      <w:kern w:val="2"/>
    </w:rPr>
  </w:style>
  <w:style w:type="character" w:customStyle="1" w:styleId="296">
    <w:name w:val="标题 2 Char"/>
    <w:autoRedefine/>
    <w:qFormat/>
    <w:uiPriority w:val="0"/>
    <w:rPr>
      <w:rFonts w:ascii="Arial" w:hAnsi="Arial" w:eastAsia="黑体"/>
      <w:b/>
      <w:bCs/>
      <w:kern w:val="2"/>
      <w:sz w:val="32"/>
      <w:szCs w:val="32"/>
      <w:lang w:val="en-US" w:eastAsia="zh-CN" w:bidi="ar-SA"/>
    </w:rPr>
  </w:style>
  <w:style w:type="character" w:customStyle="1" w:styleId="297">
    <w:name w:val="文档结构图 Char"/>
    <w:autoRedefine/>
    <w:qFormat/>
    <w:uiPriority w:val="99"/>
    <w:rPr>
      <w:rFonts w:ascii="宋体"/>
      <w:kern w:val="2"/>
      <w:sz w:val="18"/>
      <w:szCs w:val="18"/>
    </w:rPr>
  </w:style>
  <w:style w:type="character" w:customStyle="1" w:styleId="298">
    <w:name w:val="页眉 Char"/>
    <w:autoRedefine/>
    <w:qFormat/>
    <w:uiPriority w:val="99"/>
    <w:rPr>
      <w:kern w:val="2"/>
      <w:sz w:val="18"/>
      <w:szCs w:val="18"/>
    </w:rPr>
  </w:style>
  <w:style w:type="character" w:customStyle="1" w:styleId="299">
    <w:name w:val="标题 4 Char"/>
    <w:autoRedefine/>
    <w:qFormat/>
    <w:uiPriority w:val="0"/>
    <w:rPr>
      <w:rFonts w:ascii="Cambria" w:hAnsi="Cambria" w:eastAsia="宋体" w:cs="Times New Roman"/>
      <w:b/>
      <w:bCs/>
      <w:kern w:val="2"/>
      <w:sz w:val="28"/>
      <w:szCs w:val="28"/>
    </w:rPr>
  </w:style>
  <w:style w:type="character" w:customStyle="1" w:styleId="300">
    <w:name w:val="标题 5 Char"/>
    <w:autoRedefine/>
    <w:qFormat/>
    <w:uiPriority w:val="0"/>
    <w:rPr>
      <w:b/>
      <w:bCs/>
      <w:kern w:val="2"/>
      <w:sz w:val="28"/>
      <w:szCs w:val="28"/>
    </w:rPr>
  </w:style>
  <w:style w:type="character" w:customStyle="1" w:styleId="301">
    <w:name w:val="标题 6 Char"/>
    <w:autoRedefine/>
    <w:qFormat/>
    <w:uiPriority w:val="0"/>
    <w:rPr>
      <w:rFonts w:ascii="Cambria" w:hAnsi="Cambria" w:eastAsia="宋体" w:cs="Times New Roman"/>
      <w:b/>
      <w:bCs/>
      <w:kern w:val="2"/>
      <w:sz w:val="24"/>
      <w:szCs w:val="24"/>
    </w:rPr>
  </w:style>
  <w:style w:type="character" w:customStyle="1" w:styleId="302">
    <w:name w:val="标题 7 Char"/>
    <w:autoRedefine/>
    <w:qFormat/>
    <w:uiPriority w:val="0"/>
    <w:rPr>
      <w:b/>
      <w:bCs/>
      <w:kern w:val="2"/>
      <w:sz w:val="24"/>
      <w:szCs w:val="24"/>
    </w:rPr>
  </w:style>
  <w:style w:type="character" w:customStyle="1" w:styleId="303">
    <w:name w:val="标题 8 Char"/>
    <w:autoRedefine/>
    <w:qFormat/>
    <w:uiPriority w:val="0"/>
    <w:rPr>
      <w:rFonts w:ascii="Cambria" w:hAnsi="Cambria" w:eastAsia="宋体" w:cs="Times New Roman"/>
      <w:kern w:val="2"/>
      <w:sz w:val="24"/>
      <w:szCs w:val="24"/>
    </w:rPr>
  </w:style>
  <w:style w:type="character" w:customStyle="1" w:styleId="304">
    <w:name w:val="标题 9 Char"/>
    <w:autoRedefine/>
    <w:qFormat/>
    <w:uiPriority w:val="0"/>
    <w:rPr>
      <w:rFonts w:ascii="Cambria" w:hAnsi="Cambria" w:eastAsia="宋体" w:cs="Times New Roman"/>
      <w:kern w:val="2"/>
      <w:sz w:val="21"/>
      <w:szCs w:val="21"/>
    </w:rPr>
  </w:style>
  <w:style w:type="character" w:customStyle="1" w:styleId="305">
    <w:name w:val="日期 Char"/>
    <w:autoRedefine/>
    <w:qFormat/>
    <w:uiPriority w:val="0"/>
    <w:rPr>
      <w:kern w:val="2"/>
      <w:sz w:val="21"/>
      <w:szCs w:val="24"/>
    </w:rPr>
  </w:style>
  <w:style w:type="character" w:customStyle="1" w:styleId="306">
    <w:name w:val="正文文本缩进 2 Char"/>
    <w:autoRedefine/>
    <w:qFormat/>
    <w:uiPriority w:val="99"/>
    <w:rPr>
      <w:kern w:val="2"/>
      <w:sz w:val="21"/>
      <w:szCs w:val="24"/>
    </w:rPr>
  </w:style>
  <w:style w:type="character" w:customStyle="1" w:styleId="307">
    <w:name w:val="正文文本缩进 3 Char"/>
    <w:autoRedefine/>
    <w:qFormat/>
    <w:uiPriority w:val="0"/>
    <w:rPr>
      <w:kern w:val="2"/>
      <w:sz w:val="16"/>
      <w:szCs w:val="16"/>
    </w:rPr>
  </w:style>
  <w:style w:type="character" w:customStyle="1" w:styleId="308">
    <w:name w:val="正文文本 Char"/>
    <w:autoRedefine/>
    <w:qFormat/>
    <w:uiPriority w:val="99"/>
    <w:rPr>
      <w:kern w:val="2"/>
      <w:sz w:val="21"/>
      <w:szCs w:val="24"/>
    </w:rPr>
  </w:style>
  <w:style w:type="character" w:customStyle="1" w:styleId="309">
    <w:name w:val="批注文字 Char"/>
    <w:autoRedefine/>
    <w:qFormat/>
    <w:uiPriority w:val="0"/>
    <w:rPr>
      <w:kern w:val="2"/>
      <w:sz w:val="21"/>
      <w:szCs w:val="24"/>
    </w:rPr>
  </w:style>
  <w:style w:type="character" w:customStyle="1" w:styleId="310">
    <w:name w:val="批注主题 Char"/>
    <w:autoRedefine/>
    <w:qFormat/>
    <w:uiPriority w:val="99"/>
  </w:style>
  <w:style w:type="character" w:customStyle="1" w:styleId="311">
    <w:name w:val="正文文本 3 Char"/>
    <w:autoRedefine/>
    <w:qFormat/>
    <w:uiPriority w:val="0"/>
    <w:rPr>
      <w:kern w:val="2"/>
      <w:sz w:val="16"/>
      <w:szCs w:val="16"/>
    </w:rPr>
  </w:style>
  <w:style w:type="character" w:customStyle="1" w:styleId="312">
    <w:name w:val="副标题 Char"/>
    <w:autoRedefine/>
    <w:qFormat/>
    <w:uiPriority w:val="0"/>
    <w:rPr>
      <w:rFonts w:ascii="Cambria" w:hAnsi="Cambria" w:cs="Times New Roman"/>
      <w:b/>
      <w:bCs/>
      <w:kern w:val="28"/>
      <w:sz w:val="32"/>
      <w:szCs w:val="32"/>
    </w:rPr>
  </w:style>
  <w:style w:type="character" w:customStyle="1" w:styleId="313">
    <w:name w:val="HTML 预设格式 Char"/>
    <w:autoRedefine/>
    <w:qFormat/>
    <w:uiPriority w:val="0"/>
    <w:rPr>
      <w:rFonts w:ascii="Courier New" w:hAnsi="Courier New" w:cs="Courier New"/>
      <w:kern w:val="2"/>
    </w:rPr>
  </w:style>
  <w:style w:type="character" w:customStyle="1" w:styleId="314">
    <w:name w:val="批注框文本 Char"/>
    <w:autoRedefine/>
    <w:qFormat/>
    <w:uiPriority w:val="99"/>
    <w:rPr>
      <w:rFonts w:ascii="Heiti SC Light" w:eastAsia="Heiti SC Light"/>
      <w:kern w:val="2"/>
      <w:sz w:val="18"/>
      <w:szCs w:val="18"/>
    </w:rPr>
  </w:style>
  <w:style w:type="character" w:customStyle="1" w:styleId="315">
    <w:name w:val="正文文本缩进 Char1"/>
    <w:autoRedefine/>
    <w:qFormat/>
    <w:uiPriority w:val="0"/>
    <w:rPr>
      <w:rFonts w:ascii="宋体" w:cs="宋体"/>
      <w:color w:val="000000"/>
      <w:sz w:val="21"/>
      <w:szCs w:val="21"/>
    </w:rPr>
  </w:style>
  <w:style w:type="character" w:customStyle="1" w:styleId="316">
    <w:name w:val="正文缩进 Char"/>
    <w:autoRedefine/>
    <w:qFormat/>
    <w:uiPriority w:val="0"/>
    <w:rPr>
      <w:kern w:val="2"/>
      <w:sz w:val="24"/>
    </w:rPr>
  </w:style>
  <w:style w:type="character" w:customStyle="1" w:styleId="317">
    <w:name w:val="页脚 Char"/>
    <w:autoRedefine/>
    <w:qFormat/>
    <w:uiPriority w:val="99"/>
    <w:rPr>
      <w:kern w:val="2"/>
      <w:sz w:val="18"/>
      <w:szCs w:val="18"/>
    </w:rPr>
  </w:style>
  <w:style w:type="character" w:customStyle="1" w:styleId="318">
    <w:name w:val="标题 Char1"/>
    <w:autoRedefine/>
    <w:qFormat/>
    <w:uiPriority w:val="0"/>
    <w:rPr>
      <w:rFonts w:ascii="Cambria" w:hAnsi="Cambria"/>
      <w:b/>
      <w:bCs/>
      <w:kern w:val="2"/>
      <w:sz w:val="32"/>
      <w:szCs w:val="32"/>
    </w:rPr>
  </w:style>
  <w:style w:type="character" w:customStyle="1" w:styleId="319">
    <w:name w:val="标题 1 Char1"/>
    <w:autoRedefine/>
    <w:qFormat/>
    <w:uiPriority w:val="99"/>
    <w:rPr>
      <w:rFonts w:eastAsia="黑体"/>
      <w:bCs/>
      <w:kern w:val="44"/>
      <w:sz w:val="48"/>
      <w:szCs w:val="44"/>
    </w:rPr>
  </w:style>
  <w:style w:type="paragraph" w:customStyle="1" w:styleId="320">
    <w:name w:val="彩色列表 - 着色 12"/>
    <w:basedOn w:val="1"/>
    <w:autoRedefine/>
    <w:qFormat/>
    <w:uiPriority w:val="0"/>
    <w:pPr>
      <w:ind w:firstLine="420" w:firstLineChars="200"/>
    </w:pPr>
    <w:rPr>
      <w:szCs w:val="20"/>
    </w:rPr>
  </w:style>
  <w:style w:type="paragraph" w:customStyle="1" w:styleId="321">
    <w:name w:val="Char Char Char Char1"/>
    <w:basedOn w:val="1"/>
    <w:autoRedefine/>
    <w:qFormat/>
    <w:uiPriority w:val="0"/>
    <w:pPr>
      <w:adjustRightInd w:val="0"/>
      <w:spacing w:line="360" w:lineRule="atLeast"/>
      <w:textAlignment w:val="baseline"/>
    </w:pPr>
  </w:style>
  <w:style w:type="paragraph" w:customStyle="1" w:styleId="322">
    <w:name w:val="彩色列表 - 强调文字颜色 12"/>
    <w:basedOn w:val="1"/>
    <w:autoRedefine/>
    <w:qFormat/>
    <w:uiPriority w:val="34"/>
    <w:pPr>
      <w:ind w:firstLine="420" w:firstLineChars="200"/>
    </w:pPr>
  </w:style>
  <w:style w:type="paragraph" w:customStyle="1" w:styleId="323">
    <w:name w:val="彩色底纹 - 强调文字颜色 12"/>
    <w:autoRedefine/>
    <w:semiHidden/>
    <w:qFormat/>
    <w:uiPriority w:val="71"/>
    <w:rPr>
      <w:rFonts w:ascii="Times New Roman" w:hAnsi="Times New Roman" w:eastAsia="宋体" w:cs="Times New Roman"/>
      <w:kern w:val="2"/>
      <w:sz w:val="21"/>
      <w:szCs w:val="24"/>
      <w:lang w:val="en-US" w:eastAsia="zh-CN" w:bidi="ar-SA"/>
    </w:rPr>
  </w:style>
  <w:style w:type="paragraph" w:customStyle="1" w:styleId="324">
    <w:name w:val="_Style 296"/>
    <w:autoRedefine/>
    <w:qFormat/>
    <w:uiPriority w:val="0"/>
    <w:rPr>
      <w:rFonts w:ascii="Times New Roman" w:hAnsi="Times New Roman" w:eastAsia="宋体" w:cs="Times New Roman"/>
      <w:sz w:val="24"/>
      <w:szCs w:val="24"/>
      <w:lang w:val="en-US" w:eastAsia="zh-CN" w:bidi="ar-SA"/>
    </w:rPr>
  </w:style>
  <w:style w:type="paragraph" w:customStyle="1" w:styleId="325">
    <w:name w:val="列出段落1"/>
    <w:basedOn w:val="1"/>
    <w:autoRedefine/>
    <w:qFormat/>
    <w:uiPriority w:val="34"/>
    <w:pPr>
      <w:widowControl w:val="0"/>
      <w:ind w:firstLine="420" w:firstLineChars="200"/>
      <w:jc w:val="both"/>
    </w:pPr>
    <w:rPr>
      <w:kern w:val="2"/>
      <w:sz w:val="21"/>
    </w:rPr>
  </w:style>
  <w:style w:type="paragraph" w:styleId="326">
    <w:name w:val="List Paragraph"/>
    <w:basedOn w:val="1"/>
    <w:autoRedefine/>
    <w:qFormat/>
    <w:uiPriority w:val="34"/>
    <w:pPr>
      <w:widowControl w:val="0"/>
      <w:ind w:firstLine="420" w:firstLineChars="200"/>
      <w:jc w:val="both"/>
    </w:pPr>
    <w:rPr>
      <w:rFonts w:eastAsia="仿宋_GB2312" w:cs="宋体"/>
      <w:kern w:val="2"/>
      <w:sz w:val="32"/>
      <w:szCs w:val="32"/>
      <w:lang w:val="sq-AL"/>
    </w:rPr>
  </w:style>
  <w:style w:type="character" w:customStyle="1" w:styleId="327">
    <w:name w:val="标题 1 Char Char"/>
    <w:autoRedefine/>
    <w:qFormat/>
    <w:uiPriority w:val="99"/>
    <w:rPr>
      <w:rFonts w:ascii="Calibri" w:hAnsi="Calibri"/>
      <w:b/>
      <w:kern w:val="1"/>
      <w:sz w:val="44"/>
      <w:szCs w:val="44"/>
    </w:rPr>
  </w:style>
  <w:style w:type="character" w:customStyle="1" w:styleId="328">
    <w:name w:val="标题 5 Char Char"/>
    <w:autoRedefine/>
    <w:qFormat/>
    <w:uiPriority w:val="99"/>
    <w:rPr>
      <w:b/>
      <w:kern w:val="1"/>
      <w:sz w:val="28"/>
      <w:szCs w:val="28"/>
    </w:rPr>
  </w:style>
  <w:style w:type="character" w:customStyle="1" w:styleId="329">
    <w:name w:val="页眉 Char Char"/>
    <w:autoRedefine/>
    <w:qFormat/>
    <w:uiPriority w:val="99"/>
    <w:rPr>
      <w:kern w:val="1"/>
      <w:sz w:val="18"/>
    </w:rPr>
  </w:style>
  <w:style w:type="character" w:customStyle="1" w:styleId="330">
    <w:name w:val="文档结构图 Char Char"/>
    <w:autoRedefine/>
    <w:qFormat/>
    <w:uiPriority w:val="99"/>
    <w:rPr>
      <w:kern w:val="1"/>
      <w:sz w:val="21"/>
      <w:shd w:val="clear" w:color="auto" w:fill="00007F"/>
    </w:rPr>
  </w:style>
  <w:style w:type="character" w:customStyle="1" w:styleId="331">
    <w:name w:val="ca-1"/>
    <w:autoRedefine/>
    <w:qFormat/>
    <w:uiPriority w:val="99"/>
  </w:style>
  <w:style w:type="character" w:customStyle="1" w:styleId="332">
    <w:name w:val="text1"/>
    <w:autoRedefine/>
    <w:qFormat/>
    <w:uiPriority w:val="99"/>
    <w:rPr>
      <w:sz w:val="24"/>
      <w:szCs w:val="24"/>
    </w:rPr>
  </w:style>
  <w:style w:type="character" w:customStyle="1" w:styleId="333">
    <w:name w:val="张伟正文 Char Char"/>
    <w:autoRedefine/>
    <w:qFormat/>
    <w:uiPriority w:val="99"/>
    <w:rPr>
      <w:rFonts w:eastAsia="宋体"/>
      <w:kern w:val="1"/>
      <w:sz w:val="18"/>
      <w:szCs w:val="18"/>
      <w:lang w:val="en-US" w:eastAsia="zh-CN" w:bidi="ar-SA"/>
    </w:rPr>
  </w:style>
  <w:style w:type="character" w:customStyle="1" w:styleId="334">
    <w:name w:val="总规--正文 Char Char"/>
    <w:autoRedefine/>
    <w:qFormat/>
    <w:uiPriority w:val="99"/>
    <w:rPr>
      <w:rFonts w:ascii="Times New Roman" w:hAnsi="Times New Roman" w:eastAsia="宋体" w:cs="宋体"/>
      <w:kern w:val="1"/>
      <w:sz w:val="24"/>
      <w:lang w:val="en-US" w:eastAsia="zh-CN" w:bidi="ar-SA"/>
    </w:rPr>
  </w:style>
  <w:style w:type="character" w:customStyle="1" w:styleId="335">
    <w:name w:val="标题 3 Char Char"/>
    <w:autoRedefine/>
    <w:qFormat/>
    <w:uiPriority w:val="99"/>
    <w:rPr>
      <w:rFonts w:ascii="Calibri" w:hAnsi="Calibri"/>
      <w:b/>
      <w:kern w:val="1"/>
      <w:sz w:val="32"/>
      <w:szCs w:val="32"/>
    </w:rPr>
  </w:style>
  <w:style w:type="character" w:customStyle="1" w:styleId="336">
    <w:name w:val="style11"/>
    <w:autoRedefine/>
    <w:qFormat/>
    <w:uiPriority w:val="99"/>
    <w:rPr>
      <w:b/>
      <w:color w:val="C21616"/>
      <w:sz w:val="36"/>
      <w:szCs w:val="36"/>
    </w:rPr>
  </w:style>
  <w:style w:type="character" w:customStyle="1" w:styleId="337">
    <w:name w:val="标题 2 Char Char"/>
    <w:autoRedefine/>
    <w:qFormat/>
    <w:uiPriority w:val="99"/>
    <w:rPr>
      <w:rFonts w:ascii="Cambria" w:hAnsi="Cambria" w:eastAsia="宋体" w:cs="Times New Roman"/>
      <w:b/>
      <w:kern w:val="1"/>
      <w:sz w:val="32"/>
      <w:szCs w:val="32"/>
    </w:rPr>
  </w:style>
  <w:style w:type="character" w:customStyle="1" w:styleId="338">
    <w:name w:val="样式 黑体 加粗"/>
    <w:autoRedefine/>
    <w:qFormat/>
    <w:uiPriority w:val="99"/>
    <w:rPr>
      <w:rFonts w:ascii="宋体" w:hAnsi="宋体" w:eastAsia="黑体"/>
      <w:sz w:val="28"/>
    </w:rPr>
  </w:style>
  <w:style w:type="character" w:customStyle="1" w:styleId="339">
    <w:name w:val="Char Char5"/>
    <w:autoRedefine/>
    <w:qFormat/>
    <w:uiPriority w:val="99"/>
    <w:rPr>
      <w:rFonts w:ascii="宋体" w:hAnsi="宋体" w:eastAsia="宋体"/>
      <w:kern w:val="1"/>
      <w:sz w:val="28"/>
      <w:lang w:val="en-US" w:eastAsia="zh-CN" w:bidi="ar-SA"/>
    </w:rPr>
  </w:style>
  <w:style w:type="character" w:customStyle="1" w:styleId="340">
    <w:name w:val="mark"/>
    <w:autoRedefine/>
    <w:qFormat/>
    <w:uiPriority w:val="99"/>
  </w:style>
  <w:style w:type="character" w:customStyle="1" w:styleId="341">
    <w:name w:val="正文文本 2 Char Char"/>
    <w:autoRedefine/>
    <w:qFormat/>
    <w:uiPriority w:val="99"/>
    <w:rPr>
      <w:rFonts w:ascii="宋体" w:hAnsi="宋体" w:eastAsia="宋体"/>
      <w:kern w:val="1"/>
      <w:sz w:val="28"/>
      <w:lang w:val="en-US" w:eastAsia="zh-CN" w:bidi="ar-SA"/>
    </w:rPr>
  </w:style>
  <w:style w:type="character" w:customStyle="1" w:styleId="342">
    <w:name w:val="样式 宋体 小四 粉红"/>
    <w:autoRedefine/>
    <w:qFormat/>
    <w:uiPriority w:val="99"/>
    <w:rPr>
      <w:rFonts w:ascii="宋体" w:hAnsi="宋体"/>
      <w:color w:val="000000"/>
      <w:sz w:val="24"/>
      <w:szCs w:val="24"/>
    </w:rPr>
  </w:style>
  <w:style w:type="character" w:customStyle="1" w:styleId="343">
    <w:name w:val="标题 2 Char Char Char"/>
    <w:autoRedefine/>
    <w:qFormat/>
    <w:uiPriority w:val="99"/>
    <w:rPr>
      <w:rFonts w:ascii="Cambria" w:hAnsi="Cambria"/>
      <w:b/>
      <w:kern w:val="1"/>
      <w:sz w:val="32"/>
      <w:szCs w:val="32"/>
    </w:rPr>
  </w:style>
  <w:style w:type="character" w:customStyle="1" w:styleId="344">
    <w:name w:val="Char Char2"/>
    <w:autoRedefine/>
    <w:qFormat/>
    <w:uiPriority w:val="99"/>
    <w:rPr>
      <w:rFonts w:ascii="宋体" w:hAnsi="宋体" w:eastAsia="宋体"/>
      <w:kern w:val="1"/>
      <w:sz w:val="28"/>
      <w:lang w:val="en-US" w:eastAsia="zh-CN" w:bidi="ar-SA"/>
    </w:rPr>
  </w:style>
  <w:style w:type="character" w:customStyle="1" w:styleId="345">
    <w:name w:val="页脚 Char Char"/>
    <w:autoRedefine/>
    <w:qFormat/>
    <w:uiPriority w:val="99"/>
    <w:rPr>
      <w:kern w:val="1"/>
      <w:sz w:val="18"/>
    </w:rPr>
  </w:style>
  <w:style w:type="character" w:customStyle="1" w:styleId="346">
    <w:name w:val="正文文本 Char Char"/>
    <w:autoRedefine/>
    <w:qFormat/>
    <w:uiPriority w:val="99"/>
    <w:rPr>
      <w:kern w:val="1"/>
      <w:sz w:val="21"/>
    </w:rPr>
  </w:style>
  <w:style w:type="character" w:customStyle="1" w:styleId="347">
    <w:name w:val="纯文本 Char Char"/>
    <w:autoRedefine/>
    <w:qFormat/>
    <w:uiPriority w:val="99"/>
    <w:rPr>
      <w:rFonts w:ascii="宋体" w:hAnsi="宋体" w:eastAsia="宋体"/>
      <w:kern w:val="1"/>
      <w:sz w:val="21"/>
      <w:lang w:val="en-US" w:eastAsia="zh-CN" w:bidi="ar-SA"/>
    </w:rPr>
  </w:style>
  <w:style w:type="paragraph" w:customStyle="1" w:styleId="348">
    <w:name w:val="7 Char Char Char Char"/>
    <w:basedOn w:val="1"/>
    <w:autoRedefine/>
    <w:qFormat/>
    <w:uiPriority w:val="99"/>
    <w:pPr>
      <w:widowControl w:val="0"/>
      <w:spacing w:line="360" w:lineRule="auto"/>
      <w:ind w:firstLine="200" w:firstLineChars="200"/>
      <w:jc w:val="both"/>
    </w:pPr>
    <w:rPr>
      <w:color w:val="000000"/>
      <w:kern w:val="1"/>
      <w:szCs w:val="20"/>
    </w:rPr>
  </w:style>
  <w:style w:type="paragraph" w:customStyle="1" w:styleId="349">
    <w:name w:val="Plain Text*"/>
    <w:basedOn w:val="1"/>
    <w:autoRedefine/>
    <w:qFormat/>
    <w:uiPriority w:val="99"/>
    <w:pPr>
      <w:widowControl w:val="0"/>
      <w:spacing w:line="360" w:lineRule="auto"/>
      <w:ind w:firstLine="200" w:firstLineChars="200"/>
      <w:jc w:val="both"/>
    </w:pPr>
    <w:rPr>
      <w:rFonts w:ascii="宋体" w:hAnsi="宋体" w:cs="Courier New"/>
      <w:color w:val="000000"/>
      <w:szCs w:val="20"/>
    </w:rPr>
  </w:style>
  <w:style w:type="paragraph" w:customStyle="1" w:styleId="350">
    <w:name w:val="总规--正文"/>
    <w:basedOn w:val="1"/>
    <w:autoRedefine/>
    <w:qFormat/>
    <w:uiPriority w:val="99"/>
    <w:pPr>
      <w:widowControl w:val="0"/>
      <w:spacing w:line="360" w:lineRule="auto"/>
      <w:ind w:firstLine="480" w:firstLineChars="200"/>
      <w:jc w:val="both"/>
    </w:pPr>
    <w:rPr>
      <w:rFonts w:cs="宋体"/>
      <w:color w:val="000000"/>
      <w:kern w:val="1"/>
      <w:szCs w:val="20"/>
    </w:rPr>
  </w:style>
  <w:style w:type="paragraph" w:customStyle="1" w:styleId="351">
    <w:name w:val="pa-1"/>
    <w:basedOn w:val="1"/>
    <w:autoRedefine/>
    <w:qFormat/>
    <w:uiPriority w:val="99"/>
    <w:pPr>
      <w:spacing w:before="150" w:after="150" w:line="360" w:lineRule="auto"/>
      <w:ind w:firstLine="200" w:firstLineChars="200"/>
    </w:pPr>
    <w:rPr>
      <w:rFonts w:ascii="宋体" w:hAnsi="宋体" w:cs="宋体"/>
      <w:color w:val="000000"/>
    </w:rPr>
  </w:style>
  <w:style w:type="paragraph" w:customStyle="1" w:styleId="352">
    <w:name w:val="3小节"/>
    <w:basedOn w:val="1"/>
    <w:autoRedefine/>
    <w:qFormat/>
    <w:uiPriority w:val="99"/>
    <w:pPr>
      <w:widowControl w:val="0"/>
      <w:spacing w:before="200" w:line="360" w:lineRule="auto"/>
      <w:ind w:firstLine="200" w:firstLineChars="200"/>
      <w:jc w:val="both"/>
      <w:outlineLvl w:val="2"/>
    </w:pPr>
    <w:rPr>
      <w:rFonts w:eastAsia="黑体"/>
      <w:color w:val="000000"/>
      <w:kern w:val="1"/>
      <w:sz w:val="28"/>
      <w:szCs w:val="20"/>
    </w:rPr>
  </w:style>
  <w:style w:type="paragraph" w:customStyle="1" w:styleId="353">
    <w:name w:val="p16"/>
    <w:basedOn w:val="1"/>
    <w:autoRedefine/>
    <w:qFormat/>
    <w:uiPriority w:val="99"/>
    <w:pPr>
      <w:spacing w:line="480" w:lineRule="atLeast"/>
      <w:ind w:firstLine="200" w:firstLineChars="200"/>
      <w:jc w:val="both"/>
    </w:pPr>
    <w:rPr>
      <w:rFonts w:ascii="宋体" w:hAnsi="宋体" w:cs="宋体"/>
      <w:color w:val="000000"/>
      <w:sz w:val="28"/>
      <w:szCs w:val="28"/>
    </w:rPr>
  </w:style>
  <w:style w:type="paragraph" w:customStyle="1" w:styleId="354">
    <w:name w:val="张伟正文"/>
    <w:basedOn w:val="1"/>
    <w:autoRedefine/>
    <w:qFormat/>
    <w:uiPriority w:val="99"/>
    <w:pPr>
      <w:widowControl w:val="0"/>
      <w:spacing w:line="280" w:lineRule="exact"/>
      <w:ind w:firstLine="420" w:firstLineChars="200"/>
      <w:jc w:val="both"/>
    </w:pPr>
    <w:rPr>
      <w:color w:val="000000"/>
      <w:kern w:val="1"/>
      <w:sz w:val="18"/>
      <w:szCs w:val="18"/>
    </w:rPr>
  </w:style>
  <w:style w:type="character" w:customStyle="1" w:styleId="355">
    <w:name w:val="普通文字 Char1"/>
    <w:autoRedefine/>
    <w:qFormat/>
    <w:uiPriority w:val="0"/>
    <w:rPr>
      <w:rFonts w:ascii="宋体" w:hAnsi="Courier New" w:eastAsia="宋体" w:cs="Courier New"/>
      <w:szCs w:val="21"/>
      <w:lang w:val="sq-AL"/>
    </w:rPr>
  </w:style>
  <w:style w:type="paragraph" w:customStyle="1" w:styleId="356">
    <w:name w:val="p0"/>
    <w:basedOn w:val="1"/>
    <w:autoRedefine/>
    <w:qFormat/>
    <w:uiPriority w:val="99"/>
    <w:pPr>
      <w:spacing w:line="360" w:lineRule="auto"/>
      <w:ind w:firstLine="200" w:firstLineChars="200"/>
      <w:jc w:val="both"/>
    </w:pPr>
    <w:rPr>
      <w:color w:val="000000"/>
      <w:szCs w:val="21"/>
    </w:rPr>
  </w:style>
  <w:style w:type="paragraph" w:customStyle="1" w:styleId="357">
    <w:name w:val="Normal Indent*"/>
    <w:basedOn w:val="1"/>
    <w:autoRedefine/>
    <w:qFormat/>
    <w:uiPriority w:val="99"/>
    <w:pPr>
      <w:widowControl w:val="0"/>
      <w:spacing w:line="360" w:lineRule="auto"/>
      <w:ind w:firstLine="420" w:firstLineChars="200"/>
      <w:jc w:val="both"/>
    </w:pPr>
    <w:rPr>
      <w:color w:val="000000"/>
      <w:kern w:val="1"/>
    </w:rPr>
  </w:style>
  <w:style w:type="paragraph" w:customStyle="1" w:styleId="358">
    <w:name w:val="9正文"/>
    <w:basedOn w:val="1"/>
    <w:autoRedefine/>
    <w:qFormat/>
    <w:uiPriority w:val="99"/>
    <w:pPr>
      <w:widowControl w:val="0"/>
      <w:spacing w:after="156" w:line="360" w:lineRule="auto"/>
      <w:ind w:firstLine="480" w:firstLineChars="200"/>
      <w:jc w:val="both"/>
    </w:pPr>
    <w:rPr>
      <w:color w:val="000000"/>
      <w:kern w:val="1"/>
    </w:rPr>
  </w:style>
  <w:style w:type="paragraph" w:customStyle="1" w:styleId="359">
    <w:name w:val="p17"/>
    <w:basedOn w:val="1"/>
    <w:autoRedefine/>
    <w:qFormat/>
    <w:uiPriority w:val="99"/>
    <w:pPr>
      <w:spacing w:after="120" w:line="360" w:lineRule="auto"/>
      <w:ind w:left="420" w:firstLine="200" w:firstLineChars="200"/>
      <w:jc w:val="both"/>
    </w:pPr>
    <w:rPr>
      <w:color w:val="000000"/>
      <w:szCs w:val="21"/>
    </w:rPr>
  </w:style>
  <w:style w:type="character" w:customStyle="1" w:styleId="360">
    <w:name w:val="正文文本 2 字符"/>
    <w:link w:val="44"/>
    <w:autoRedefine/>
    <w:qFormat/>
    <w:uiPriority w:val="99"/>
    <w:rPr>
      <w:rFonts w:ascii="宋体" w:hAnsi="宋体" w:cs="宋体"/>
      <w:color w:val="000000"/>
      <w:kern w:val="1"/>
      <w:sz w:val="28"/>
    </w:rPr>
  </w:style>
  <w:style w:type="paragraph" w:customStyle="1" w:styleId="361">
    <w:name w:val="p20"/>
    <w:basedOn w:val="1"/>
    <w:autoRedefine/>
    <w:qFormat/>
    <w:uiPriority w:val="99"/>
    <w:pPr>
      <w:spacing w:before="100" w:after="100" w:line="360" w:lineRule="auto"/>
      <w:ind w:firstLine="200" w:firstLineChars="200"/>
    </w:pPr>
    <w:rPr>
      <w:rFonts w:ascii="宋体" w:hAnsi="宋体" w:cs="宋体"/>
      <w:color w:val="000000"/>
    </w:rPr>
  </w:style>
  <w:style w:type="paragraph" w:customStyle="1" w:styleId="362">
    <w:name w:val="Char Char Char Char Char Char"/>
    <w:basedOn w:val="1"/>
    <w:autoRedefine/>
    <w:qFormat/>
    <w:uiPriority w:val="99"/>
    <w:pPr>
      <w:widowControl w:val="0"/>
      <w:spacing w:line="360" w:lineRule="auto"/>
      <w:ind w:firstLine="200" w:firstLineChars="200"/>
      <w:jc w:val="both"/>
    </w:pPr>
    <w:rPr>
      <w:color w:val="000000"/>
      <w:kern w:val="1"/>
    </w:rPr>
  </w:style>
  <w:style w:type="paragraph" w:customStyle="1" w:styleId="363">
    <w:name w:val="_Style 8"/>
    <w:basedOn w:val="1"/>
    <w:autoRedefine/>
    <w:qFormat/>
    <w:uiPriority w:val="99"/>
    <w:pPr>
      <w:spacing w:after="160" w:line="240" w:lineRule="exact"/>
      <w:ind w:firstLine="200" w:firstLineChars="200"/>
    </w:pPr>
    <w:rPr>
      <w:color w:val="000000"/>
      <w:kern w:val="1"/>
      <w:szCs w:val="20"/>
    </w:rPr>
  </w:style>
  <w:style w:type="paragraph" w:customStyle="1" w:styleId="364">
    <w:name w:val="Char Char Char1 Char8"/>
    <w:basedOn w:val="1"/>
    <w:autoRedefine/>
    <w:qFormat/>
    <w:uiPriority w:val="99"/>
    <w:pPr>
      <w:widowControl w:val="0"/>
      <w:spacing w:line="360" w:lineRule="auto"/>
      <w:ind w:firstLine="200" w:firstLineChars="200"/>
      <w:jc w:val="both"/>
    </w:pPr>
    <w:rPr>
      <w:rFonts w:ascii="宋体" w:hAnsi="宋体" w:cs="宋体"/>
      <w:color w:val="000000"/>
      <w:kern w:val="1"/>
      <w:szCs w:val="20"/>
    </w:rPr>
  </w:style>
  <w:style w:type="paragraph" w:customStyle="1" w:styleId="365">
    <w:name w:val="Body Text*"/>
    <w:basedOn w:val="1"/>
    <w:autoRedefine/>
    <w:qFormat/>
    <w:uiPriority w:val="99"/>
    <w:pPr>
      <w:widowControl w:val="0"/>
      <w:spacing w:after="120" w:line="360" w:lineRule="auto"/>
      <w:ind w:firstLine="200" w:firstLineChars="200"/>
      <w:jc w:val="both"/>
    </w:pPr>
    <w:rPr>
      <w:color w:val="000000"/>
      <w:kern w:val="1"/>
    </w:rPr>
  </w:style>
  <w:style w:type="paragraph" w:customStyle="1" w:styleId="366">
    <w:name w:val="Char1 Char Char Char"/>
    <w:basedOn w:val="1"/>
    <w:autoRedefine/>
    <w:qFormat/>
    <w:uiPriority w:val="99"/>
    <w:pPr>
      <w:widowControl w:val="0"/>
      <w:spacing w:line="360" w:lineRule="auto"/>
      <w:ind w:firstLine="200" w:firstLineChars="200"/>
      <w:jc w:val="both"/>
    </w:pPr>
    <w:rPr>
      <w:rFonts w:eastAsia="仿宋"/>
      <w:color w:val="000000"/>
      <w:kern w:val="1"/>
      <w:sz w:val="28"/>
    </w:rPr>
  </w:style>
  <w:style w:type="paragraph" w:customStyle="1" w:styleId="367">
    <w:name w:val="Char Char11"/>
    <w:basedOn w:val="1"/>
    <w:autoRedefine/>
    <w:qFormat/>
    <w:uiPriority w:val="99"/>
    <w:pPr>
      <w:spacing w:after="160" w:line="240" w:lineRule="exact"/>
      <w:ind w:firstLine="200" w:firstLineChars="200"/>
    </w:pPr>
    <w:rPr>
      <w:color w:val="000000"/>
      <w:kern w:val="1"/>
      <w:szCs w:val="20"/>
    </w:rPr>
  </w:style>
  <w:style w:type="paragraph" w:customStyle="1" w:styleId="368">
    <w:name w:val="List Paragraph1"/>
    <w:autoRedefine/>
    <w:qFormat/>
    <w:uiPriority w:val="99"/>
    <w:pPr>
      <w:ind w:firstLine="420"/>
    </w:pPr>
    <w:rPr>
      <w:rFonts w:ascii="Times New Roman" w:hAnsi="Times New Roman" w:eastAsia="宋体" w:cs="Times New Roman"/>
      <w:color w:val="000000"/>
      <w:lang w:val="en-US" w:eastAsia="zh-CN" w:bidi="ar-SA"/>
    </w:rPr>
  </w:style>
  <w:style w:type="paragraph" w:customStyle="1" w:styleId="369">
    <w:name w:val="List Paragraph*"/>
    <w:basedOn w:val="1"/>
    <w:autoRedefine/>
    <w:qFormat/>
    <w:uiPriority w:val="99"/>
    <w:pPr>
      <w:widowControl w:val="0"/>
      <w:spacing w:line="360" w:lineRule="auto"/>
      <w:ind w:firstLine="420" w:firstLineChars="200"/>
      <w:jc w:val="both"/>
    </w:pPr>
    <w:rPr>
      <w:rFonts w:ascii="Calibri" w:hAnsi="Calibri" w:cs="Calibri"/>
      <w:color w:val="000000"/>
      <w:kern w:val="1"/>
      <w:szCs w:val="22"/>
    </w:rPr>
  </w:style>
  <w:style w:type="paragraph" w:customStyle="1" w:styleId="370">
    <w:name w:val="Normal New New"/>
    <w:autoRedefine/>
    <w:qFormat/>
    <w:uiPriority w:val="99"/>
    <w:pPr>
      <w:widowControl w:val="0"/>
      <w:spacing w:line="312" w:lineRule="auto"/>
      <w:jc w:val="both"/>
    </w:pPr>
    <w:rPr>
      <w:rFonts w:ascii="Times New Roman" w:hAnsi="Times New Roman" w:eastAsia="宋体" w:cs="Times New Roman"/>
      <w:color w:val="000000"/>
      <w:kern w:val="1"/>
      <w:sz w:val="21"/>
      <w:lang w:val="en-US" w:eastAsia="zh-CN" w:bidi="ar-SA"/>
    </w:rPr>
  </w:style>
  <w:style w:type="paragraph" w:customStyle="1" w:styleId="371">
    <w:name w:val="Char Char Char1 Char Char Char Char Char Char Char Char Char Char Char Char Char"/>
    <w:basedOn w:val="1"/>
    <w:autoRedefine/>
    <w:qFormat/>
    <w:uiPriority w:val="99"/>
    <w:pPr>
      <w:widowControl w:val="0"/>
      <w:shd w:val="clear" w:color="000000" w:fill="00007F"/>
      <w:spacing w:line="360" w:lineRule="auto"/>
      <w:ind w:firstLine="200" w:firstLineChars="200"/>
      <w:jc w:val="both"/>
    </w:pPr>
    <w:rPr>
      <w:color w:val="000000"/>
      <w:kern w:val="1"/>
      <w:szCs w:val="20"/>
      <w:shd w:val="clear" w:color="auto" w:fill="00007F"/>
    </w:rPr>
  </w:style>
  <w:style w:type="paragraph" w:customStyle="1" w:styleId="372">
    <w:name w:val="默认段落字体 Para Char Char Char Char Char Char Char"/>
    <w:basedOn w:val="1"/>
    <w:autoRedefine/>
    <w:qFormat/>
    <w:uiPriority w:val="99"/>
    <w:pPr>
      <w:widowControl w:val="0"/>
      <w:spacing w:line="360" w:lineRule="auto"/>
      <w:ind w:firstLine="200" w:firstLineChars="200"/>
      <w:jc w:val="both"/>
    </w:pPr>
    <w:rPr>
      <w:rFonts w:ascii="Tahoma" w:hAnsi="Tahoma" w:cs="Tahoma"/>
      <w:color w:val="000000"/>
      <w:kern w:val="1"/>
      <w:szCs w:val="20"/>
    </w:rPr>
  </w:style>
  <w:style w:type="paragraph" w:customStyle="1" w:styleId="373">
    <w:name w:val="文档正文"/>
    <w:basedOn w:val="1"/>
    <w:autoRedefine/>
    <w:qFormat/>
    <w:uiPriority w:val="99"/>
    <w:pPr>
      <w:widowControl w:val="0"/>
      <w:spacing w:line="312" w:lineRule="atLeast"/>
      <w:ind w:firstLine="567" w:firstLineChars="200"/>
      <w:jc w:val="both"/>
    </w:pPr>
    <w:rPr>
      <w:rFonts w:ascii="长城仿宋" w:hAnsi="长城仿宋" w:eastAsia="黑体" w:cs="长城仿宋"/>
      <w:color w:val="000000"/>
      <w:sz w:val="28"/>
      <w:szCs w:val="20"/>
    </w:rPr>
  </w:style>
  <w:style w:type="paragraph" w:customStyle="1" w:styleId="374">
    <w:name w:val="Char3"/>
    <w:basedOn w:val="1"/>
    <w:autoRedefine/>
    <w:qFormat/>
    <w:uiPriority w:val="0"/>
    <w:pPr>
      <w:widowControl w:val="0"/>
      <w:spacing w:line="360" w:lineRule="auto"/>
      <w:ind w:firstLine="200" w:firstLineChars="200"/>
      <w:jc w:val="both"/>
    </w:pPr>
    <w:rPr>
      <w:rFonts w:ascii="Tahoma" w:hAnsi="Tahoma" w:cs="Tahoma"/>
      <w:color w:val="000000"/>
      <w:kern w:val="1"/>
      <w:szCs w:val="20"/>
    </w:rPr>
  </w:style>
  <w:style w:type="paragraph" w:customStyle="1" w:styleId="375">
    <w:name w:val="Char1 Char Char Char1"/>
    <w:basedOn w:val="1"/>
    <w:autoRedefine/>
    <w:qFormat/>
    <w:uiPriority w:val="99"/>
    <w:pPr>
      <w:widowControl w:val="0"/>
      <w:spacing w:line="360" w:lineRule="auto"/>
      <w:ind w:firstLine="200" w:firstLineChars="200"/>
      <w:jc w:val="both"/>
    </w:pPr>
    <w:rPr>
      <w:color w:val="000000"/>
      <w:kern w:val="1"/>
    </w:rPr>
  </w:style>
  <w:style w:type="paragraph" w:customStyle="1" w:styleId="376">
    <w:name w:val="正文空2格  1."/>
    <w:basedOn w:val="1"/>
    <w:autoRedefine/>
    <w:qFormat/>
    <w:uiPriority w:val="99"/>
    <w:pPr>
      <w:widowControl w:val="0"/>
      <w:adjustRightInd w:val="0"/>
      <w:spacing w:line="360" w:lineRule="auto"/>
      <w:ind w:firstLine="480" w:firstLineChars="200"/>
      <w:jc w:val="both"/>
      <w:textAlignment w:val="baseline"/>
    </w:pPr>
    <w:rPr>
      <w:rFonts w:ascii="宋体" w:eastAsia="仿宋" w:cs="宋体"/>
      <w:sz w:val="28"/>
      <w:szCs w:val="20"/>
    </w:rPr>
  </w:style>
  <w:style w:type="paragraph" w:customStyle="1" w:styleId="377">
    <w:name w:val="正文 第一章"/>
    <w:basedOn w:val="1"/>
    <w:next w:val="378"/>
    <w:autoRedefine/>
    <w:qFormat/>
    <w:uiPriority w:val="99"/>
    <w:pPr>
      <w:pageBreakBefore/>
      <w:widowControl w:val="0"/>
      <w:adjustRightInd w:val="0"/>
      <w:spacing w:before="240" w:after="240" w:line="480" w:lineRule="auto"/>
      <w:jc w:val="center"/>
      <w:textAlignment w:val="baseline"/>
      <w:outlineLvl w:val="0"/>
    </w:pPr>
    <w:rPr>
      <w:rFonts w:ascii="黑体" w:hAnsi="宋体" w:eastAsia="黑体"/>
      <w:sz w:val="36"/>
      <w:szCs w:val="21"/>
    </w:rPr>
  </w:style>
  <w:style w:type="paragraph" w:customStyle="1" w:styleId="378">
    <w:name w:val="正文 1.1"/>
    <w:basedOn w:val="1"/>
    <w:next w:val="379"/>
    <w:autoRedefine/>
    <w:qFormat/>
    <w:uiPriority w:val="99"/>
    <w:pPr>
      <w:widowControl w:val="0"/>
      <w:numPr>
        <w:ilvl w:val="1"/>
        <w:numId w:val="3"/>
      </w:numPr>
      <w:adjustRightInd w:val="0"/>
      <w:spacing w:line="360" w:lineRule="auto"/>
      <w:jc w:val="both"/>
      <w:textAlignment w:val="baseline"/>
      <w:outlineLvl w:val="1"/>
    </w:pPr>
    <w:rPr>
      <w:rFonts w:ascii="仿宋" w:hAnsi="仿宋" w:eastAsia="仿宋"/>
      <w:b/>
      <w:sz w:val="28"/>
      <w:szCs w:val="21"/>
    </w:rPr>
  </w:style>
  <w:style w:type="paragraph" w:customStyle="1" w:styleId="379">
    <w:name w:val="正文 1.1.1"/>
    <w:basedOn w:val="1"/>
    <w:next w:val="1"/>
    <w:autoRedefine/>
    <w:qFormat/>
    <w:uiPriority w:val="99"/>
    <w:pPr>
      <w:widowControl w:val="0"/>
      <w:adjustRightInd w:val="0"/>
      <w:spacing w:line="360" w:lineRule="auto"/>
      <w:ind w:firstLine="630" w:firstLineChars="196"/>
      <w:jc w:val="both"/>
      <w:textAlignment w:val="baseline"/>
      <w:outlineLvl w:val="1"/>
    </w:pPr>
    <w:rPr>
      <w:rFonts w:ascii="仿宋" w:hAnsi="仿宋" w:eastAsia="仿宋"/>
      <w:b/>
      <w:snapToGrid w:val="0"/>
      <w:color w:val="000000"/>
      <w:sz w:val="32"/>
      <w:szCs w:val="32"/>
    </w:rPr>
  </w:style>
  <w:style w:type="paragraph" w:customStyle="1" w:styleId="380">
    <w:name w:val="第四级"/>
    <w:basedOn w:val="1"/>
    <w:next w:val="376"/>
    <w:autoRedefine/>
    <w:qFormat/>
    <w:uiPriority w:val="99"/>
    <w:pPr>
      <w:widowControl w:val="0"/>
      <w:numPr>
        <w:ilvl w:val="3"/>
        <w:numId w:val="3"/>
      </w:numPr>
      <w:adjustRightInd w:val="0"/>
      <w:spacing w:line="360" w:lineRule="auto"/>
      <w:jc w:val="both"/>
      <w:textAlignment w:val="baseline"/>
    </w:pPr>
    <w:rPr>
      <w:rFonts w:ascii="宋体" w:hAnsi="宋体" w:eastAsia="仿宋"/>
      <w:sz w:val="28"/>
      <w:szCs w:val="21"/>
    </w:rPr>
  </w:style>
  <w:style w:type="paragraph" w:customStyle="1" w:styleId="381">
    <w:name w:val="正文空4格  1）"/>
    <w:basedOn w:val="1"/>
    <w:autoRedefine/>
    <w:qFormat/>
    <w:uiPriority w:val="99"/>
    <w:pPr>
      <w:widowControl w:val="0"/>
      <w:adjustRightInd w:val="0"/>
      <w:spacing w:line="360" w:lineRule="auto"/>
      <w:ind w:firstLine="1120" w:firstLineChars="400"/>
      <w:jc w:val="both"/>
      <w:textAlignment w:val="baseline"/>
    </w:pPr>
    <w:rPr>
      <w:rFonts w:ascii="宋体" w:eastAsia="仿宋" w:cs="宋体"/>
      <w:sz w:val="28"/>
      <w:szCs w:val="20"/>
    </w:rPr>
  </w:style>
  <w:style w:type="paragraph" w:customStyle="1" w:styleId="382">
    <w:name w:val="正文缩进2格"/>
    <w:basedOn w:val="1"/>
    <w:autoRedefine/>
    <w:qFormat/>
    <w:uiPriority w:val="99"/>
    <w:pPr>
      <w:widowControl w:val="0"/>
      <w:spacing w:line="600" w:lineRule="exact"/>
      <w:ind w:firstLine="639" w:firstLineChars="206"/>
      <w:jc w:val="both"/>
    </w:pPr>
    <w:rPr>
      <w:rFonts w:ascii="仿宋_GB2312" w:hAnsi="宋体" w:eastAsia="仿宋_GB2312"/>
      <w:kern w:val="2"/>
      <w:sz w:val="31"/>
      <w:szCs w:val="20"/>
    </w:rPr>
  </w:style>
  <w:style w:type="character" w:customStyle="1" w:styleId="383">
    <w:name w:val="批注文字 Char1"/>
    <w:autoRedefine/>
    <w:qFormat/>
    <w:uiPriority w:val="0"/>
    <w:rPr>
      <w:color w:val="000000"/>
      <w:sz w:val="24"/>
    </w:rPr>
  </w:style>
  <w:style w:type="paragraph" w:customStyle="1" w:styleId="384">
    <w:name w:val="Char Char Char Char Char Char Char Char Char Char Char Char"/>
    <w:basedOn w:val="1"/>
    <w:autoRedefine/>
    <w:qFormat/>
    <w:uiPriority w:val="99"/>
    <w:pPr>
      <w:spacing w:after="160" w:line="240" w:lineRule="exact"/>
    </w:pPr>
    <w:rPr>
      <w:rFonts w:ascii="Verdana" w:hAnsi="Verdana"/>
      <w:sz w:val="20"/>
      <w:szCs w:val="20"/>
      <w:lang w:eastAsia="en-US"/>
    </w:rPr>
  </w:style>
  <w:style w:type="paragraph" w:customStyle="1" w:styleId="385">
    <w:name w:val="列出段落111"/>
    <w:basedOn w:val="1"/>
    <w:link w:val="530"/>
    <w:autoRedefine/>
    <w:qFormat/>
    <w:uiPriority w:val="34"/>
    <w:pPr>
      <w:widowControl w:val="0"/>
      <w:ind w:firstLine="420" w:firstLineChars="200"/>
      <w:jc w:val="both"/>
    </w:pPr>
    <w:rPr>
      <w:rFonts w:ascii="Calibri" w:hAnsi="Calibri"/>
      <w:kern w:val="2"/>
      <w:sz w:val="21"/>
      <w:szCs w:val="22"/>
      <w:lang w:val="sq-AL"/>
    </w:rPr>
  </w:style>
  <w:style w:type="paragraph" w:customStyle="1" w:styleId="386">
    <w:name w:val="表格文字"/>
    <w:basedOn w:val="1"/>
    <w:autoRedefine/>
    <w:qFormat/>
    <w:uiPriority w:val="99"/>
    <w:pPr>
      <w:widowControl w:val="0"/>
      <w:jc w:val="center"/>
    </w:pPr>
    <w:rPr>
      <w:rFonts w:cs="宋体"/>
      <w:bCs/>
      <w:kern w:val="2"/>
      <w:sz w:val="21"/>
      <w:szCs w:val="20"/>
    </w:rPr>
  </w:style>
  <w:style w:type="table" w:customStyle="1" w:styleId="387">
    <w:name w:val="网格型1"/>
    <w:basedOn w:val="51"/>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8">
    <w:name w:val="AOHead2"/>
    <w:basedOn w:val="1"/>
    <w:next w:val="1"/>
    <w:autoRedefine/>
    <w:qFormat/>
    <w:uiPriority w:val="99"/>
    <w:pPr>
      <w:keepNext/>
      <w:spacing w:line="360" w:lineRule="auto"/>
      <w:ind w:right="210" w:rightChars="100"/>
      <w:jc w:val="both"/>
      <w:outlineLvl w:val="0"/>
    </w:pPr>
    <w:rPr>
      <w:rFonts w:ascii="Arial" w:hAnsi="Arial" w:eastAsia="黑体" w:cs="Arial"/>
      <w:bCs/>
      <w:kern w:val="28"/>
      <w:lang w:val="en-GB"/>
    </w:rPr>
  </w:style>
  <w:style w:type="paragraph" w:customStyle="1" w:styleId="389">
    <w:name w:val="列出段落2"/>
    <w:basedOn w:val="1"/>
    <w:autoRedefine/>
    <w:qFormat/>
    <w:uiPriority w:val="99"/>
    <w:pPr>
      <w:widowControl w:val="0"/>
      <w:ind w:firstLine="420" w:firstLineChars="200"/>
      <w:jc w:val="both"/>
    </w:pPr>
    <w:rPr>
      <w:kern w:val="2"/>
      <w:sz w:val="21"/>
    </w:rPr>
  </w:style>
  <w:style w:type="character" w:customStyle="1" w:styleId="390">
    <w:name w:val="AOHidden"/>
    <w:autoRedefine/>
    <w:qFormat/>
    <w:uiPriority w:val="99"/>
    <w:rPr>
      <w:vanish/>
      <w:color w:val="auto"/>
    </w:rPr>
  </w:style>
  <w:style w:type="character" w:customStyle="1" w:styleId="391">
    <w:name w:val="FrutigerBold"/>
    <w:autoRedefine/>
    <w:qFormat/>
    <w:uiPriority w:val="99"/>
    <w:rPr>
      <w:rFonts w:ascii="Frutiger 45 Light" w:hAnsi="Frutiger 45 Light"/>
      <w:b/>
    </w:rPr>
  </w:style>
  <w:style w:type="character" w:customStyle="1" w:styleId="392">
    <w:name w:val="Char Char Char Char Char"/>
    <w:link w:val="393"/>
    <w:autoRedefine/>
    <w:qFormat/>
    <w:uiPriority w:val="99"/>
    <w:rPr>
      <w:szCs w:val="24"/>
    </w:rPr>
  </w:style>
  <w:style w:type="paragraph" w:customStyle="1" w:styleId="393">
    <w:name w:val="Char2"/>
    <w:basedOn w:val="1"/>
    <w:next w:val="1"/>
    <w:link w:val="392"/>
    <w:autoRedefine/>
    <w:qFormat/>
    <w:uiPriority w:val="0"/>
    <w:pPr>
      <w:widowControl w:val="0"/>
      <w:spacing w:after="120" w:line="480" w:lineRule="auto"/>
      <w:jc w:val="both"/>
    </w:pPr>
    <w:rPr>
      <w:sz w:val="20"/>
    </w:rPr>
  </w:style>
  <w:style w:type="paragraph" w:customStyle="1" w:styleId="394">
    <w:name w:val="AOGenNum1Para"/>
    <w:basedOn w:val="395"/>
    <w:next w:val="399"/>
    <w:autoRedefine/>
    <w:qFormat/>
    <w:uiPriority w:val="99"/>
  </w:style>
  <w:style w:type="paragraph" w:customStyle="1" w:styleId="395">
    <w:name w:val="AOGenNum1"/>
    <w:basedOn w:val="396"/>
    <w:next w:val="394"/>
    <w:autoRedefine/>
    <w:qFormat/>
    <w:uiPriority w:val="99"/>
    <w:pPr>
      <w:keepNext/>
      <w:spacing w:before="240"/>
      <w:ind w:left="720"/>
    </w:pPr>
    <w:rPr>
      <w:b/>
      <w:caps/>
    </w:rPr>
  </w:style>
  <w:style w:type="paragraph" w:customStyle="1" w:styleId="396">
    <w:name w:val="AOBodyTxt"/>
    <w:basedOn w:val="397"/>
    <w:next w:val="398"/>
    <w:autoRedefine/>
    <w:qFormat/>
    <w:uiPriority w:val="99"/>
  </w:style>
  <w:style w:type="paragraph" w:customStyle="1" w:styleId="397">
    <w:name w:val="AONormal"/>
    <w:autoRedefine/>
    <w:qFormat/>
    <w:uiPriority w:val="99"/>
    <w:pPr>
      <w:spacing w:line="260" w:lineRule="atLeast"/>
      <w:jc w:val="both"/>
    </w:pPr>
    <w:rPr>
      <w:rFonts w:ascii="Times New Roman" w:hAnsi="Times New Roman" w:eastAsia="宋体" w:cs="Times New Roman"/>
      <w:sz w:val="22"/>
      <w:lang w:val="en-GB" w:eastAsia="en-US" w:bidi="ar-SA"/>
    </w:rPr>
  </w:style>
  <w:style w:type="paragraph" w:customStyle="1" w:styleId="398">
    <w:name w:val="AODocTxt"/>
    <w:basedOn w:val="396"/>
    <w:autoRedefine/>
    <w:qFormat/>
    <w:uiPriority w:val="99"/>
    <w:pPr>
      <w:spacing w:before="240"/>
    </w:pPr>
  </w:style>
  <w:style w:type="paragraph" w:customStyle="1" w:styleId="399">
    <w:name w:val="AOGenNum1List"/>
    <w:basedOn w:val="395"/>
    <w:autoRedefine/>
    <w:qFormat/>
    <w:uiPriority w:val="99"/>
  </w:style>
  <w:style w:type="paragraph" w:customStyle="1" w:styleId="400">
    <w:name w:val="AOHeaderC"/>
    <w:basedOn w:val="401"/>
    <w:autoRedefine/>
    <w:qFormat/>
    <w:uiPriority w:val="99"/>
  </w:style>
  <w:style w:type="paragraph" w:customStyle="1" w:styleId="401">
    <w:name w:val="AOHeaderL"/>
    <w:basedOn w:val="397"/>
    <w:autoRedefine/>
    <w:qFormat/>
    <w:uiPriority w:val="99"/>
  </w:style>
  <w:style w:type="paragraph" w:customStyle="1" w:styleId="402">
    <w:name w:val="AOTOCs"/>
    <w:basedOn w:val="397"/>
    <w:next w:val="86"/>
    <w:autoRedefine/>
    <w:qFormat/>
    <w:uiPriority w:val="99"/>
  </w:style>
  <w:style w:type="paragraph" w:customStyle="1" w:styleId="403">
    <w:name w:val="AOBullet"/>
    <w:basedOn w:val="396"/>
    <w:autoRedefine/>
    <w:qFormat/>
    <w:uiPriority w:val="99"/>
    <w:pPr>
      <w:tabs>
        <w:tab w:val="left" w:pos="720"/>
      </w:tabs>
      <w:spacing w:before="240"/>
      <w:ind w:left="720" w:hanging="720"/>
    </w:pPr>
  </w:style>
  <w:style w:type="paragraph" w:customStyle="1" w:styleId="404">
    <w:name w:val="Level (i)fo"/>
    <w:basedOn w:val="1"/>
    <w:autoRedefine/>
    <w:qFormat/>
    <w:uiPriority w:val="99"/>
    <w:pPr>
      <w:spacing w:before="240"/>
      <w:ind w:left="2160"/>
    </w:pPr>
    <w:rPr>
      <w:rFonts w:ascii="Palatino" w:hAnsi="Palatino"/>
      <w:sz w:val="22"/>
      <w:szCs w:val="20"/>
      <w:lang w:val="en-AU"/>
    </w:rPr>
  </w:style>
  <w:style w:type="paragraph" w:customStyle="1" w:styleId="405">
    <w:name w:val="Level(A)"/>
    <w:basedOn w:val="1"/>
    <w:next w:val="406"/>
    <w:autoRedefine/>
    <w:qFormat/>
    <w:uiPriority w:val="99"/>
    <w:pPr>
      <w:tabs>
        <w:tab w:val="left" w:pos="2880"/>
      </w:tabs>
      <w:spacing w:before="240"/>
      <w:ind w:left="2880" w:hanging="720"/>
      <w:outlineLvl w:val="5"/>
    </w:pPr>
    <w:rPr>
      <w:rFonts w:ascii="Palatino" w:hAnsi="Palatino"/>
      <w:sz w:val="22"/>
      <w:szCs w:val="20"/>
      <w:lang w:val="en-AU"/>
    </w:rPr>
  </w:style>
  <w:style w:type="paragraph" w:customStyle="1" w:styleId="406">
    <w:name w:val="Level (A)fo"/>
    <w:basedOn w:val="1"/>
    <w:autoRedefine/>
    <w:qFormat/>
    <w:uiPriority w:val="99"/>
    <w:pPr>
      <w:spacing w:before="240"/>
      <w:ind w:left="2880"/>
    </w:pPr>
    <w:rPr>
      <w:rFonts w:ascii="Palatino" w:hAnsi="Palatino"/>
      <w:sz w:val="22"/>
      <w:szCs w:val="20"/>
      <w:lang w:val="en-AU"/>
    </w:rPr>
  </w:style>
  <w:style w:type="paragraph" w:customStyle="1" w:styleId="407">
    <w:name w:val="AODocTxtL1"/>
    <w:basedOn w:val="398"/>
    <w:autoRedefine/>
    <w:qFormat/>
    <w:uiPriority w:val="99"/>
  </w:style>
  <w:style w:type="paragraph" w:customStyle="1" w:styleId="408">
    <w:name w:val="AOAltHead5"/>
    <w:basedOn w:val="409"/>
    <w:next w:val="412"/>
    <w:autoRedefine/>
    <w:qFormat/>
    <w:uiPriority w:val="99"/>
  </w:style>
  <w:style w:type="paragraph" w:customStyle="1" w:styleId="409">
    <w:name w:val="AOHead5"/>
    <w:basedOn w:val="410"/>
    <w:next w:val="411"/>
    <w:autoRedefine/>
    <w:qFormat/>
    <w:uiPriority w:val="99"/>
    <w:pPr>
      <w:outlineLvl w:val="4"/>
    </w:pPr>
  </w:style>
  <w:style w:type="paragraph" w:customStyle="1" w:styleId="410">
    <w:name w:val="AOHeadings"/>
    <w:basedOn w:val="396"/>
    <w:next w:val="398"/>
    <w:autoRedefine/>
    <w:qFormat/>
    <w:uiPriority w:val="99"/>
    <w:pPr>
      <w:spacing w:before="240"/>
    </w:pPr>
  </w:style>
  <w:style w:type="paragraph" w:customStyle="1" w:styleId="411">
    <w:name w:val="AODocTxtL4"/>
    <w:basedOn w:val="398"/>
    <w:autoRedefine/>
    <w:qFormat/>
    <w:uiPriority w:val="99"/>
  </w:style>
  <w:style w:type="paragraph" w:customStyle="1" w:styleId="412">
    <w:name w:val="AODocTxtL3"/>
    <w:basedOn w:val="398"/>
    <w:autoRedefine/>
    <w:qFormat/>
    <w:uiPriority w:val="99"/>
  </w:style>
  <w:style w:type="paragraph" w:customStyle="1" w:styleId="413">
    <w:name w:val="AOPlainFooter"/>
    <w:basedOn w:val="1"/>
    <w:next w:val="1"/>
    <w:autoRedefine/>
    <w:qFormat/>
    <w:uiPriority w:val="99"/>
    <w:pPr>
      <w:jc w:val="right"/>
    </w:pPr>
    <w:rPr>
      <w:sz w:val="16"/>
      <w:szCs w:val="20"/>
      <w:lang w:val="en-GB" w:eastAsia="en-US"/>
    </w:rPr>
  </w:style>
  <w:style w:type="paragraph" w:customStyle="1" w:styleId="414">
    <w:name w:val="一层"/>
    <w:basedOn w:val="2"/>
    <w:autoRedefine/>
    <w:qFormat/>
    <w:uiPriority w:val="99"/>
    <w:pPr>
      <w:widowControl w:val="0"/>
      <w:tabs>
        <w:tab w:val="left" w:pos="540"/>
        <w:tab w:val="left" w:pos="720"/>
      </w:tabs>
      <w:spacing w:before="0" w:after="0" w:line="500" w:lineRule="exact"/>
    </w:pPr>
    <w:rPr>
      <w:rFonts w:ascii="楷体_GB2312" w:hAnsi="宋体" w:eastAsia="楷体_GB2312"/>
      <w:b/>
      <w:bCs w:val="0"/>
      <w:w w:val="80"/>
      <w:sz w:val="24"/>
      <w:szCs w:val="52"/>
      <w:lang w:val="en-US"/>
    </w:rPr>
  </w:style>
  <w:style w:type="paragraph" w:customStyle="1" w:styleId="415">
    <w:name w:val="Level 1.fo"/>
    <w:basedOn w:val="1"/>
    <w:autoRedefine/>
    <w:qFormat/>
    <w:uiPriority w:val="99"/>
    <w:pPr>
      <w:spacing w:before="240"/>
      <w:ind w:left="720"/>
    </w:pPr>
    <w:rPr>
      <w:rFonts w:ascii="Palatino" w:hAnsi="Palatino"/>
      <w:sz w:val="22"/>
      <w:szCs w:val="20"/>
      <w:lang w:val="en-AU"/>
    </w:rPr>
  </w:style>
  <w:style w:type="paragraph" w:customStyle="1" w:styleId="416">
    <w:name w:val="AODocTxtL6"/>
    <w:basedOn w:val="398"/>
    <w:autoRedefine/>
    <w:qFormat/>
    <w:uiPriority w:val="99"/>
  </w:style>
  <w:style w:type="paragraph" w:customStyle="1" w:styleId="417">
    <w:name w:val="AOFPTxt"/>
    <w:basedOn w:val="418"/>
    <w:autoRedefine/>
    <w:qFormat/>
    <w:uiPriority w:val="99"/>
  </w:style>
  <w:style w:type="paragraph" w:customStyle="1" w:styleId="418">
    <w:name w:val="AOFPBP"/>
    <w:basedOn w:val="397"/>
    <w:next w:val="417"/>
    <w:autoRedefine/>
    <w:qFormat/>
    <w:uiPriority w:val="99"/>
  </w:style>
  <w:style w:type="paragraph" w:customStyle="1" w:styleId="419">
    <w:name w:val="AOFPTitle"/>
    <w:basedOn w:val="417"/>
    <w:autoRedefine/>
    <w:qFormat/>
    <w:uiPriority w:val="99"/>
    <w:pPr>
      <w:jc w:val="center"/>
    </w:pPr>
    <w:rPr>
      <w:b/>
      <w:caps/>
      <w:sz w:val="32"/>
    </w:rPr>
  </w:style>
  <w:style w:type="paragraph" w:customStyle="1" w:styleId="420">
    <w:name w:val="AO(1)"/>
    <w:basedOn w:val="396"/>
    <w:next w:val="398"/>
    <w:autoRedefine/>
    <w:qFormat/>
    <w:uiPriority w:val="0"/>
    <w:pPr>
      <w:spacing w:before="240"/>
      <w:ind w:left="720"/>
    </w:pPr>
  </w:style>
  <w:style w:type="paragraph" w:customStyle="1" w:styleId="421">
    <w:name w:val="AODocTxtL2"/>
    <w:basedOn w:val="398"/>
    <w:autoRedefine/>
    <w:qFormat/>
    <w:uiPriority w:val="99"/>
  </w:style>
  <w:style w:type="paragraph" w:customStyle="1" w:styleId="422">
    <w:name w:val="Level 1.1"/>
    <w:basedOn w:val="1"/>
    <w:next w:val="423"/>
    <w:autoRedefine/>
    <w:qFormat/>
    <w:uiPriority w:val="99"/>
    <w:pPr>
      <w:tabs>
        <w:tab w:val="left" w:pos="720"/>
      </w:tabs>
      <w:spacing w:before="240"/>
      <w:ind w:left="720" w:hanging="706"/>
      <w:outlineLvl w:val="2"/>
    </w:pPr>
    <w:rPr>
      <w:rFonts w:ascii="Palatino" w:hAnsi="Palatino"/>
      <w:sz w:val="22"/>
      <w:szCs w:val="20"/>
      <w:lang w:val="en-AU"/>
    </w:rPr>
  </w:style>
  <w:style w:type="paragraph" w:customStyle="1" w:styleId="423">
    <w:name w:val="Level 1.1fo"/>
    <w:basedOn w:val="1"/>
    <w:autoRedefine/>
    <w:qFormat/>
    <w:uiPriority w:val="99"/>
    <w:pPr>
      <w:spacing w:before="240"/>
      <w:ind w:left="720"/>
    </w:pPr>
    <w:rPr>
      <w:rFonts w:ascii="Palatino" w:hAnsi="Palatino"/>
      <w:sz w:val="22"/>
      <w:szCs w:val="20"/>
      <w:lang w:val="en-AU"/>
    </w:rPr>
  </w:style>
  <w:style w:type="paragraph" w:customStyle="1" w:styleId="424">
    <w:name w:val="AOTOCTitle"/>
    <w:basedOn w:val="410"/>
    <w:next w:val="425"/>
    <w:autoRedefine/>
    <w:qFormat/>
    <w:uiPriority w:val="99"/>
    <w:pPr>
      <w:jc w:val="center"/>
    </w:pPr>
    <w:rPr>
      <w:b/>
      <w:caps/>
    </w:rPr>
  </w:style>
  <w:style w:type="paragraph" w:customStyle="1" w:styleId="425">
    <w:name w:val="AOTOCHeading"/>
    <w:basedOn w:val="410"/>
    <w:next w:val="398"/>
    <w:autoRedefine/>
    <w:qFormat/>
    <w:uiPriority w:val="99"/>
    <w:pPr>
      <w:tabs>
        <w:tab w:val="right" w:pos="9000"/>
      </w:tabs>
      <w:spacing w:after="240"/>
    </w:pPr>
    <w:rPr>
      <w:b/>
    </w:rPr>
  </w:style>
  <w:style w:type="paragraph" w:customStyle="1" w:styleId="426">
    <w:name w:val="段"/>
    <w:basedOn w:val="1"/>
    <w:autoRedefine/>
    <w:qFormat/>
    <w:uiPriority w:val="99"/>
    <w:pPr>
      <w:widowControl w:val="0"/>
      <w:adjustRightInd w:val="0"/>
      <w:snapToGrid w:val="0"/>
      <w:spacing w:line="360" w:lineRule="auto"/>
      <w:ind w:firstLine="410"/>
      <w:jc w:val="both"/>
    </w:pPr>
    <w:rPr>
      <w:kern w:val="2"/>
      <w:szCs w:val="20"/>
    </w:rPr>
  </w:style>
  <w:style w:type="paragraph" w:customStyle="1" w:styleId="427">
    <w:name w:val="AOAltHead6"/>
    <w:basedOn w:val="428"/>
    <w:next w:val="411"/>
    <w:autoRedefine/>
    <w:qFormat/>
    <w:uiPriority w:val="99"/>
    <w:pPr>
      <w:tabs>
        <w:tab w:val="left" w:pos="2160"/>
      </w:tabs>
      <w:ind w:left="0" w:firstLine="0"/>
    </w:pPr>
  </w:style>
  <w:style w:type="paragraph" w:customStyle="1" w:styleId="428">
    <w:name w:val="AOHead6"/>
    <w:basedOn w:val="410"/>
    <w:next w:val="429"/>
    <w:autoRedefine/>
    <w:qFormat/>
    <w:uiPriority w:val="99"/>
    <w:pPr>
      <w:tabs>
        <w:tab w:val="left" w:pos="2160"/>
      </w:tabs>
      <w:ind w:left="2160" w:hanging="720"/>
      <w:outlineLvl w:val="5"/>
    </w:pPr>
  </w:style>
  <w:style w:type="paragraph" w:customStyle="1" w:styleId="429">
    <w:name w:val="AODocTxtL5"/>
    <w:basedOn w:val="398"/>
    <w:autoRedefine/>
    <w:qFormat/>
    <w:uiPriority w:val="99"/>
  </w:style>
  <w:style w:type="paragraph" w:customStyle="1" w:styleId="430">
    <w:name w:val="AOListNumber"/>
    <w:basedOn w:val="396"/>
    <w:autoRedefine/>
    <w:qFormat/>
    <w:uiPriority w:val="99"/>
    <w:pPr>
      <w:spacing w:before="240"/>
    </w:pPr>
  </w:style>
  <w:style w:type="paragraph" w:customStyle="1" w:styleId="431">
    <w:name w:val="Level 1."/>
    <w:basedOn w:val="1"/>
    <w:next w:val="415"/>
    <w:autoRedefine/>
    <w:qFormat/>
    <w:uiPriority w:val="99"/>
    <w:pPr>
      <w:tabs>
        <w:tab w:val="left" w:pos="720"/>
      </w:tabs>
      <w:spacing w:before="240"/>
      <w:ind w:left="720" w:hanging="720"/>
      <w:outlineLvl w:val="1"/>
    </w:pPr>
    <w:rPr>
      <w:rFonts w:ascii="Palatino" w:hAnsi="Palatino"/>
      <w:sz w:val="22"/>
      <w:szCs w:val="20"/>
      <w:lang w:val="en-AU"/>
    </w:rPr>
  </w:style>
  <w:style w:type="paragraph" w:customStyle="1" w:styleId="432">
    <w:name w:val="Level (a)"/>
    <w:basedOn w:val="1"/>
    <w:next w:val="433"/>
    <w:autoRedefine/>
    <w:qFormat/>
    <w:uiPriority w:val="99"/>
    <w:pPr>
      <w:tabs>
        <w:tab w:val="left" w:pos="1440"/>
      </w:tabs>
      <w:spacing w:before="240"/>
      <w:ind w:left="1440" w:hanging="720"/>
      <w:outlineLvl w:val="3"/>
    </w:pPr>
    <w:rPr>
      <w:rFonts w:ascii="Palatino" w:hAnsi="Palatino"/>
      <w:sz w:val="22"/>
      <w:szCs w:val="20"/>
      <w:lang w:val="en-AU"/>
    </w:rPr>
  </w:style>
  <w:style w:type="paragraph" w:customStyle="1" w:styleId="433">
    <w:name w:val="Level (a)fo"/>
    <w:basedOn w:val="1"/>
    <w:autoRedefine/>
    <w:qFormat/>
    <w:uiPriority w:val="99"/>
    <w:pPr>
      <w:spacing w:before="240"/>
      <w:ind w:left="1440"/>
    </w:pPr>
    <w:rPr>
      <w:rFonts w:ascii="Palatino" w:hAnsi="Palatino"/>
      <w:sz w:val="22"/>
      <w:szCs w:val="20"/>
      <w:lang w:val="en-AU"/>
    </w:rPr>
  </w:style>
  <w:style w:type="paragraph" w:customStyle="1" w:styleId="434">
    <w:name w:val="Level (i)"/>
    <w:basedOn w:val="1"/>
    <w:next w:val="404"/>
    <w:autoRedefine/>
    <w:qFormat/>
    <w:uiPriority w:val="99"/>
    <w:pPr>
      <w:tabs>
        <w:tab w:val="left" w:pos="2160"/>
      </w:tabs>
      <w:spacing w:before="240"/>
      <w:ind w:left="2160" w:hanging="720"/>
      <w:outlineLvl w:val="4"/>
    </w:pPr>
    <w:rPr>
      <w:rFonts w:ascii="Palatino" w:hAnsi="Palatino"/>
      <w:sz w:val="22"/>
      <w:szCs w:val="20"/>
      <w:lang w:val="en-AU"/>
    </w:rPr>
  </w:style>
  <w:style w:type="paragraph" w:customStyle="1" w:styleId="435">
    <w:name w:val="AOBPTxtL"/>
    <w:basedOn w:val="418"/>
    <w:autoRedefine/>
    <w:qFormat/>
    <w:uiPriority w:val="99"/>
  </w:style>
  <w:style w:type="paragraph" w:customStyle="1" w:styleId="436">
    <w:name w:val="toc3"/>
    <w:basedOn w:val="1"/>
    <w:autoRedefine/>
    <w:qFormat/>
    <w:uiPriority w:val="99"/>
    <w:pPr>
      <w:tabs>
        <w:tab w:val="left" w:pos="720"/>
        <w:tab w:val="right" w:pos="9029"/>
      </w:tabs>
      <w:jc w:val="both"/>
    </w:pPr>
    <w:rPr>
      <w:rFonts w:eastAsia="LF Song"/>
      <w:szCs w:val="20"/>
    </w:rPr>
  </w:style>
  <w:style w:type="paragraph" w:customStyle="1" w:styleId="437">
    <w:name w:val="AOBPTxtC"/>
    <w:basedOn w:val="435"/>
    <w:autoRedefine/>
    <w:qFormat/>
    <w:uiPriority w:val="99"/>
  </w:style>
  <w:style w:type="paragraph" w:customStyle="1" w:styleId="438">
    <w:name w:val="AOHead1"/>
    <w:basedOn w:val="410"/>
    <w:next w:val="407"/>
    <w:autoRedefine/>
    <w:qFormat/>
    <w:uiPriority w:val="99"/>
    <w:pPr>
      <w:keepNext/>
      <w:spacing w:before="0" w:line="360" w:lineRule="auto"/>
      <w:ind w:left="420"/>
      <w:jc w:val="center"/>
    </w:pPr>
    <w:rPr>
      <w:rFonts w:ascii="黑体" w:hAnsi="宋体" w:eastAsia="黑体"/>
      <w:bCs/>
      <w:caps/>
      <w:color w:val="000000"/>
      <w:kern w:val="28"/>
      <w:sz w:val="30"/>
      <w:lang w:val="en-US" w:eastAsia="zh-CN"/>
    </w:rPr>
  </w:style>
  <w:style w:type="paragraph" w:customStyle="1" w:styleId="439">
    <w:name w:val="AOAttachments"/>
    <w:basedOn w:val="396"/>
    <w:next w:val="398"/>
    <w:autoRedefine/>
    <w:qFormat/>
    <w:uiPriority w:val="99"/>
    <w:pPr>
      <w:spacing w:before="240"/>
      <w:jc w:val="center"/>
    </w:pPr>
    <w:rPr>
      <w:caps/>
    </w:rPr>
  </w:style>
  <w:style w:type="paragraph" w:customStyle="1" w:styleId="440">
    <w:name w:val="AOFPCopyright"/>
    <w:basedOn w:val="417"/>
    <w:autoRedefine/>
    <w:qFormat/>
    <w:uiPriority w:val="99"/>
    <w:pPr>
      <w:jc w:val="left"/>
    </w:pPr>
    <w:rPr>
      <w:b/>
      <w:caps/>
    </w:rPr>
  </w:style>
  <w:style w:type="paragraph" w:customStyle="1" w:styleId="441">
    <w:name w:val="AOAnxPartHead"/>
    <w:basedOn w:val="442"/>
    <w:next w:val="444"/>
    <w:autoRedefine/>
    <w:qFormat/>
    <w:uiPriority w:val="99"/>
    <w:pPr>
      <w:pageBreakBefore w:val="0"/>
      <w:tabs>
        <w:tab w:val="left" w:pos="720"/>
        <w:tab w:val="left" w:pos="1492"/>
      </w:tabs>
      <w:ind w:left="1492" w:hanging="360"/>
    </w:pPr>
  </w:style>
  <w:style w:type="paragraph" w:customStyle="1" w:styleId="442">
    <w:name w:val="AOAnxHead"/>
    <w:basedOn w:val="439"/>
    <w:next w:val="443"/>
    <w:autoRedefine/>
    <w:qFormat/>
    <w:uiPriority w:val="99"/>
    <w:pPr>
      <w:pageBreakBefore/>
      <w:tabs>
        <w:tab w:val="left" w:pos="720"/>
      </w:tabs>
      <w:ind w:left="720" w:hanging="720"/>
      <w:outlineLvl w:val="0"/>
    </w:pPr>
  </w:style>
  <w:style w:type="paragraph" w:customStyle="1" w:styleId="443">
    <w:name w:val="AOAnxTitle"/>
    <w:basedOn w:val="439"/>
    <w:next w:val="398"/>
    <w:autoRedefine/>
    <w:qFormat/>
    <w:uiPriority w:val="99"/>
    <w:pPr>
      <w:outlineLvl w:val="1"/>
    </w:pPr>
    <w:rPr>
      <w:b/>
    </w:rPr>
  </w:style>
  <w:style w:type="paragraph" w:customStyle="1" w:styleId="444">
    <w:name w:val="AOAnxPartTitle"/>
    <w:basedOn w:val="443"/>
    <w:next w:val="398"/>
    <w:autoRedefine/>
    <w:qFormat/>
    <w:uiPriority w:val="99"/>
  </w:style>
  <w:style w:type="paragraph" w:customStyle="1" w:styleId="445">
    <w:name w:val="AOHead3"/>
    <w:basedOn w:val="410"/>
    <w:next w:val="421"/>
    <w:autoRedefine/>
    <w:qFormat/>
    <w:uiPriority w:val="99"/>
    <w:pPr>
      <w:spacing w:line="360" w:lineRule="auto"/>
      <w:ind w:left="420" w:leftChars="100" w:right="210" w:rightChars="100"/>
      <w:outlineLvl w:val="2"/>
    </w:pPr>
    <w:rPr>
      <w:rFonts w:ascii="宋体" w:hAnsi="宋体"/>
      <w:color w:val="000000"/>
      <w:sz w:val="24"/>
      <w:lang w:eastAsia="zh-CN"/>
    </w:rPr>
  </w:style>
  <w:style w:type="paragraph" w:customStyle="1" w:styleId="446">
    <w:name w:val="AOAppPartHead"/>
    <w:basedOn w:val="447"/>
    <w:next w:val="449"/>
    <w:autoRedefine/>
    <w:qFormat/>
    <w:uiPriority w:val="99"/>
    <w:pPr>
      <w:pageBreakBefore w:val="0"/>
      <w:tabs>
        <w:tab w:val="left" w:pos="360"/>
      </w:tabs>
      <w:ind w:left="360" w:hanging="360"/>
    </w:pPr>
  </w:style>
  <w:style w:type="paragraph" w:customStyle="1" w:styleId="447">
    <w:name w:val="AOAppHead"/>
    <w:basedOn w:val="439"/>
    <w:next w:val="448"/>
    <w:autoRedefine/>
    <w:qFormat/>
    <w:uiPriority w:val="99"/>
    <w:pPr>
      <w:pageBreakBefore/>
      <w:outlineLvl w:val="0"/>
    </w:pPr>
  </w:style>
  <w:style w:type="paragraph" w:customStyle="1" w:styleId="448">
    <w:name w:val="AOAppTitle"/>
    <w:basedOn w:val="439"/>
    <w:next w:val="398"/>
    <w:autoRedefine/>
    <w:qFormat/>
    <w:uiPriority w:val="99"/>
    <w:pPr>
      <w:outlineLvl w:val="1"/>
    </w:pPr>
    <w:rPr>
      <w:b/>
    </w:rPr>
  </w:style>
  <w:style w:type="paragraph" w:customStyle="1" w:styleId="449">
    <w:name w:val="AOAppPartTitle"/>
    <w:basedOn w:val="448"/>
    <w:next w:val="398"/>
    <w:autoRedefine/>
    <w:qFormat/>
    <w:uiPriority w:val="99"/>
  </w:style>
  <w:style w:type="paragraph" w:customStyle="1" w:styleId="450">
    <w:name w:val="AOAltHead3"/>
    <w:basedOn w:val="445"/>
    <w:next w:val="407"/>
    <w:autoRedefine/>
    <w:qFormat/>
    <w:uiPriority w:val="99"/>
    <w:pPr>
      <w:ind w:left="720"/>
    </w:pPr>
  </w:style>
  <w:style w:type="paragraph" w:customStyle="1" w:styleId="451">
    <w:name w:val="AOHead4"/>
    <w:basedOn w:val="410"/>
    <w:next w:val="412"/>
    <w:autoRedefine/>
    <w:qFormat/>
    <w:uiPriority w:val="99"/>
    <w:pPr>
      <w:outlineLvl w:val="3"/>
    </w:pPr>
  </w:style>
  <w:style w:type="paragraph" w:customStyle="1" w:styleId="452">
    <w:name w:val="条"/>
    <w:basedOn w:val="2"/>
    <w:autoRedefine/>
    <w:qFormat/>
    <w:uiPriority w:val="99"/>
    <w:pPr>
      <w:widowControl w:val="0"/>
      <w:tabs>
        <w:tab w:val="left" w:pos="1680"/>
      </w:tabs>
      <w:spacing w:before="200" w:after="180" w:line="240" w:lineRule="auto"/>
      <w:ind w:left="1680" w:hanging="1260"/>
    </w:pPr>
    <w:rPr>
      <w:rFonts w:ascii="Arial" w:hAnsi="宋体"/>
      <w:bCs w:val="0"/>
      <w:w w:val="80"/>
      <w:sz w:val="28"/>
      <w:szCs w:val="52"/>
      <w:lang w:val="en-US"/>
    </w:rPr>
  </w:style>
  <w:style w:type="paragraph" w:customStyle="1" w:styleId="453">
    <w:name w:val="Header 2"/>
    <w:basedOn w:val="454"/>
    <w:autoRedefine/>
    <w:qFormat/>
    <w:uiPriority w:val="99"/>
    <w:pPr>
      <w:pBdr>
        <w:bottom w:val="none" w:color="auto" w:sz="0" w:space="0"/>
      </w:pBdr>
      <w:tabs>
        <w:tab w:val="right" w:pos="9029"/>
      </w:tabs>
    </w:pPr>
  </w:style>
  <w:style w:type="paragraph" w:customStyle="1" w:styleId="454">
    <w:name w:val="Header 1"/>
    <w:basedOn w:val="1"/>
    <w:autoRedefine/>
    <w:qFormat/>
    <w:uiPriority w:val="99"/>
    <w:pPr>
      <w:pBdr>
        <w:bottom w:val="single" w:color="auto" w:sz="4" w:space="1"/>
      </w:pBdr>
      <w:tabs>
        <w:tab w:val="right" w:pos="9029"/>
      </w:tabs>
      <w:jc w:val="both"/>
    </w:pPr>
    <w:rPr>
      <w:sz w:val="16"/>
      <w:szCs w:val="20"/>
      <w:lang w:val="en-GB" w:eastAsia="en-US"/>
    </w:rPr>
  </w:style>
  <w:style w:type="paragraph" w:customStyle="1" w:styleId="455">
    <w:name w:val="aoBodyDocumentReference"/>
    <w:basedOn w:val="1"/>
    <w:autoRedefine/>
    <w:qFormat/>
    <w:uiPriority w:val="99"/>
    <w:pPr>
      <w:jc w:val="both"/>
    </w:pPr>
    <w:rPr>
      <w:caps/>
      <w:sz w:val="16"/>
      <w:szCs w:val="20"/>
      <w:lang w:val="en-GB" w:eastAsia="en-US"/>
    </w:rPr>
  </w:style>
  <w:style w:type="paragraph" w:customStyle="1" w:styleId="456">
    <w:name w:val="AOTitle"/>
    <w:basedOn w:val="410"/>
    <w:next w:val="425"/>
    <w:autoRedefine/>
    <w:qFormat/>
    <w:uiPriority w:val="99"/>
    <w:pPr>
      <w:jc w:val="center"/>
    </w:pPr>
    <w:rPr>
      <w:b/>
      <w:caps/>
    </w:rPr>
  </w:style>
  <w:style w:type="paragraph" w:customStyle="1" w:styleId="457">
    <w:name w:val="AODocTxtL7"/>
    <w:basedOn w:val="398"/>
    <w:autoRedefine/>
    <w:qFormat/>
    <w:uiPriority w:val="99"/>
  </w:style>
  <w:style w:type="paragraph" w:customStyle="1" w:styleId="458">
    <w:name w:val="AOLocation"/>
    <w:basedOn w:val="418"/>
    <w:autoRedefine/>
    <w:qFormat/>
    <w:uiPriority w:val="99"/>
  </w:style>
  <w:style w:type="paragraph" w:customStyle="1" w:styleId="459">
    <w:name w:val="aoSpecial"/>
    <w:basedOn w:val="1"/>
    <w:autoRedefine/>
    <w:qFormat/>
    <w:uiPriority w:val="99"/>
    <w:pPr>
      <w:spacing w:before="220" w:after="440"/>
      <w:jc w:val="both"/>
    </w:pPr>
    <w:rPr>
      <w:b/>
      <w:caps/>
      <w:sz w:val="22"/>
      <w:szCs w:val="20"/>
      <w:lang w:val="en-GB" w:eastAsia="en-US"/>
    </w:rPr>
  </w:style>
  <w:style w:type="paragraph" w:customStyle="1" w:styleId="460">
    <w:name w:val="Footer 1"/>
    <w:basedOn w:val="1"/>
    <w:next w:val="1"/>
    <w:autoRedefine/>
    <w:qFormat/>
    <w:uiPriority w:val="99"/>
    <w:pPr>
      <w:pBdr>
        <w:top w:val="single" w:color="auto" w:sz="4" w:space="1"/>
      </w:pBdr>
      <w:jc w:val="both"/>
    </w:pPr>
    <w:rPr>
      <w:sz w:val="16"/>
      <w:szCs w:val="20"/>
      <w:lang w:val="en-GB" w:eastAsia="en-US"/>
    </w:rPr>
  </w:style>
  <w:style w:type="paragraph" w:customStyle="1" w:styleId="461">
    <w:name w:val="AOSchTitle"/>
    <w:basedOn w:val="439"/>
    <w:next w:val="398"/>
    <w:autoRedefine/>
    <w:qFormat/>
    <w:uiPriority w:val="99"/>
    <w:pPr>
      <w:outlineLvl w:val="1"/>
    </w:pPr>
    <w:rPr>
      <w:b/>
    </w:rPr>
  </w:style>
  <w:style w:type="paragraph" w:customStyle="1" w:styleId="462">
    <w:name w:val="AOFPDate"/>
    <w:basedOn w:val="417"/>
    <w:autoRedefine/>
    <w:qFormat/>
    <w:uiPriority w:val="99"/>
    <w:pPr>
      <w:jc w:val="center"/>
    </w:pPr>
    <w:rPr>
      <w:b/>
    </w:rPr>
  </w:style>
  <w:style w:type="paragraph" w:customStyle="1" w:styleId="463">
    <w:name w:val="AOBPTxtR"/>
    <w:basedOn w:val="435"/>
    <w:autoRedefine/>
    <w:qFormat/>
    <w:uiPriority w:val="99"/>
  </w:style>
  <w:style w:type="paragraph" w:customStyle="1" w:styleId="464">
    <w:name w:val="AOSchHead"/>
    <w:basedOn w:val="439"/>
    <w:next w:val="461"/>
    <w:autoRedefine/>
    <w:qFormat/>
    <w:uiPriority w:val="99"/>
    <w:pPr>
      <w:pageBreakBefore/>
      <w:outlineLvl w:val="0"/>
    </w:pPr>
  </w:style>
  <w:style w:type="paragraph" w:customStyle="1" w:styleId="465">
    <w:name w:val="AOBPTitle"/>
    <w:basedOn w:val="435"/>
    <w:autoRedefine/>
    <w:qFormat/>
    <w:uiPriority w:val="99"/>
  </w:style>
  <w:style w:type="paragraph" w:customStyle="1" w:styleId="466">
    <w:name w:val="AOFPTxtCaps"/>
    <w:basedOn w:val="417"/>
    <w:autoRedefine/>
    <w:qFormat/>
    <w:uiPriority w:val="99"/>
    <w:pPr>
      <w:jc w:val="center"/>
    </w:pPr>
    <w:rPr>
      <w:b/>
      <w:caps/>
    </w:rPr>
  </w:style>
  <w:style w:type="paragraph" w:customStyle="1" w:styleId="467">
    <w:name w:val="AOFooterL"/>
    <w:basedOn w:val="397"/>
    <w:autoRedefine/>
    <w:qFormat/>
    <w:uiPriority w:val="99"/>
  </w:style>
  <w:style w:type="paragraph" w:customStyle="1" w:styleId="468">
    <w:name w:val="AOHeaderR"/>
    <w:basedOn w:val="401"/>
    <w:autoRedefine/>
    <w:qFormat/>
    <w:uiPriority w:val="99"/>
  </w:style>
  <w:style w:type="paragraph" w:customStyle="1" w:styleId="469">
    <w:name w:val="AOFooterC"/>
    <w:basedOn w:val="467"/>
    <w:autoRedefine/>
    <w:qFormat/>
    <w:uiPriority w:val="99"/>
    <w:pPr>
      <w:jc w:val="center"/>
    </w:pPr>
    <w:rPr>
      <w:sz w:val="16"/>
    </w:rPr>
  </w:style>
  <w:style w:type="paragraph" w:customStyle="1" w:styleId="470">
    <w:name w:val="AOFooterR"/>
    <w:basedOn w:val="467"/>
    <w:autoRedefine/>
    <w:qFormat/>
    <w:uiPriority w:val="99"/>
    <w:pPr>
      <w:jc w:val="right"/>
    </w:pPr>
    <w:rPr>
      <w:sz w:val="16"/>
    </w:rPr>
  </w:style>
  <w:style w:type="paragraph" w:customStyle="1" w:styleId="471">
    <w:name w:val="AOSchPartTitle"/>
    <w:basedOn w:val="461"/>
    <w:next w:val="398"/>
    <w:autoRedefine/>
    <w:qFormat/>
    <w:uiPriority w:val="99"/>
  </w:style>
  <w:style w:type="paragraph" w:customStyle="1" w:styleId="472">
    <w:name w:val="AOSignatory"/>
    <w:basedOn w:val="396"/>
    <w:next w:val="398"/>
    <w:autoRedefine/>
    <w:qFormat/>
    <w:uiPriority w:val="99"/>
    <w:pPr>
      <w:pageBreakBefore/>
      <w:spacing w:before="240" w:after="240"/>
      <w:jc w:val="center"/>
    </w:pPr>
    <w:rPr>
      <w:b/>
      <w:caps/>
    </w:rPr>
  </w:style>
  <w:style w:type="paragraph" w:customStyle="1" w:styleId="473">
    <w:name w:val="AODefHead"/>
    <w:basedOn w:val="396"/>
    <w:next w:val="474"/>
    <w:autoRedefine/>
    <w:qFormat/>
    <w:uiPriority w:val="99"/>
    <w:pPr>
      <w:tabs>
        <w:tab w:val="left" w:pos="720"/>
      </w:tabs>
      <w:spacing w:before="240"/>
      <w:ind w:left="720" w:hanging="720"/>
      <w:outlineLvl w:val="5"/>
    </w:pPr>
  </w:style>
  <w:style w:type="paragraph" w:customStyle="1" w:styleId="474">
    <w:name w:val="AODefPara"/>
    <w:basedOn w:val="473"/>
    <w:autoRedefine/>
    <w:qFormat/>
    <w:uiPriority w:val="99"/>
    <w:pPr>
      <w:tabs>
        <w:tab w:val="left" w:pos="360"/>
        <w:tab w:val="clear" w:pos="720"/>
      </w:tabs>
      <w:outlineLvl w:val="6"/>
    </w:pPr>
  </w:style>
  <w:style w:type="paragraph" w:customStyle="1" w:styleId="475">
    <w:name w:val="AODocTxtL8"/>
    <w:basedOn w:val="398"/>
    <w:autoRedefine/>
    <w:qFormat/>
    <w:uiPriority w:val="99"/>
  </w:style>
  <w:style w:type="paragraph" w:customStyle="1" w:styleId="476">
    <w:name w:val="AO(A)"/>
    <w:basedOn w:val="396"/>
    <w:next w:val="398"/>
    <w:autoRedefine/>
    <w:qFormat/>
    <w:uiPriority w:val="99"/>
    <w:pPr>
      <w:spacing w:before="240"/>
      <w:ind w:left="720" w:hanging="720"/>
    </w:pPr>
  </w:style>
  <w:style w:type="paragraph" w:customStyle="1" w:styleId="477">
    <w:name w:val="AOSchPartHead"/>
    <w:basedOn w:val="464"/>
    <w:next w:val="471"/>
    <w:autoRedefine/>
    <w:qFormat/>
    <w:uiPriority w:val="99"/>
    <w:pPr>
      <w:pageBreakBefore w:val="0"/>
      <w:tabs>
        <w:tab w:val="left" w:pos="360"/>
      </w:tabs>
    </w:pPr>
  </w:style>
  <w:style w:type="paragraph" w:customStyle="1" w:styleId="478">
    <w:name w:val="AOGenNum2"/>
    <w:basedOn w:val="396"/>
    <w:next w:val="479"/>
    <w:autoRedefine/>
    <w:qFormat/>
    <w:uiPriority w:val="99"/>
    <w:pPr>
      <w:keepNext/>
      <w:spacing w:before="240"/>
      <w:ind w:left="2880"/>
    </w:pPr>
    <w:rPr>
      <w:b/>
    </w:rPr>
  </w:style>
  <w:style w:type="paragraph" w:customStyle="1" w:styleId="479">
    <w:name w:val="AOGenNum2Para"/>
    <w:basedOn w:val="478"/>
    <w:next w:val="480"/>
    <w:autoRedefine/>
    <w:qFormat/>
    <w:uiPriority w:val="99"/>
    <w:pPr>
      <w:keepNext w:val="0"/>
      <w:tabs>
        <w:tab w:val="left" w:pos="360"/>
      </w:tabs>
      <w:ind w:left="0"/>
    </w:pPr>
    <w:rPr>
      <w:b w:val="0"/>
    </w:rPr>
  </w:style>
  <w:style w:type="paragraph" w:customStyle="1" w:styleId="480">
    <w:name w:val="AOGenNum2List"/>
    <w:basedOn w:val="478"/>
    <w:autoRedefine/>
    <w:qFormat/>
    <w:uiPriority w:val="99"/>
    <w:pPr>
      <w:keepNext w:val="0"/>
      <w:tabs>
        <w:tab w:val="left" w:pos="360"/>
      </w:tabs>
      <w:ind w:left="0"/>
    </w:pPr>
    <w:rPr>
      <w:b w:val="0"/>
    </w:rPr>
  </w:style>
  <w:style w:type="paragraph" w:customStyle="1" w:styleId="481">
    <w:name w:val="AOGenNum3"/>
    <w:basedOn w:val="396"/>
    <w:next w:val="482"/>
    <w:autoRedefine/>
    <w:qFormat/>
    <w:uiPriority w:val="99"/>
    <w:pPr>
      <w:spacing w:before="240"/>
      <w:ind w:left="5040"/>
    </w:pPr>
  </w:style>
  <w:style w:type="paragraph" w:customStyle="1" w:styleId="482">
    <w:name w:val="AOGenNum3List"/>
    <w:basedOn w:val="481"/>
    <w:autoRedefine/>
    <w:qFormat/>
    <w:uiPriority w:val="99"/>
  </w:style>
  <w:style w:type="paragraph" w:customStyle="1" w:styleId="483">
    <w:name w:val="AOAltHead1"/>
    <w:basedOn w:val="438"/>
    <w:next w:val="407"/>
    <w:autoRedefine/>
    <w:qFormat/>
    <w:uiPriority w:val="99"/>
    <w:pPr>
      <w:keepNext w:val="0"/>
    </w:pPr>
    <w:rPr>
      <w:b/>
      <w:caps w:val="0"/>
    </w:rPr>
  </w:style>
  <w:style w:type="paragraph" w:customStyle="1" w:styleId="484">
    <w:name w:val="AOAltHead2"/>
    <w:basedOn w:val="388"/>
    <w:next w:val="407"/>
    <w:autoRedefine/>
    <w:qFormat/>
    <w:uiPriority w:val="99"/>
  </w:style>
  <w:style w:type="paragraph" w:customStyle="1" w:styleId="485">
    <w:name w:val="AOAltHead4"/>
    <w:basedOn w:val="451"/>
    <w:next w:val="421"/>
    <w:autoRedefine/>
    <w:qFormat/>
    <w:uiPriority w:val="99"/>
    <w:pPr>
      <w:ind w:left="1440"/>
    </w:pPr>
  </w:style>
  <w:style w:type="paragraph" w:customStyle="1" w:styleId="486">
    <w:name w:val="AOHead"/>
    <w:basedOn w:val="410"/>
    <w:next w:val="438"/>
    <w:autoRedefine/>
    <w:qFormat/>
    <w:uiPriority w:val="99"/>
    <w:pPr>
      <w:keepNext/>
      <w:pageBreakBefore/>
      <w:tabs>
        <w:tab w:val="left" w:pos="3600"/>
      </w:tabs>
      <w:ind w:left="3600" w:hanging="720"/>
      <w:jc w:val="center"/>
      <w:outlineLvl w:val="0"/>
    </w:pPr>
    <w:rPr>
      <w:b/>
      <w:caps/>
      <w:kern w:val="28"/>
    </w:rPr>
  </w:style>
  <w:style w:type="paragraph" w:customStyle="1" w:styleId="487">
    <w:name w:val="ct"/>
    <w:basedOn w:val="1"/>
    <w:autoRedefine/>
    <w:qFormat/>
    <w:uiPriority w:val="99"/>
    <w:pPr>
      <w:widowControl w:val="0"/>
      <w:spacing w:before="240"/>
      <w:jc w:val="center"/>
    </w:pPr>
    <w:rPr>
      <w:rFonts w:ascii="Palatino" w:hAnsi="Palatino"/>
      <w:b/>
      <w:sz w:val="28"/>
      <w:szCs w:val="20"/>
    </w:rPr>
  </w:style>
  <w:style w:type="paragraph" w:customStyle="1" w:styleId="488">
    <w:name w:val="Level (I)fo"/>
    <w:basedOn w:val="1"/>
    <w:autoRedefine/>
    <w:qFormat/>
    <w:uiPriority w:val="99"/>
    <w:pPr>
      <w:spacing w:before="240"/>
      <w:ind w:left="3600"/>
    </w:pPr>
    <w:rPr>
      <w:rFonts w:ascii="Palatino" w:hAnsi="Palatino"/>
      <w:sz w:val="22"/>
      <w:szCs w:val="20"/>
      <w:lang w:val="en-AU"/>
    </w:rPr>
  </w:style>
  <w:style w:type="paragraph" w:customStyle="1" w:styleId="489">
    <w:name w:val="Style2"/>
    <w:basedOn w:val="1"/>
    <w:autoRedefine/>
    <w:qFormat/>
    <w:uiPriority w:val="99"/>
    <w:pPr>
      <w:keepNext/>
      <w:spacing w:after="240"/>
      <w:ind w:left="720"/>
      <w:jc w:val="both"/>
    </w:pPr>
    <w:rPr>
      <w:rFonts w:eastAsia="BatangChe"/>
      <w:b/>
      <w:sz w:val="22"/>
      <w:szCs w:val="20"/>
      <w:lang w:val="en-GB" w:eastAsia="ko-KR"/>
    </w:rPr>
  </w:style>
  <w:style w:type="paragraph" w:customStyle="1" w:styleId="490">
    <w:name w:val="Level(I)"/>
    <w:basedOn w:val="1"/>
    <w:next w:val="488"/>
    <w:autoRedefine/>
    <w:qFormat/>
    <w:uiPriority w:val="99"/>
    <w:pPr>
      <w:tabs>
        <w:tab w:val="left" w:pos="3600"/>
      </w:tabs>
      <w:spacing w:before="240"/>
      <w:ind w:left="3600" w:hanging="720"/>
      <w:outlineLvl w:val="6"/>
    </w:pPr>
    <w:rPr>
      <w:rFonts w:ascii="Palatino" w:hAnsi="Palatino"/>
      <w:sz w:val="22"/>
      <w:szCs w:val="20"/>
      <w:lang w:val="en-AU"/>
    </w:rPr>
  </w:style>
  <w:style w:type="paragraph" w:customStyle="1" w:styleId="491">
    <w:name w:val="Table of Contents"/>
    <w:basedOn w:val="48"/>
    <w:autoRedefine/>
    <w:qFormat/>
    <w:uiPriority w:val="99"/>
    <w:pPr>
      <w:spacing w:after="480"/>
    </w:pPr>
    <w:rPr>
      <w:rFonts w:ascii="B Frutiger Bold" w:hAnsi="B Frutiger Bold"/>
      <w:bCs w:val="0"/>
      <w:kern w:val="0"/>
      <w:sz w:val="24"/>
      <w:szCs w:val="20"/>
      <w:lang w:val="en-AU"/>
    </w:rPr>
  </w:style>
  <w:style w:type="paragraph" w:customStyle="1" w:styleId="492">
    <w:name w:val="yu"/>
    <w:basedOn w:val="1"/>
    <w:autoRedefine/>
    <w:qFormat/>
    <w:uiPriority w:val="99"/>
    <w:pPr>
      <w:widowControl w:val="0"/>
      <w:autoSpaceDE w:val="0"/>
      <w:autoSpaceDN w:val="0"/>
      <w:adjustRightInd w:val="0"/>
      <w:spacing w:before="120" w:after="120" w:line="360" w:lineRule="atLeast"/>
      <w:ind w:left="720" w:firstLine="533"/>
      <w:jc w:val="both"/>
    </w:pPr>
    <w:rPr>
      <w:rFonts w:ascii="宋体"/>
    </w:rPr>
  </w:style>
  <w:style w:type="paragraph" w:customStyle="1" w:styleId="493">
    <w:name w:val="Char Char Char1"/>
    <w:basedOn w:val="1"/>
    <w:autoRedefine/>
    <w:qFormat/>
    <w:uiPriority w:val="99"/>
    <w:pPr>
      <w:widowControl w:val="0"/>
      <w:jc w:val="both"/>
    </w:pPr>
    <w:rPr>
      <w:rFonts w:ascii="Tahoma" w:hAnsi="Tahoma"/>
      <w:kern w:val="2"/>
      <w:szCs w:val="20"/>
    </w:rPr>
  </w:style>
  <w:style w:type="paragraph" w:customStyle="1" w:styleId="494">
    <w:name w:val="CM122"/>
    <w:basedOn w:val="1"/>
    <w:next w:val="1"/>
    <w:autoRedefine/>
    <w:qFormat/>
    <w:uiPriority w:val="99"/>
    <w:pPr>
      <w:widowControl w:val="0"/>
      <w:autoSpaceDE w:val="0"/>
      <w:autoSpaceDN w:val="0"/>
      <w:adjustRightInd w:val="0"/>
      <w:spacing w:after="733"/>
    </w:pPr>
    <w:rPr>
      <w:rFonts w:ascii="隶书" w:eastAsia="隶书"/>
    </w:rPr>
  </w:style>
  <w:style w:type="paragraph" w:customStyle="1" w:styleId="495">
    <w:name w:val="OmniPage #77"/>
    <w:autoRedefine/>
    <w:qFormat/>
    <w:uiPriority w:val="99"/>
    <w:pPr>
      <w:widowControl w:val="0"/>
      <w:tabs>
        <w:tab w:val="left" w:pos="2352"/>
        <w:tab w:val="left" w:pos="2502"/>
        <w:tab w:val="left" w:pos="2746"/>
        <w:tab w:val="right" w:pos="8376"/>
      </w:tabs>
      <w:suppressAutoHyphens/>
      <w:spacing w:line="222" w:lineRule="exact"/>
    </w:pPr>
    <w:rPr>
      <w:rFonts w:ascii="Courier" w:hAnsi="Courier" w:eastAsia="宋体" w:cs="Times New Roman"/>
      <w:snapToGrid w:val="0"/>
      <w:sz w:val="24"/>
      <w:lang w:val="en-US" w:eastAsia="ko-KR" w:bidi="ar-SA"/>
    </w:rPr>
  </w:style>
  <w:style w:type="character" w:customStyle="1" w:styleId="496">
    <w:name w:val="脚注文本 字符"/>
    <w:link w:val="40"/>
    <w:autoRedefine/>
    <w:semiHidden/>
    <w:qFormat/>
    <w:uiPriority w:val="0"/>
    <w:rPr>
      <w:kern w:val="2"/>
      <w:sz w:val="18"/>
      <w:szCs w:val="18"/>
    </w:rPr>
  </w:style>
  <w:style w:type="paragraph" w:customStyle="1" w:styleId="497">
    <w:name w:val="font0"/>
    <w:basedOn w:val="1"/>
    <w:autoRedefine/>
    <w:qFormat/>
    <w:uiPriority w:val="99"/>
    <w:pPr>
      <w:spacing w:before="100" w:beforeAutospacing="1" w:after="100" w:afterAutospacing="1"/>
    </w:pPr>
    <w:rPr>
      <w:rFonts w:ascii="宋体" w:hAnsi="宋体" w:cs="宋体"/>
      <w:color w:val="000000"/>
      <w:sz w:val="22"/>
      <w:szCs w:val="22"/>
    </w:rPr>
  </w:style>
  <w:style w:type="paragraph" w:customStyle="1" w:styleId="498">
    <w:name w:val="font5"/>
    <w:basedOn w:val="1"/>
    <w:autoRedefine/>
    <w:qFormat/>
    <w:uiPriority w:val="99"/>
    <w:pPr>
      <w:spacing w:before="100" w:beforeAutospacing="1" w:after="100" w:afterAutospacing="1"/>
    </w:pPr>
    <w:rPr>
      <w:rFonts w:ascii="宋体" w:hAnsi="宋体" w:cs="宋体"/>
      <w:sz w:val="18"/>
      <w:szCs w:val="18"/>
    </w:rPr>
  </w:style>
  <w:style w:type="paragraph" w:customStyle="1" w:styleId="499">
    <w:name w:val="font6"/>
    <w:basedOn w:val="1"/>
    <w:autoRedefine/>
    <w:qFormat/>
    <w:uiPriority w:val="99"/>
    <w:pPr>
      <w:spacing w:before="100" w:beforeAutospacing="1" w:after="100" w:afterAutospacing="1"/>
    </w:pPr>
    <w:rPr>
      <w:rFonts w:ascii="宋体" w:hAnsi="宋体" w:cs="宋体"/>
      <w:color w:val="000000"/>
      <w:sz w:val="22"/>
      <w:szCs w:val="22"/>
    </w:rPr>
  </w:style>
  <w:style w:type="paragraph" w:customStyle="1" w:styleId="500">
    <w:name w:val="font7"/>
    <w:basedOn w:val="1"/>
    <w:autoRedefine/>
    <w:qFormat/>
    <w:uiPriority w:val="99"/>
    <w:pPr>
      <w:spacing w:before="100" w:beforeAutospacing="1" w:after="100" w:afterAutospacing="1"/>
    </w:pPr>
    <w:rPr>
      <w:rFonts w:ascii="宋体" w:hAnsi="宋体" w:cs="宋体"/>
      <w:color w:val="000000"/>
      <w:sz w:val="22"/>
      <w:szCs w:val="22"/>
    </w:rPr>
  </w:style>
  <w:style w:type="paragraph" w:customStyle="1" w:styleId="501">
    <w:name w:val="font8"/>
    <w:basedOn w:val="1"/>
    <w:autoRedefine/>
    <w:qFormat/>
    <w:uiPriority w:val="99"/>
    <w:pPr>
      <w:spacing w:before="100" w:beforeAutospacing="1" w:after="100" w:afterAutospacing="1"/>
    </w:pPr>
    <w:rPr>
      <w:rFonts w:ascii="宋体" w:hAnsi="宋体" w:cs="宋体"/>
      <w:color w:val="000000"/>
      <w:sz w:val="22"/>
      <w:szCs w:val="22"/>
    </w:rPr>
  </w:style>
  <w:style w:type="paragraph" w:customStyle="1" w:styleId="502">
    <w:name w:val="xl63"/>
    <w:basedOn w:val="1"/>
    <w:autoRedefine/>
    <w:qFormat/>
    <w:uiPriority w:val="99"/>
    <w:pPr>
      <w:spacing w:before="100" w:beforeAutospacing="1" w:after="100" w:afterAutospacing="1"/>
      <w:jc w:val="center"/>
    </w:pPr>
    <w:rPr>
      <w:rFonts w:ascii="宋体" w:hAnsi="宋体" w:cs="宋体"/>
    </w:rPr>
  </w:style>
  <w:style w:type="paragraph" w:customStyle="1" w:styleId="503">
    <w:name w:val="xl64"/>
    <w:basedOn w:val="1"/>
    <w:autoRedefine/>
    <w:qFormat/>
    <w:uiPriority w:val="99"/>
    <w:pPr>
      <w:spacing w:before="100" w:beforeAutospacing="1" w:after="100" w:afterAutospacing="1"/>
    </w:pPr>
    <w:rPr>
      <w:rFonts w:ascii="宋体" w:hAnsi="宋体" w:cs="宋体"/>
    </w:rPr>
  </w:style>
  <w:style w:type="paragraph" w:customStyle="1" w:styleId="504">
    <w:name w:val="xl6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505">
    <w:name w:val="xl6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506">
    <w:name w:val="xl6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507">
    <w:name w:val="xl6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508">
    <w:name w:val="xl69"/>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509">
    <w:name w:val="xl70"/>
    <w:basedOn w:val="1"/>
    <w:autoRedefine/>
    <w:qFormat/>
    <w:uiPriority w:val="99"/>
    <w:pPr>
      <w:pBdr>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0">
    <w:name w:val="xl71"/>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1">
    <w:name w:val="xl72"/>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2">
    <w:name w:val="xl73"/>
    <w:basedOn w:val="1"/>
    <w:autoRedefine/>
    <w:qFormat/>
    <w:uiPriority w:val="99"/>
    <w:pPr>
      <w:pBdr>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3">
    <w:name w:val="xl74"/>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4">
    <w:name w:val="xl75"/>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5">
    <w:name w:val="xl76"/>
    <w:basedOn w:val="1"/>
    <w:autoRedefine/>
    <w:qFormat/>
    <w:uiPriority w:val="99"/>
    <w:pPr>
      <w:pBdr>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6">
    <w:name w:val="xl77"/>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7">
    <w:name w:val="xl78"/>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8">
    <w:name w:val="xl79"/>
    <w:basedOn w:val="1"/>
    <w:autoRedefine/>
    <w:qFormat/>
    <w:uiPriority w:val="99"/>
    <w:pPr>
      <w:pBdr>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519">
    <w:name w:val="xl80"/>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character" w:customStyle="1" w:styleId="520">
    <w:name w:val="纯文本 Char2"/>
    <w:autoRedefine/>
    <w:semiHidden/>
    <w:qFormat/>
    <w:uiPriority w:val="99"/>
    <w:rPr>
      <w:rFonts w:ascii="宋体" w:hAnsi="Courier New" w:cs="Courier New"/>
      <w:kern w:val="2"/>
      <w:sz w:val="21"/>
      <w:szCs w:val="21"/>
    </w:rPr>
  </w:style>
  <w:style w:type="character" w:customStyle="1" w:styleId="521">
    <w:name w:val="页脚 Char1"/>
    <w:autoRedefine/>
    <w:semiHidden/>
    <w:qFormat/>
    <w:uiPriority w:val="99"/>
    <w:rPr>
      <w:kern w:val="2"/>
      <w:sz w:val="18"/>
      <w:szCs w:val="18"/>
    </w:rPr>
  </w:style>
  <w:style w:type="character" w:customStyle="1" w:styleId="522">
    <w:name w:val="正文文本缩进 2 Char1"/>
    <w:autoRedefine/>
    <w:semiHidden/>
    <w:qFormat/>
    <w:uiPriority w:val="99"/>
    <w:rPr>
      <w:kern w:val="2"/>
      <w:sz w:val="21"/>
      <w:szCs w:val="22"/>
    </w:rPr>
  </w:style>
  <w:style w:type="character" w:customStyle="1" w:styleId="523">
    <w:name w:val="页眉 Char1"/>
    <w:autoRedefine/>
    <w:semiHidden/>
    <w:qFormat/>
    <w:uiPriority w:val="99"/>
    <w:rPr>
      <w:kern w:val="2"/>
      <w:sz w:val="18"/>
      <w:szCs w:val="18"/>
    </w:rPr>
  </w:style>
  <w:style w:type="character" w:customStyle="1" w:styleId="524">
    <w:name w:val="正文文本缩进 Char2"/>
    <w:autoRedefine/>
    <w:semiHidden/>
    <w:qFormat/>
    <w:uiPriority w:val="99"/>
    <w:rPr>
      <w:kern w:val="2"/>
      <w:sz w:val="21"/>
      <w:szCs w:val="22"/>
    </w:rPr>
  </w:style>
  <w:style w:type="character" w:customStyle="1" w:styleId="525">
    <w:name w:val="_图片 Char"/>
    <w:link w:val="526"/>
    <w:autoRedefine/>
    <w:qFormat/>
    <w:uiPriority w:val="99"/>
    <w:rPr>
      <w:sz w:val="24"/>
    </w:rPr>
  </w:style>
  <w:style w:type="paragraph" w:customStyle="1" w:styleId="526">
    <w:name w:val="_图片"/>
    <w:basedOn w:val="1"/>
    <w:link w:val="525"/>
    <w:autoRedefine/>
    <w:qFormat/>
    <w:uiPriority w:val="99"/>
    <w:pPr>
      <w:widowControl w:val="0"/>
      <w:spacing w:afterLines="50"/>
      <w:jc w:val="center"/>
    </w:pPr>
    <w:rPr>
      <w:szCs w:val="20"/>
    </w:rPr>
  </w:style>
  <w:style w:type="paragraph" w:customStyle="1" w:styleId="527">
    <w:name w:val="修订1"/>
    <w:autoRedefine/>
    <w:hidden/>
    <w:unhideWhenUsed/>
    <w:qFormat/>
    <w:uiPriority w:val="99"/>
    <w:rPr>
      <w:rFonts w:ascii="Times New Roman" w:hAnsi="Times New Roman" w:eastAsia="宋体" w:cs="Times New Roman"/>
      <w:color w:val="000000"/>
      <w:sz w:val="24"/>
      <w:lang w:val="en-US" w:eastAsia="zh-CN" w:bidi="ar-SA"/>
    </w:rPr>
  </w:style>
  <w:style w:type="character" w:customStyle="1" w:styleId="528">
    <w:name w:val="正文 第五章 中间"/>
    <w:autoRedefine/>
    <w:qFormat/>
    <w:uiPriority w:val="99"/>
    <w:rPr>
      <w:b/>
      <w:bCs/>
      <w:color w:val="000000"/>
      <w:sz w:val="32"/>
    </w:rPr>
  </w:style>
  <w:style w:type="paragraph" w:customStyle="1" w:styleId="529">
    <w:name w:val="列出段落11"/>
    <w:basedOn w:val="1"/>
    <w:autoRedefine/>
    <w:qFormat/>
    <w:uiPriority w:val="99"/>
    <w:pPr>
      <w:widowControl w:val="0"/>
      <w:ind w:firstLine="420" w:firstLineChars="200"/>
      <w:jc w:val="both"/>
    </w:pPr>
    <w:rPr>
      <w:rFonts w:ascii="Calibri" w:hAnsi="Calibri" w:cs="Calibri"/>
      <w:kern w:val="2"/>
      <w:sz w:val="21"/>
      <w:szCs w:val="21"/>
    </w:rPr>
  </w:style>
  <w:style w:type="character" w:customStyle="1" w:styleId="530">
    <w:name w:val="列出段落 Char"/>
    <w:link w:val="385"/>
    <w:autoRedefine/>
    <w:qFormat/>
    <w:locked/>
    <w:uiPriority w:val="34"/>
    <w:rPr>
      <w:rFonts w:ascii="Calibri" w:hAnsi="Calibri"/>
      <w:kern w:val="2"/>
      <w:sz w:val="21"/>
      <w:szCs w:val="22"/>
      <w:lang w:val="sq-AL"/>
    </w:rPr>
  </w:style>
  <w:style w:type="character" w:customStyle="1" w:styleId="531">
    <w:name w:val="Footer Char"/>
    <w:autoRedefine/>
    <w:qFormat/>
    <w:locked/>
    <w:uiPriority w:val="0"/>
    <w:rPr>
      <w:rFonts w:ascii="Times New Roman" w:hAnsi="Times New Roman" w:eastAsia="仿宋_GB2312" w:cs="Times New Roman"/>
      <w:sz w:val="18"/>
      <w:szCs w:val="18"/>
      <w:lang w:val="sq-AL"/>
    </w:rPr>
  </w:style>
  <w:style w:type="character" w:customStyle="1" w:styleId="532">
    <w:name w:val="Header Char"/>
    <w:autoRedefine/>
    <w:qFormat/>
    <w:locked/>
    <w:uiPriority w:val="0"/>
    <w:rPr>
      <w:rFonts w:cs="Times New Roman"/>
      <w:sz w:val="18"/>
      <w:szCs w:val="18"/>
    </w:rPr>
  </w:style>
  <w:style w:type="paragraph" w:customStyle="1" w:styleId="533">
    <w:name w:val="列出段落12"/>
    <w:basedOn w:val="1"/>
    <w:autoRedefine/>
    <w:qFormat/>
    <w:uiPriority w:val="99"/>
    <w:pPr>
      <w:widowControl w:val="0"/>
      <w:ind w:firstLine="420" w:firstLineChars="200"/>
      <w:jc w:val="both"/>
    </w:pPr>
    <w:rPr>
      <w:rFonts w:ascii="Calibri" w:hAnsi="Calibri"/>
      <w:kern w:val="2"/>
      <w:sz w:val="22"/>
      <w:szCs w:val="22"/>
    </w:rPr>
  </w:style>
  <w:style w:type="paragraph" w:customStyle="1" w:styleId="534">
    <w:name w:val="修订11"/>
    <w:autoRedefine/>
    <w:qFormat/>
    <w:uiPriority w:val="99"/>
    <w:rPr>
      <w:rFonts w:ascii="Times New Roman" w:hAnsi="Times New Roman" w:eastAsia="宋体" w:cs="Times New Roman"/>
      <w:color w:val="000000"/>
      <w:sz w:val="24"/>
      <w:szCs w:val="24"/>
      <w:lang w:val="en-US" w:eastAsia="zh-CN" w:bidi="ar-SA"/>
    </w:rPr>
  </w:style>
  <w:style w:type="paragraph" w:customStyle="1" w:styleId="535">
    <w:name w:val="列出段落3"/>
    <w:basedOn w:val="1"/>
    <w:autoRedefine/>
    <w:qFormat/>
    <w:uiPriority w:val="0"/>
    <w:pPr>
      <w:widowControl w:val="0"/>
      <w:ind w:firstLine="420" w:firstLineChars="200"/>
      <w:jc w:val="both"/>
    </w:pPr>
    <w:rPr>
      <w:rFonts w:ascii="Calibri" w:hAnsi="Calibri" w:cs="Calibri"/>
      <w:kern w:val="2"/>
      <w:sz w:val="21"/>
      <w:szCs w:val="21"/>
    </w:rPr>
  </w:style>
  <w:style w:type="paragraph" w:customStyle="1" w:styleId="536">
    <w:name w:val="2"/>
    <w:basedOn w:val="1"/>
    <w:autoRedefine/>
    <w:semiHidden/>
    <w:qFormat/>
    <w:uiPriority w:val="0"/>
    <w:pPr>
      <w:widowControl w:val="0"/>
      <w:jc w:val="both"/>
    </w:pPr>
    <w:rPr>
      <w:kern w:val="2"/>
      <w:sz w:val="21"/>
      <w:szCs w:val="21"/>
    </w:rPr>
  </w:style>
  <w:style w:type="table" w:customStyle="1" w:styleId="537">
    <w:name w:val="网格型2"/>
    <w:basedOn w:val="51"/>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8">
    <w:name w:val="Style1"/>
    <w:basedOn w:val="2"/>
    <w:autoRedefine/>
    <w:qFormat/>
    <w:uiPriority w:val="0"/>
    <w:pPr>
      <w:keepLines w:val="0"/>
      <w:tabs>
        <w:tab w:val="left" w:pos="360"/>
      </w:tabs>
      <w:autoSpaceDE w:val="0"/>
      <w:autoSpaceDN w:val="0"/>
      <w:adjustRightInd w:val="0"/>
      <w:spacing w:beforeLines="100" w:afterLines="50" w:line="360" w:lineRule="auto"/>
      <w:outlineLvl w:val="9"/>
    </w:pPr>
    <w:rPr>
      <w:rFonts w:ascii="宋体" w:hAnsi="CG Times" w:eastAsia="宋体"/>
      <w:b/>
      <w:bCs w:val="0"/>
      <w:kern w:val="0"/>
      <w:sz w:val="36"/>
      <w:szCs w:val="20"/>
      <w:lang w:val="en-US"/>
    </w:rPr>
  </w:style>
  <w:style w:type="paragraph" w:customStyle="1" w:styleId="539">
    <w:name w:val="正文一级"/>
    <w:basedOn w:val="1"/>
    <w:autoRedefine/>
    <w:qFormat/>
    <w:uiPriority w:val="0"/>
    <w:pPr>
      <w:autoSpaceDE w:val="0"/>
      <w:autoSpaceDN w:val="0"/>
      <w:adjustRightInd w:val="0"/>
      <w:spacing w:beforeLines="50" w:after="120" w:line="360" w:lineRule="auto"/>
      <w:ind w:left="567" w:right="-11"/>
      <w:jc w:val="both"/>
    </w:pPr>
    <w:rPr>
      <w:rFonts w:ascii="宋体" w:hAnsi="CG Times"/>
      <w:szCs w:val="20"/>
    </w:rPr>
  </w:style>
  <w:style w:type="paragraph" w:customStyle="1" w:styleId="540">
    <w:name w:val="s19qjli960sb120sa120sl36"/>
    <w:autoRedefine/>
    <w:qFormat/>
    <w:uiPriority w:val="0"/>
    <w:pPr>
      <w:widowControl w:val="0"/>
      <w:autoSpaceDE w:val="0"/>
      <w:autoSpaceDN w:val="0"/>
      <w:adjustRightInd w:val="0"/>
    </w:pPr>
    <w:rPr>
      <w:rFonts w:ascii="仿宋体" w:hAnsi="Times New Roman" w:eastAsia="仿宋体" w:cs="Times New Roman"/>
      <w:lang w:val="en-US" w:eastAsia="zh-CN" w:bidi="ar-SA"/>
    </w:rPr>
  </w:style>
  <w:style w:type="paragraph" w:customStyle="1" w:styleId="541">
    <w:name w:val="Body Text 21"/>
    <w:basedOn w:val="1"/>
    <w:autoRedefine/>
    <w:qFormat/>
    <w:uiPriority w:val="0"/>
    <w:pPr>
      <w:widowControl w:val="0"/>
      <w:spacing w:beforeLines="50" w:line="360" w:lineRule="auto"/>
      <w:jc w:val="both"/>
    </w:pPr>
    <w:rPr>
      <w:rFonts w:ascii="Arial" w:hAnsi="Arial"/>
      <w:szCs w:val="20"/>
    </w:rPr>
  </w:style>
  <w:style w:type="paragraph" w:customStyle="1" w:styleId="542">
    <w:name w:val="样式 左侧:  1.27 厘米 段前: 6 磅 段后: 7.8 磅"/>
    <w:basedOn w:val="1"/>
    <w:autoRedefine/>
    <w:qFormat/>
    <w:uiPriority w:val="0"/>
    <w:pPr>
      <w:widowControl w:val="0"/>
      <w:spacing w:before="120" w:after="156"/>
      <w:ind w:left="720"/>
      <w:jc w:val="both"/>
    </w:pPr>
    <w:rPr>
      <w:rFonts w:cs="宋体"/>
      <w:kern w:val="2"/>
      <w:szCs w:val="20"/>
    </w:rPr>
  </w:style>
  <w:style w:type="character" w:customStyle="1" w:styleId="543">
    <w:name w:val="未命名11"/>
    <w:autoRedefine/>
    <w:qFormat/>
    <w:uiPriority w:val="0"/>
    <w:rPr>
      <w:rFonts w:hint="eastAsia" w:ascii="宋体" w:hAnsi="宋体" w:eastAsia="宋体"/>
      <w:sz w:val="18"/>
      <w:szCs w:val="18"/>
    </w:rPr>
  </w:style>
  <w:style w:type="paragraph" w:customStyle="1" w:styleId="544">
    <w:name w:val="样式 标题2"/>
    <w:basedOn w:val="3"/>
    <w:next w:val="1"/>
    <w:autoRedefine/>
    <w:qFormat/>
    <w:uiPriority w:val="0"/>
    <w:pPr>
      <w:keepNext w:val="0"/>
      <w:keepLines w:val="0"/>
      <w:autoSpaceDE w:val="0"/>
      <w:autoSpaceDN w:val="0"/>
      <w:adjustRightInd w:val="0"/>
      <w:spacing w:after="260" w:afterLines="100" w:line="360" w:lineRule="auto"/>
      <w:jc w:val="both"/>
    </w:pPr>
    <w:rPr>
      <w:rFonts w:ascii="宋体" w:hAnsi="CG Times" w:eastAsia="宋体" w:cs="宋体"/>
      <w:b/>
      <w:bCs w:val="0"/>
      <w:kern w:val="0"/>
      <w:szCs w:val="20"/>
      <w:lang w:val="en-US"/>
    </w:rPr>
  </w:style>
  <w:style w:type="paragraph" w:customStyle="1" w:styleId="545">
    <w:name w:val="正文二级"/>
    <w:basedOn w:val="1"/>
    <w:autoRedefine/>
    <w:qFormat/>
    <w:uiPriority w:val="0"/>
    <w:pPr>
      <w:widowControl w:val="0"/>
      <w:spacing w:beforeLines="50" w:afterLines="50" w:line="360" w:lineRule="auto"/>
      <w:ind w:left="720" w:leftChars="300"/>
      <w:jc w:val="both"/>
    </w:pPr>
    <w:rPr>
      <w:rFonts w:ascii="CG Times" w:hAnsi="CG Times"/>
      <w:kern w:val="2"/>
      <w:szCs w:val="20"/>
    </w:rPr>
  </w:style>
  <w:style w:type="paragraph" w:customStyle="1" w:styleId="546">
    <w:name w:val="List ALPHA CAPS 1"/>
    <w:basedOn w:val="1"/>
    <w:autoRedefine/>
    <w:qFormat/>
    <w:uiPriority w:val="0"/>
    <w:pPr>
      <w:numPr>
        <w:ilvl w:val="0"/>
        <w:numId w:val="4"/>
      </w:numPr>
      <w:spacing w:after="240" w:line="288" w:lineRule="auto"/>
      <w:ind w:firstLine="0"/>
      <w:jc w:val="both"/>
    </w:pPr>
    <w:rPr>
      <w:rFonts w:ascii="CG Times" w:hAnsi="CG Times"/>
      <w:sz w:val="22"/>
      <w:szCs w:val="20"/>
      <w:lang w:eastAsia="en-US"/>
    </w:rPr>
  </w:style>
  <w:style w:type="paragraph" w:customStyle="1" w:styleId="547">
    <w:name w:val="List ALPHA CAPS 2"/>
    <w:basedOn w:val="1"/>
    <w:autoRedefine/>
    <w:qFormat/>
    <w:uiPriority w:val="0"/>
    <w:pPr>
      <w:numPr>
        <w:ilvl w:val="1"/>
        <w:numId w:val="4"/>
      </w:numPr>
      <w:spacing w:after="240" w:line="288" w:lineRule="auto"/>
      <w:ind w:firstLine="0"/>
      <w:jc w:val="both"/>
    </w:pPr>
    <w:rPr>
      <w:rFonts w:ascii="CG Times" w:hAnsi="CG Times"/>
      <w:sz w:val="22"/>
      <w:szCs w:val="20"/>
      <w:lang w:eastAsia="en-US"/>
    </w:rPr>
  </w:style>
  <w:style w:type="paragraph" w:customStyle="1" w:styleId="548">
    <w:name w:val="List ALPHA CAPS 3"/>
    <w:basedOn w:val="1"/>
    <w:autoRedefine/>
    <w:qFormat/>
    <w:uiPriority w:val="0"/>
    <w:pPr>
      <w:numPr>
        <w:ilvl w:val="2"/>
        <w:numId w:val="4"/>
      </w:numPr>
      <w:spacing w:after="240" w:line="288" w:lineRule="auto"/>
      <w:ind w:firstLine="0"/>
      <w:jc w:val="both"/>
    </w:pPr>
    <w:rPr>
      <w:rFonts w:ascii="CG Times" w:hAnsi="CG Times"/>
      <w:sz w:val="22"/>
      <w:szCs w:val="20"/>
      <w:lang w:eastAsia="en-US"/>
    </w:rPr>
  </w:style>
  <w:style w:type="character" w:customStyle="1" w:styleId="549">
    <w:name w:val="黑体强调"/>
    <w:autoRedefine/>
    <w:qFormat/>
    <w:uiPriority w:val="1"/>
    <w:rPr>
      <w:rFonts w:ascii="Times New Roman" w:hAnsi="Times New Roman" w:eastAsia="黑体"/>
    </w:rPr>
  </w:style>
  <w:style w:type="paragraph" w:customStyle="1" w:styleId="550">
    <w:name w:val="1级编号"/>
    <w:basedOn w:val="1"/>
    <w:autoRedefine/>
    <w:qFormat/>
    <w:uiPriority w:val="0"/>
    <w:pPr>
      <w:widowControl w:val="0"/>
      <w:numPr>
        <w:ilvl w:val="0"/>
        <w:numId w:val="5"/>
      </w:numPr>
      <w:shd w:val="clear" w:color="000000" w:fill="auto"/>
      <w:spacing w:beforeLines="150" w:afterLines="50"/>
      <w:ind w:firstLine="0"/>
      <w:jc w:val="center"/>
      <w:outlineLvl w:val="0"/>
    </w:pPr>
    <w:rPr>
      <w:rFonts w:eastAsia="黑体"/>
      <w:kern w:val="2"/>
      <w:sz w:val="28"/>
    </w:rPr>
  </w:style>
  <w:style w:type="paragraph" w:customStyle="1" w:styleId="551">
    <w:name w:val="2级编号"/>
    <w:basedOn w:val="1"/>
    <w:link w:val="553"/>
    <w:autoRedefine/>
    <w:qFormat/>
    <w:uiPriority w:val="0"/>
    <w:pPr>
      <w:widowControl w:val="0"/>
      <w:numPr>
        <w:ilvl w:val="1"/>
        <w:numId w:val="5"/>
      </w:numPr>
      <w:spacing w:afterLines="50" w:line="440" w:lineRule="exact"/>
      <w:ind w:firstLine="0"/>
      <w:jc w:val="both"/>
      <w:outlineLvl w:val="1"/>
    </w:pPr>
    <w:rPr>
      <w:rFonts w:eastAsia="仿宋_GB2312"/>
      <w:kern w:val="2"/>
      <w:lang w:val="sq-AL"/>
    </w:rPr>
  </w:style>
  <w:style w:type="paragraph" w:customStyle="1" w:styleId="552">
    <w:name w:val="3级编号"/>
    <w:basedOn w:val="1"/>
    <w:link w:val="555"/>
    <w:autoRedefine/>
    <w:qFormat/>
    <w:uiPriority w:val="0"/>
    <w:pPr>
      <w:widowControl w:val="0"/>
      <w:numPr>
        <w:ilvl w:val="2"/>
        <w:numId w:val="5"/>
      </w:numPr>
      <w:spacing w:afterLines="50"/>
      <w:ind w:firstLine="0"/>
      <w:jc w:val="both"/>
    </w:pPr>
    <w:rPr>
      <w:rFonts w:eastAsia="仿宋_GB2312"/>
      <w:kern w:val="2"/>
      <w:lang w:val="sq-AL"/>
    </w:rPr>
  </w:style>
  <w:style w:type="character" w:customStyle="1" w:styleId="553">
    <w:name w:val="2级编号 Char"/>
    <w:link w:val="551"/>
    <w:autoRedefine/>
    <w:qFormat/>
    <w:uiPriority w:val="0"/>
    <w:rPr>
      <w:rFonts w:eastAsia="仿宋_GB2312"/>
      <w:kern w:val="2"/>
      <w:sz w:val="24"/>
      <w:szCs w:val="24"/>
      <w:lang w:val="sq-AL"/>
    </w:rPr>
  </w:style>
  <w:style w:type="paragraph" w:customStyle="1" w:styleId="554">
    <w:name w:val="4级编号"/>
    <w:basedOn w:val="552"/>
    <w:link w:val="556"/>
    <w:autoRedefine/>
    <w:qFormat/>
    <w:uiPriority w:val="0"/>
    <w:pPr>
      <w:numPr>
        <w:ilvl w:val="3"/>
      </w:numPr>
    </w:pPr>
  </w:style>
  <w:style w:type="character" w:customStyle="1" w:styleId="555">
    <w:name w:val="3级编号 Char"/>
    <w:link w:val="552"/>
    <w:autoRedefine/>
    <w:qFormat/>
    <w:uiPriority w:val="0"/>
    <w:rPr>
      <w:rFonts w:eastAsia="仿宋_GB2312"/>
      <w:kern w:val="2"/>
      <w:sz w:val="24"/>
      <w:szCs w:val="24"/>
      <w:lang w:val="sq-AL"/>
    </w:rPr>
  </w:style>
  <w:style w:type="character" w:customStyle="1" w:styleId="556">
    <w:name w:val="4级编号 Char"/>
    <w:link w:val="554"/>
    <w:autoRedefine/>
    <w:qFormat/>
    <w:uiPriority w:val="0"/>
    <w:rPr>
      <w:rFonts w:eastAsia="仿宋_GB2312"/>
      <w:kern w:val="2"/>
      <w:sz w:val="24"/>
      <w:szCs w:val="24"/>
      <w:lang w:val="sq-AL"/>
    </w:rPr>
  </w:style>
  <w:style w:type="paragraph" w:customStyle="1" w:styleId="557">
    <w:name w:val="2级正文"/>
    <w:basedOn w:val="1"/>
    <w:link w:val="558"/>
    <w:autoRedefine/>
    <w:qFormat/>
    <w:uiPriority w:val="0"/>
    <w:pPr>
      <w:widowControl w:val="0"/>
      <w:spacing w:beforeLines="50" w:afterLines="50"/>
      <w:ind w:left="567"/>
      <w:jc w:val="both"/>
    </w:pPr>
    <w:rPr>
      <w:kern w:val="2"/>
      <w:lang w:val="sq-AL"/>
    </w:rPr>
  </w:style>
  <w:style w:type="character" w:customStyle="1" w:styleId="558">
    <w:name w:val="2级正文 Char"/>
    <w:link w:val="557"/>
    <w:autoRedefine/>
    <w:qFormat/>
    <w:uiPriority w:val="0"/>
    <w:rPr>
      <w:kern w:val="2"/>
      <w:sz w:val="24"/>
      <w:szCs w:val="24"/>
      <w:lang w:val="sq-AL"/>
    </w:rPr>
  </w:style>
  <w:style w:type="table" w:customStyle="1" w:styleId="559">
    <w:name w:val="网格型3"/>
    <w:basedOn w:val="51"/>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网格型4"/>
    <w:basedOn w:val="5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1">
    <w:name w:val="闻政正文"/>
    <w:basedOn w:val="1"/>
    <w:autoRedefine/>
    <w:qFormat/>
    <w:uiPriority w:val="0"/>
    <w:pPr>
      <w:widowControl w:val="0"/>
      <w:spacing w:line="500" w:lineRule="exact"/>
      <w:ind w:firstLine="560" w:firstLineChars="200"/>
      <w:jc w:val="both"/>
    </w:pPr>
    <w:rPr>
      <w:rFonts w:ascii="方正仿宋_GBK" w:hAnsi="方正仿宋_GBK" w:eastAsia="方正仿宋_GBK" w:cs="方正仿宋_GBK"/>
      <w:sz w:val="28"/>
      <w:szCs w:val="28"/>
      <w:lang w:val="zh-CN"/>
    </w:rPr>
  </w:style>
  <w:style w:type="paragraph" w:customStyle="1" w:styleId="562">
    <w:name w:val="缩进内容"/>
    <w:basedOn w:val="1"/>
    <w:autoRedefine/>
    <w:qFormat/>
    <w:uiPriority w:val="0"/>
    <w:pPr>
      <w:widowControl w:val="0"/>
      <w:spacing w:line="360" w:lineRule="auto"/>
      <w:ind w:firstLine="200" w:firstLineChars="200"/>
      <w:jc w:val="both"/>
    </w:pPr>
    <w:rPr>
      <w:rFonts w:ascii="Calibri" w:hAnsi="Calibri" w:eastAsia="仿宋_GB2312" w:cs="仿宋"/>
      <w:kern w:val="2"/>
      <w:sz w:val="32"/>
      <w:szCs w:val="30"/>
    </w:rPr>
  </w:style>
  <w:style w:type="paragraph" w:customStyle="1" w:styleId="563">
    <w:name w:val="报告正文"/>
    <w:basedOn w:val="1"/>
    <w:autoRedefine/>
    <w:qFormat/>
    <w:uiPriority w:val="0"/>
    <w:pPr>
      <w:widowControl w:val="0"/>
      <w:adjustRightInd w:val="0"/>
      <w:snapToGrid w:val="0"/>
      <w:spacing w:line="288" w:lineRule="auto"/>
      <w:ind w:left="3060" w:leftChars="1700" w:firstLine="200" w:firstLineChars="200"/>
      <w:jc w:val="both"/>
    </w:pPr>
    <w:rPr>
      <w:rFonts w:ascii="华文细黑" w:hAnsi="华文细黑" w:eastAsia="华文细黑" w:cs="宋体"/>
      <w:kern w:val="2"/>
      <w:sz w:val="28"/>
      <w:szCs w:val="20"/>
    </w:rPr>
  </w:style>
  <w:style w:type="paragraph" w:customStyle="1" w:styleId="564">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565">
    <w:name w:val="表格(左对齐小五)"/>
    <w:basedOn w:val="1"/>
    <w:next w:val="1"/>
    <w:autoRedefine/>
    <w:qFormat/>
    <w:uiPriority w:val="0"/>
    <w:pPr>
      <w:widowControl w:val="0"/>
      <w:adjustRightInd w:val="0"/>
      <w:snapToGrid w:val="0"/>
      <w:spacing w:line="204" w:lineRule="auto"/>
      <w:ind w:left="-28" w:leftChars="-10" w:right="-28" w:rightChars="-10" w:firstLine="200" w:firstLineChars="200"/>
      <w:jc w:val="center"/>
    </w:pPr>
    <w:rPr>
      <w:kern w:val="2"/>
      <w:sz w:val="18"/>
      <w:szCs w:val="18"/>
    </w:rPr>
  </w:style>
  <w:style w:type="paragraph" w:customStyle="1" w:styleId="566">
    <w:name w:val="表格(右对齐小四)"/>
    <w:basedOn w:val="1"/>
    <w:next w:val="1"/>
    <w:autoRedefine/>
    <w:qFormat/>
    <w:uiPriority w:val="0"/>
    <w:pPr>
      <w:widowControl w:val="0"/>
      <w:spacing w:line="280" w:lineRule="exact"/>
      <w:ind w:firstLine="200" w:firstLineChars="200"/>
      <w:jc w:val="right"/>
    </w:pPr>
    <w:rPr>
      <w:kern w:val="2"/>
    </w:rPr>
  </w:style>
  <w:style w:type="paragraph" w:styleId="567">
    <w:name w:val="No Spacing"/>
    <w:link w:val="568"/>
    <w:autoRedefine/>
    <w:qFormat/>
    <w:uiPriority w:val="1"/>
    <w:rPr>
      <w:rFonts w:ascii="Calibri" w:hAnsi="Calibri" w:eastAsia="宋体" w:cs="Times New Roman"/>
      <w:sz w:val="22"/>
      <w:szCs w:val="22"/>
      <w:lang w:val="en-US" w:eastAsia="zh-CN" w:bidi="ar-SA"/>
    </w:rPr>
  </w:style>
  <w:style w:type="character" w:customStyle="1" w:styleId="568">
    <w:name w:val="无间隔 字符"/>
    <w:link w:val="567"/>
    <w:autoRedefine/>
    <w:qFormat/>
    <w:uiPriority w:val="1"/>
    <w:rPr>
      <w:rFonts w:ascii="Calibri" w:hAnsi="Calibri"/>
      <w:sz w:val="22"/>
      <w:szCs w:val="22"/>
    </w:rPr>
  </w:style>
  <w:style w:type="paragraph" w:customStyle="1" w:styleId="569">
    <w:name w:val="左页眉"/>
    <w:basedOn w:val="1"/>
    <w:next w:val="1"/>
    <w:autoRedefine/>
    <w:qFormat/>
    <w:uiPriority w:val="0"/>
    <w:pPr>
      <w:widowControl w:val="0"/>
      <w:spacing w:line="360" w:lineRule="auto"/>
      <w:ind w:firstLine="200" w:firstLineChars="200"/>
    </w:pPr>
    <w:rPr>
      <w:rFonts w:ascii="楷体_GB2312" w:eastAsia="楷体_GB2312"/>
      <w:b/>
      <w:kern w:val="2"/>
      <w:sz w:val="18"/>
      <w:szCs w:val="28"/>
    </w:rPr>
  </w:style>
  <w:style w:type="character" w:customStyle="1" w:styleId="570">
    <w:name w:val="xdrichtextbox"/>
    <w:autoRedefine/>
    <w:qFormat/>
    <w:uiPriority w:val="0"/>
  </w:style>
  <w:style w:type="character" w:customStyle="1" w:styleId="571">
    <w:name w:val="下标"/>
    <w:autoRedefine/>
    <w:qFormat/>
    <w:uiPriority w:val="99"/>
    <w:rPr>
      <w:vertAlign w:val="subscript"/>
    </w:rPr>
  </w:style>
  <w:style w:type="table" w:customStyle="1" w:styleId="572">
    <w:name w:val="网格型5"/>
    <w:basedOn w:val="51"/>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3">
    <w:name w:val="脚注文本 Char"/>
    <w:autoRedefine/>
    <w:semiHidden/>
    <w:qFormat/>
    <w:uiPriority w:val="0"/>
    <w:rPr>
      <w:rFonts w:ascii="Times New Roman" w:hAnsi="Times New Roman"/>
      <w:kern w:val="2"/>
      <w:sz w:val="18"/>
      <w:szCs w:val="18"/>
    </w:rPr>
  </w:style>
  <w:style w:type="character" w:customStyle="1" w:styleId="574">
    <w:name w:val="正文文本 2 Char"/>
    <w:autoRedefine/>
    <w:qFormat/>
    <w:uiPriority w:val="0"/>
    <w:rPr>
      <w:rFonts w:ascii="Times New Roman" w:hAnsi="Times New Roman" w:eastAsia="黑体"/>
      <w:sz w:val="24"/>
      <w:lang w:val="en-GB" w:eastAsia="zh-CN"/>
    </w:rPr>
  </w:style>
  <w:style w:type="paragraph" w:customStyle="1" w:styleId="575">
    <w:name w:val="Table Paragraph"/>
    <w:basedOn w:val="1"/>
    <w:autoRedefine/>
    <w:qFormat/>
    <w:uiPriority w:val="1"/>
    <w:pPr>
      <w:widowControl w:val="0"/>
      <w:autoSpaceDE w:val="0"/>
      <w:autoSpaceDN w:val="0"/>
    </w:pPr>
    <w:rPr>
      <w:rFonts w:ascii="Arial Unicode MS" w:hAnsi="Arial Unicode MS" w:eastAsia="Arial Unicode MS" w:cs="Arial Unicode MS"/>
      <w:sz w:val="22"/>
      <w:szCs w:val="22"/>
      <w:lang w:val="zh-CN" w:bidi="zh-CN"/>
    </w:rPr>
  </w:style>
  <w:style w:type="character" w:customStyle="1" w:styleId="576">
    <w:name w:val="05正文 Char"/>
    <w:link w:val="577"/>
    <w:autoRedefine/>
    <w:qFormat/>
    <w:uiPriority w:val="0"/>
    <w:rPr>
      <w:rFonts w:ascii="宋体" w:hAnsi="宋体"/>
      <w:kern w:val="2"/>
      <w:sz w:val="24"/>
      <w:szCs w:val="21"/>
    </w:rPr>
  </w:style>
  <w:style w:type="paragraph" w:customStyle="1" w:styleId="577">
    <w:name w:val="05正文"/>
    <w:basedOn w:val="1"/>
    <w:link w:val="576"/>
    <w:autoRedefine/>
    <w:qFormat/>
    <w:uiPriority w:val="0"/>
    <w:pPr>
      <w:widowControl w:val="0"/>
      <w:spacing w:line="560" w:lineRule="exact"/>
      <w:ind w:firstLine="200" w:firstLineChars="200"/>
    </w:pPr>
    <w:rPr>
      <w:rFonts w:ascii="宋体" w:hAnsi="宋体"/>
      <w:kern w:val="2"/>
      <w:szCs w:val="21"/>
    </w:rPr>
  </w:style>
  <w:style w:type="character" w:customStyle="1" w:styleId="578">
    <w:name w:val="01标题1 Char"/>
    <w:link w:val="579"/>
    <w:autoRedefine/>
    <w:qFormat/>
    <w:uiPriority w:val="0"/>
    <w:rPr>
      <w:rFonts w:ascii="Calibri" w:hAnsi="Calibri" w:eastAsia="黑体"/>
      <w:b/>
      <w:bCs/>
      <w:kern w:val="44"/>
      <w:sz w:val="36"/>
      <w:szCs w:val="44"/>
    </w:rPr>
  </w:style>
  <w:style w:type="paragraph" w:customStyle="1" w:styleId="579">
    <w:name w:val="01标题1"/>
    <w:next w:val="577"/>
    <w:link w:val="578"/>
    <w:autoRedefine/>
    <w:qFormat/>
    <w:uiPriority w:val="0"/>
    <w:pPr>
      <w:spacing w:before="100" w:beforeAutospacing="1" w:after="100" w:afterAutospacing="1" w:line="360" w:lineRule="auto"/>
      <w:jc w:val="center"/>
      <w:outlineLvl w:val="0"/>
    </w:pPr>
    <w:rPr>
      <w:rFonts w:ascii="Calibri" w:hAnsi="Calibri" w:eastAsia="黑体" w:cs="Times New Roman"/>
      <w:b/>
      <w:bCs/>
      <w:kern w:val="44"/>
      <w:sz w:val="36"/>
      <w:szCs w:val="44"/>
      <w:lang w:val="en-US" w:eastAsia="zh-CN" w:bidi="ar-SA"/>
    </w:rPr>
  </w:style>
  <w:style w:type="character" w:customStyle="1" w:styleId="580">
    <w:name w:val="02标题2 Char"/>
    <w:link w:val="581"/>
    <w:autoRedefine/>
    <w:qFormat/>
    <w:uiPriority w:val="0"/>
    <w:rPr>
      <w:rFonts w:ascii="黑体" w:hAnsi="黑体" w:eastAsia="黑体"/>
      <w:b/>
      <w:kern w:val="44"/>
      <w:sz w:val="24"/>
      <w:szCs w:val="21"/>
    </w:rPr>
  </w:style>
  <w:style w:type="paragraph" w:customStyle="1" w:styleId="581">
    <w:name w:val="02标题2"/>
    <w:next w:val="577"/>
    <w:link w:val="580"/>
    <w:autoRedefine/>
    <w:qFormat/>
    <w:uiPriority w:val="0"/>
    <w:pPr>
      <w:spacing w:line="560" w:lineRule="exact"/>
      <w:ind w:firstLine="200" w:firstLineChars="200"/>
      <w:outlineLvl w:val="1"/>
    </w:pPr>
    <w:rPr>
      <w:rFonts w:ascii="黑体" w:hAnsi="黑体" w:eastAsia="黑体" w:cs="Times New Roman"/>
      <w:b/>
      <w:kern w:val="44"/>
      <w:sz w:val="24"/>
      <w:szCs w:val="21"/>
      <w:lang w:val="en-US" w:eastAsia="zh-CN" w:bidi="ar-SA"/>
    </w:rPr>
  </w:style>
  <w:style w:type="character" w:customStyle="1" w:styleId="582">
    <w:name w:val="07表格 Char"/>
    <w:link w:val="583"/>
    <w:autoRedefine/>
    <w:qFormat/>
    <w:uiPriority w:val="0"/>
    <w:rPr>
      <w:rFonts w:ascii="宋体" w:hAnsi="宋体" w:eastAsia="黑体"/>
      <w:kern w:val="2"/>
      <w:sz w:val="21"/>
    </w:rPr>
  </w:style>
  <w:style w:type="paragraph" w:customStyle="1" w:styleId="583">
    <w:name w:val="07表格"/>
    <w:basedOn w:val="1"/>
    <w:link w:val="582"/>
    <w:autoRedefine/>
    <w:qFormat/>
    <w:uiPriority w:val="0"/>
    <w:pPr>
      <w:widowControl w:val="0"/>
      <w:spacing w:line="240" w:lineRule="atLeast"/>
      <w:jc w:val="center"/>
    </w:pPr>
    <w:rPr>
      <w:rFonts w:ascii="宋体" w:hAnsi="宋体" w:eastAsia="黑体"/>
      <w:kern w:val="2"/>
      <w:sz w:val="21"/>
      <w:szCs w:val="20"/>
    </w:rPr>
  </w:style>
  <w:style w:type="paragraph" w:customStyle="1" w:styleId="584">
    <w:name w:val="备注"/>
    <w:basedOn w:val="1"/>
    <w:autoRedefine/>
    <w:qFormat/>
    <w:uiPriority w:val="0"/>
    <w:rPr>
      <w:rFonts w:ascii="楷体" w:hAnsi="楷体" w:eastAsia="楷体"/>
      <w:b/>
      <w:bCs/>
      <w:kern w:val="2"/>
      <w:sz w:val="18"/>
      <w:szCs w:val="18"/>
    </w:rPr>
  </w:style>
  <w:style w:type="paragraph" w:customStyle="1" w:styleId="585">
    <w:name w:val="修订2"/>
    <w:autoRedefine/>
    <w:hidden/>
    <w:semiHidden/>
    <w:qFormat/>
    <w:uiPriority w:val="99"/>
    <w:rPr>
      <w:rFonts w:ascii="Times New Roman" w:hAnsi="Times New Roman" w:eastAsia="宋体" w:cs="Times New Roman"/>
      <w:sz w:val="24"/>
      <w:szCs w:val="24"/>
      <w:lang w:val="en-US" w:eastAsia="zh-CN" w:bidi="ar-SA"/>
    </w:rPr>
  </w:style>
  <w:style w:type="paragraph" w:customStyle="1" w:styleId="586">
    <w:name w:val="表"/>
    <w:basedOn w:val="1"/>
    <w:autoRedefine/>
    <w:qFormat/>
    <w:uiPriority w:val="0"/>
    <w:pPr>
      <w:widowControl w:val="0"/>
      <w:spacing w:before="312" w:beforeLines="100" w:after="156" w:afterLines="50" w:line="360" w:lineRule="auto"/>
      <w:jc w:val="center"/>
    </w:pPr>
    <w:rPr>
      <w:rFonts w:eastAsia="黑体" w:cstheme="minorBidi"/>
      <w:b/>
      <w:kern w:val="2"/>
      <w:szCs w:val="22"/>
    </w:rPr>
  </w:style>
  <w:style w:type="paragraph" w:customStyle="1" w:styleId="587">
    <w:name w:val="修订3"/>
    <w:autoRedefine/>
    <w:hidden/>
    <w:unhideWhenUsed/>
    <w:qFormat/>
    <w:uiPriority w:val="99"/>
    <w:rPr>
      <w:rFonts w:ascii="Times New Roman" w:hAnsi="Times New Roman" w:eastAsia="宋体" w:cs="Times New Roman"/>
      <w:sz w:val="24"/>
      <w:szCs w:val="24"/>
      <w:lang w:val="en-US" w:eastAsia="zh-CN" w:bidi="ar-SA"/>
    </w:rPr>
  </w:style>
  <w:style w:type="paragraph" w:customStyle="1" w:styleId="588">
    <w:name w:val="修订4"/>
    <w:autoRedefine/>
    <w:hidden/>
    <w:semiHidden/>
    <w:qFormat/>
    <w:uiPriority w:val="99"/>
    <w:rPr>
      <w:rFonts w:ascii="Times New Roman" w:hAnsi="Times New Roman" w:eastAsia="宋体" w:cs="Times New Roman"/>
      <w:sz w:val="24"/>
      <w:szCs w:val="24"/>
      <w:lang w:val="en-US" w:eastAsia="zh-CN" w:bidi="ar-SA"/>
    </w:rPr>
  </w:style>
  <w:style w:type="paragraph" w:customStyle="1" w:styleId="589">
    <w:name w:val="修订5"/>
    <w:autoRedefine/>
    <w:hidden/>
    <w:semiHidden/>
    <w:qFormat/>
    <w:uiPriority w:val="99"/>
    <w:rPr>
      <w:rFonts w:ascii="Times New Roman" w:hAnsi="Times New Roman" w:eastAsia="宋体" w:cs="Times New Roman"/>
      <w:sz w:val="24"/>
      <w:szCs w:val="24"/>
      <w:lang w:val="en-US" w:eastAsia="zh-CN" w:bidi="ar-SA"/>
    </w:rPr>
  </w:style>
  <w:style w:type="paragraph" w:customStyle="1" w:styleId="590">
    <w:name w:val="修订6"/>
    <w:autoRedefine/>
    <w:hidden/>
    <w:semiHidden/>
    <w:qFormat/>
    <w:uiPriority w:val="99"/>
    <w:rPr>
      <w:rFonts w:ascii="Times New Roman" w:hAnsi="Times New Roman" w:eastAsia="宋体" w:cs="Times New Roman"/>
      <w:sz w:val="24"/>
      <w:szCs w:val="24"/>
      <w:lang w:val="en-US" w:eastAsia="zh-CN" w:bidi="ar-SA"/>
    </w:rPr>
  </w:style>
  <w:style w:type="character" w:customStyle="1" w:styleId="591">
    <w:name w:val="标题 3 Char2"/>
    <w:autoRedefine/>
    <w:qFormat/>
    <w:uiPriority w:val="0"/>
    <w:rPr>
      <w:rFonts w:eastAsia="Arial Unicode MS"/>
      <w:b/>
      <w:kern w:val="0"/>
      <w:sz w:val="32"/>
      <w:szCs w:val="28"/>
    </w:rPr>
  </w:style>
  <w:style w:type="paragraph" w:customStyle="1" w:styleId="592">
    <w:name w:val="正文（自定义）"/>
    <w:basedOn w:val="1"/>
    <w:autoRedefine/>
    <w:qFormat/>
    <w:uiPriority w:val="0"/>
    <w:pPr>
      <w:ind w:firstLine="200" w:firstLineChars="200"/>
    </w:pPr>
    <w:rPr>
      <w:rFonts w:ascii="仿宋_GB2312" w:hAnsi="仿宋_GB2312" w:eastAsia="仿宋_GB2312"/>
      <w:sz w:val="32"/>
    </w:rPr>
  </w:style>
  <w:style w:type="paragraph" w:customStyle="1" w:styleId="593">
    <w:name w:val="图表目录1"/>
    <w:basedOn w:val="1"/>
    <w:next w:val="1"/>
    <w:autoRedefine/>
    <w:qFormat/>
    <w:uiPriority w:val="0"/>
    <w:pPr>
      <w:spacing w:before="100" w:beforeAutospacing="1" w:after="100" w:afterAutospacing="1"/>
      <w:ind w:left="200" w:leftChars="200" w:hanging="200" w:hangingChars="200"/>
    </w:pPr>
    <w:rPr>
      <w:rFonts w:cs="黑体"/>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148</Pages>
  <Words>16129</Words>
  <Characters>17626</Characters>
  <Lines>600</Lines>
  <Paragraphs>169</Paragraphs>
  <TotalTime>3</TotalTime>
  <ScaleCrop>false</ScaleCrop>
  <LinksUpToDate>false</LinksUpToDate>
  <CharactersWithSpaces>17847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2024-03-31T09:21:00Z</dcterms:created>
  <dc:creator>Administrator</dc:creator>
  <cp:lastModifiedBy>施甸县水利综合服务中心</cp:lastModifiedBy>
  <cp:lastPrinted>2026-05-12T05:37:00Z</cp:lastPrinted>
  <dcterms:modified xsi:type="dcterms:W3CDTF">2026-05-12T08:38:50Z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248953077_btnclosed</vt:lpwstr>
  </property>
  <property fmtid="{D5CDD505-2E9C-101B-9397-08002B2CF9AE}" pid="4" name="ICV">
    <vt:lpwstr>B0B19A2CE1D04C6CBA16291DED9A2969_13</vt:lpwstr>
  </property>
  <property fmtid="{D5CDD505-2E9C-101B-9397-08002B2CF9AE}" pid="5" name="KSOTemplateDocerSaveRecord">
    <vt:lpwstr>eyJoZGlkIjoiYmFkMDk2NzIyNmZmZmRiZGJjNzExNTljYzRkMjVkMzQiLCJ1c2VySWQiOiI5MTE2Mzg1NzkifQ==</vt:lpwstr>
  </property>
</Properties>
</file>